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ECDC3">
      <w:pPr>
        <w:adjustRightInd w:val="0"/>
        <w:snapToGrid w:val="0"/>
        <w:jc w:val="center"/>
        <w:rPr>
          <w:rFonts w:ascii="宋体" w:hAnsi="宋体"/>
          <w:b/>
          <w:bCs/>
          <w:color w:val="auto"/>
          <w:sz w:val="56"/>
          <w:szCs w:val="56"/>
        </w:rPr>
      </w:pPr>
      <w:bookmarkStart w:id="0" w:name="_Toc30213"/>
      <w:bookmarkStart w:id="1" w:name="_Toc14285"/>
      <w:bookmarkStart w:id="2" w:name="_Toc246996916"/>
      <w:bookmarkStart w:id="3" w:name="_Toc152042303"/>
      <w:bookmarkStart w:id="4" w:name="_Toc152045527"/>
      <w:bookmarkStart w:id="5" w:name="_Toc247085687"/>
      <w:bookmarkStart w:id="6" w:name="_Toc144974495"/>
      <w:bookmarkStart w:id="7" w:name="_Toc246996173"/>
      <w:bookmarkStart w:id="8" w:name="_Toc179632544"/>
    </w:p>
    <w:p w14:paraId="24245D41">
      <w:pPr>
        <w:adjustRightInd w:val="0"/>
        <w:snapToGrid w:val="0"/>
        <w:jc w:val="center"/>
        <w:rPr>
          <w:rFonts w:ascii="宋体" w:hAnsi="宋体"/>
          <w:b/>
          <w:bCs/>
          <w:color w:val="auto"/>
          <w:sz w:val="56"/>
          <w:szCs w:val="56"/>
        </w:rPr>
      </w:pPr>
      <w:r>
        <w:rPr>
          <w:rFonts w:ascii="宋体" w:hAnsi="宋体"/>
          <w:b/>
          <w:bCs/>
          <w:color w:val="auto"/>
          <w:sz w:val="56"/>
          <w:szCs w:val="56"/>
        </w:rPr>
        <w:t>吉林省重点保护陆生野生动物造成人身财产损害补偿保险</w:t>
      </w:r>
    </w:p>
    <w:p w14:paraId="3EE113F0">
      <w:pPr>
        <w:pStyle w:val="23"/>
        <w:rPr>
          <w:color w:val="auto"/>
        </w:rPr>
      </w:pPr>
    </w:p>
    <w:p w14:paraId="37754A0F">
      <w:pPr>
        <w:snapToGrid w:val="0"/>
        <w:spacing w:before="490" w:beforeLines="100"/>
        <w:jc w:val="center"/>
        <w:rPr>
          <w:rFonts w:ascii="宋体" w:hAnsi="宋体"/>
          <w:b/>
          <w:bCs/>
          <w:color w:val="auto"/>
          <w:sz w:val="80"/>
          <w:szCs w:val="80"/>
        </w:rPr>
      </w:pPr>
    </w:p>
    <w:p w14:paraId="2930F8F7">
      <w:pPr>
        <w:snapToGrid w:val="0"/>
        <w:spacing w:before="490" w:beforeLines="100"/>
        <w:jc w:val="center"/>
        <w:rPr>
          <w:rFonts w:ascii="宋体" w:hAnsi="宋体"/>
          <w:b/>
          <w:bCs/>
          <w:color w:val="auto"/>
          <w:sz w:val="80"/>
          <w:szCs w:val="80"/>
        </w:rPr>
      </w:pPr>
      <w:r>
        <w:rPr>
          <w:rFonts w:hint="eastAsia" w:ascii="宋体" w:hAnsi="宋体"/>
          <w:b/>
          <w:bCs/>
          <w:color w:val="auto"/>
          <w:sz w:val="80"/>
          <w:szCs w:val="80"/>
        </w:rPr>
        <w:t>招标文件</w:t>
      </w:r>
    </w:p>
    <w:p w14:paraId="33A84F00">
      <w:pPr>
        <w:snapToGrid w:val="0"/>
        <w:jc w:val="center"/>
        <w:rPr>
          <w:rFonts w:ascii="宋体" w:hAnsi="宋体"/>
          <w:b/>
          <w:bCs/>
          <w:color w:val="auto"/>
          <w:sz w:val="44"/>
          <w:szCs w:val="44"/>
        </w:rPr>
      </w:pPr>
    </w:p>
    <w:p w14:paraId="0F14F18D">
      <w:pPr>
        <w:snapToGrid w:val="0"/>
        <w:rPr>
          <w:rFonts w:ascii="宋体" w:hAnsi="宋体"/>
          <w:color w:val="auto"/>
          <w:sz w:val="28"/>
          <w:szCs w:val="28"/>
        </w:rPr>
      </w:pPr>
    </w:p>
    <w:p w14:paraId="12EFB4F1">
      <w:pPr>
        <w:snapToGrid w:val="0"/>
        <w:rPr>
          <w:rFonts w:ascii="宋体" w:hAnsi="宋体"/>
          <w:color w:val="auto"/>
          <w:sz w:val="28"/>
          <w:szCs w:val="28"/>
        </w:rPr>
      </w:pPr>
    </w:p>
    <w:p w14:paraId="3F624558">
      <w:pPr>
        <w:snapToGrid w:val="0"/>
        <w:rPr>
          <w:rFonts w:ascii="宋体" w:hAnsi="宋体"/>
          <w:color w:val="auto"/>
          <w:sz w:val="28"/>
          <w:szCs w:val="28"/>
        </w:rPr>
      </w:pPr>
    </w:p>
    <w:p w14:paraId="7B3ECCB9">
      <w:pPr>
        <w:pStyle w:val="23"/>
        <w:ind w:left="0" w:leftChars="0" w:firstLine="0" w:firstLineChars="0"/>
        <w:rPr>
          <w:color w:val="auto"/>
        </w:rPr>
      </w:pPr>
    </w:p>
    <w:p w14:paraId="5839B98B">
      <w:pPr>
        <w:pStyle w:val="23"/>
        <w:ind w:left="0" w:leftChars="0" w:firstLine="0" w:firstLineChars="0"/>
        <w:rPr>
          <w:color w:val="auto"/>
        </w:rPr>
      </w:pPr>
    </w:p>
    <w:p w14:paraId="7EA3CF3B">
      <w:pPr>
        <w:pStyle w:val="23"/>
        <w:ind w:left="0" w:leftChars="0" w:firstLine="0" w:firstLineChars="0"/>
        <w:rPr>
          <w:color w:val="auto"/>
        </w:rPr>
      </w:pPr>
    </w:p>
    <w:p w14:paraId="5BAAC33A">
      <w:pPr>
        <w:pStyle w:val="23"/>
        <w:ind w:left="0" w:leftChars="0" w:firstLine="0" w:firstLineChars="0"/>
        <w:rPr>
          <w:color w:val="auto"/>
        </w:rPr>
      </w:pPr>
    </w:p>
    <w:p w14:paraId="4E235CF1">
      <w:pPr>
        <w:pStyle w:val="45"/>
        <w:rPr>
          <w:color w:val="auto"/>
          <w:highlight w:val="none"/>
        </w:rPr>
      </w:pPr>
    </w:p>
    <w:p w14:paraId="4880D859">
      <w:pPr>
        <w:autoSpaceDE w:val="0"/>
        <w:autoSpaceDN w:val="0"/>
        <w:adjustRightInd w:val="0"/>
        <w:snapToGrid w:val="0"/>
        <w:spacing w:line="520" w:lineRule="exact"/>
        <w:ind w:firstLine="2108" w:firstLineChars="700"/>
        <w:rPr>
          <w:rFonts w:ascii="宋体" w:hAnsi="宋体"/>
          <w:b/>
          <w:bCs/>
          <w:color w:val="auto"/>
          <w:sz w:val="30"/>
          <w:szCs w:val="30"/>
          <w:highlight w:val="none"/>
        </w:rPr>
      </w:pPr>
      <w:r>
        <w:rPr>
          <w:rFonts w:hint="eastAsia" w:ascii="宋体" w:hAnsi="宋体"/>
          <w:b/>
          <w:bCs/>
          <w:color w:val="auto"/>
          <w:sz w:val="30"/>
          <w:szCs w:val="30"/>
          <w:highlight w:val="none"/>
        </w:rPr>
        <w:t>采购方式：公开招标</w:t>
      </w:r>
    </w:p>
    <w:p w14:paraId="69D401C9">
      <w:pPr>
        <w:autoSpaceDE w:val="0"/>
        <w:autoSpaceDN w:val="0"/>
        <w:adjustRightInd w:val="0"/>
        <w:snapToGrid w:val="0"/>
        <w:spacing w:line="520" w:lineRule="exact"/>
        <w:ind w:firstLine="2108" w:firstLineChars="700"/>
        <w:rPr>
          <w:rFonts w:ascii="宋体" w:hAnsi="宋体"/>
          <w:b/>
          <w:bCs/>
          <w:color w:val="auto"/>
          <w:sz w:val="30"/>
          <w:szCs w:val="30"/>
          <w:highlight w:val="none"/>
        </w:rPr>
      </w:pPr>
      <w:r>
        <w:rPr>
          <w:rFonts w:hint="eastAsia" w:ascii="宋体" w:hAnsi="宋体"/>
          <w:b/>
          <w:bCs/>
          <w:color w:val="auto"/>
          <w:sz w:val="30"/>
          <w:szCs w:val="30"/>
          <w:highlight w:val="none"/>
        </w:rPr>
        <w:t>采购编号：采购计划-[2026]-09740号-01</w:t>
      </w:r>
    </w:p>
    <w:p w14:paraId="05A4F7F7">
      <w:pPr>
        <w:autoSpaceDE w:val="0"/>
        <w:autoSpaceDN w:val="0"/>
        <w:adjustRightInd w:val="0"/>
        <w:snapToGrid w:val="0"/>
        <w:spacing w:line="520" w:lineRule="exact"/>
        <w:ind w:firstLine="2108" w:firstLineChars="700"/>
        <w:rPr>
          <w:rFonts w:ascii="宋体" w:hAnsi="宋体"/>
          <w:b/>
          <w:bCs/>
          <w:color w:val="auto"/>
          <w:sz w:val="30"/>
          <w:szCs w:val="30"/>
          <w:highlight w:val="none"/>
        </w:rPr>
      </w:pPr>
      <w:r>
        <w:rPr>
          <w:rFonts w:hint="eastAsia" w:ascii="宋体" w:hAnsi="宋体"/>
          <w:b/>
          <w:bCs/>
          <w:color w:val="auto"/>
          <w:sz w:val="30"/>
          <w:szCs w:val="30"/>
          <w:highlight w:val="none"/>
        </w:rPr>
        <w:t>采购人：吉林省林业和草原局</w:t>
      </w:r>
    </w:p>
    <w:p w14:paraId="5312364A">
      <w:pPr>
        <w:autoSpaceDE w:val="0"/>
        <w:autoSpaceDN w:val="0"/>
        <w:adjustRightInd w:val="0"/>
        <w:snapToGrid w:val="0"/>
        <w:spacing w:line="520" w:lineRule="exact"/>
        <w:ind w:firstLine="2108" w:firstLineChars="700"/>
        <w:rPr>
          <w:rFonts w:ascii="宋体" w:hAnsi="宋体"/>
          <w:b/>
          <w:bCs/>
          <w:color w:val="auto"/>
          <w:sz w:val="30"/>
          <w:szCs w:val="30"/>
          <w:highlight w:val="none"/>
        </w:rPr>
      </w:pPr>
      <w:r>
        <w:rPr>
          <w:rFonts w:hint="eastAsia" w:ascii="宋体" w:hAnsi="宋体"/>
          <w:b/>
          <w:bCs/>
          <w:color w:val="auto"/>
          <w:sz w:val="30"/>
          <w:szCs w:val="30"/>
          <w:highlight w:val="none"/>
        </w:rPr>
        <w:t>采购代理机构：圣源祥保险经纪有限公司</w:t>
      </w:r>
    </w:p>
    <w:p w14:paraId="540FEDEC">
      <w:pPr>
        <w:autoSpaceDE w:val="0"/>
        <w:autoSpaceDN w:val="0"/>
        <w:adjustRightInd w:val="0"/>
        <w:snapToGrid w:val="0"/>
        <w:spacing w:line="520" w:lineRule="exact"/>
        <w:jc w:val="center"/>
        <w:rPr>
          <w:rFonts w:ascii="宋体" w:hAnsi="宋体"/>
          <w:b/>
          <w:color w:val="auto"/>
          <w:sz w:val="44"/>
          <w:lang w:val="zh-CN"/>
        </w:rPr>
      </w:pPr>
      <w:r>
        <w:rPr>
          <w:rFonts w:hint="eastAsia" w:ascii="宋体" w:hAnsi="宋体"/>
          <w:b/>
          <w:bCs/>
          <w:color w:val="auto"/>
          <w:sz w:val="30"/>
          <w:szCs w:val="30"/>
          <w:highlight w:val="none"/>
        </w:rPr>
        <w:t>202</w:t>
      </w:r>
      <w:r>
        <w:rPr>
          <w:rFonts w:hint="eastAsia" w:ascii="宋体" w:hAnsi="宋体"/>
          <w:b/>
          <w:bCs/>
          <w:color w:val="auto"/>
          <w:sz w:val="30"/>
          <w:szCs w:val="30"/>
          <w:highlight w:val="none"/>
          <w:lang w:val="en-US" w:eastAsia="zh-CN"/>
        </w:rPr>
        <w:t>6</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05</w:t>
      </w:r>
      <w:r>
        <w:rPr>
          <w:rFonts w:hint="eastAsia" w:ascii="宋体" w:hAnsi="宋体"/>
          <w:b/>
          <w:bCs/>
          <w:color w:val="auto"/>
          <w:sz w:val="30"/>
          <w:szCs w:val="30"/>
          <w:highlight w:val="none"/>
        </w:rPr>
        <w:t>月</w:t>
      </w:r>
      <w:r>
        <w:rPr>
          <w:rFonts w:hint="eastAsia" w:ascii="宋体" w:hAnsi="宋体"/>
          <w:b/>
          <w:color w:val="auto"/>
          <w:sz w:val="44"/>
          <w:lang w:val="zh-CN"/>
        </w:rPr>
        <w:br w:type="page"/>
      </w:r>
    </w:p>
    <w:p w14:paraId="65F960B4">
      <w:pPr>
        <w:autoSpaceDE w:val="0"/>
        <w:autoSpaceDN w:val="0"/>
        <w:adjustRightInd w:val="0"/>
        <w:snapToGrid w:val="0"/>
        <w:spacing w:line="520" w:lineRule="exact"/>
        <w:jc w:val="center"/>
        <w:rPr>
          <w:rFonts w:ascii="宋体" w:hAnsi="宋体"/>
          <w:b/>
          <w:color w:val="auto"/>
          <w:sz w:val="44"/>
          <w:lang w:val="zh-CN"/>
        </w:rPr>
      </w:pPr>
      <w:r>
        <w:rPr>
          <w:rFonts w:hint="eastAsia" w:ascii="宋体" w:hAnsi="宋体"/>
          <w:b/>
          <w:color w:val="auto"/>
          <w:sz w:val="44"/>
          <w:lang w:val="zh-CN"/>
        </w:rPr>
        <w:t>目</w:t>
      </w:r>
      <w:r>
        <w:rPr>
          <w:rFonts w:hint="eastAsia" w:ascii="宋体" w:hAnsi="宋体"/>
          <w:b/>
          <w:color w:val="auto"/>
          <w:sz w:val="44"/>
        </w:rPr>
        <w:t xml:space="preserve">  </w:t>
      </w:r>
      <w:r>
        <w:rPr>
          <w:rFonts w:hint="eastAsia" w:ascii="宋体" w:hAnsi="宋体"/>
          <w:b/>
          <w:color w:val="auto"/>
          <w:sz w:val="44"/>
          <w:lang w:val="zh-CN"/>
        </w:rPr>
        <w:t>录</w:t>
      </w:r>
    </w:p>
    <w:p w14:paraId="7F397871">
      <w:pPr>
        <w:pStyle w:val="45"/>
        <w:rPr>
          <w:color w:val="auto"/>
          <w:lang w:val="zh-CN"/>
        </w:rPr>
      </w:pPr>
    </w:p>
    <w:p w14:paraId="767DD2E8">
      <w:pPr>
        <w:pStyle w:val="17"/>
        <w:tabs>
          <w:tab w:val="right" w:leader="dot" w:pos="9638"/>
        </w:tabs>
        <w:spacing w:line="480" w:lineRule="auto"/>
        <w:rPr>
          <w:color w:val="auto"/>
          <w:sz w:val="24"/>
          <w:szCs w:val="24"/>
        </w:rPr>
      </w:pPr>
      <w:r>
        <w:rPr>
          <w:rFonts w:ascii="宋体" w:hAnsi="宋体"/>
          <w:color w:val="auto"/>
          <w:sz w:val="36"/>
          <w:szCs w:val="36"/>
          <w:lang w:val="zh-CN"/>
        </w:rPr>
        <w:fldChar w:fldCharType="begin"/>
      </w:r>
      <w:r>
        <w:rPr>
          <w:rFonts w:ascii="宋体" w:hAnsi="宋体"/>
          <w:color w:val="auto"/>
          <w:sz w:val="36"/>
          <w:szCs w:val="36"/>
          <w:lang w:val="zh-CN"/>
        </w:rPr>
        <w:instrText xml:space="preserve">TOC \o "1-1" \h \u </w:instrText>
      </w:r>
      <w:r>
        <w:rPr>
          <w:rFonts w:ascii="宋体" w:hAnsi="宋体"/>
          <w:color w:val="auto"/>
          <w:sz w:val="36"/>
          <w:szCs w:val="36"/>
          <w:lang w:val="zh-CN"/>
        </w:rPr>
        <w:fldChar w:fldCharType="separate"/>
      </w:r>
      <w:r>
        <w:rPr>
          <w:color w:val="auto"/>
        </w:rPr>
        <w:fldChar w:fldCharType="begin"/>
      </w:r>
      <w:r>
        <w:rPr>
          <w:color w:val="auto"/>
        </w:rPr>
        <w:instrText xml:space="preserve"> HYPERLINK \l "_Toc22492" </w:instrText>
      </w:r>
      <w:r>
        <w:rPr>
          <w:color w:val="auto"/>
        </w:rPr>
        <w:fldChar w:fldCharType="separate"/>
      </w:r>
      <w:r>
        <w:rPr>
          <w:rFonts w:hint="eastAsia"/>
          <w:color w:val="auto"/>
          <w:sz w:val="24"/>
          <w:szCs w:val="24"/>
        </w:rPr>
        <w:t>第一章、招标公告</w:t>
      </w:r>
      <w:r>
        <w:rPr>
          <w:color w:val="auto"/>
          <w:sz w:val="24"/>
          <w:szCs w:val="24"/>
        </w:rPr>
        <w:tab/>
      </w:r>
      <w:r>
        <w:rPr>
          <w:color w:val="auto"/>
          <w:sz w:val="24"/>
          <w:szCs w:val="24"/>
        </w:rPr>
        <w:fldChar w:fldCharType="begin"/>
      </w:r>
      <w:r>
        <w:rPr>
          <w:color w:val="auto"/>
          <w:sz w:val="24"/>
          <w:szCs w:val="24"/>
        </w:rPr>
        <w:instrText xml:space="preserve"> PAGEREF _Toc22492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0F4B94D6">
      <w:pPr>
        <w:pStyle w:val="17"/>
        <w:tabs>
          <w:tab w:val="right" w:leader="dot" w:pos="9638"/>
        </w:tabs>
        <w:spacing w:line="480" w:lineRule="auto"/>
        <w:rPr>
          <w:color w:val="auto"/>
          <w:sz w:val="24"/>
          <w:szCs w:val="24"/>
        </w:rPr>
      </w:pPr>
      <w:r>
        <w:rPr>
          <w:color w:val="auto"/>
        </w:rPr>
        <w:fldChar w:fldCharType="begin"/>
      </w:r>
      <w:r>
        <w:rPr>
          <w:color w:val="auto"/>
        </w:rPr>
        <w:instrText xml:space="preserve"> HYPERLINK \l "_Toc1861" </w:instrText>
      </w:r>
      <w:r>
        <w:rPr>
          <w:color w:val="auto"/>
        </w:rPr>
        <w:fldChar w:fldCharType="separate"/>
      </w:r>
      <w:r>
        <w:rPr>
          <w:rFonts w:hint="eastAsia"/>
          <w:color w:val="auto"/>
          <w:sz w:val="24"/>
          <w:szCs w:val="24"/>
        </w:rPr>
        <w:t>第二章、投标人须知</w:t>
      </w:r>
      <w:r>
        <w:rPr>
          <w:color w:val="auto"/>
          <w:sz w:val="24"/>
          <w:szCs w:val="24"/>
        </w:rPr>
        <w:tab/>
      </w:r>
      <w:r>
        <w:rPr>
          <w:color w:val="auto"/>
          <w:sz w:val="24"/>
          <w:szCs w:val="24"/>
        </w:rPr>
        <w:fldChar w:fldCharType="begin"/>
      </w:r>
      <w:r>
        <w:rPr>
          <w:color w:val="auto"/>
          <w:sz w:val="24"/>
          <w:szCs w:val="24"/>
        </w:rPr>
        <w:instrText xml:space="preserve"> PAGEREF _Toc1861 \h </w:instrText>
      </w:r>
      <w:r>
        <w:rPr>
          <w:color w:val="auto"/>
          <w:sz w:val="24"/>
          <w:szCs w:val="24"/>
        </w:rPr>
        <w:fldChar w:fldCharType="separate"/>
      </w:r>
      <w:r>
        <w:rPr>
          <w:color w:val="auto"/>
          <w:sz w:val="24"/>
          <w:szCs w:val="24"/>
        </w:rPr>
        <w:t>4</w:t>
      </w:r>
      <w:r>
        <w:rPr>
          <w:color w:val="auto"/>
          <w:sz w:val="24"/>
          <w:szCs w:val="24"/>
        </w:rPr>
        <w:fldChar w:fldCharType="end"/>
      </w:r>
      <w:r>
        <w:rPr>
          <w:color w:val="auto"/>
          <w:sz w:val="24"/>
          <w:szCs w:val="24"/>
        </w:rPr>
        <w:fldChar w:fldCharType="end"/>
      </w:r>
    </w:p>
    <w:p w14:paraId="15A60BCF">
      <w:pPr>
        <w:pStyle w:val="17"/>
        <w:tabs>
          <w:tab w:val="right" w:leader="dot" w:pos="9638"/>
        </w:tabs>
        <w:spacing w:line="480" w:lineRule="auto"/>
        <w:rPr>
          <w:color w:val="auto"/>
          <w:sz w:val="24"/>
          <w:szCs w:val="24"/>
        </w:rPr>
      </w:pPr>
      <w:r>
        <w:rPr>
          <w:color w:val="auto"/>
        </w:rPr>
        <w:fldChar w:fldCharType="begin"/>
      </w:r>
      <w:r>
        <w:rPr>
          <w:color w:val="auto"/>
        </w:rPr>
        <w:instrText xml:space="preserve"> HYPERLINK \l "_Toc8108" </w:instrText>
      </w:r>
      <w:r>
        <w:rPr>
          <w:color w:val="auto"/>
        </w:rPr>
        <w:fldChar w:fldCharType="separate"/>
      </w:r>
      <w:r>
        <w:rPr>
          <w:rFonts w:hint="eastAsia"/>
          <w:color w:val="auto"/>
          <w:sz w:val="24"/>
          <w:szCs w:val="24"/>
        </w:rPr>
        <w:t>第三章、评标办法</w:t>
      </w:r>
      <w:r>
        <w:rPr>
          <w:color w:val="auto"/>
          <w:sz w:val="24"/>
          <w:szCs w:val="24"/>
        </w:rPr>
        <w:tab/>
      </w:r>
      <w:r>
        <w:rPr>
          <w:color w:val="auto"/>
          <w:sz w:val="24"/>
          <w:szCs w:val="24"/>
        </w:rPr>
        <w:fldChar w:fldCharType="begin"/>
      </w:r>
      <w:r>
        <w:rPr>
          <w:color w:val="auto"/>
          <w:sz w:val="24"/>
          <w:szCs w:val="24"/>
        </w:rPr>
        <w:instrText xml:space="preserve"> PAGEREF _Toc8108 \h </w:instrText>
      </w:r>
      <w:r>
        <w:rPr>
          <w:color w:val="auto"/>
          <w:sz w:val="24"/>
          <w:szCs w:val="24"/>
        </w:rPr>
        <w:fldChar w:fldCharType="separate"/>
      </w:r>
      <w:r>
        <w:rPr>
          <w:color w:val="auto"/>
          <w:sz w:val="24"/>
          <w:szCs w:val="24"/>
        </w:rPr>
        <w:t>27</w:t>
      </w:r>
      <w:r>
        <w:rPr>
          <w:color w:val="auto"/>
          <w:sz w:val="24"/>
          <w:szCs w:val="24"/>
        </w:rPr>
        <w:fldChar w:fldCharType="end"/>
      </w:r>
      <w:r>
        <w:rPr>
          <w:color w:val="auto"/>
          <w:sz w:val="24"/>
          <w:szCs w:val="24"/>
        </w:rPr>
        <w:fldChar w:fldCharType="end"/>
      </w:r>
    </w:p>
    <w:p w14:paraId="3ED73026">
      <w:pPr>
        <w:pStyle w:val="17"/>
        <w:tabs>
          <w:tab w:val="right" w:leader="dot" w:pos="9638"/>
        </w:tabs>
        <w:spacing w:line="480" w:lineRule="auto"/>
        <w:rPr>
          <w:color w:val="auto"/>
          <w:sz w:val="24"/>
          <w:szCs w:val="24"/>
        </w:rPr>
      </w:pPr>
      <w:r>
        <w:rPr>
          <w:color w:val="auto"/>
        </w:rPr>
        <w:fldChar w:fldCharType="begin"/>
      </w:r>
      <w:r>
        <w:rPr>
          <w:color w:val="auto"/>
        </w:rPr>
        <w:instrText xml:space="preserve"> HYPERLINK \l "_Toc16577" </w:instrText>
      </w:r>
      <w:r>
        <w:rPr>
          <w:color w:val="auto"/>
        </w:rPr>
        <w:fldChar w:fldCharType="separate"/>
      </w:r>
      <w:r>
        <w:rPr>
          <w:rFonts w:hint="eastAsia"/>
          <w:color w:val="auto"/>
          <w:sz w:val="24"/>
          <w:szCs w:val="24"/>
        </w:rPr>
        <w:t>第四章、合同条款</w:t>
      </w:r>
      <w:r>
        <w:rPr>
          <w:color w:val="auto"/>
          <w:sz w:val="24"/>
          <w:szCs w:val="24"/>
        </w:rPr>
        <w:tab/>
      </w:r>
      <w:r>
        <w:rPr>
          <w:color w:val="auto"/>
          <w:sz w:val="24"/>
          <w:szCs w:val="24"/>
        </w:rPr>
        <w:fldChar w:fldCharType="begin"/>
      </w:r>
      <w:r>
        <w:rPr>
          <w:color w:val="auto"/>
          <w:sz w:val="24"/>
          <w:szCs w:val="24"/>
        </w:rPr>
        <w:instrText xml:space="preserve"> PAGEREF _Toc16577 \h </w:instrText>
      </w:r>
      <w:r>
        <w:rPr>
          <w:color w:val="auto"/>
          <w:sz w:val="24"/>
          <w:szCs w:val="24"/>
        </w:rPr>
        <w:fldChar w:fldCharType="separate"/>
      </w:r>
      <w:r>
        <w:rPr>
          <w:color w:val="auto"/>
          <w:sz w:val="24"/>
          <w:szCs w:val="24"/>
        </w:rPr>
        <w:t>53</w:t>
      </w:r>
      <w:r>
        <w:rPr>
          <w:color w:val="auto"/>
          <w:sz w:val="24"/>
          <w:szCs w:val="24"/>
        </w:rPr>
        <w:fldChar w:fldCharType="end"/>
      </w:r>
      <w:r>
        <w:rPr>
          <w:color w:val="auto"/>
          <w:sz w:val="24"/>
          <w:szCs w:val="24"/>
        </w:rPr>
        <w:fldChar w:fldCharType="end"/>
      </w:r>
    </w:p>
    <w:p w14:paraId="7424DA4C">
      <w:pPr>
        <w:pStyle w:val="17"/>
        <w:tabs>
          <w:tab w:val="right" w:leader="dot" w:pos="9638"/>
        </w:tabs>
        <w:spacing w:line="480" w:lineRule="auto"/>
        <w:rPr>
          <w:color w:val="auto"/>
          <w:sz w:val="24"/>
          <w:szCs w:val="24"/>
        </w:rPr>
      </w:pPr>
      <w:r>
        <w:rPr>
          <w:color w:val="auto"/>
        </w:rPr>
        <w:fldChar w:fldCharType="begin"/>
      </w:r>
      <w:r>
        <w:rPr>
          <w:color w:val="auto"/>
        </w:rPr>
        <w:instrText xml:space="preserve"> HYPERLINK \l "_Toc17428" </w:instrText>
      </w:r>
      <w:r>
        <w:rPr>
          <w:color w:val="auto"/>
        </w:rPr>
        <w:fldChar w:fldCharType="separate"/>
      </w:r>
      <w:r>
        <w:rPr>
          <w:rFonts w:hint="eastAsia"/>
          <w:color w:val="auto"/>
          <w:sz w:val="24"/>
          <w:szCs w:val="24"/>
        </w:rPr>
        <w:t>第五章、服务需求</w:t>
      </w:r>
      <w:r>
        <w:rPr>
          <w:color w:val="auto"/>
          <w:sz w:val="24"/>
          <w:szCs w:val="24"/>
        </w:rPr>
        <w:tab/>
      </w:r>
      <w:r>
        <w:rPr>
          <w:color w:val="auto"/>
          <w:sz w:val="24"/>
          <w:szCs w:val="24"/>
        </w:rPr>
        <w:fldChar w:fldCharType="begin"/>
      </w:r>
      <w:r>
        <w:rPr>
          <w:color w:val="auto"/>
          <w:sz w:val="24"/>
          <w:szCs w:val="24"/>
        </w:rPr>
        <w:instrText xml:space="preserve"> PAGEREF _Toc17428 \h </w:instrText>
      </w:r>
      <w:r>
        <w:rPr>
          <w:color w:val="auto"/>
          <w:sz w:val="24"/>
          <w:szCs w:val="24"/>
        </w:rPr>
        <w:fldChar w:fldCharType="separate"/>
      </w:r>
      <w:r>
        <w:rPr>
          <w:color w:val="auto"/>
          <w:sz w:val="24"/>
          <w:szCs w:val="24"/>
        </w:rPr>
        <w:t>55</w:t>
      </w:r>
      <w:r>
        <w:rPr>
          <w:color w:val="auto"/>
          <w:sz w:val="24"/>
          <w:szCs w:val="24"/>
        </w:rPr>
        <w:fldChar w:fldCharType="end"/>
      </w:r>
      <w:r>
        <w:rPr>
          <w:color w:val="auto"/>
          <w:sz w:val="24"/>
          <w:szCs w:val="24"/>
        </w:rPr>
        <w:fldChar w:fldCharType="end"/>
      </w:r>
    </w:p>
    <w:p w14:paraId="3696A02C">
      <w:pPr>
        <w:pStyle w:val="17"/>
        <w:tabs>
          <w:tab w:val="right" w:leader="dot" w:pos="9638"/>
        </w:tabs>
        <w:spacing w:line="480" w:lineRule="auto"/>
        <w:rPr>
          <w:color w:val="auto"/>
          <w:sz w:val="24"/>
          <w:szCs w:val="24"/>
        </w:rPr>
      </w:pPr>
      <w:r>
        <w:rPr>
          <w:color w:val="auto"/>
        </w:rPr>
        <w:fldChar w:fldCharType="begin"/>
      </w:r>
      <w:r>
        <w:rPr>
          <w:color w:val="auto"/>
        </w:rPr>
        <w:instrText xml:space="preserve"> HYPERLINK \l "_Toc22041" </w:instrText>
      </w:r>
      <w:r>
        <w:rPr>
          <w:color w:val="auto"/>
        </w:rPr>
        <w:fldChar w:fldCharType="separate"/>
      </w:r>
      <w:r>
        <w:rPr>
          <w:rFonts w:hint="eastAsia"/>
          <w:color w:val="auto"/>
          <w:sz w:val="24"/>
          <w:szCs w:val="24"/>
        </w:rPr>
        <w:t>第六章、投标文件格式</w:t>
      </w:r>
      <w:r>
        <w:rPr>
          <w:color w:val="auto"/>
          <w:sz w:val="24"/>
          <w:szCs w:val="24"/>
        </w:rPr>
        <w:tab/>
      </w:r>
      <w:r>
        <w:rPr>
          <w:color w:val="auto"/>
          <w:sz w:val="24"/>
          <w:szCs w:val="24"/>
        </w:rPr>
        <w:fldChar w:fldCharType="begin"/>
      </w:r>
      <w:r>
        <w:rPr>
          <w:color w:val="auto"/>
          <w:sz w:val="24"/>
          <w:szCs w:val="24"/>
        </w:rPr>
        <w:instrText xml:space="preserve"> PAGEREF _Toc22041 \h </w:instrText>
      </w:r>
      <w:r>
        <w:rPr>
          <w:color w:val="auto"/>
          <w:sz w:val="24"/>
          <w:szCs w:val="24"/>
        </w:rPr>
        <w:fldChar w:fldCharType="separate"/>
      </w:r>
      <w:r>
        <w:rPr>
          <w:color w:val="auto"/>
          <w:sz w:val="24"/>
          <w:szCs w:val="24"/>
        </w:rPr>
        <w:t>60</w:t>
      </w:r>
      <w:r>
        <w:rPr>
          <w:color w:val="auto"/>
          <w:sz w:val="24"/>
          <w:szCs w:val="24"/>
        </w:rPr>
        <w:fldChar w:fldCharType="end"/>
      </w:r>
      <w:r>
        <w:rPr>
          <w:color w:val="auto"/>
          <w:sz w:val="24"/>
          <w:szCs w:val="24"/>
        </w:rPr>
        <w:fldChar w:fldCharType="end"/>
      </w:r>
    </w:p>
    <w:p w14:paraId="5E66108D">
      <w:pPr>
        <w:autoSpaceDE w:val="0"/>
        <w:autoSpaceDN w:val="0"/>
        <w:adjustRightInd w:val="0"/>
        <w:snapToGrid w:val="0"/>
        <w:spacing w:before="245" w:beforeLines="50" w:after="245" w:afterLines="50" w:line="480" w:lineRule="auto"/>
        <w:ind w:firstLine="560" w:firstLineChars="200"/>
        <w:jc w:val="center"/>
        <w:rPr>
          <w:rFonts w:ascii="宋体" w:hAnsi="宋体"/>
          <w:b/>
          <w:color w:val="auto"/>
          <w:sz w:val="40"/>
          <w:szCs w:val="48"/>
          <w:lang w:val="zh-CN"/>
        </w:rPr>
      </w:pPr>
      <w:r>
        <w:rPr>
          <w:rFonts w:ascii="宋体" w:hAnsi="宋体"/>
          <w:color w:val="auto"/>
          <w:sz w:val="28"/>
          <w:szCs w:val="48"/>
          <w:lang w:val="zh-CN"/>
        </w:rPr>
        <w:fldChar w:fldCharType="end"/>
      </w:r>
    </w:p>
    <w:p w14:paraId="01F0878A">
      <w:pPr>
        <w:autoSpaceDE w:val="0"/>
        <w:autoSpaceDN w:val="0"/>
        <w:adjustRightInd w:val="0"/>
        <w:snapToGrid w:val="0"/>
        <w:spacing w:line="520" w:lineRule="exact"/>
        <w:jc w:val="center"/>
        <w:rPr>
          <w:rFonts w:ascii="宋体" w:hAnsi="宋体"/>
          <w:b/>
          <w:color w:val="auto"/>
          <w:lang w:val="zh-CN"/>
        </w:rPr>
      </w:pPr>
    </w:p>
    <w:p w14:paraId="096E007D">
      <w:pPr>
        <w:autoSpaceDE w:val="0"/>
        <w:autoSpaceDN w:val="0"/>
        <w:adjustRightInd w:val="0"/>
        <w:snapToGrid w:val="0"/>
        <w:spacing w:line="520" w:lineRule="exact"/>
        <w:jc w:val="center"/>
        <w:rPr>
          <w:rFonts w:ascii="宋体" w:hAnsi="宋体"/>
          <w:b/>
          <w:color w:val="auto"/>
          <w:lang w:val="zh-CN"/>
        </w:rPr>
      </w:pPr>
    </w:p>
    <w:p w14:paraId="7C37ED7C">
      <w:pPr>
        <w:pStyle w:val="2"/>
        <w:keepNext w:val="0"/>
        <w:keepLines w:val="0"/>
        <w:snapToGrid w:val="0"/>
        <w:spacing w:before="0" w:after="0"/>
        <w:rPr>
          <w:color w:val="auto"/>
        </w:rPr>
        <w:sectPr>
          <w:headerReference r:id="rId3" w:type="default"/>
          <w:pgSz w:w="11906" w:h="16838"/>
          <w:pgMar w:top="1134" w:right="1134" w:bottom="1134" w:left="1134" w:header="851" w:footer="737" w:gutter="0"/>
          <w:pgNumType w:start="0"/>
          <w:cols w:space="720" w:num="1"/>
          <w:docGrid w:type="lines" w:linePitch="490" w:charSpace="0"/>
        </w:sectPr>
      </w:pPr>
    </w:p>
    <w:bookmarkEnd w:id="0"/>
    <w:bookmarkEnd w:id="1"/>
    <w:p w14:paraId="5CAE566A">
      <w:pPr>
        <w:pStyle w:val="2"/>
        <w:rPr>
          <w:color w:val="auto"/>
        </w:rPr>
      </w:pPr>
      <w:bookmarkStart w:id="9" w:name="_Toc10632"/>
      <w:bookmarkStart w:id="10" w:name="_Toc22492"/>
      <w:bookmarkStart w:id="11" w:name="_Toc30082"/>
      <w:bookmarkStart w:id="12" w:name="_Toc5268"/>
      <w:bookmarkStart w:id="13" w:name="_Toc17815"/>
      <w:r>
        <w:rPr>
          <w:rFonts w:hint="eastAsia"/>
          <w:color w:val="auto"/>
        </w:rPr>
        <w:t>第一章 招标公告</w:t>
      </w:r>
      <w:bookmarkEnd w:id="9"/>
      <w:bookmarkEnd w:id="10"/>
    </w:p>
    <w:p w14:paraId="6F8ABD8A">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项目概况</w:t>
      </w:r>
    </w:p>
    <w:p w14:paraId="5C7ABDA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u w:val="single"/>
        </w:rPr>
        <w:t>吉林省重点保护陆生野生动物造成人身财产损害补偿保险</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招标项目的潜在供应商应在“政采云”平台（https://www.zcygov.cn/），下同）获取招标文件，并于</w:t>
      </w:r>
      <w:r>
        <w:rPr>
          <w:rFonts w:hint="eastAsia" w:ascii="宋体" w:hAnsi="宋体" w:eastAsia="宋体" w:cs="宋体"/>
          <w:bCs/>
          <w:color w:val="auto"/>
          <w:szCs w:val="21"/>
          <w:highlight w:val="none"/>
          <w:u w:val="single"/>
        </w:rPr>
        <w:t>202</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07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点00分</w:t>
      </w:r>
      <w:r>
        <w:rPr>
          <w:rFonts w:hint="eastAsia" w:ascii="宋体" w:hAnsi="宋体" w:eastAsia="宋体" w:cs="宋体"/>
          <w:bCs/>
          <w:color w:val="auto"/>
          <w:szCs w:val="21"/>
          <w:highlight w:val="none"/>
        </w:rPr>
        <w:t>（北</w:t>
      </w:r>
      <w:r>
        <w:rPr>
          <w:rFonts w:hint="eastAsia" w:ascii="宋体" w:hAnsi="宋体" w:eastAsia="宋体" w:cs="宋体"/>
          <w:bCs/>
          <w:color w:val="auto"/>
          <w:szCs w:val="21"/>
        </w:rPr>
        <w:t>京时间）前递交投标文件。</w:t>
      </w:r>
    </w:p>
    <w:p w14:paraId="45F45049">
      <w:pPr>
        <w:widowControl/>
        <w:numPr>
          <w:ilvl w:val="0"/>
          <w:numId w:val="3"/>
        </w:numPr>
        <w:spacing w:line="360" w:lineRule="auto"/>
        <w:rPr>
          <w:rFonts w:hint="eastAsia" w:ascii="宋体" w:hAnsi="宋体" w:eastAsia="宋体" w:cs="宋体"/>
          <w:b/>
          <w:bCs/>
          <w:color w:val="auto"/>
          <w:kern w:val="0"/>
          <w:szCs w:val="21"/>
          <w:lang w:bidi="ar"/>
        </w:rPr>
      </w:pPr>
      <w:bookmarkStart w:id="14" w:name="_Toc35393621"/>
      <w:bookmarkStart w:id="15" w:name="_Toc35393790"/>
      <w:bookmarkStart w:id="16" w:name="_Toc28359002"/>
      <w:bookmarkStart w:id="17" w:name="_Toc28359079"/>
      <w:bookmarkStart w:id="18" w:name="_Hlk24379207"/>
      <w:r>
        <w:rPr>
          <w:rFonts w:hint="eastAsia" w:ascii="宋体" w:hAnsi="宋体" w:eastAsia="宋体" w:cs="宋体"/>
          <w:b/>
          <w:bCs/>
          <w:color w:val="auto"/>
          <w:kern w:val="0"/>
          <w:szCs w:val="21"/>
          <w:lang w:bidi="ar"/>
        </w:rPr>
        <w:t>项目基本情况</w:t>
      </w:r>
      <w:bookmarkEnd w:id="14"/>
      <w:bookmarkEnd w:id="15"/>
      <w:bookmarkEnd w:id="16"/>
      <w:bookmarkEnd w:id="17"/>
    </w:p>
    <w:p w14:paraId="1E4E288A">
      <w:pPr>
        <w:widowControl/>
        <w:numPr>
          <w:ilvl w:val="0"/>
          <w:numId w:val="0"/>
        </w:numPr>
        <w:spacing w:line="360" w:lineRule="auto"/>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项目编号：采购计划-[2026]-09740号-01；</w:t>
      </w:r>
    </w:p>
    <w:p w14:paraId="3BBD7987">
      <w:pPr>
        <w:widowControl/>
        <w:spacing w:line="360" w:lineRule="auto"/>
        <w:ind w:firstLine="420" w:firstLineChars="200"/>
        <w:rPr>
          <w:rFonts w:ascii="宋体" w:hAnsi="宋体" w:eastAsia="宋体" w:cs="宋体"/>
          <w:color w:val="auto"/>
          <w:kern w:val="0"/>
          <w:szCs w:val="21"/>
          <w:lang w:bidi="ar"/>
        </w:rPr>
      </w:pPr>
      <w:r>
        <w:rPr>
          <w:rFonts w:hint="eastAsia" w:ascii="宋体" w:hAnsi="宋体" w:eastAsia="宋体" w:cs="宋体"/>
          <w:color w:val="auto"/>
          <w:kern w:val="0"/>
          <w:szCs w:val="21"/>
          <w:lang w:bidi="ar"/>
        </w:rPr>
        <w:t>项目名称：吉林省重点保护陆生野生动物造成人身财产损害补偿保险；</w:t>
      </w:r>
    </w:p>
    <w:bookmarkEnd w:id="18"/>
    <w:p w14:paraId="231BE38E">
      <w:pPr>
        <w:widowControl/>
        <w:spacing w:line="360" w:lineRule="auto"/>
        <w:ind w:firstLine="420" w:firstLineChars="200"/>
        <w:rPr>
          <w:rFonts w:ascii="宋体" w:hAnsi="宋体" w:eastAsia="宋体" w:cs="宋体"/>
          <w:color w:val="auto"/>
          <w:kern w:val="0"/>
          <w:szCs w:val="21"/>
          <w:lang w:bidi="ar"/>
        </w:rPr>
      </w:pPr>
      <w:r>
        <w:rPr>
          <w:rFonts w:hint="eastAsia" w:ascii="宋体" w:hAnsi="宋体" w:eastAsia="宋体" w:cs="宋体"/>
          <w:color w:val="auto"/>
          <w:kern w:val="0"/>
          <w:szCs w:val="21"/>
          <w:lang w:bidi="ar"/>
        </w:rPr>
        <w:t>采购方式：公开招标；</w:t>
      </w:r>
    </w:p>
    <w:p w14:paraId="622D03E5">
      <w:pPr>
        <w:widowControl/>
        <w:spacing w:line="360" w:lineRule="auto"/>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资金来源：国有资金；</w:t>
      </w:r>
    </w:p>
    <w:p w14:paraId="6F15C694">
      <w:pPr>
        <w:widowControl/>
        <w:spacing w:line="360" w:lineRule="auto"/>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预算金额：1000万元；</w:t>
      </w:r>
    </w:p>
    <w:p w14:paraId="41DC5A16">
      <w:pPr>
        <w:widowControl/>
        <w:spacing w:line="360" w:lineRule="auto"/>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采购需求：本项目为吉林省重点保护陆生野生动物造成人身财产损害补偿保险提供共同承保的商业保险服务，选择10家供应商组成共保体作为共同承保人，具体承保份额详见招标文件；</w:t>
      </w:r>
    </w:p>
    <w:p w14:paraId="49A0121A">
      <w:pPr>
        <w:widowControl/>
        <w:spacing w:line="360" w:lineRule="auto"/>
        <w:ind w:firstLine="420" w:firstLineChars="200"/>
        <w:rPr>
          <w:rFonts w:ascii="宋体" w:hAnsi="宋体" w:eastAsia="宋体" w:cs="宋体"/>
          <w:color w:val="auto"/>
          <w:kern w:val="0"/>
          <w:szCs w:val="21"/>
          <w:lang w:bidi="ar"/>
        </w:rPr>
      </w:pPr>
      <w:r>
        <w:rPr>
          <w:rFonts w:hint="eastAsia" w:ascii="宋体" w:hAnsi="宋体" w:eastAsia="宋体" w:cs="宋体"/>
          <w:color w:val="auto"/>
          <w:kern w:val="0"/>
          <w:szCs w:val="21"/>
          <w:lang w:bidi="ar"/>
        </w:rPr>
        <w:t>合同履行期限：</w:t>
      </w:r>
      <w:r>
        <w:rPr>
          <w:rFonts w:hint="eastAsia" w:ascii="宋体" w:hAnsi="宋体" w:eastAsia="宋体" w:cs="宋体"/>
          <w:color w:val="auto"/>
        </w:rPr>
        <w:t>自签订合同之日起一年</w:t>
      </w:r>
      <w:r>
        <w:rPr>
          <w:rFonts w:hint="eastAsia" w:ascii="宋体" w:hAnsi="宋体" w:eastAsia="宋体" w:cs="宋体"/>
          <w:color w:val="auto"/>
          <w:kern w:val="0"/>
          <w:szCs w:val="21"/>
          <w:lang w:bidi="ar"/>
        </w:rPr>
        <w:t>；</w:t>
      </w:r>
    </w:p>
    <w:p w14:paraId="1A2246C7">
      <w:pPr>
        <w:widowControl/>
        <w:spacing w:line="360" w:lineRule="auto"/>
        <w:ind w:firstLine="420" w:firstLineChars="200"/>
        <w:rPr>
          <w:rFonts w:ascii="宋体" w:hAnsi="宋体" w:eastAsia="宋体" w:cs="宋体"/>
          <w:color w:val="auto"/>
          <w:kern w:val="0"/>
          <w:szCs w:val="21"/>
          <w:lang w:bidi="ar"/>
        </w:rPr>
      </w:pPr>
      <w:r>
        <w:rPr>
          <w:rFonts w:hint="eastAsia" w:ascii="宋体" w:hAnsi="宋体" w:eastAsia="宋体" w:cs="宋体"/>
          <w:color w:val="auto"/>
          <w:kern w:val="0"/>
          <w:szCs w:val="21"/>
          <w:lang w:bidi="ar"/>
        </w:rPr>
        <w:t>质量要求：</w:t>
      </w:r>
      <w:r>
        <w:rPr>
          <w:rFonts w:hint="eastAsia" w:ascii="宋体" w:hAnsi="宋体" w:eastAsia="宋体" w:cs="宋体"/>
          <w:color w:val="auto"/>
        </w:rPr>
        <w:t>优质服务、符合采购人及行业部门质量要求标准</w:t>
      </w:r>
      <w:r>
        <w:rPr>
          <w:rFonts w:hint="eastAsia" w:ascii="宋体" w:hAnsi="宋体" w:eastAsia="宋体" w:cs="宋体"/>
          <w:color w:val="auto"/>
          <w:kern w:val="0"/>
          <w:szCs w:val="21"/>
          <w:lang w:bidi="ar"/>
        </w:rPr>
        <w:t>；</w:t>
      </w:r>
    </w:p>
    <w:p w14:paraId="510AA1A3">
      <w:pPr>
        <w:widowControl/>
        <w:spacing w:line="360" w:lineRule="auto"/>
        <w:ind w:firstLine="420" w:firstLineChars="200"/>
        <w:rPr>
          <w:rFonts w:ascii="宋体" w:hAnsi="宋体" w:eastAsia="宋体" w:cs="宋体"/>
          <w:b/>
          <w:bCs/>
          <w:color w:val="auto"/>
          <w:kern w:val="0"/>
          <w:szCs w:val="21"/>
          <w:lang w:bidi="ar"/>
        </w:rPr>
      </w:pPr>
      <w:r>
        <w:rPr>
          <w:rFonts w:hint="eastAsia" w:ascii="宋体" w:hAnsi="宋体" w:eastAsia="宋体" w:cs="宋体"/>
          <w:color w:val="auto"/>
          <w:kern w:val="0"/>
          <w:szCs w:val="21"/>
          <w:lang w:bidi="ar"/>
        </w:rPr>
        <w:t>本项目不接受联合体投标</w:t>
      </w:r>
      <w:bookmarkStart w:id="19" w:name="_Toc35393791"/>
      <w:bookmarkStart w:id="20" w:name="_Toc35393622"/>
      <w:bookmarkStart w:id="21" w:name="_Toc28359003"/>
      <w:bookmarkStart w:id="22" w:name="_Toc28359080"/>
      <w:r>
        <w:rPr>
          <w:rFonts w:hint="eastAsia" w:ascii="宋体" w:hAnsi="宋体" w:eastAsia="宋体" w:cs="宋体"/>
          <w:color w:val="auto"/>
          <w:kern w:val="0"/>
          <w:szCs w:val="21"/>
          <w:lang w:bidi="ar"/>
        </w:rPr>
        <w:t>。</w:t>
      </w:r>
    </w:p>
    <w:p w14:paraId="4B405994">
      <w:pPr>
        <w:widowControl/>
        <w:numPr>
          <w:ilvl w:val="0"/>
          <w:numId w:val="4"/>
        </w:numPr>
        <w:spacing w:line="360" w:lineRule="auto"/>
        <w:rPr>
          <w:rFonts w:ascii="宋体" w:hAnsi="宋体" w:eastAsia="宋体" w:cs="宋体"/>
          <w:b/>
          <w:bCs/>
          <w:color w:val="auto"/>
          <w:kern w:val="0"/>
          <w:szCs w:val="21"/>
          <w:lang w:bidi="ar"/>
        </w:rPr>
      </w:pPr>
      <w:r>
        <w:rPr>
          <w:rFonts w:hint="eastAsia" w:ascii="宋体" w:hAnsi="宋体" w:eastAsia="宋体" w:cs="宋体"/>
          <w:b/>
          <w:bCs/>
          <w:color w:val="auto"/>
          <w:kern w:val="0"/>
          <w:szCs w:val="21"/>
          <w:lang w:bidi="ar"/>
        </w:rPr>
        <w:t>申请人的资格要求：</w:t>
      </w:r>
      <w:bookmarkEnd w:id="19"/>
      <w:bookmarkEnd w:id="20"/>
      <w:bookmarkEnd w:id="21"/>
      <w:bookmarkEnd w:id="22"/>
    </w:p>
    <w:p w14:paraId="501F9EBE">
      <w:pPr>
        <w:widowControl/>
        <w:spacing w:line="360" w:lineRule="auto"/>
        <w:ind w:firstLine="420" w:firstLineChars="200"/>
        <w:jc w:val="left"/>
        <w:rPr>
          <w:rFonts w:ascii="宋体" w:hAnsi="宋体" w:eastAsia="宋体" w:cs="宋体"/>
          <w:color w:val="auto"/>
          <w:kern w:val="0"/>
          <w:szCs w:val="21"/>
          <w:lang w:bidi="ar"/>
        </w:rPr>
      </w:pPr>
      <w:bookmarkStart w:id="23" w:name="_Toc28359004"/>
      <w:bookmarkStart w:id="24" w:name="_Toc28359081"/>
      <w:bookmarkStart w:id="25" w:name="_Toc35393623"/>
      <w:bookmarkStart w:id="26" w:name="_Toc35393792"/>
      <w:r>
        <w:rPr>
          <w:rFonts w:hint="eastAsia" w:ascii="宋体" w:hAnsi="宋体" w:eastAsia="宋体" w:cs="宋体"/>
          <w:color w:val="auto"/>
          <w:kern w:val="0"/>
          <w:szCs w:val="21"/>
          <w:lang w:bidi="ar"/>
        </w:rPr>
        <w:t>1.满足《中华人民共和国政府采购法》第二十二条规定；</w:t>
      </w:r>
    </w:p>
    <w:p w14:paraId="691DDB57">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2.落实政府采购政策需满足的资格要求：本项目非专门面向中小企业采购；</w:t>
      </w:r>
    </w:p>
    <w:p w14:paraId="3B17528C">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3.本项目的特定资格要求：</w:t>
      </w:r>
    </w:p>
    <w:p w14:paraId="5174F0D3">
      <w:pPr>
        <w:widowControl/>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3.1潜在供应商须是在中华人民共和国境内登记注册具备独立法人资格或省级以上分公司资格</w:t>
      </w:r>
      <w:r>
        <w:rPr>
          <w:rFonts w:hint="eastAsia" w:ascii="宋体" w:hAnsi="宋体" w:eastAsia="宋体" w:cs="宋体"/>
          <w:color w:val="auto"/>
          <w:kern w:val="0"/>
          <w:szCs w:val="21"/>
          <w:highlight w:val="none"/>
          <w:lang w:eastAsia="zh-CN" w:bidi="ar"/>
        </w:rPr>
        <w:t>（分公司投标必须取得总公司授权，</w:t>
      </w:r>
      <w:r>
        <w:rPr>
          <w:rFonts w:hint="eastAsia" w:ascii="宋体" w:hAnsi="宋体" w:eastAsia="宋体" w:cs="宋体"/>
          <w:color w:val="auto"/>
          <w:kern w:val="0"/>
          <w:szCs w:val="21"/>
          <w:highlight w:val="none"/>
          <w:lang w:val="en-US" w:eastAsia="zh-CN" w:bidi="ar"/>
        </w:rPr>
        <w:t>只允许一家公司或分公司、分支机构参与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，具有有效的营业执照</w:t>
      </w:r>
      <w:r>
        <w:rPr>
          <w:rFonts w:hint="eastAsia" w:ascii="宋体" w:hAnsi="宋体" w:eastAsia="宋体" w:cs="宋体"/>
          <w:color w:val="auto"/>
          <w:kern w:val="0"/>
          <w:szCs w:val="21"/>
          <w:highlight w:val="none"/>
          <w:lang w:val="en-US" w:eastAsia="zh-CN" w:bidi="ar"/>
        </w:rPr>
        <w:t>和</w:t>
      </w:r>
      <w:r>
        <w:rPr>
          <w:rFonts w:hint="eastAsia" w:ascii="宋体" w:hAnsi="宋体" w:eastAsia="宋体" w:cs="宋体"/>
          <w:color w:val="auto"/>
          <w:kern w:val="0"/>
          <w:szCs w:val="21"/>
          <w:highlight w:val="none"/>
          <w:lang w:bidi="ar"/>
        </w:rPr>
        <w:t>《经营保险业务许可证》，且为国家银行保险监督管理机构批准的财产保险公司；</w:t>
      </w:r>
    </w:p>
    <w:p w14:paraId="66BB9236">
      <w:pPr>
        <w:widowControl/>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2</w:t>
      </w:r>
      <w:r>
        <w:rPr>
          <w:rFonts w:hint="eastAsia" w:ascii="宋体" w:hAnsi="宋体" w:eastAsia="宋体" w:cs="宋体"/>
          <w:color w:val="auto"/>
          <w:kern w:val="0"/>
          <w:szCs w:val="21"/>
          <w:lang w:bidi="ar"/>
        </w:rPr>
        <w:t>潜在供应商具有良好的商业信誉和健全的财务会计制度，提供近三年</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202</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eastAsia="zh-CN" w:bidi="ar"/>
        </w:rPr>
        <w:t>年、202</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eastAsia="zh-CN" w:bidi="ar"/>
        </w:rPr>
        <w:t>年、202</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eastAsia="zh-CN" w:bidi="ar"/>
        </w:rPr>
        <w:t>年</w:t>
      </w:r>
      <w:r>
        <w:rPr>
          <w:rFonts w:hint="eastAsia" w:ascii="宋体" w:hAnsi="宋体" w:eastAsia="宋体" w:cs="宋体"/>
          <w:color w:val="auto"/>
          <w:kern w:val="0"/>
          <w:szCs w:val="21"/>
          <w:highlight w:val="none"/>
          <w:lang w:bidi="ar"/>
        </w:rPr>
        <w:t>）经第三方会计师事务所审计的完整财务审计报告。(近年成立企业提供成立之日起至202</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年审计报告，如为202</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年12月31日以后成立的企业，则需要提供财务状况良好承诺</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w:t>
      </w:r>
    </w:p>
    <w:p w14:paraId="0E04CA3F">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3</w:t>
      </w:r>
      <w:r>
        <w:rPr>
          <w:rFonts w:hint="eastAsia" w:ascii="宋体" w:hAnsi="宋体" w:eastAsia="宋体" w:cs="宋体"/>
          <w:color w:val="auto"/>
          <w:kern w:val="0"/>
          <w:szCs w:val="21"/>
          <w:lang w:bidi="ar"/>
        </w:rPr>
        <w:t>潜在的供应商应提供近半年内任意三个月的社会保险证明及企业近半年内任意三个月依法缴纳税收证明，依法免税和不需要缴纳社会保险的，应提供相应文件证明其依法免税及依法不需要缴纳社会保险；</w:t>
      </w:r>
    </w:p>
    <w:p w14:paraId="09DE1730">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4</w:t>
      </w:r>
      <w:r>
        <w:rPr>
          <w:rFonts w:hint="eastAsia" w:ascii="宋体" w:hAnsi="宋体" w:eastAsia="宋体" w:cs="宋体"/>
          <w:color w:val="auto"/>
          <w:kern w:val="0"/>
          <w:szCs w:val="21"/>
          <w:lang w:bidi="ar"/>
        </w:rPr>
        <w:t>信誉要求：</w:t>
      </w:r>
    </w:p>
    <w:p w14:paraId="572F4DBC">
      <w:pPr>
        <w:widowControl/>
        <w:spacing w:line="360" w:lineRule="auto"/>
        <w:ind w:firstLine="420" w:firstLineChars="200"/>
        <w:jc w:val="left"/>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（1）拒绝列入政府取消投标资格记录期间的企业或个人投标；</w:t>
      </w:r>
    </w:p>
    <w:p w14:paraId="7E2D1BF9">
      <w:pPr>
        <w:widowControl/>
        <w:spacing w:line="360" w:lineRule="auto"/>
        <w:ind w:firstLine="420" w:firstLineChars="200"/>
        <w:jc w:val="left"/>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（2）近三年内（</w:t>
      </w:r>
      <w:r>
        <w:rPr>
          <w:rFonts w:hint="eastAsia" w:ascii="宋体" w:hAnsi="宋体" w:eastAsia="宋体" w:cs="宋体"/>
          <w:color w:val="auto"/>
          <w:kern w:val="0"/>
          <w:szCs w:val="21"/>
          <w:lang w:val="en-US" w:eastAsia="zh-CN" w:bidi="ar"/>
        </w:rPr>
        <w:t>2023年至今</w:t>
      </w:r>
      <w:r>
        <w:rPr>
          <w:rFonts w:hint="eastAsia" w:ascii="宋体" w:hAnsi="宋体" w:eastAsia="宋体" w:cs="宋体"/>
          <w:color w:val="auto"/>
          <w:kern w:val="0"/>
          <w:szCs w:val="21"/>
          <w:lang w:eastAsia="zh-CN" w:bidi="ar"/>
        </w:rPr>
        <w:t>）在经营活动中没有重大违法记录；</w:t>
      </w:r>
    </w:p>
    <w:p w14:paraId="04E74982">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（3）供应商不得为“信用中国 ”网站（www.creditchina.gov.cn）中列入重大税收违法失信主体</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供应商不得为“中国执行信息公开网</w:t>
      </w:r>
      <w:r>
        <w:rPr>
          <w:rFonts w:hint="eastAsia" w:ascii="宋体" w:hAnsi="宋体" w:eastAsia="宋体" w:cs="宋体"/>
          <w:color w:val="auto"/>
          <w:kern w:val="0"/>
          <w:szCs w:val="21"/>
          <w:lang w:eastAsia="zh-CN" w:bidi="ar"/>
        </w:rPr>
        <w:t>”网站（https://zxgk.court.gov.cn/）</w:t>
      </w:r>
      <w:r>
        <w:rPr>
          <w:rFonts w:hint="eastAsia" w:ascii="宋体" w:hAnsi="宋体" w:eastAsia="宋体" w:cs="宋体"/>
          <w:color w:val="auto"/>
          <w:kern w:val="0"/>
          <w:szCs w:val="21"/>
          <w:lang w:bidi="ar"/>
        </w:rPr>
        <w:t>中列入失信被执行人；不得为中国政府采购网（www.ccpg.gov.cn）政府采购严重违法失信行为记录名单中被财政部门禁止参加政府采购活动的供应商（在处罚决定规定的时间和地域范围内）（详见财库[2016]125 号）；不得为被“国家企业信用信息公示系统”网站（www.gsxt.gov.cn）列入行政处罚信息、经营异常名录信息和严重违法失信企业名单（黑名单）的供应商；</w:t>
      </w:r>
    </w:p>
    <w:p w14:paraId="22A80B97">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5</w:t>
      </w:r>
      <w:r>
        <w:rPr>
          <w:rFonts w:hint="eastAsia" w:ascii="宋体" w:hAnsi="宋体" w:eastAsia="宋体" w:cs="宋体"/>
          <w:color w:val="auto"/>
          <w:kern w:val="0"/>
          <w:szCs w:val="21"/>
          <w:lang w:bidi="ar"/>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14B42C4F">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6</w:t>
      </w:r>
      <w:r>
        <w:rPr>
          <w:rFonts w:hint="eastAsia" w:ascii="宋体" w:hAnsi="宋体" w:eastAsia="宋体" w:cs="宋体"/>
          <w:color w:val="auto"/>
          <w:kern w:val="0"/>
          <w:szCs w:val="21"/>
          <w:lang w:bidi="ar"/>
        </w:rPr>
        <w:t>招投标过程中，投标人所提供的所有证件均需在有效期内且注册单位名称与投标人的名称一致，如企业名称发生变更，需提供主管部门出具的变更证明材料，否则不接受其投标人参与本次招标项目的投标；</w:t>
      </w:r>
    </w:p>
    <w:bookmarkEnd w:id="23"/>
    <w:bookmarkEnd w:id="24"/>
    <w:bookmarkEnd w:id="25"/>
    <w:bookmarkEnd w:id="26"/>
    <w:p w14:paraId="179F4A09">
      <w:pPr>
        <w:widowControl/>
        <w:spacing w:before="100" w:after="100" w:line="360" w:lineRule="auto"/>
        <w:rPr>
          <w:color w:val="auto"/>
          <w:szCs w:val="21"/>
        </w:rPr>
      </w:pPr>
      <w:r>
        <w:rPr>
          <w:rFonts w:hint="eastAsia" w:ascii="宋体" w:hAnsi="宋体" w:eastAsia="宋体" w:cs="宋体"/>
          <w:b/>
          <w:color w:val="auto"/>
          <w:szCs w:val="21"/>
        </w:rPr>
        <w:t>三、获取采购文件</w:t>
      </w:r>
    </w:p>
    <w:p w14:paraId="3692041C">
      <w:pPr>
        <w:widowControl/>
        <w:spacing w:line="360" w:lineRule="auto"/>
        <w:ind w:firstLine="420" w:firstLineChars="200"/>
        <w:jc w:val="left"/>
        <w:rPr>
          <w:color w:val="auto"/>
          <w:szCs w:val="21"/>
          <w:highlight w:val="none"/>
        </w:rPr>
      </w:pPr>
      <w:r>
        <w:rPr>
          <w:rFonts w:hint="eastAsia" w:ascii="宋体" w:hAnsi="宋体" w:eastAsia="宋体" w:cs="宋体"/>
          <w:color w:val="auto"/>
          <w:kern w:val="0"/>
          <w:szCs w:val="21"/>
          <w:highlight w:val="none"/>
          <w:lang w:bidi="ar"/>
        </w:rPr>
        <w:t>1.时间：20</w:t>
      </w:r>
      <w:r>
        <w:rPr>
          <w:rFonts w:hint="eastAsia" w:ascii="宋体" w:hAnsi="宋体" w:eastAsia="宋体" w:cs="宋体"/>
          <w:color w:val="auto"/>
          <w:kern w:val="0"/>
          <w:szCs w:val="21"/>
          <w:highlight w:val="none"/>
          <w:lang w:val="en-US" w:eastAsia="zh-CN" w:bidi="ar"/>
        </w:rPr>
        <w:t>26</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lang w:val="en-US" w:eastAsia="zh-CN" w:bidi="ar"/>
        </w:rPr>
        <w:t>27</w:t>
      </w:r>
      <w:r>
        <w:rPr>
          <w:rFonts w:hint="eastAsia" w:ascii="宋体" w:hAnsi="宋体" w:eastAsia="宋体" w:cs="宋体"/>
          <w:color w:val="auto"/>
          <w:kern w:val="0"/>
          <w:szCs w:val="21"/>
          <w:highlight w:val="none"/>
          <w:lang w:bidi="ar"/>
        </w:rPr>
        <w:t>日至2025年</w:t>
      </w:r>
      <w:r>
        <w:rPr>
          <w:rFonts w:hint="eastAsia" w:ascii="宋体" w:hAnsi="宋体" w:eastAsia="宋体" w:cs="宋体"/>
          <w:color w:val="auto"/>
          <w:kern w:val="0"/>
          <w:szCs w:val="21"/>
          <w:highlight w:val="none"/>
          <w:lang w:val="en-US" w:eastAsia="zh-CN" w:bidi="ar"/>
        </w:rPr>
        <w:t>06</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lang w:val="en-US" w:eastAsia="zh-CN" w:bidi="ar"/>
        </w:rPr>
        <w:t xml:space="preserve"> 03</w:t>
      </w:r>
      <w:r>
        <w:rPr>
          <w:rFonts w:hint="eastAsia" w:ascii="宋体" w:hAnsi="宋体" w:eastAsia="宋体" w:cs="宋体"/>
          <w:color w:val="auto"/>
          <w:kern w:val="0"/>
          <w:szCs w:val="21"/>
          <w:highlight w:val="none"/>
          <w:lang w:bidi="ar"/>
        </w:rPr>
        <w:t>日；</w:t>
      </w:r>
    </w:p>
    <w:p w14:paraId="44C0B094">
      <w:pPr>
        <w:widowControl/>
        <w:spacing w:line="360" w:lineRule="auto"/>
        <w:ind w:firstLine="420" w:firstLineChars="200"/>
        <w:jc w:val="left"/>
        <w:rPr>
          <w:color w:val="auto"/>
          <w:szCs w:val="21"/>
        </w:rPr>
      </w:pPr>
      <w:r>
        <w:rPr>
          <w:rFonts w:hint="eastAsia" w:ascii="宋体" w:hAnsi="宋体" w:eastAsia="宋体" w:cs="宋体"/>
          <w:color w:val="auto"/>
          <w:kern w:val="0"/>
          <w:szCs w:val="21"/>
          <w:lang w:bidi="ar"/>
        </w:rPr>
        <w:t>2.地点：政府采购云平台（网址：http://www.zcygov.cn）；</w:t>
      </w:r>
    </w:p>
    <w:p w14:paraId="3D3C5771">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方式：本项目不发放纸质文件，投标人可自行在“政采云”平台（http：//www.zcygov.cn）下载招标文件（操作路径：登录“政采云”平台-项目采购-获取采购文件-找到本项目-点击“申请获取采购文件”），电子投标文件制作需要基于“政采云”平台获取的招标文件编制；</w:t>
      </w:r>
    </w:p>
    <w:p w14:paraId="69A6B92D">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hint="eastAsia" w:ascii="宋体" w:hAnsi="宋体" w:cs="宋体"/>
          <w:color w:val="000000"/>
          <w:highlight w:val="none"/>
          <w:lang w:bidi="ar"/>
        </w:rPr>
        <w:t>未进行网上注册并办理CA认证的投标人将无法参与本次招标活动，技术支持客服：95763</w:t>
      </w:r>
      <w:r>
        <w:rPr>
          <w:rFonts w:hint="eastAsia" w:ascii="宋体" w:hAnsi="宋体" w:eastAsia="宋体" w:cs="宋体"/>
          <w:color w:val="auto"/>
          <w:kern w:val="0"/>
          <w:szCs w:val="21"/>
          <w:lang w:bidi="ar"/>
        </w:rPr>
        <w:t>；</w:t>
      </w:r>
    </w:p>
    <w:p w14:paraId="65E9F697">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5.售价：0元。</w:t>
      </w:r>
    </w:p>
    <w:p w14:paraId="64F6ACDE">
      <w:pPr>
        <w:widowControl/>
        <w:spacing w:before="100" w:after="100" w:line="360" w:lineRule="auto"/>
        <w:rPr>
          <w:color w:val="auto"/>
          <w:szCs w:val="21"/>
        </w:rPr>
      </w:pPr>
      <w:r>
        <w:rPr>
          <w:rFonts w:hint="eastAsia" w:ascii="宋体" w:hAnsi="宋体" w:eastAsia="宋体" w:cs="宋体"/>
          <w:b/>
          <w:color w:val="auto"/>
          <w:szCs w:val="21"/>
        </w:rPr>
        <w:t>四、</w:t>
      </w:r>
      <w:r>
        <w:rPr>
          <w:rFonts w:hint="eastAsia" w:ascii="宋体" w:hAnsi="宋体" w:eastAsia="宋体" w:cs="宋体"/>
          <w:b/>
          <w:bCs/>
          <w:color w:val="auto"/>
          <w:szCs w:val="21"/>
        </w:rPr>
        <w:t>提交投标文件截止时间、开标时间和地点</w:t>
      </w:r>
    </w:p>
    <w:p w14:paraId="765A383A">
      <w:pPr>
        <w:widowControl/>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1.时间：20</w:t>
      </w:r>
      <w:r>
        <w:rPr>
          <w:rFonts w:hint="eastAsia" w:ascii="宋体" w:hAnsi="宋体" w:eastAsia="宋体" w:cs="宋体"/>
          <w:color w:val="auto"/>
          <w:kern w:val="0"/>
          <w:szCs w:val="21"/>
          <w:highlight w:val="none"/>
          <w:lang w:val="en-US" w:eastAsia="zh-CN" w:bidi="ar"/>
        </w:rPr>
        <w:t>26</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lang w:val="en-US" w:eastAsia="zh-CN" w:bidi="ar"/>
        </w:rPr>
        <w:t>07</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日</w:t>
      </w:r>
      <w:r>
        <w:rPr>
          <w:rFonts w:hint="eastAsia" w:ascii="宋体" w:hAnsi="宋体" w:eastAsia="宋体" w:cs="宋体"/>
          <w:color w:val="auto"/>
          <w:kern w:val="0"/>
          <w:szCs w:val="21"/>
          <w:highlight w:val="none"/>
          <w:lang w:val="en-US" w:eastAsia="zh-CN" w:bidi="ar"/>
        </w:rPr>
        <w:t>09</w:t>
      </w:r>
      <w:r>
        <w:rPr>
          <w:rFonts w:hint="eastAsia" w:ascii="宋体" w:hAnsi="宋体" w:eastAsia="宋体" w:cs="宋体"/>
          <w:color w:val="auto"/>
          <w:kern w:val="0"/>
          <w:szCs w:val="21"/>
          <w:highlight w:val="none"/>
          <w:lang w:bidi="ar"/>
        </w:rPr>
        <w:t>点00分（北京时间）；</w:t>
      </w:r>
    </w:p>
    <w:p w14:paraId="756CA82C">
      <w:pPr>
        <w:widowControl/>
        <w:spacing w:line="360" w:lineRule="auto"/>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2.地点：</w:t>
      </w:r>
      <w:r>
        <w:rPr>
          <w:rFonts w:hint="eastAsia" w:ascii="宋体" w:hAnsi="宋体" w:eastAsia="宋体" w:cs="宋体"/>
          <w:color w:val="auto"/>
          <w:kern w:val="0"/>
          <w:szCs w:val="21"/>
          <w:highlight w:val="none"/>
          <w:lang w:val="en-US" w:eastAsia="zh-CN" w:bidi="ar"/>
        </w:rPr>
        <w:t>长春市二道区洋浦大街6999号凯利中心AB栋101开标二室</w:t>
      </w:r>
    </w:p>
    <w:p w14:paraId="7A124286">
      <w:pPr>
        <w:widowControl/>
        <w:spacing w:line="360" w:lineRule="auto"/>
        <w:ind w:firstLine="420" w:firstLineChars="200"/>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highlight w:val="none"/>
          <w:lang w:bidi="ar"/>
        </w:rPr>
        <w:t>（1）投标文件提交方式：本项目为全流程电子化项目，通过“政采云”平台（http：//www.zcygov.cn）</w:t>
      </w:r>
      <w:r>
        <w:rPr>
          <w:rFonts w:hint="eastAsia" w:ascii="宋体" w:hAnsi="宋体" w:eastAsia="宋体" w:cs="宋体"/>
          <w:color w:val="auto"/>
          <w:kern w:val="0"/>
          <w:szCs w:val="21"/>
          <w:lang w:bidi="ar"/>
        </w:rPr>
        <w:t>实行在线电子投标，投标人应先安装“政采云电子交易客户端”（请自行前往“政采云”平台进行下载），并按照本项目招标文件和“政采云”平台的要求编制、加密后在投标截止时间前通过网络上传至“政采云”平台，投标人在“政采云”平台提交电子版投标文件时，请填写参加开标活动经办人联系方式。</w:t>
      </w:r>
    </w:p>
    <w:p w14:paraId="5EB3A1BE">
      <w:pPr>
        <w:widowControl/>
        <w:spacing w:before="100" w:after="100"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（2）未进行网上注册并办理数字证书（CA认证）的投标人将无法参与本项目政府采购活动，潜在投标人应当在投标截止时间前，完成电子交易平台上的CA数字证书办理及投标文件的提交。</w:t>
      </w:r>
    </w:p>
    <w:p w14:paraId="24FF85A7">
      <w:pPr>
        <w:widowControl/>
        <w:spacing w:before="100" w:after="100"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（3）为确保网上操作合法、有效和安全，请投标人确保在电子投标过程中能够对相关数据电文进行加密和使用电子签章，妥善保管CA数字证书并使用有效的CA数字证书参与整个招标活动。</w:t>
      </w:r>
    </w:p>
    <w:p w14:paraId="78BC7E21">
      <w:pPr>
        <w:widowControl/>
        <w:spacing w:before="100" w:after="100"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00A83AB2">
      <w:pPr>
        <w:widowControl/>
        <w:spacing w:before="100" w:after="100"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（4）CA 证书解密：投标人持制作该电子投标文件的同一数字证书（CA 锁）及电脑进行远程解密（各投标</w:t>
      </w:r>
      <w:r>
        <w:rPr>
          <w:rFonts w:hint="eastAsia" w:ascii="宋体" w:hAnsi="宋体" w:eastAsia="宋体" w:cs="宋体"/>
          <w:color w:val="auto"/>
          <w:kern w:val="0"/>
          <w:szCs w:val="21"/>
          <w:lang w:eastAsia="zh-CN" w:bidi="ar"/>
        </w:rPr>
        <w:t>人在</w:t>
      </w:r>
      <w:r>
        <w:rPr>
          <w:rFonts w:hint="eastAsia" w:ascii="宋体" w:hAnsi="宋体" w:eastAsia="宋体" w:cs="宋体"/>
          <w:color w:val="auto"/>
          <w:kern w:val="0"/>
          <w:szCs w:val="21"/>
          <w:lang w:bidi="ar"/>
        </w:rPr>
        <w:t>开</w:t>
      </w:r>
      <w:bookmarkStart w:id="673" w:name="_GoBack"/>
      <w:bookmarkEnd w:id="673"/>
      <w:r>
        <w:rPr>
          <w:rFonts w:hint="eastAsia" w:ascii="宋体" w:hAnsi="宋体" w:eastAsia="宋体" w:cs="宋体"/>
          <w:color w:val="auto"/>
          <w:kern w:val="0"/>
          <w:szCs w:val="21"/>
          <w:lang w:bidi="ar"/>
        </w:rPr>
        <w:t>标前及网上开评标系统公布投标人名单前，不要提前进行远程解密。</w:t>
      </w:r>
    </w:p>
    <w:p w14:paraId="23CF6E68">
      <w:pPr>
        <w:widowControl/>
        <w:spacing w:before="100" w:after="100" w:line="360" w:lineRule="auto"/>
        <w:rPr>
          <w:color w:val="auto"/>
          <w:szCs w:val="21"/>
        </w:rPr>
      </w:pPr>
      <w:r>
        <w:rPr>
          <w:rFonts w:hint="eastAsia" w:ascii="宋体" w:hAnsi="宋体" w:eastAsia="宋体" w:cs="宋体"/>
          <w:b/>
          <w:color w:val="auto"/>
          <w:szCs w:val="21"/>
        </w:rPr>
        <w:t>五、公告期限</w:t>
      </w:r>
    </w:p>
    <w:p w14:paraId="6E6FC5FE">
      <w:pPr>
        <w:widowControl/>
        <w:spacing w:line="360" w:lineRule="auto"/>
        <w:ind w:firstLine="420" w:firstLineChars="200"/>
        <w:jc w:val="left"/>
        <w:rPr>
          <w:color w:val="auto"/>
          <w:szCs w:val="21"/>
        </w:rPr>
      </w:pPr>
      <w:r>
        <w:rPr>
          <w:rFonts w:hint="eastAsia" w:ascii="宋体" w:hAnsi="宋体" w:eastAsia="宋体" w:cs="宋体"/>
          <w:color w:val="auto"/>
          <w:kern w:val="0"/>
          <w:szCs w:val="21"/>
          <w:lang w:bidi="ar"/>
        </w:rPr>
        <w:t>自本公告发布之日起5个工作日</w:t>
      </w:r>
    </w:p>
    <w:p w14:paraId="5D3FFF61">
      <w:pPr>
        <w:widowControl/>
        <w:spacing w:before="100" w:after="100" w:line="360" w:lineRule="auto"/>
        <w:rPr>
          <w:color w:val="auto"/>
          <w:szCs w:val="21"/>
        </w:rPr>
      </w:pPr>
      <w:r>
        <w:rPr>
          <w:rFonts w:hint="eastAsia" w:ascii="宋体" w:hAnsi="宋体" w:eastAsia="宋体" w:cs="宋体"/>
          <w:b/>
          <w:color w:val="auto"/>
          <w:szCs w:val="21"/>
        </w:rPr>
        <w:t>六、其他补充事宜</w:t>
      </w:r>
    </w:p>
    <w:p w14:paraId="5D9BB0A2">
      <w:pPr>
        <w:widowControl/>
        <w:spacing w:line="360" w:lineRule="auto"/>
        <w:ind w:firstLine="420" w:firstLineChars="200"/>
        <w:jc w:val="left"/>
        <w:rPr>
          <w:color w:val="auto"/>
          <w:szCs w:val="21"/>
          <w:highlight w:val="none"/>
        </w:rPr>
      </w:pPr>
      <w:r>
        <w:rPr>
          <w:rFonts w:hint="eastAsia" w:ascii="宋体" w:hAnsi="宋体" w:eastAsia="宋体" w:cs="宋体"/>
          <w:color w:val="auto"/>
          <w:kern w:val="0"/>
          <w:szCs w:val="21"/>
          <w:highlight w:val="none"/>
          <w:lang w:bidi="ar"/>
        </w:rPr>
        <w:t>本次公告同时在“政采云”平台（http:// www.zcygov.cn），同步推送</w:t>
      </w:r>
      <w:r>
        <w:rPr>
          <w:rFonts w:hint="eastAsia" w:ascii="宋体" w:hAnsi="宋体" w:eastAsia="宋体" w:cs="宋体"/>
          <w:color w:val="auto"/>
          <w:kern w:val="0"/>
          <w:szCs w:val="21"/>
          <w:highlight w:val="none"/>
          <w:lang w:eastAsia="zh-CN" w:bidi="ar"/>
        </w:rPr>
        <w:t>至</w:t>
      </w:r>
      <w:r>
        <w:rPr>
          <w:rFonts w:hint="eastAsia" w:ascii="宋体" w:hAnsi="宋体" w:eastAsia="宋体" w:cs="宋体"/>
          <w:color w:val="auto"/>
          <w:kern w:val="0"/>
          <w:szCs w:val="21"/>
          <w:highlight w:val="none"/>
          <w:lang w:bidi="ar"/>
        </w:rPr>
        <w:t>吉林省政府采购网（http://www.ccgp-jilin.gov.cn/）、吉林省公共资源交易公共服务平台</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中国政府采购网。</w:t>
      </w:r>
    </w:p>
    <w:p w14:paraId="06B7512B">
      <w:pPr>
        <w:widowControl/>
        <w:spacing w:before="100" w:after="100" w:line="360" w:lineRule="auto"/>
        <w:rPr>
          <w:color w:val="auto"/>
          <w:szCs w:val="21"/>
        </w:rPr>
      </w:pPr>
      <w:r>
        <w:rPr>
          <w:rFonts w:hint="eastAsia" w:ascii="宋体" w:hAnsi="宋体" w:eastAsia="宋体" w:cs="宋体"/>
          <w:b/>
          <w:color w:val="auto"/>
          <w:szCs w:val="21"/>
        </w:rPr>
        <w:t>七、对本次采购提出询问，请按以下方式联系</w:t>
      </w:r>
    </w:p>
    <w:p w14:paraId="132CE5C8">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1.采购人信息</w:t>
      </w:r>
    </w:p>
    <w:p w14:paraId="5935170B">
      <w:pPr>
        <w:widowControl/>
        <w:spacing w:line="360" w:lineRule="auto"/>
        <w:ind w:firstLine="420" w:firstLineChars="200"/>
        <w:jc w:val="left"/>
        <w:rPr>
          <w:rFonts w:ascii="宋体" w:hAnsi="宋体" w:eastAsia="宋体" w:cs="宋体"/>
          <w:color w:val="auto"/>
          <w:kern w:val="0"/>
          <w:szCs w:val="21"/>
          <w:lang w:bidi="ar"/>
        </w:rPr>
      </w:pPr>
      <w:bookmarkStart w:id="27" w:name="_Toc28359009"/>
      <w:bookmarkStart w:id="28" w:name="_Toc28359086"/>
      <w:r>
        <w:rPr>
          <w:rFonts w:hint="eastAsia" w:ascii="宋体" w:hAnsi="宋体" w:eastAsia="宋体" w:cs="宋体"/>
          <w:color w:val="auto"/>
          <w:kern w:val="0"/>
          <w:szCs w:val="21"/>
          <w:lang w:bidi="ar"/>
        </w:rPr>
        <w:t>名称：吉林省林业和草原局</w:t>
      </w:r>
    </w:p>
    <w:p w14:paraId="678AA782">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地址：吉林省长春市区亚泰大街3698号 </w:t>
      </w:r>
    </w:p>
    <w:p w14:paraId="71D9A5E9">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联系人：刘淼</w:t>
      </w:r>
    </w:p>
    <w:p w14:paraId="26655C36">
      <w:pPr>
        <w:widowControl/>
        <w:spacing w:line="360" w:lineRule="auto"/>
        <w:ind w:firstLine="420" w:firstLineChars="200"/>
        <w:jc w:val="left"/>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bidi="ar"/>
        </w:rPr>
        <w:t>联系方式：</w:t>
      </w:r>
      <w:r>
        <w:rPr>
          <w:rFonts w:hint="eastAsia" w:ascii="宋体" w:hAnsi="宋体" w:eastAsia="宋体" w:cs="宋体"/>
          <w:color w:val="auto"/>
          <w:kern w:val="0"/>
          <w:szCs w:val="21"/>
          <w:lang w:val="en-US" w:eastAsia="zh-CN" w:bidi="ar"/>
        </w:rPr>
        <w:t>0431-88628085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办公电话</w:t>
      </w:r>
      <w:r>
        <w:rPr>
          <w:rFonts w:hint="eastAsia" w:ascii="宋体" w:hAnsi="宋体" w:eastAsia="宋体" w:cs="宋体"/>
          <w:color w:val="auto"/>
          <w:kern w:val="0"/>
          <w:szCs w:val="21"/>
          <w:lang w:eastAsia="zh-CN" w:bidi="ar"/>
        </w:rPr>
        <w:t>）</w:t>
      </w:r>
    </w:p>
    <w:p w14:paraId="56DBE963">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2.采购代理机构信息</w:t>
      </w:r>
      <w:bookmarkEnd w:id="27"/>
      <w:bookmarkEnd w:id="28"/>
    </w:p>
    <w:p w14:paraId="083053BA">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名称：圣源祥保险经纪有限公司</w:t>
      </w:r>
    </w:p>
    <w:p w14:paraId="6EF93276">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地址：河北省石家庄市新华区新华路199号华海商务中心第13层1307室 </w:t>
      </w:r>
    </w:p>
    <w:p w14:paraId="58E53EDA">
      <w:pPr>
        <w:widowControl/>
        <w:spacing w:line="360" w:lineRule="auto"/>
        <w:ind w:firstLine="420" w:firstLineChars="200"/>
        <w:jc w:val="left"/>
        <w:rPr>
          <w:rFonts w:ascii="宋体" w:hAnsi="宋体" w:eastAsia="宋体" w:cs="宋体"/>
          <w:bCs/>
          <w:color w:val="auto"/>
          <w:szCs w:val="21"/>
        </w:rPr>
      </w:pPr>
      <w:r>
        <w:rPr>
          <w:rFonts w:hint="eastAsia" w:ascii="宋体" w:hAnsi="宋体" w:eastAsia="宋体" w:cs="宋体"/>
          <w:color w:val="auto"/>
          <w:kern w:val="0"/>
          <w:szCs w:val="21"/>
          <w:lang w:bidi="ar"/>
        </w:rPr>
        <w:t>联系方式：</w:t>
      </w:r>
      <w:bookmarkStart w:id="29" w:name="_Toc28359087"/>
      <w:bookmarkStart w:id="30" w:name="_Toc28359010"/>
      <w:r>
        <w:rPr>
          <w:rFonts w:hint="eastAsia" w:ascii="宋体" w:hAnsi="宋体" w:eastAsia="宋体" w:cs="宋体"/>
          <w:color w:val="auto"/>
          <w:kern w:val="0"/>
          <w:szCs w:val="21"/>
          <w:lang w:val="en-US" w:eastAsia="zh-CN" w:bidi="ar"/>
        </w:rPr>
        <w:t>18143073398</w:t>
      </w:r>
      <w:r>
        <w:rPr>
          <w:rFonts w:hint="eastAsia" w:ascii="宋体" w:hAnsi="宋体" w:eastAsia="宋体" w:cs="宋体"/>
          <w:bCs/>
          <w:color w:val="auto"/>
          <w:szCs w:val="21"/>
          <w:lang w:eastAsia="zh-CN"/>
        </w:rPr>
        <w:t>（</w:t>
      </w:r>
      <w:r>
        <w:rPr>
          <w:rFonts w:hint="eastAsia" w:ascii="宋体" w:hAnsi="宋体" w:eastAsia="宋体" w:cs="宋体"/>
          <w:color w:val="auto"/>
          <w:kern w:val="0"/>
          <w:szCs w:val="21"/>
          <w:lang w:val="en-US" w:eastAsia="zh-CN" w:bidi="ar"/>
        </w:rPr>
        <w:t>办公电话</w:t>
      </w:r>
      <w:r>
        <w:rPr>
          <w:rFonts w:hint="eastAsia" w:ascii="宋体" w:hAnsi="宋体" w:eastAsia="宋体" w:cs="宋体"/>
          <w:color w:val="auto"/>
          <w:kern w:val="0"/>
          <w:szCs w:val="21"/>
          <w:lang w:eastAsia="zh-CN" w:bidi="ar"/>
        </w:rPr>
        <w:t>）</w:t>
      </w:r>
    </w:p>
    <w:p w14:paraId="0A469FCC">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3.项目联系方式</w:t>
      </w:r>
      <w:bookmarkEnd w:id="29"/>
      <w:bookmarkEnd w:id="30"/>
    </w:p>
    <w:p w14:paraId="56B862F1">
      <w:pPr>
        <w:widowControl/>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项目联系人：</w:t>
      </w:r>
      <w:r>
        <w:rPr>
          <w:rFonts w:hint="eastAsia" w:ascii="宋体" w:hAnsi="宋体" w:eastAsia="宋体" w:cs="宋体"/>
          <w:color w:val="auto"/>
          <w:kern w:val="0"/>
          <w:szCs w:val="21"/>
          <w:highlight w:val="none"/>
          <w:lang w:val="en-US" w:eastAsia="zh-CN" w:bidi="ar"/>
        </w:rPr>
        <w:t>姜</w:t>
      </w:r>
      <w:r>
        <w:rPr>
          <w:rFonts w:hint="eastAsia" w:ascii="宋体" w:hAnsi="宋体" w:eastAsia="宋体" w:cs="宋体"/>
          <w:color w:val="auto"/>
          <w:kern w:val="0"/>
          <w:szCs w:val="21"/>
          <w:highlight w:val="none"/>
          <w:lang w:bidi="ar"/>
        </w:rPr>
        <w:t>女士</w:t>
      </w:r>
    </w:p>
    <w:p w14:paraId="777D1CCE">
      <w:pPr>
        <w:widowControl/>
        <w:spacing w:line="360" w:lineRule="auto"/>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lang w:val="en-US" w:eastAsia="zh-CN" w:bidi="ar"/>
        </w:rPr>
        <w:t>18143073398</w:t>
      </w:r>
      <w:r>
        <w:rPr>
          <w:rFonts w:hint="eastAsia" w:ascii="宋体" w:hAnsi="宋体" w:eastAsia="宋体" w:cs="宋体"/>
          <w:bCs/>
          <w:color w:val="auto"/>
          <w:szCs w:val="21"/>
          <w:highlight w:val="none"/>
          <w:lang w:eastAsia="zh-CN"/>
        </w:rPr>
        <w:t>（</w:t>
      </w:r>
      <w:r>
        <w:rPr>
          <w:rFonts w:hint="eastAsia" w:ascii="宋体" w:hAnsi="宋体" w:eastAsia="宋体" w:cs="宋体"/>
          <w:color w:val="auto"/>
          <w:kern w:val="0"/>
          <w:szCs w:val="21"/>
          <w:highlight w:val="none"/>
          <w:lang w:val="en-US" w:eastAsia="zh-CN" w:bidi="ar"/>
        </w:rPr>
        <w:t>办公电话</w:t>
      </w:r>
      <w:r>
        <w:rPr>
          <w:rFonts w:hint="eastAsia" w:ascii="宋体" w:hAnsi="宋体" w:eastAsia="宋体" w:cs="宋体"/>
          <w:color w:val="auto"/>
          <w:kern w:val="0"/>
          <w:szCs w:val="21"/>
          <w:highlight w:val="none"/>
          <w:lang w:eastAsia="zh-CN" w:bidi="ar"/>
        </w:rPr>
        <w:t>）</w:t>
      </w:r>
    </w:p>
    <w:p w14:paraId="085E9DE7">
      <w:pPr>
        <w:widowControl/>
        <w:spacing w:line="360" w:lineRule="auto"/>
        <w:ind w:firstLine="420" w:firstLineChars="200"/>
        <w:jc w:val="left"/>
        <w:rPr>
          <w:rFonts w:ascii="宋体" w:hAnsi="宋体" w:eastAsia="宋体" w:cs="宋体"/>
          <w:color w:val="auto"/>
          <w:kern w:val="0"/>
          <w:szCs w:val="21"/>
          <w:lang w:bidi="ar"/>
        </w:rPr>
      </w:pPr>
    </w:p>
    <w:p w14:paraId="5AA9084F">
      <w:pPr>
        <w:widowControl/>
        <w:spacing w:line="360" w:lineRule="auto"/>
        <w:ind w:firstLine="420"/>
        <w:rPr>
          <w:rFonts w:ascii="宋体" w:hAnsi="宋体" w:cs="宋体"/>
          <w:color w:val="auto"/>
          <w:kern w:val="0"/>
          <w:szCs w:val="21"/>
        </w:rPr>
        <w:sectPr>
          <w:headerReference r:id="rId4" w:type="default"/>
          <w:footerReference r:id="rId5" w:type="default"/>
          <w:pgSz w:w="11906" w:h="16838"/>
          <w:pgMar w:top="1361" w:right="1304" w:bottom="1247" w:left="1304" w:header="680" w:footer="680" w:gutter="0"/>
          <w:pgNumType w:fmt="decimal" w:start="1"/>
          <w:cols w:space="720" w:num="1"/>
          <w:docGrid w:linePitch="312" w:charSpace="0"/>
        </w:sectPr>
      </w:pPr>
      <w:r>
        <w:rPr>
          <w:rFonts w:hint="eastAsia" w:ascii="宋体" w:hAnsi="宋体" w:cs="宋体"/>
          <w:color w:val="auto"/>
          <w:kern w:val="0"/>
          <w:szCs w:val="21"/>
        </w:rPr>
        <w:br w:type="page"/>
      </w:r>
    </w:p>
    <w:p w14:paraId="01635454">
      <w:pPr>
        <w:pStyle w:val="2"/>
        <w:rPr>
          <w:color w:val="auto"/>
        </w:rPr>
      </w:pPr>
      <w:bookmarkStart w:id="31" w:name="_Toc1032"/>
      <w:bookmarkStart w:id="32" w:name="_Toc1861"/>
      <w:r>
        <w:rPr>
          <w:rFonts w:hint="eastAsia"/>
          <w:color w:val="auto"/>
        </w:rPr>
        <w:t>第二章 投标人须知</w:t>
      </w:r>
      <w:bookmarkEnd w:id="2"/>
      <w:bookmarkEnd w:id="3"/>
      <w:bookmarkEnd w:id="4"/>
      <w:bookmarkEnd w:id="5"/>
      <w:bookmarkEnd w:id="6"/>
      <w:bookmarkEnd w:id="7"/>
      <w:bookmarkEnd w:id="8"/>
      <w:bookmarkEnd w:id="11"/>
      <w:bookmarkEnd w:id="12"/>
      <w:bookmarkEnd w:id="13"/>
      <w:bookmarkEnd w:id="31"/>
      <w:bookmarkEnd w:id="32"/>
    </w:p>
    <w:p w14:paraId="5CCB4059">
      <w:pPr>
        <w:pStyle w:val="3"/>
        <w:adjustRightInd w:val="0"/>
        <w:snapToGrid w:val="0"/>
        <w:spacing w:before="0" w:after="0" w:line="360" w:lineRule="auto"/>
        <w:ind w:firstLine="211" w:firstLineChars="100"/>
        <w:jc w:val="left"/>
        <w:rPr>
          <w:rFonts w:ascii="宋体" w:hAnsi="宋体" w:eastAsia="宋体" w:cs="宋体"/>
          <w:color w:val="auto"/>
          <w:kern w:val="0"/>
          <w:sz w:val="21"/>
          <w:szCs w:val="21"/>
        </w:rPr>
      </w:pPr>
      <w:bookmarkStart w:id="33" w:name="_Toc8931"/>
      <w:bookmarkStart w:id="34" w:name="_Toc4711"/>
      <w:bookmarkStart w:id="35" w:name="_Toc67490882"/>
      <w:bookmarkStart w:id="36" w:name="_Toc77593383"/>
      <w:bookmarkStart w:id="37" w:name="_Toc373389052"/>
      <w:bookmarkStart w:id="38" w:name="_Toc13123"/>
      <w:bookmarkStart w:id="39" w:name="_Toc457839486"/>
      <w:bookmarkStart w:id="40" w:name="_Toc17816"/>
      <w:bookmarkStart w:id="41" w:name="_Toc420417621"/>
      <w:bookmarkStart w:id="42" w:name="_Toc16335"/>
      <w:bookmarkStart w:id="43" w:name="_Toc152042387"/>
      <w:bookmarkStart w:id="44" w:name="_Toc144974577"/>
      <w:bookmarkStart w:id="45" w:name="_Toc179632627"/>
      <w:bookmarkStart w:id="46" w:name="_Toc246996995"/>
      <w:bookmarkStart w:id="47" w:name="_Toc247085767"/>
      <w:bookmarkStart w:id="48" w:name="_Toc246996252"/>
      <w:bookmarkStart w:id="49" w:name="_Toc24574"/>
      <w:bookmarkStart w:id="50" w:name="_Toc152045609"/>
      <w:bookmarkStart w:id="51" w:name="_Toc28340"/>
      <w:r>
        <w:rPr>
          <w:rFonts w:hint="eastAsia" w:ascii="宋体" w:hAnsi="宋体" w:eastAsia="宋体" w:cs="宋体"/>
          <w:color w:val="auto"/>
          <w:kern w:val="0"/>
          <w:sz w:val="21"/>
          <w:szCs w:val="21"/>
        </w:rPr>
        <w:t>投标须知前附表</w:t>
      </w:r>
      <w:bookmarkEnd w:id="33"/>
      <w:bookmarkEnd w:id="34"/>
      <w:bookmarkEnd w:id="35"/>
      <w:bookmarkEnd w:id="36"/>
      <w:bookmarkEnd w:id="37"/>
      <w:bookmarkEnd w:id="38"/>
      <w:bookmarkEnd w:id="39"/>
      <w:bookmarkEnd w:id="40"/>
      <w:bookmarkEnd w:id="41"/>
    </w:p>
    <w:tbl>
      <w:tblPr>
        <w:tblStyle w:val="24"/>
        <w:tblW w:w="921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5"/>
        <w:gridCol w:w="1944"/>
        <w:gridCol w:w="6374"/>
      </w:tblGrid>
      <w:tr w14:paraId="0E1E37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tblHeader/>
          <w:jc w:val="center"/>
        </w:trPr>
        <w:tc>
          <w:tcPr>
            <w:tcW w:w="895" w:type="dxa"/>
            <w:tcBorders>
              <w:top w:val="single" w:color="auto" w:sz="6" w:space="0"/>
              <w:left w:val="single" w:color="auto" w:sz="6" w:space="0"/>
              <w:bottom w:val="single" w:color="auto" w:sz="6" w:space="0"/>
            </w:tcBorders>
            <w:tcMar>
              <w:left w:w="0" w:type="dxa"/>
              <w:right w:w="0" w:type="dxa"/>
            </w:tcMar>
          </w:tcPr>
          <w:p w14:paraId="79C3B593">
            <w:pPr>
              <w:pStyle w:val="45"/>
              <w:snapToGrid w:val="0"/>
              <w:spacing w:before="36" w:beforeLines="15" w:line="240" w:lineRule="auto"/>
              <w:jc w:val="center"/>
              <w:rPr>
                <w:rFonts w:hAnsi="宋体"/>
                <w:color w:val="auto"/>
                <w:sz w:val="21"/>
                <w:szCs w:val="21"/>
              </w:rPr>
            </w:pPr>
            <w:r>
              <w:rPr>
                <w:rFonts w:hint="eastAsia" w:hAnsi="宋体"/>
                <w:color w:val="auto"/>
                <w:sz w:val="21"/>
                <w:szCs w:val="21"/>
              </w:rPr>
              <w:t>序号</w:t>
            </w:r>
          </w:p>
        </w:tc>
        <w:tc>
          <w:tcPr>
            <w:tcW w:w="1944" w:type="dxa"/>
            <w:tcBorders>
              <w:top w:val="single" w:color="auto" w:sz="6" w:space="0"/>
              <w:bottom w:val="single" w:color="auto" w:sz="6" w:space="0"/>
            </w:tcBorders>
            <w:tcMar>
              <w:left w:w="0" w:type="dxa"/>
              <w:right w:w="0" w:type="dxa"/>
            </w:tcMar>
          </w:tcPr>
          <w:p w14:paraId="4817F8BA">
            <w:pPr>
              <w:pStyle w:val="45"/>
              <w:snapToGrid w:val="0"/>
              <w:spacing w:before="36" w:beforeLines="15" w:line="240" w:lineRule="auto"/>
              <w:jc w:val="center"/>
              <w:rPr>
                <w:rFonts w:hAnsi="宋体"/>
                <w:color w:val="auto"/>
                <w:sz w:val="21"/>
                <w:szCs w:val="21"/>
              </w:rPr>
            </w:pPr>
            <w:r>
              <w:rPr>
                <w:rFonts w:hint="eastAsia" w:hAnsi="宋体"/>
                <w:color w:val="auto"/>
                <w:sz w:val="21"/>
                <w:szCs w:val="21"/>
              </w:rPr>
              <w:t>名称</w:t>
            </w:r>
          </w:p>
        </w:tc>
        <w:tc>
          <w:tcPr>
            <w:tcW w:w="6374" w:type="dxa"/>
            <w:tcBorders>
              <w:top w:val="single" w:color="auto" w:sz="6" w:space="0"/>
              <w:bottom w:val="single" w:color="auto" w:sz="6" w:space="0"/>
              <w:right w:val="single" w:color="auto" w:sz="6" w:space="0"/>
            </w:tcBorders>
            <w:tcMar>
              <w:left w:w="0" w:type="dxa"/>
              <w:right w:w="0" w:type="dxa"/>
            </w:tcMar>
          </w:tcPr>
          <w:p w14:paraId="3FD6F1CC">
            <w:pPr>
              <w:pStyle w:val="45"/>
              <w:snapToGrid w:val="0"/>
              <w:spacing w:before="36" w:beforeLines="15" w:line="240" w:lineRule="auto"/>
              <w:jc w:val="center"/>
              <w:rPr>
                <w:rFonts w:hAnsi="宋体"/>
                <w:color w:val="auto"/>
                <w:sz w:val="21"/>
                <w:szCs w:val="21"/>
              </w:rPr>
            </w:pPr>
            <w:r>
              <w:rPr>
                <w:rFonts w:hint="eastAsia" w:hAnsi="宋体"/>
                <w:color w:val="auto"/>
                <w:sz w:val="21"/>
                <w:szCs w:val="21"/>
              </w:rPr>
              <w:t>编列内容</w:t>
            </w:r>
          </w:p>
        </w:tc>
      </w:tr>
      <w:tr w14:paraId="2B53DB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4"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40E65B95">
            <w:pPr>
              <w:pStyle w:val="6"/>
              <w:adjustRightInd w:val="0"/>
              <w:snapToGrid w:val="0"/>
              <w:spacing w:before="36" w:beforeLines="15" w:line="240" w:lineRule="auto"/>
              <w:ind w:firstLine="0"/>
              <w:jc w:val="center"/>
              <w:rPr>
                <w:rFonts w:ascii="宋体" w:hAnsi="宋体" w:eastAsia="宋体" w:cs="宋体"/>
                <w:color w:val="auto"/>
                <w:sz w:val="21"/>
                <w:szCs w:val="21"/>
              </w:rPr>
            </w:pPr>
            <w:r>
              <w:rPr>
                <w:rFonts w:hint="eastAsia" w:ascii="宋体" w:hAnsi="宋体" w:eastAsia="宋体" w:cs="宋体"/>
                <w:color w:val="auto"/>
                <w:sz w:val="21"/>
                <w:szCs w:val="21"/>
              </w:rPr>
              <w:t>1.1.1</w:t>
            </w:r>
          </w:p>
        </w:tc>
        <w:tc>
          <w:tcPr>
            <w:tcW w:w="1944" w:type="dxa"/>
            <w:tcBorders>
              <w:top w:val="single" w:color="auto" w:sz="6" w:space="0"/>
              <w:bottom w:val="single" w:color="auto" w:sz="6" w:space="0"/>
            </w:tcBorders>
            <w:tcMar>
              <w:left w:w="0" w:type="dxa"/>
              <w:right w:w="0" w:type="dxa"/>
            </w:tcMar>
            <w:vAlign w:val="center"/>
          </w:tcPr>
          <w:p w14:paraId="6EC1EEFD">
            <w:pPr>
              <w:adjustRightInd w:val="0"/>
              <w:snapToGrid w:val="0"/>
              <w:spacing w:before="36" w:beforeLines="15" w:line="24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采购人</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4A426840">
            <w:pPr>
              <w:adjustRightInd w:val="0"/>
              <w:snapToGrid w:val="0"/>
              <w:spacing w:before="36" w:beforeLines="15" w:line="24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名称：吉林省林业和草原局</w:t>
            </w:r>
          </w:p>
          <w:p w14:paraId="4E8A0587">
            <w:pPr>
              <w:adjustRightInd w:val="0"/>
              <w:snapToGrid w:val="0"/>
              <w:spacing w:before="36" w:beforeLines="15" w:line="24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地址：吉林省长春市区亚泰大街3698号</w:t>
            </w:r>
          </w:p>
          <w:p w14:paraId="4F13980A">
            <w:pPr>
              <w:adjustRightInd w:val="0"/>
              <w:snapToGrid w:val="0"/>
              <w:spacing w:before="36" w:beforeLines="15" w:line="24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联系人：刘淼</w:t>
            </w:r>
          </w:p>
          <w:p w14:paraId="4C91F824">
            <w:pPr>
              <w:widowControl/>
              <w:spacing w:line="240" w:lineRule="auto"/>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zh-CN"/>
              </w:rPr>
              <w:t>办公电话：</w:t>
            </w:r>
            <w:r>
              <w:rPr>
                <w:rFonts w:hint="eastAsia" w:ascii="宋体" w:hAnsi="宋体" w:eastAsia="宋体" w:cs="宋体"/>
                <w:color w:val="auto"/>
                <w:kern w:val="0"/>
                <w:szCs w:val="21"/>
                <w:highlight w:val="none"/>
                <w:lang w:val="en-US" w:eastAsia="zh-CN" w:bidi="ar"/>
              </w:rPr>
              <w:t>0431-88628085</w:t>
            </w:r>
          </w:p>
        </w:tc>
      </w:tr>
      <w:tr w14:paraId="64EE89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7131A61B">
            <w:pPr>
              <w:pStyle w:val="6"/>
              <w:adjustRightInd w:val="0"/>
              <w:snapToGrid w:val="0"/>
              <w:spacing w:before="36" w:beforeLines="15" w:line="240" w:lineRule="auto"/>
              <w:ind w:firstLine="0"/>
              <w:jc w:val="center"/>
              <w:rPr>
                <w:rFonts w:ascii="宋体" w:hAnsi="宋体" w:eastAsia="宋体" w:cs="宋体"/>
                <w:color w:val="auto"/>
                <w:sz w:val="21"/>
                <w:szCs w:val="21"/>
              </w:rPr>
            </w:pPr>
            <w:r>
              <w:rPr>
                <w:rFonts w:hint="eastAsia" w:ascii="宋体" w:hAnsi="宋体" w:eastAsia="宋体" w:cs="宋体"/>
                <w:color w:val="auto"/>
                <w:sz w:val="21"/>
                <w:szCs w:val="21"/>
              </w:rPr>
              <w:t>1.1.2</w:t>
            </w:r>
          </w:p>
        </w:tc>
        <w:tc>
          <w:tcPr>
            <w:tcW w:w="1944" w:type="dxa"/>
            <w:tcBorders>
              <w:top w:val="single" w:color="auto" w:sz="6" w:space="0"/>
              <w:bottom w:val="single" w:color="auto" w:sz="6" w:space="0"/>
            </w:tcBorders>
            <w:tcMar>
              <w:left w:w="0" w:type="dxa"/>
              <w:right w:w="0" w:type="dxa"/>
            </w:tcMar>
            <w:vAlign w:val="center"/>
          </w:tcPr>
          <w:p w14:paraId="2A7DDEF3">
            <w:pPr>
              <w:adjustRightInd w:val="0"/>
              <w:snapToGrid w:val="0"/>
              <w:spacing w:before="36" w:beforeLines="15" w:line="24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采购代理机构</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36E535BE">
            <w:pPr>
              <w:adjustRightInd w:val="0"/>
              <w:snapToGrid w:val="0"/>
              <w:spacing w:before="36" w:beforeLines="15" w:line="24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名称：圣源祥保险经纪有限公司</w:t>
            </w:r>
          </w:p>
          <w:p w14:paraId="7F2B1E5F">
            <w:pPr>
              <w:adjustRightInd w:val="0"/>
              <w:snapToGrid w:val="0"/>
              <w:spacing w:before="36" w:beforeLines="15" w:line="24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地址：河北省石家庄市新华区新华路199号华海商务中心第13层1307室</w:t>
            </w:r>
          </w:p>
          <w:p w14:paraId="164EDEF7">
            <w:pPr>
              <w:adjustRightInd w:val="0"/>
              <w:snapToGrid w:val="0"/>
              <w:spacing w:before="36" w:beforeLines="15" w:line="24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联系人：姜</w:t>
            </w:r>
            <w:r>
              <w:rPr>
                <w:rFonts w:hint="eastAsia" w:ascii="宋体" w:hAnsi="宋体" w:eastAsia="宋体" w:cs="宋体"/>
                <w:bCs/>
                <w:color w:val="auto"/>
                <w:szCs w:val="21"/>
                <w:highlight w:val="none"/>
              </w:rPr>
              <w:t>女士</w:t>
            </w:r>
          </w:p>
          <w:p w14:paraId="11DCDDE4">
            <w:pPr>
              <w:adjustRightInd w:val="0"/>
              <w:snapToGrid w:val="0"/>
              <w:spacing w:before="36" w:beforeLines="15" w:line="24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电话：</w:t>
            </w:r>
            <w:r>
              <w:rPr>
                <w:rFonts w:hint="eastAsia" w:ascii="宋体" w:hAnsi="宋体" w:eastAsia="宋体" w:cs="宋体"/>
                <w:bCs/>
                <w:color w:val="auto"/>
                <w:szCs w:val="21"/>
                <w:highlight w:val="none"/>
                <w:lang w:val="en-US" w:eastAsia="zh-CN"/>
              </w:rPr>
              <w:t>18143073398（办公电话）</w:t>
            </w:r>
          </w:p>
        </w:tc>
      </w:tr>
      <w:tr w14:paraId="3CCB45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1603BB4E">
            <w:pPr>
              <w:pStyle w:val="45"/>
              <w:snapToGrid w:val="0"/>
              <w:spacing w:before="36" w:beforeLines="15" w:line="240" w:lineRule="auto"/>
              <w:jc w:val="center"/>
              <w:rPr>
                <w:rFonts w:hAnsi="宋体"/>
                <w:color w:val="auto"/>
                <w:sz w:val="21"/>
                <w:szCs w:val="21"/>
              </w:rPr>
            </w:pPr>
            <w:r>
              <w:rPr>
                <w:rFonts w:hint="eastAsia" w:hAnsi="宋体"/>
                <w:color w:val="auto"/>
                <w:sz w:val="21"/>
                <w:szCs w:val="21"/>
              </w:rPr>
              <w:t>1.2.1</w:t>
            </w:r>
          </w:p>
        </w:tc>
        <w:tc>
          <w:tcPr>
            <w:tcW w:w="1944" w:type="dxa"/>
            <w:tcBorders>
              <w:top w:val="single" w:color="auto" w:sz="6" w:space="0"/>
              <w:bottom w:val="single" w:color="auto" w:sz="6" w:space="0"/>
            </w:tcBorders>
            <w:tcMar>
              <w:left w:w="0" w:type="dxa"/>
              <w:right w:w="0" w:type="dxa"/>
            </w:tcMar>
            <w:vAlign w:val="center"/>
          </w:tcPr>
          <w:p w14:paraId="3556B35D">
            <w:pPr>
              <w:pStyle w:val="45"/>
              <w:snapToGrid w:val="0"/>
              <w:spacing w:before="36" w:beforeLines="15" w:line="240" w:lineRule="auto"/>
              <w:jc w:val="center"/>
              <w:rPr>
                <w:rFonts w:hAnsi="宋体"/>
                <w:bCs/>
                <w:color w:val="auto"/>
                <w:kern w:val="2"/>
                <w:sz w:val="21"/>
                <w:szCs w:val="21"/>
                <w:highlight w:val="none"/>
                <w:lang w:val="zh-CN"/>
              </w:rPr>
            </w:pPr>
            <w:r>
              <w:rPr>
                <w:rFonts w:hint="eastAsia" w:hAnsi="宋体"/>
                <w:bCs/>
                <w:color w:val="auto"/>
                <w:kern w:val="2"/>
                <w:sz w:val="21"/>
                <w:szCs w:val="21"/>
                <w:highlight w:val="none"/>
                <w:lang w:val="zh-CN"/>
              </w:rPr>
              <w:t>项目名称及项目编号</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50B509C9">
            <w:pPr>
              <w:autoSpaceDE w:val="0"/>
              <w:autoSpaceDN w:val="0"/>
              <w:adjustRightInd w:val="0"/>
              <w:snapToGrid w:val="0"/>
              <w:spacing w:before="36" w:beforeLines="15" w:line="240" w:lineRule="auto"/>
              <w:ind w:left="105" w:leftChars="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Hans"/>
              </w:rPr>
              <w:t>项目名称：吉林省重点保护陆生野生动物造成人身财产损害补偿保险</w:t>
            </w:r>
          </w:p>
          <w:p w14:paraId="53CDFA87">
            <w:pPr>
              <w:autoSpaceDE w:val="0"/>
              <w:autoSpaceDN w:val="0"/>
              <w:adjustRightInd w:val="0"/>
              <w:snapToGrid w:val="0"/>
              <w:spacing w:before="36" w:beforeLines="15" w:line="240" w:lineRule="auto"/>
              <w:ind w:left="105" w:leftChars="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zh-CN" w:eastAsia="zh-Hans"/>
              </w:rPr>
              <w:t>项目编号：采购计划-[2026]-09740号-01</w:t>
            </w:r>
            <w:r>
              <w:rPr>
                <w:rFonts w:hint="eastAsia" w:ascii="宋体" w:hAnsi="宋体" w:eastAsia="宋体" w:cs="宋体"/>
                <w:color w:val="auto"/>
                <w:kern w:val="0"/>
                <w:szCs w:val="21"/>
                <w:highlight w:val="none"/>
                <w:lang w:bidi="ar"/>
              </w:rPr>
              <w:t xml:space="preserve"> </w:t>
            </w:r>
          </w:p>
        </w:tc>
      </w:tr>
      <w:tr w14:paraId="666D5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365AD92C">
            <w:pPr>
              <w:pStyle w:val="45"/>
              <w:snapToGrid w:val="0"/>
              <w:spacing w:before="36" w:beforeLines="15" w:line="240" w:lineRule="auto"/>
              <w:jc w:val="center"/>
              <w:rPr>
                <w:rFonts w:hAnsi="宋体"/>
                <w:color w:val="auto"/>
                <w:sz w:val="21"/>
                <w:szCs w:val="21"/>
              </w:rPr>
            </w:pPr>
            <w:r>
              <w:rPr>
                <w:rFonts w:hint="eastAsia" w:hAnsi="宋体"/>
                <w:color w:val="auto"/>
                <w:sz w:val="21"/>
                <w:szCs w:val="21"/>
              </w:rPr>
              <w:t>1.2.2</w:t>
            </w:r>
          </w:p>
        </w:tc>
        <w:tc>
          <w:tcPr>
            <w:tcW w:w="1944" w:type="dxa"/>
            <w:tcBorders>
              <w:top w:val="single" w:color="auto" w:sz="6" w:space="0"/>
              <w:bottom w:val="single" w:color="auto" w:sz="6" w:space="0"/>
            </w:tcBorders>
            <w:tcMar>
              <w:left w:w="0" w:type="dxa"/>
              <w:right w:w="0" w:type="dxa"/>
            </w:tcMar>
            <w:vAlign w:val="center"/>
          </w:tcPr>
          <w:p w14:paraId="672EB067">
            <w:pPr>
              <w:pStyle w:val="45"/>
              <w:snapToGrid w:val="0"/>
              <w:spacing w:before="36" w:beforeLines="15" w:line="240" w:lineRule="auto"/>
              <w:jc w:val="center"/>
              <w:rPr>
                <w:rFonts w:hAnsi="宋体"/>
                <w:bCs/>
                <w:color w:val="auto"/>
                <w:kern w:val="2"/>
                <w:sz w:val="21"/>
                <w:szCs w:val="21"/>
                <w:lang w:val="zh-CN"/>
              </w:rPr>
            </w:pPr>
            <w:r>
              <w:rPr>
                <w:rFonts w:hint="eastAsia" w:hAnsi="宋体"/>
                <w:bCs/>
                <w:color w:val="auto"/>
                <w:kern w:val="2"/>
                <w:sz w:val="21"/>
                <w:szCs w:val="21"/>
                <w:lang w:val="zh-CN"/>
              </w:rPr>
              <w:t>项目地点</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0CE81C36">
            <w:pPr>
              <w:adjustRightInd w:val="0"/>
              <w:snapToGrid w:val="0"/>
              <w:spacing w:before="36" w:beforeLines="15" w:line="240" w:lineRule="auto"/>
              <w:ind w:left="105" w:leftChars="50"/>
              <w:rPr>
                <w:rFonts w:ascii="宋体" w:hAnsi="宋体" w:eastAsia="宋体" w:cs="宋体"/>
                <w:color w:val="auto"/>
                <w:szCs w:val="21"/>
              </w:rPr>
            </w:pPr>
            <w:r>
              <w:rPr>
                <w:rFonts w:ascii="宋体" w:hAnsi="宋体" w:eastAsia="宋体" w:cs="宋体"/>
                <w:color w:val="auto"/>
                <w:szCs w:val="21"/>
              </w:rPr>
              <w:t>采购人指定地点</w:t>
            </w:r>
          </w:p>
        </w:tc>
      </w:tr>
      <w:tr w14:paraId="272CD3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14ED9858">
            <w:pPr>
              <w:pStyle w:val="45"/>
              <w:snapToGrid w:val="0"/>
              <w:spacing w:before="36" w:beforeLines="15" w:line="240" w:lineRule="auto"/>
              <w:jc w:val="center"/>
              <w:rPr>
                <w:rFonts w:hAnsi="宋体"/>
                <w:color w:val="auto"/>
                <w:sz w:val="21"/>
                <w:szCs w:val="21"/>
              </w:rPr>
            </w:pPr>
            <w:r>
              <w:rPr>
                <w:rFonts w:hint="eastAsia" w:hAnsi="宋体"/>
                <w:color w:val="auto"/>
                <w:sz w:val="21"/>
                <w:szCs w:val="21"/>
              </w:rPr>
              <w:t>1.2.3</w:t>
            </w:r>
          </w:p>
        </w:tc>
        <w:tc>
          <w:tcPr>
            <w:tcW w:w="1944" w:type="dxa"/>
            <w:tcBorders>
              <w:top w:val="single" w:color="auto" w:sz="6" w:space="0"/>
            </w:tcBorders>
            <w:tcMar>
              <w:left w:w="0" w:type="dxa"/>
              <w:right w:w="0" w:type="dxa"/>
            </w:tcMar>
            <w:vAlign w:val="center"/>
          </w:tcPr>
          <w:p w14:paraId="023B9504">
            <w:pPr>
              <w:pStyle w:val="45"/>
              <w:snapToGrid w:val="0"/>
              <w:spacing w:before="36" w:beforeLines="15" w:line="240" w:lineRule="auto"/>
              <w:jc w:val="center"/>
              <w:rPr>
                <w:rFonts w:hAnsi="宋体"/>
                <w:bCs/>
                <w:color w:val="auto"/>
                <w:kern w:val="2"/>
                <w:sz w:val="21"/>
                <w:szCs w:val="21"/>
                <w:lang w:val="zh-CN"/>
              </w:rPr>
            </w:pPr>
            <w:r>
              <w:rPr>
                <w:rFonts w:hint="eastAsia" w:hAnsi="宋体"/>
                <w:bCs/>
                <w:color w:val="auto"/>
                <w:kern w:val="2"/>
                <w:sz w:val="21"/>
                <w:szCs w:val="21"/>
                <w:lang w:val="zh-CN"/>
              </w:rPr>
              <w:t>资金来源及比例</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41201CA1">
            <w:pPr>
              <w:adjustRightInd w:val="0"/>
              <w:snapToGrid w:val="0"/>
              <w:spacing w:before="36" w:beforeLines="15" w:line="240" w:lineRule="auto"/>
              <w:ind w:left="105" w:leftChars="50"/>
              <w:rPr>
                <w:rFonts w:ascii="宋体" w:hAnsi="宋体" w:eastAsia="宋体" w:cs="宋体"/>
                <w:color w:val="auto"/>
                <w:szCs w:val="21"/>
              </w:rPr>
            </w:pPr>
            <w:r>
              <w:rPr>
                <w:rFonts w:hint="eastAsia" w:ascii="宋体" w:hAnsi="宋体" w:eastAsia="宋体" w:cs="宋体"/>
                <w:color w:val="auto"/>
                <w:szCs w:val="21"/>
              </w:rPr>
              <w:t>100%国有</w:t>
            </w:r>
            <w:r>
              <w:rPr>
                <w:rFonts w:hint="eastAsia" w:ascii="宋体" w:hAnsi="宋体" w:eastAsia="宋体" w:cs="宋体"/>
                <w:bCs/>
                <w:color w:val="auto"/>
                <w:szCs w:val="21"/>
              </w:rPr>
              <w:t>资金</w:t>
            </w:r>
          </w:p>
        </w:tc>
      </w:tr>
      <w:tr w14:paraId="3A3AD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tcBorders>
            <w:tcMar>
              <w:left w:w="0" w:type="dxa"/>
              <w:right w:w="0" w:type="dxa"/>
            </w:tcMar>
            <w:vAlign w:val="center"/>
          </w:tcPr>
          <w:p w14:paraId="624ABDD9">
            <w:pPr>
              <w:pStyle w:val="45"/>
              <w:snapToGrid w:val="0"/>
              <w:spacing w:before="36" w:beforeLines="15" w:line="240" w:lineRule="auto"/>
              <w:jc w:val="center"/>
              <w:rPr>
                <w:rFonts w:hAnsi="宋体"/>
                <w:color w:val="auto"/>
                <w:sz w:val="21"/>
                <w:szCs w:val="21"/>
              </w:rPr>
            </w:pPr>
            <w:r>
              <w:rPr>
                <w:rFonts w:hint="eastAsia" w:hAnsi="宋体"/>
                <w:color w:val="auto"/>
                <w:sz w:val="21"/>
                <w:szCs w:val="21"/>
              </w:rPr>
              <w:t>1.3.1</w:t>
            </w:r>
          </w:p>
        </w:tc>
        <w:tc>
          <w:tcPr>
            <w:tcW w:w="1944" w:type="dxa"/>
            <w:tcBorders>
              <w:top w:val="single" w:color="auto" w:sz="6" w:space="0"/>
              <w:bottom w:val="single" w:color="auto" w:sz="6" w:space="0"/>
            </w:tcBorders>
            <w:tcMar>
              <w:left w:w="0" w:type="dxa"/>
              <w:right w:w="0" w:type="dxa"/>
            </w:tcMar>
            <w:vAlign w:val="center"/>
          </w:tcPr>
          <w:p w14:paraId="1A76B8B2">
            <w:pPr>
              <w:pStyle w:val="45"/>
              <w:snapToGrid w:val="0"/>
              <w:spacing w:before="36" w:beforeLines="15" w:line="240" w:lineRule="auto"/>
              <w:jc w:val="center"/>
              <w:rPr>
                <w:rFonts w:hAnsi="宋体"/>
                <w:bCs/>
                <w:color w:val="auto"/>
                <w:kern w:val="2"/>
                <w:sz w:val="21"/>
                <w:szCs w:val="21"/>
                <w:highlight w:val="none"/>
                <w:lang w:val="zh-CN"/>
              </w:rPr>
            </w:pPr>
            <w:r>
              <w:rPr>
                <w:rFonts w:hint="eastAsia" w:hAnsi="宋体"/>
                <w:bCs/>
                <w:color w:val="auto"/>
                <w:kern w:val="2"/>
                <w:sz w:val="21"/>
                <w:szCs w:val="21"/>
                <w:highlight w:val="none"/>
                <w:lang w:val="zh-CN"/>
              </w:rPr>
              <w:t>采购需求</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741695AC">
            <w:pPr>
              <w:adjustRightInd w:val="0"/>
              <w:snapToGrid w:val="0"/>
              <w:spacing w:before="36" w:beforeLines="15" w:line="240" w:lineRule="auto"/>
              <w:ind w:left="105" w:leftChars="50"/>
              <w:rPr>
                <w:rFonts w:ascii="宋体" w:hAnsi="宋体" w:eastAsia="宋体" w:cs="宋体"/>
                <w:color w:val="auto"/>
                <w:szCs w:val="21"/>
                <w:highlight w:val="none"/>
              </w:rPr>
            </w:pPr>
            <w:r>
              <w:rPr>
                <w:rFonts w:hint="eastAsia" w:ascii="宋体" w:hAnsi="宋体" w:eastAsia="宋体" w:cs="宋体"/>
                <w:color w:val="auto"/>
                <w:szCs w:val="21"/>
                <w:highlight w:val="none"/>
              </w:rPr>
              <w:t>为吉林省重点保护陆生野生动物造成人身财产损害补偿保险招标项目提供共同承保的商业保险服务，选择10家供应商组成共保体作为共同承保人，具体承保份额详见招标文件</w:t>
            </w:r>
          </w:p>
        </w:tc>
      </w:tr>
      <w:tr w14:paraId="7E33D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047E75A0">
            <w:pPr>
              <w:pStyle w:val="45"/>
              <w:snapToGrid w:val="0"/>
              <w:spacing w:before="36" w:beforeLines="15" w:line="240" w:lineRule="auto"/>
              <w:jc w:val="center"/>
              <w:rPr>
                <w:rFonts w:hAnsi="宋体"/>
                <w:color w:val="auto"/>
                <w:sz w:val="21"/>
                <w:szCs w:val="21"/>
              </w:rPr>
            </w:pPr>
            <w:r>
              <w:rPr>
                <w:rFonts w:hint="eastAsia" w:hAnsi="宋体"/>
                <w:color w:val="auto"/>
                <w:sz w:val="21"/>
                <w:szCs w:val="21"/>
              </w:rPr>
              <w:t>1.3.2</w:t>
            </w:r>
          </w:p>
        </w:tc>
        <w:tc>
          <w:tcPr>
            <w:tcW w:w="1944" w:type="dxa"/>
            <w:tcBorders>
              <w:top w:val="single" w:color="auto" w:sz="6" w:space="0"/>
              <w:bottom w:val="single" w:color="auto" w:sz="6" w:space="0"/>
            </w:tcBorders>
            <w:tcMar>
              <w:left w:w="0" w:type="dxa"/>
              <w:right w:w="0" w:type="dxa"/>
            </w:tcMar>
            <w:vAlign w:val="center"/>
          </w:tcPr>
          <w:p w14:paraId="335BED23">
            <w:pPr>
              <w:spacing w:line="240" w:lineRule="auto"/>
              <w:jc w:val="center"/>
              <w:rPr>
                <w:rFonts w:ascii="宋体" w:hAnsi="宋体" w:eastAsia="宋体" w:cs="宋体"/>
                <w:color w:val="auto"/>
                <w:szCs w:val="21"/>
              </w:rPr>
            </w:pPr>
            <w:r>
              <w:rPr>
                <w:rFonts w:hint="eastAsia" w:ascii="宋体" w:hAnsi="宋体" w:eastAsia="宋体" w:cs="宋体"/>
                <w:color w:val="auto"/>
                <w:szCs w:val="21"/>
              </w:rPr>
              <w:t>合同履行期限</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4E63C93A">
            <w:pPr>
              <w:adjustRightInd w:val="0"/>
              <w:snapToGrid w:val="0"/>
              <w:spacing w:before="36" w:beforeLines="15" w:line="240" w:lineRule="auto"/>
              <w:rPr>
                <w:rFonts w:ascii="Times New Roman" w:hAnsi="宋体" w:eastAsia="宋体" w:cs="宋体"/>
                <w:bCs/>
                <w:color w:val="auto"/>
                <w:szCs w:val="21"/>
                <w:lang w:val="zh-CN"/>
              </w:rPr>
            </w:pPr>
            <w:r>
              <w:rPr>
                <w:rFonts w:hint="eastAsia" w:ascii="Times New Roman" w:hAnsi="宋体" w:eastAsia="宋体" w:cs="宋体"/>
                <w:bCs/>
                <w:color w:val="auto"/>
                <w:szCs w:val="21"/>
                <w:lang w:val="zh-CN"/>
              </w:rPr>
              <w:t>自签订合同之日起一年</w:t>
            </w:r>
          </w:p>
        </w:tc>
      </w:tr>
      <w:tr w14:paraId="3AC49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533ABDFF">
            <w:pPr>
              <w:pStyle w:val="45"/>
              <w:snapToGrid w:val="0"/>
              <w:spacing w:before="36" w:beforeLines="15" w:line="240" w:lineRule="auto"/>
              <w:jc w:val="center"/>
              <w:rPr>
                <w:rFonts w:hAnsi="宋体"/>
                <w:color w:val="auto"/>
                <w:sz w:val="21"/>
                <w:szCs w:val="21"/>
              </w:rPr>
            </w:pPr>
            <w:r>
              <w:rPr>
                <w:rFonts w:hint="eastAsia" w:hAnsi="宋体"/>
                <w:color w:val="auto"/>
                <w:sz w:val="21"/>
                <w:szCs w:val="21"/>
              </w:rPr>
              <w:t>1.3.3</w:t>
            </w:r>
          </w:p>
        </w:tc>
        <w:tc>
          <w:tcPr>
            <w:tcW w:w="1944" w:type="dxa"/>
            <w:tcBorders>
              <w:top w:val="single" w:color="auto" w:sz="6" w:space="0"/>
              <w:bottom w:val="single" w:color="auto" w:sz="6" w:space="0"/>
            </w:tcBorders>
            <w:tcMar>
              <w:left w:w="0" w:type="dxa"/>
              <w:right w:w="0" w:type="dxa"/>
            </w:tcMar>
            <w:vAlign w:val="center"/>
          </w:tcPr>
          <w:p w14:paraId="779E7B8B">
            <w:pPr>
              <w:pStyle w:val="45"/>
              <w:snapToGrid w:val="0"/>
              <w:spacing w:before="36" w:beforeLines="15" w:line="240" w:lineRule="auto"/>
              <w:jc w:val="center"/>
              <w:rPr>
                <w:rFonts w:hAnsi="宋体"/>
                <w:bCs/>
                <w:color w:val="auto"/>
                <w:kern w:val="2"/>
                <w:sz w:val="21"/>
                <w:szCs w:val="21"/>
                <w:lang w:val="zh-CN"/>
              </w:rPr>
            </w:pPr>
            <w:r>
              <w:rPr>
                <w:rFonts w:hint="eastAsia" w:hAnsi="宋体"/>
                <w:bCs/>
                <w:color w:val="auto"/>
                <w:kern w:val="2"/>
                <w:sz w:val="21"/>
                <w:szCs w:val="21"/>
              </w:rPr>
              <w:t>质量标准</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75E0B93D">
            <w:pPr>
              <w:adjustRightInd w:val="0"/>
              <w:snapToGrid w:val="0"/>
              <w:spacing w:before="36" w:beforeLines="15" w:line="240" w:lineRule="auto"/>
              <w:rPr>
                <w:rFonts w:ascii="Times New Roman" w:hAnsi="宋体" w:eastAsia="宋体" w:cs="宋体"/>
                <w:bCs/>
                <w:color w:val="auto"/>
                <w:szCs w:val="21"/>
              </w:rPr>
            </w:pPr>
            <w:r>
              <w:rPr>
                <w:rFonts w:hint="eastAsia" w:ascii="宋体" w:hAnsi="宋体" w:eastAsia="宋体" w:cs="宋体"/>
                <w:color w:val="auto"/>
              </w:rPr>
              <w:t>优质服务、符合采购人及行业部门质量要求标准</w:t>
            </w:r>
          </w:p>
        </w:tc>
      </w:tr>
      <w:tr w14:paraId="567F8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217FFB5A">
            <w:pPr>
              <w:pStyle w:val="45"/>
              <w:snapToGrid w:val="0"/>
              <w:spacing w:before="36" w:beforeLines="15" w:line="240" w:lineRule="auto"/>
              <w:jc w:val="center"/>
              <w:rPr>
                <w:rFonts w:hAnsi="宋体"/>
                <w:color w:val="auto"/>
                <w:sz w:val="21"/>
                <w:szCs w:val="21"/>
              </w:rPr>
            </w:pPr>
            <w:r>
              <w:rPr>
                <w:rFonts w:hint="eastAsia" w:hAnsi="宋体"/>
                <w:color w:val="auto"/>
                <w:sz w:val="21"/>
                <w:szCs w:val="21"/>
              </w:rPr>
              <w:t>1.4.1</w:t>
            </w:r>
          </w:p>
        </w:tc>
        <w:tc>
          <w:tcPr>
            <w:tcW w:w="1944" w:type="dxa"/>
            <w:tcBorders>
              <w:top w:val="single" w:color="auto" w:sz="6" w:space="0"/>
              <w:bottom w:val="single" w:color="auto" w:sz="6" w:space="0"/>
            </w:tcBorders>
            <w:tcMar>
              <w:left w:w="0" w:type="dxa"/>
              <w:right w:w="0" w:type="dxa"/>
            </w:tcMar>
            <w:vAlign w:val="center"/>
          </w:tcPr>
          <w:p w14:paraId="5F70B341">
            <w:pPr>
              <w:adjustRightInd w:val="0"/>
              <w:snapToGrid w:val="0"/>
              <w:spacing w:before="36" w:beforeLines="15" w:line="240" w:lineRule="auto"/>
              <w:jc w:val="center"/>
              <w:rPr>
                <w:rFonts w:ascii="宋体" w:hAnsi="宋体" w:eastAsia="宋体" w:cs="宋体"/>
                <w:bCs/>
                <w:color w:val="auto"/>
                <w:lang w:val="zh-CN"/>
              </w:rPr>
            </w:pPr>
            <w:r>
              <w:rPr>
                <w:rFonts w:hint="eastAsia" w:ascii="宋体" w:hAnsi="宋体" w:eastAsia="宋体" w:cs="宋体"/>
                <w:bCs/>
                <w:color w:val="auto"/>
                <w:lang w:val="zh-CN"/>
              </w:rPr>
              <w:t>投标人资质条件、能力和信誉</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5728C0FA">
            <w:pPr>
              <w:pStyle w:val="20"/>
              <w:widowControl/>
              <w:spacing w:line="240" w:lineRule="auto"/>
              <w:ind w:firstLine="420"/>
              <w:jc w:val="both"/>
              <w:rPr>
                <w:rFonts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1.满足《中华人民共和国政府采购法》第二十二条规定；</w:t>
            </w:r>
          </w:p>
          <w:p w14:paraId="7F29EFB5">
            <w:pPr>
              <w:pStyle w:val="20"/>
              <w:widowControl/>
              <w:spacing w:line="240" w:lineRule="auto"/>
              <w:ind w:firstLine="420"/>
              <w:jc w:val="both"/>
              <w:rPr>
                <w:rFonts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2.落实政府采购政策需满足的资格要求：本项目非专门面向中小企业采购；</w:t>
            </w:r>
          </w:p>
          <w:p w14:paraId="7FA18043">
            <w:pPr>
              <w:pStyle w:val="20"/>
              <w:widowControl/>
              <w:spacing w:line="240" w:lineRule="auto"/>
              <w:ind w:firstLine="420"/>
              <w:jc w:val="both"/>
              <w:rPr>
                <w:rFonts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3.本项目的特定资格要求：</w:t>
            </w:r>
          </w:p>
          <w:p w14:paraId="11C71E7F">
            <w:pPr>
              <w:pStyle w:val="20"/>
              <w:widowControl/>
              <w:spacing w:line="240" w:lineRule="auto"/>
              <w:ind w:firstLine="420"/>
              <w:jc w:val="both"/>
              <w:rPr>
                <w:rFonts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3.1潜在供应商须是在中华人民共和国境内登记注册具备独立法人资格或省级以上分公司资格（分公司投标必须取得总公司授权，只允许一家公司或分公司、分支机构参与），具有有效的营业执照和《经营保险业务许可证》，且为国家银行保险监督管理机构批准的财产保险公司；</w:t>
            </w:r>
          </w:p>
          <w:p w14:paraId="11F58752">
            <w:pPr>
              <w:pStyle w:val="20"/>
              <w:widowControl/>
              <w:spacing w:line="240" w:lineRule="auto"/>
              <w:ind w:firstLine="420"/>
              <w:jc w:val="both"/>
              <w:rPr>
                <w:rFonts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3.2潜在供应商具有良好的商业信誉和健全的财务会计制度，提供近三年（202</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zh-CN" w:eastAsia="zh-CN" w:bidi="ar-SA"/>
              </w:rPr>
              <w:t>年、202</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zh-CN" w:eastAsia="zh-CN" w:bidi="ar-SA"/>
              </w:rPr>
              <w:t>年、202</w:t>
            </w: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zh-CN" w:eastAsia="zh-CN" w:bidi="ar-SA"/>
              </w:rPr>
              <w:t>年）经第三方会计师事务所审计的完整财务审计报告。(近年成立企业提供成立之日起至202</w:t>
            </w: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zh-CN" w:eastAsia="zh-CN" w:bidi="ar-SA"/>
              </w:rPr>
              <w:t>年审计报告，如为202</w:t>
            </w: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zh-CN" w:eastAsia="zh-CN" w:bidi="ar-SA"/>
              </w:rPr>
              <w:t>年12月31日以后成立的企业，则需要提供财务状况良好承诺</w:t>
            </w:r>
            <w:r>
              <w:rPr>
                <w:rFonts w:hint="eastAsia" w:ascii="宋体" w:hAnsi="宋体" w:eastAsia="宋体" w:cs="宋体"/>
                <w:color w:val="auto"/>
                <w:kern w:val="2"/>
                <w:sz w:val="21"/>
                <w:szCs w:val="21"/>
                <w:lang w:val="en-US" w:eastAsia="zh-CN" w:bidi="ar-SA"/>
              </w:rPr>
              <w:t>书</w:t>
            </w:r>
            <w:r>
              <w:rPr>
                <w:rFonts w:hint="eastAsia" w:ascii="宋体" w:hAnsi="宋体" w:eastAsia="宋体" w:cs="宋体"/>
                <w:color w:val="auto"/>
                <w:kern w:val="2"/>
                <w:sz w:val="21"/>
                <w:szCs w:val="21"/>
                <w:lang w:val="zh-CN" w:eastAsia="zh-CN" w:bidi="ar-SA"/>
              </w:rPr>
              <w:t>)；</w:t>
            </w:r>
          </w:p>
          <w:p w14:paraId="35ACDD02">
            <w:pPr>
              <w:pStyle w:val="20"/>
              <w:widowControl/>
              <w:spacing w:line="240" w:lineRule="auto"/>
              <w:ind w:firstLine="420"/>
              <w:jc w:val="both"/>
              <w:rPr>
                <w:rFonts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3.3潜在的供应商应提供近半年内任意三个月的社会保险证明及企业近半年内任意三个月依法缴纳税收证明，依法免税和不需要缴纳社会保险的，应提供相应文件证明其依法免税及依法不需要缴纳社会保险；</w:t>
            </w:r>
          </w:p>
          <w:p w14:paraId="0E21188D">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4</w:t>
            </w:r>
            <w:r>
              <w:rPr>
                <w:rFonts w:hint="eastAsia" w:ascii="宋体" w:hAnsi="宋体" w:eastAsia="宋体" w:cs="宋体"/>
                <w:color w:val="auto"/>
                <w:kern w:val="0"/>
                <w:szCs w:val="21"/>
                <w:lang w:bidi="ar"/>
              </w:rPr>
              <w:t>信誉要求：</w:t>
            </w:r>
          </w:p>
          <w:p w14:paraId="1CE25B74">
            <w:pPr>
              <w:widowControl/>
              <w:spacing w:line="360" w:lineRule="auto"/>
              <w:ind w:firstLine="420" w:firstLineChars="200"/>
              <w:jc w:val="left"/>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（1）拒绝列入政府取消投标资格记录期间的企业或个人投标；</w:t>
            </w:r>
          </w:p>
          <w:p w14:paraId="0C218F7B">
            <w:pPr>
              <w:widowControl/>
              <w:spacing w:line="360" w:lineRule="auto"/>
              <w:ind w:firstLine="420" w:firstLineChars="200"/>
              <w:jc w:val="left"/>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（2）近三年内（</w:t>
            </w:r>
            <w:r>
              <w:rPr>
                <w:rFonts w:hint="eastAsia" w:ascii="宋体" w:hAnsi="宋体" w:eastAsia="宋体" w:cs="宋体"/>
                <w:color w:val="auto"/>
                <w:kern w:val="0"/>
                <w:szCs w:val="21"/>
                <w:lang w:val="en-US" w:eastAsia="zh-CN" w:bidi="ar"/>
              </w:rPr>
              <w:t>2023年至今</w:t>
            </w:r>
            <w:r>
              <w:rPr>
                <w:rFonts w:hint="eastAsia" w:ascii="宋体" w:hAnsi="宋体" w:eastAsia="宋体" w:cs="宋体"/>
                <w:color w:val="auto"/>
                <w:kern w:val="0"/>
                <w:szCs w:val="21"/>
                <w:lang w:eastAsia="zh-CN" w:bidi="ar"/>
              </w:rPr>
              <w:t>）在经营活动中没有重大违法记录；</w:t>
            </w:r>
          </w:p>
          <w:p w14:paraId="58DB4B6E">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（3）供应商不得为“信用中国 ”网站（www.creditchina.gov.cn）中列入重大税收违法失信主体</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供应商不得为“中国执行信息公开网</w:t>
            </w:r>
            <w:r>
              <w:rPr>
                <w:rFonts w:hint="eastAsia" w:ascii="宋体" w:hAnsi="宋体" w:eastAsia="宋体" w:cs="宋体"/>
                <w:color w:val="auto"/>
                <w:kern w:val="0"/>
                <w:szCs w:val="21"/>
                <w:lang w:eastAsia="zh-CN" w:bidi="ar"/>
              </w:rPr>
              <w:t>”网站（https://zxgk.court.gov.cn/）</w:t>
            </w:r>
            <w:r>
              <w:rPr>
                <w:rFonts w:hint="eastAsia" w:ascii="宋体" w:hAnsi="宋体" w:eastAsia="宋体" w:cs="宋体"/>
                <w:color w:val="auto"/>
                <w:kern w:val="0"/>
                <w:szCs w:val="21"/>
                <w:lang w:bidi="ar"/>
              </w:rPr>
              <w:t>中列入失信被执行人；不得为中国政府采购网（www.ccpg.gov.cn）政府采购严重违法失信行为记录名单中被财政部门禁止参加政府采购活动的供应商（在处罚决定规定的时间和地域范围内）（详见财库[2016]125 号）；不得为被“国家企业信用信息公示系统”网站（www.gsxt.gov.cn）列入行政处罚信息、经营异常名录信息和严重违法失信企业名单（黑名单）的供应商；</w:t>
            </w:r>
          </w:p>
          <w:p w14:paraId="679C2F13">
            <w:pPr>
              <w:widowControl/>
              <w:spacing w:line="360" w:lineRule="auto"/>
              <w:ind w:firstLine="420" w:firstLineChars="2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5</w:t>
            </w:r>
            <w:r>
              <w:rPr>
                <w:rFonts w:hint="eastAsia" w:ascii="宋体" w:hAnsi="宋体" w:eastAsia="宋体" w:cs="宋体"/>
                <w:color w:val="auto"/>
                <w:kern w:val="0"/>
                <w:szCs w:val="21"/>
                <w:lang w:bidi="ar"/>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15231E17">
            <w:pPr>
              <w:widowControl/>
              <w:spacing w:line="360" w:lineRule="auto"/>
              <w:ind w:firstLine="420" w:firstLineChars="200"/>
              <w:jc w:val="left"/>
              <w:rPr>
                <w:rFonts w:ascii="宋体" w:hAnsi="宋体" w:eastAsia="宋体" w:cs="宋体"/>
                <w:bCs/>
                <w:color w:val="auto"/>
                <w:szCs w:val="21"/>
                <w:lang w:val="zh-CN"/>
              </w:rPr>
            </w:pPr>
            <w:r>
              <w:rPr>
                <w:rFonts w:hint="eastAsia" w:ascii="宋体" w:hAnsi="宋体" w:eastAsia="宋体" w:cs="宋体"/>
                <w:color w:val="auto"/>
                <w:kern w:val="0"/>
                <w:szCs w:val="21"/>
                <w:lang w:bidi="ar"/>
              </w:rPr>
              <w:t>3.</w:t>
            </w:r>
            <w:r>
              <w:rPr>
                <w:rFonts w:hint="eastAsia" w:ascii="宋体" w:hAnsi="宋体" w:eastAsia="宋体" w:cs="宋体"/>
                <w:color w:val="auto"/>
                <w:kern w:val="0"/>
                <w:szCs w:val="21"/>
                <w:lang w:val="en-US" w:eastAsia="zh-CN" w:bidi="ar"/>
              </w:rPr>
              <w:t>6</w:t>
            </w:r>
            <w:r>
              <w:rPr>
                <w:rFonts w:hint="eastAsia" w:ascii="宋体" w:hAnsi="宋体" w:eastAsia="宋体" w:cs="宋体"/>
                <w:color w:val="auto"/>
                <w:kern w:val="0"/>
                <w:szCs w:val="21"/>
                <w:lang w:bidi="ar"/>
              </w:rPr>
              <w:t>招投标过程中，投标人所提供的所有证件均需在有效期内且注册单位名称与投标人的名称一致，如企业名称发生变更，需提供主管部门出具的变更证明材料，否则不接受其投标人参与本次招标项目的投标；</w:t>
            </w:r>
          </w:p>
        </w:tc>
      </w:tr>
      <w:tr w14:paraId="71CBA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532A6B9E">
            <w:pPr>
              <w:pStyle w:val="45"/>
              <w:snapToGrid w:val="0"/>
              <w:spacing w:before="36" w:beforeLines="15" w:line="240" w:lineRule="auto"/>
              <w:jc w:val="center"/>
              <w:rPr>
                <w:rFonts w:hAnsi="宋体"/>
                <w:color w:val="auto"/>
                <w:sz w:val="21"/>
                <w:szCs w:val="21"/>
              </w:rPr>
            </w:pPr>
            <w:r>
              <w:rPr>
                <w:rFonts w:hint="eastAsia" w:hAnsi="宋体"/>
                <w:color w:val="auto"/>
                <w:sz w:val="21"/>
                <w:szCs w:val="21"/>
              </w:rPr>
              <w:t>1.5</w:t>
            </w:r>
          </w:p>
        </w:tc>
        <w:tc>
          <w:tcPr>
            <w:tcW w:w="1944" w:type="dxa"/>
            <w:tcBorders>
              <w:top w:val="single" w:color="auto" w:sz="6" w:space="0"/>
              <w:bottom w:val="single" w:color="auto" w:sz="6" w:space="0"/>
            </w:tcBorders>
            <w:tcMar>
              <w:left w:w="0" w:type="dxa"/>
              <w:right w:w="0" w:type="dxa"/>
            </w:tcMar>
            <w:vAlign w:val="center"/>
          </w:tcPr>
          <w:p w14:paraId="220255D3">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是否接受联合体投标</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44FE4F8D">
            <w:pPr>
              <w:adjustRightInd w:val="0"/>
              <w:snapToGrid w:val="0"/>
              <w:spacing w:before="36" w:beforeLines="15" w:line="240" w:lineRule="auto"/>
              <w:ind w:left="105" w:leftChars="50"/>
              <w:jc w:val="left"/>
              <w:rPr>
                <w:rFonts w:ascii="宋体" w:hAnsi="宋体" w:eastAsia="宋体" w:cs="宋体"/>
                <w:color w:val="auto"/>
              </w:rPr>
            </w:pPr>
            <w:r>
              <w:rPr>
                <w:rFonts w:hint="eastAsia" w:ascii="宋体" w:hAnsi="宋体" w:eastAsia="宋体" w:cs="宋体"/>
                <w:color w:val="auto"/>
              </w:rPr>
              <w:t>不接受</w:t>
            </w:r>
          </w:p>
        </w:tc>
      </w:tr>
      <w:tr w14:paraId="40E960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6C06BB1D">
            <w:pPr>
              <w:pStyle w:val="45"/>
              <w:snapToGrid w:val="0"/>
              <w:spacing w:before="36" w:beforeLines="15" w:line="240" w:lineRule="auto"/>
              <w:jc w:val="center"/>
              <w:rPr>
                <w:rFonts w:hAnsi="宋体"/>
                <w:color w:val="auto"/>
                <w:sz w:val="21"/>
                <w:szCs w:val="21"/>
              </w:rPr>
            </w:pPr>
            <w:r>
              <w:rPr>
                <w:rFonts w:hint="eastAsia" w:hAnsi="宋体"/>
                <w:color w:val="auto"/>
                <w:sz w:val="21"/>
                <w:szCs w:val="21"/>
              </w:rPr>
              <w:t>1.6</w:t>
            </w:r>
          </w:p>
        </w:tc>
        <w:tc>
          <w:tcPr>
            <w:tcW w:w="1944" w:type="dxa"/>
            <w:tcBorders>
              <w:top w:val="single" w:color="auto" w:sz="6" w:space="0"/>
              <w:bottom w:val="single" w:color="auto" w:sz="6" w:space="0"/>
            </w:tcBorders>
            <w:tcMar>
              <w:left w:w="0" w:type="dxa"/>
              <w:right w:w="0" w:type="dxa"/>
            </w:tcMar>
            <w:vAlign w:val="center"/>
          </w:tcPr>
          <w:p w14:paraId="3D616336">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踏勘现场</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3410E30A">
            <w:pPr>
              <w:adjustRightInd w:val="0"/>
              <w:snapToGrid w:val="0"/>
              <w:spacing w:before="36" w:beforeLines="15" w:line="240" w:lineRule="auto"/>
              <w:ind w:left="105" w:leftChars="50"/>
              <w:jc w:val="left"/>
              <w:rPr>
                <w:rFonts w:ascii="宋体" w:hAnsi="宋体" w:eastAsia="宋体" w:cs="宋体"/>
                <w:color w:val="auto"/>
              </w:rPr>
            </w:pPr>
            <w:r>
              <w:rPr>
                <w:rFonts w:hint="eastAsia" w:ascii="宋体" w:hAnsi="宋体" w:eastAsia="宋体" w:cs="宋体"/>
                <w:color w:val="auto"/>
              </w:rPr>
              <w:t>不组织</w:t>
            </w:r>
          </w:p>
        </w:tc>
      </w:tr>
      <w:tr w14:paraId="74D1B5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70E5B1C5">
            <w:pPr>
              <w:pStyle w:val="45"/>
              <w:snapToGrid w:val="0"/>
              <w:spacing w:before="36" w:beforeLines="15" w:line="240" w:lineRule="auto"/>
              <w:jc w:val="center"/>
              <w:rPr>
                <w:rFonts w:hAnsi="宋体"/>
                <w:color w:val="auto"/>
                <w:sz w:val="21"/>
                <w:szCs w:val="21"/>
              </w:rPr>
            </w:pPr>
            <w:r>
              <w:rPr>
                <w:rFonts w:hint="eastAsia" w:hAnsi="宋体"/>
                <w:color w:val="auto"/>
                <w:sz w:val="21"/>
                <w:szCs w:val="21"/>
              </w:rPr>
              <w:t>1.7</w:t>
            </w:r>
          </w:p>
        </w:tc>
        <w:tc>
          <w:tcPr>
            <w:tcW w:w="1944" w:type="dxa"/>
            <w:tcBorders>
              <w:top w:val="single" w:color="auto" w:sz="6" w:space="0"/>
              <w:bottom w:val="single" w:color="auto" w:sz="6" w:space="0"/>
            </w:tcBorders>
            <w:tcMar>
              <w:left w:w="0" w:type="dxa"/>
              <w:right w:w="0" w:type="dxa"/>
            </w:tcMar>
            <w:vAlign w:val="center"/>
          </w:tcPr>
          <w:p w14:paraId="7E6EA338">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投标预备会</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5DE66AFB">
            <w:pPr>
              <w:adjustRightInd w:val="0"/>
              <w:snapToGrid w:val="0"/>
              <w:spacing w:before="36" w:beforeLines="15" w:line="240" w:lineRule="auto"/>
              <w:ind w:left="105" w:leftChars="50"/>
              <w:jc w:val="left"/>
              <w:rPr>
                <w:rFonts w:ascii="宋体" w:hAnsi="宋体" w:eastAsia="宋体" w:cs="宋体"/>
                <w:color w:val="auto"/>
              </w:rPr>
            </w:pPr>
            <w:r>
              <w:rPr>
                <w:rFonts w:hint="eastAsia" w:ascii="宋体" w:hAnsi="宋体" w:eastAsia="宋体" w:cs="宋体"/>
                <w:color w:val="auto"/>
              </w:rPr>
              <w:t>不召开</w:t>
            </w:r>
          </w:p>
        </w:tc>
      </w:tr>
      <w:tr w14:paraId="7639AD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14"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52455588">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1.8.1</w:t>
            </w:r>
          </w:p>
        </w:tc>
        <w:tc>
          <w:tcPr>
            <w:tcW w:w="1944" w:type="dxa"/>
            <w:tcBorders>
              <w:top w:val="single" w:color="auto" w:sz="6" w:space="0"/>
              <w:bottom w:val="single" w:color="auto" w:sz="6" w:space="0"/>
            </w:tcBorders>
            <w:tcMar>
              <w:left w:w="0" w:type="dxa"/>
              <w:right w:w="0" w:type="dxa"/>
            </w:tcMar>
            <w:vAlign w:val="center"/>
          </w:tcPr>
          <w:p w14:paraId="720878B5">
            <w:pPr>
              <w:adjustRightInd w:val="0"/>
              <w:snapToGrid w:val="0"/>
              <w:spacing w:line="240" w:lineRule="auto"/>
              <w:jc w:val="left"/>
              <w:rPr>
                <w:rFonts w:hint="eastAsia" w:ascii="宋体" w:hAnsi="宋体" w:cs="宋体"/>
                <w:highlight w:val="none"/>
              </w:rPr>
            </w:pPr>
            <w:r>
              <w:rPr>
                <w:rFonts w:hint="eastAsia" w:ascii="宋体" w:hAnsi="宋体" w:cs="宋体"/>
                <w:highlight w:val="none"/>
              </w:rPr>
              <w:t>投标人提出问题</w:t>
            </w:r>
          </w:p>
          <w:p w14:paraId="23E26828">
            <w:pPr>
              <w:adjustRightInd w:val="0"/>
              <w:snapToGrid w:val="0"/>
              <w:spacing w:line="240" w:lineRule="auto"/>
              <w:jc w:val="left"/>
              <w:rPr>
                <w:rFonts w:ascii="宋体" w:hAnsi="宋体" w:eastAsia="宋体" w:cs="宋体"/>
                <w:color w:val="auto"/>
                <w:kern w:val="0"/>
                <w:szCs w:val="21"/>
                <w:highlight w:val="none"/>
              </w:rPr>
            </w:pPr>
            <w:r>
              <w:rPr>
                <w:rFonts w:hint="eastAsia" w:ascii="宋体" w:hAnsi="宋体" w:cs="宋体"/>
                <w:highlight w:val="none"/>
              </w:rPr>
              <w:t>的截止时间</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0770115E">
            <w:pPr>
              <w:adjustRightInd w:val="0"/>
              <w:snapToGrid w:val="0"/>
              <w:spacing w:line="240" w:lineRule="auto"/>
              <w:jc w:val="left"/>
              <w:rPr>
                <w:rFonts w:hint="eastAsia" w:ascii="宋体" w:hAnsi="宋体" w:eastAsia="宋体" w:cs="宋体"/>
                <w:highlight w:val="none"/>
              </w:rPr>
            </w:pPr>
            <w:r>
              <w:rPr>
                <w:rFonts w:hint="eastAsia" w:ascii="宋体" w:hAnsi="宋体" w:eastAsia="宋体" w:cs="宋体"/>
                <w:highlight w:val="none"/>
              </w:rPr>
              <w:t>投标疑问的提出：</w:t>
            </w:r>
          </w:p>
          <w:p w14:paraId="4B9DAB5C">
            <w:pPr>
              <w:adjustRightInd w:val="0"/>
              <w:snapToGrid w:val="0"/>
              <w:spacing w:line="240" w:lineRule="auto"/>
              <w:jc w:val="left"/>
              <w:rPr>
                <w:rFonts w:hint="eastAsia" w:ascii="宋体" w:hAnsi="宋体" w:eastAsia="宋体" w:cs="宋体"/>
                <w:highlight w:val="none"/>
              </w:rPr>
            </w:pPr>
            <w:r>
              <w:rPr>
                <w:rFonts w:hint="eastAsia" w:ascii="宋体" w:hAnsi="宋体" w:eastAsia="宋体" w:cs="宋体"/>
                <w:highlight w:val="none"/>
              </w:rPr>
              <w:t>本次招标不召开答疑会，投标人有疑问请以书面形式提出。</w:t>
            </w:r>
          </w:p>
          <w:p w14:paraId="452F1B8F">
            <w:pPr>
              <w:adjustRightInd w:val="0"/>
              <w:snapToGrid w:val="0"/>
              <w:spacing w:line="240" w:lineRule="auto"/>
              <w:jc w:val="left"/>
              <w:rPr>
                <w:rFonts w:hint="eastAsia" w:ascii="宋体" w:hAnsi="宋体" w:eastAsia="宋体" w:cs="宋体"/>
                <w:highlight w:val="none"/>
              </w:rPr>
            </w:pPr>
            <w:r>
              <w:rPr>
                <w:rFonts w:hint="eastAsia" w:ascii="宋体" w:hAnsi="宋体" w:eastAsia="宋体" w:cs="宋体"/>
                <w:highlight w:val="none"/>
              </w:rPr>
              <w:t>投标人提出疑问的截止时间及方式：</w:t>
            </w:r>
          </w:p>
          <w:p w14:paraId="5E645197">
            <w:pPr>
              <w:adjustRightInd w:val="0"/>
              <w:snapToGrid w:val="0"/>
              <w:spacing w:line="240" w:lineRule="auto"/>
              <w:jc w:val="left"/>
              <w:rPr>
                <w:rFonts w:hint="eastAsia" w:ascii="宋体" w:hAnsi="宋体" w:eastAsia="宋体" w:cs="宋体"/>
                <w:highlight w:val="none"/>
              </w:rPr>
            </w:pPr>
            <w:r>
              <w:rPr>
                <w:rFonts w:hint="eastAsia" w:ascii="宋体" w:hAnsi="宋体" w:eastAsia="宋体" w:cs="宋体"/>
                <w:highlight w:val="none"/>
              </w:rPr>
              <w:t>投标截止时间10日前</w:t>
            </w:r>
          </w:p>
          <w:p w14:paraId="525758F4">
            <w:pPr>
              <w:adjustRightInd w:val="0"/>
              <w:snapToGrid w:val="0"/>
              <w:spacing w:line="240" w:lineRule="auto"/>
              <w:jc w:val="left"/>
              <w:rPr>
                <w:rFonts w:hint="eastAsia" w:ascii="宋体" w:hAnsi="宋体" w:eastAsia="宋体" w:cs="宋体"/>
                <w:highlight w:val="none"/>
                <w:lang w:val="zh-CN"/>
              </w:rPr>
            </w:pPr>
            <w:r>
              <w:rPr>
                <w:rFonts w:hint="eastAsia" w:ascii="宋体" w:hAnsi="宋体" w:eastAsia="宋体" w:cs="宋体"/>
                <w:highlight w:val="none"/>
                <w:lang w:val="zh-CN"/>
              </w:rPr>
              <w:t>提交地址：纸质文件提交至圣源祥保险经纪有限公司，同时提交word版本及加盖公章（鲜章）的PDF扫描件版本传至邮箱。</w:t>
            </w:r>
          </w:p>
          <w:p w14:paraId="56CD1BEC">
            <w:pPr>
              <w:adjustRightInd w:val="0"/>
              <w:snapToGrid w:val="0"/>
              <w:spacing w:line="240" w:lineRule="auto"/>
              <w:jc w:val="left"/>
              <w:rPr>
                <w:rFonts w:hint="eastAsia" w:ascii="宋体" w:hAnsi="宋体" w:eastAsia="宋体" w:cs="宋体"/>
                <w:highlight w:val="none"/>
                <w:lang w:val="zh-CN"/>
              </w:rPr>
            </w:pPr>
            <w:r>
              <w:rPr>
                <w:rFonts w:hint="eastAsia" w:ascii="宋体" w:hAnsi="宋体" w:eastAsia="宋体" w:cs="宋体"/>
                <w:highlight w:val="none"/>
                <w:lang w:val="zh-CN"/>
              </w:rPr>
              <w:t>联系人：</w:t>
            </w:r>
            <w:r>
              <w:rPr>
                <w:rFonts w:hint="eastAsia" w:ascii="宋体" w:hAnsi="宋体" w:eastAsia="宋体" w:cs="宋体"/>
                <w:highlight w:val="none"/>
                <w:lang w:val="en-US" w:eastAsia="zh-CN"/>
              </w:rPr>
              <w:t>姜</w:t>
            </w:r>
            <w:r>
              <w:rPr>
                <w:rFonts w:hint="eastAsia" w:ascii="宋体" w:hAnsi="宋体" w:eastAsia="宋体" w:cs="宋体"/>
                <w:highlight w:val="none"/>
                <w:lang w:val="zh-CN"/>
              </w:rPr>
              <w:t>女士</w:t>
            </w:r>
          </w:p>
          <w:p w14:paraId="67FE617A">
            <w:pPr>
              <w:adjustRightInd w:val="0"/>
              <w:snapToGrid w:val="0"/>
              <w:spacing w:line="240" w:lineRule="auto"/>
              <w:jc w:val="left"/>
              <w:rPr>
                <w:rFonts w:hint="eastAsia" w:ascii="宋体" w:hAnsi="宋体" w:eastAsia="宋体" w:cs="宋体"/>
                <w:highlight w:val="none"/>
                <w:lang w:val="zh-CN"/>
              </w:rPr>
            </w:pPr>
            <w:r>
              <w:rPr>
                <w:rFonts w:hint="eastAsia" w:ascii="宋体" w:hAnsi="宋体" w:eastAsia="宋体" w:cs="宋体"/>
                <w:highlight w:val="none"/>
                <w:lang w:val="zh-CN"/>
              </w:rPr>
              <w:t>电话：</w:t>
            </w:r>
            <w:r>
              <w:rPr>
                <w:rFonts w:hint="eastAsia" w:ascii="宋体" w:hAnsi="宋体" w:eastAsia="宋体" w:cs="宋体"/>
                <w:highlight w:val="none"/>
                <w:lang w:val="zh-CN" w:eastAsia="zh-CN"/>
              </w:rPr>
              <w:t>18143073398</w:t>
            </w:r>
          </w:p>
          <w:p w14:paraId="0A242501">
            <w:pPr>
              <w:adjustRightInd w:val="0"/>
              <w:snapToGrid w:val="0"/>
              <w:spacing w:line="240" w:lineRule="auto"/>
              <w:jc w:val="left"/>
              <w:rPr>
                <w:rFonts w:hint="eastAsia" w:ascii="宋体" w:hAnsi="宋体" w:eastAsia="宋体" w:cs="宋体"/>
                <w:highlight w:val="none"/>
              </w:rPr>
            </w:pPr>
            <w:r>
              <w:rPr>
                <w:rFonts w:hint="eastAsia" w:ascii="宋体" w:hAnsi="宋体" w:eastAsia="宋体" w:cs="宋体"/>
                <w:highlight w:val="none"/>
                <w:lang w:val="zh-CN"/>
              </w:rPr>
              <w:t>邮箱：xinyang.liu1221@qq.com</w:t>
            </w:r>
            <w:r>
              <w:rPr>
                <w:rFonts w:hint="eastAsia" w:ascii="宋体" w:hAnsi="宋体" w:eastAsia="宋体" w:cs="宋体"/>
                <w:highlight w:val="none"/>
              </w:rPr>
              <w:t xml:space="preserve">          </w:t>
            </w:r>
          </w:p>
          <w:p w14:paraId="72AFC8F1">
            <w:pPr>
              <w:adjustRightInd w:val="0"/>
              <w:snapToGrid w:val="0"/>
              <w:spacing w:line="240" w:lineRule="auto"/>
              <w:jc w:val="left"/>
              <w:rPr>
                <w:rFonts w:hint="eastAsia" w:ascii="宋体" w:hAnsi="宋体" w:eastAsia="宋体" w:cs="宋体"/>
                <w:highlight w:val="none"/>
                <w:lang w:val="zh-CN"/>
              </w:rPr>
            </w:pPr>
            <w:r>
              <w:rPr>
                <w:rFonts w:hint="eastAsia" w:ascii="宋体" w:hAnsi="宋体" w:eastAsia="宋体" w:cs="宋体"/>
                <w:highlight w:val="none"/>
                <w:lang w:val="zh-CN"/>
              </w:rPr>
              <w:t>用A4纸打印，一式二份，并加盖公章。</w:t>
            </w:r>
          </w:p>
          <w:p w14:paraId="697650C3">
            <w:pPr>
              <w:adjustRightInd w:val="0"/>
              <w:snapToGrid w:val="0"/>
              <w:spacing w:line="240" w:lineRule="auto"/>
              <w:jc w:val="left"/>
              <w:rPr>
                <w:color w:val="auto"/>
                <w:highlight w:val="none"/>
              </w:rPr>
            </w:pPr>
            <w:r>
              <w:rPr>
                <w:rFonts w:hint="eastAsia" w:ascii="宋体" w:hAnsi="宋体" w:eastAsia="宋体" w:cs="宋体"/>
                <w:highlight w:val="none"/>
                <w:lang w:val="zh-CN"/>
              </w:rPr>
              <w:t>若供应商未按规定提交投标疑问，则视为其无疑问。</w:t>
            </w:r>
          </w:p>
        </w:tc>
      </w:tr>
      <w:tr w14:paraId="133FE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95" w:type="dxa"/>
            <w:tcBorders>
              <w:top w:val="single" w:color="auto" w:sz="6" w:space="0"/>
              <w:left w:val="single" w:color="auto" w:sz="6" w:space="0"/>
              <w:bottom w:val="single" w:color="auto" w:sz="4" w:space="0"/>
            </w:tcBorders>
            <w:tcMar>
              <w:left w:w="0" w:type="dxa"/>
              <w:right w:w="0" w:type="dxa"/>
            </w:tcMar>
            <w:vAlign w:val="center"/>
          </w:tcPr>
          <w:p w14:paraId="4B649412">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1.8.2</w:t>
            </w:r>
          </w:p>
        </w:tc>
        <w:tc>
          <w:tcPr>
            <w:tcW w:w="1944" w:type="dxa"/>
            <w:tcBorders>
              <w:top w:val="single" w:color="auto" w:sz="6" w:space="0"/>
              <w:bottom w:val="single" w:color="auto" w:sz="6" w:space="0"/>
            </w:tcBorders>
            <w:tcMar>
              <w:left w:w="0" w:type="dxa"/>
              <w:right w:w="0" w:type="dxa"/>
            </w:tcMar>
            <w:vAlign w:val="center"/>
          </w:tcPr>
          <w:p w14:paraId="25890F35">
            <w:pPr>
              <w:pStyle w:val="45"/>
              <w:snapToGrid w:val="0"/>
              <w:spacing w:before="36" w:beforeLines="15" w:line="240" w:lineRule="auto"/>
              <w:jc w:val="center"/>
              <w:rPr>
                <w:rFonts w:hAnsi="宋体"/>
                <w:color w:val="auto"/>
                <w:sz w:val="21"/>
                <w:szCs w:val="21"/>
              </w:rPr>
            </w:pPr>
            <w:r>
              <w:rPr>
                <w:rFonts w:hint="eastAsia" w:hAnsi="宋体"/>
                <w:color w:val="auto"/>
                <w:sz w:val="21"/>
                <w:szCs w:val="21"/>
              </w:rPr>
              <w:t>采购人书面澄清的时间</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54BE059F">
            <w:pPr>
              <w:pStyle w:val="45"/>
              <w:snapToGrid w:val="0"/>
              <w:spacing w:before="36" w:beforeLines="15" w:line="240" w:lineRule="auto"/>
              <w:jc w:val="both"/>
              <w:rPr>
                <w:rFonts w:hAnsi="宋体"/>
                <w:color w:val="auto"/>
                <w:sz w:val="21"/>
                <w:szCs w:val="21"/>
              </w:rPr>
            </w:pPr>
            <w:r>
              <w:rPr>
                <w:rFonts w:hint="eastAsia" w:hAnsi="宋体"/>
                <w:color w:val="auto"/>
                <w:sz w:val="21"/>
                <w:szCs w:val="21"/>
              </w:rPr>
              <w:t>投标截止时间前15天</w:t>
            </w:r>
          </w:p>
        </w:tc>
      </w:tr>
      <w:tr w14:paraId="15623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4" w:space="0"/>
            </w:tcBorders>
            <w:tcMar>
              <w:left w:w="0" w:type="dxa"/>
              <w:right w:w="0" w:type="dxa"/>
            </w:tcMar>
            <w:vAlign w:val="center"/>
          </w:tcPr>
          <w:p w14:paraId="24699204">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1944" w:type="dxa"/>
            <w:tcBorders>
              <w:top w:val="single" w:color="auto" w:sz="6" w:space="0"/>
              <w:bottom w:val="single" w:color="auto" w:sz="6" w:space="0"/>
            </w:tcBorders>
            <w:tcMar>
              <w:left w:w="0" w:type="dxa"/>
              <w:right w:w="0" w:type="dxa"/>
            </w:tcMar>
            <w:vAlign w:val="center"/>
          </w:tcPr>
          <w:p w14:paraId="45FBC318">
            <w:pPr>
              <w:adjustRightInd w:val="0"/>
              <w:snapToGrid w:val="0"/>
              <w:spacing w:before="36" w:beforeLines="15" w:line="240" w:lineRule="auto"/>
              <w:jc w:val="center"/>
              <w:rPr>
                <w:rFonts w:ascii="宋体" w:hAnsi="宋体" w:eastAsia="宋体" w:cs="宋体"/>
                <w:color w:val="auto"/>
                <w:szCs w:val="21"/>
              </w:rPr>
            </w:pPr>
            <w:r>
              <w:rPr>
                <w:rFonts w:hint="eastAsia" w:ascii="宋体" w:hAnsi="宋体" w:eastAsia="宋体" w:cs="宋体"/>
                <w:color w:val="auto"/>
                <w:szCs w:val="21"/>
              </w:rPr>
              <w:t>偏离</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6CFE9739">
            <w:pPr>
              <w:pStyle w:val="45"/>
              <w:snapToGrid w:val="0"/>
              <w:spacing w:before="36" w:beforeLines="15" w:line="240" w:lineRule="auto"/>
              <w:jc w:val="both"/>
              <w:rPr>
                <w:rFonts w:hint="default" w:hAnsi="宋体" w:eastAsia="宋体"/>
                <w:color w:val="auto"/>
                <w:sz w:val="21"/>
                <w:szCs w:val="21"/>
                <w:lang w:val="en-US" w:eastAsia="zh-CN"/>
              </w:rPr>
            </w:pPr>
            <w:r>
              <w:rPr>
                <w:rFonts w:hint="eastAsia" w:hAnsi="宋体"/>
                <w:color w:val="auto"/>
                <w:sz w:val="21"/>
                <w:szCs w:val="21"/>
                <w:lang w:val="en-US" w:eastAsia="zh-CN"/>
              </w:rPr>
              <w:t>无偏离</w:t>
            </w:r>
          </w:p>
        </w:tc>
      </w:tr>
      <w:tr w14:paraId="6FE1CA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4" w:space="0"/>
            </w:tcBorders>
            <w:tcMar>
              <w:left w:w="0" w:type="dxa"/>
              <w:right w:w="0" w:type="dxa"/>
            </w:tcMar>
            <w:vAlign w:val="center"/>
          </w:tcPr>
          <w:p w14:paraId="41F60081">
            <w:pPr>
              <w:pStyle w:val="45"/>
              <w:snapToGrid w:val="0"/>
              <w:spacing w:before="36" w:beforeLines="15" w:line="240" w:lineRule="auto"/>
              <w:jc w:val="center"/>
              <w:rPr>
                <w:rFonts w:hAnsi="宋体"/>
                <w:color w:val="auto"/>
                <w:szCs w:val="21"/>
                <w:highlight w:val="yellow"/>
              </w:rPr>
            </w:pPr>
            <w:r>
              <w:rPr>
                <w:rFonts w:hint="eastAsia" w:hAnsi="宋体"/>
                <w:color w:val="auto"/>
                <w:sz w:val="21"/>
                <w:szCs w:val="21"/>
              </w:rPr>
              <w:t>2.1</w:t>
            </w:r>
          </w:p>
        </w:tc>
        <w:tc>
          <w:tcPr>
            <w:tcW w:w="1944" w:type="dxa"/>
            <w:tcBorders>
              <w:top w:val="single" w:color="auto" w:sz="6" w:space="0"/>
              <w:bottom w:val="single" w:color="auto" w:sz="6" w:space="0"/>
            </w:tcBorders>
            <w:tcMar>
              <w:left w:w="0" w:type="dxa"/>
              <w:right w:w="0" w:type="dxa"/>
            </w:tcMar>
            <w:vAlign w:val="center"/>
          </w:tcPr>
          <w:p w14:paraId="1E850DF0">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构成采购文件的</w:t>
            </w:r>
          </w:p>
          <w:p w14:paraId="33FA4EB3">
            <w:pPr>
              <w:adjustRightInd w:val="0"/>
              <w:snapToGrid w:val="0"/>
              <w:spacing w:before="36" w:beforeLines="15" w:line="240" w:lineRule="auto"/>
              <w:jc w:val="center"/>
              <w:rPr>
                <w:rFonts w:ascii="宋体" w:hAnsi="宋体" w:eastAsia="宋体" w:cs="宋体"/>
                <w:color w:val="auto"/>
                <w:szCs w:val="21"/>
                <w:highlight w:val="yellow"/>
              </w:rPr>
            </w:pPr>
            <w:r>
              <w:rPr>
                <w:rFonts w:hint="eastAsia" w:ascii="宋体" w:hAnsi="宋体" w:eastAsia="宋体" w:cs="宋体"/>
                <w:color w:val="auto"/>
                <w:kern w:val="0"/>
                <w:szCs w:val="21"/>
              </w:rPr>
              <w:t>其他材料</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2A0E4181">
            <w:pPr>
              <w:pStyle w:val="45"/>
              <w:snapToGrid w:val="0"/>
              <w:spacing w:before="36" w:beforeLines="15" w:line="240" w:lineRule="auto"/>
              <w:ind w:left="105" w:leftChars="50"/>
              <w:jc w:val="both"/>
              <w:rPr>
                <w:rFonts w:hAnsi="宋体"/>
                <w:color w:val="auto"/>
                <w:sz w:val="21"/>
                <w:szCs w:val="21"/>
                <w:highlight w:val="yellow"/>
              </w:rPr>
            </w:pPr>
            <w:r>
              <w:rPr>
                <w:rFonts w:hint="eastAsia" w:hAnsi="宋体"/>
                <w:bCs/>
                <w:color w:val="auto"/>
                <w:sz w:val="21"/>
                <w:szCs w:val="21"/>
              </w:rPr>
              <w:t>/</w:t>
            </w:r>
          </w:p>
        </w:tc>
      </w:tr>
      <w:tr w14:paraId="51441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895" w:type="dxa"/>
            <w:tcBorders>
              <w:top w:val="single" w:color="auto" w:sz="4" w:space="0"/>
              <w:left w:val="single" w:color="auto" w:sz="6" w:space="0"/>
              <w:bottom w:val="single" w:color="auto" w:sz="4" w:space="0"/>
            </w:tcBorders>
            <w:tcMar>
              <w:left w:w="0" w:type="dxa"/>
              <w:right w:w="0" w:type="dxa"/>
            </w:tcMar>
            <w:vAlign w:val="center"/>
          </w:tcPr>
          <w:p w14:paraId="51882B56">
            <w:pPr>
              <w:pStyle w:val="45"/>
              <w:snapToGrid w:val="0"/>
              <w:spacing w:before="36" w:beforeLines="15" w:line="240" w:lineRule="auto"/>
              <w:jc w:val="center"/>
              <w:rPr>
                <w:rFonts w:hAnsi="宋体"/>
                <w:color w:val="auto"/>
                <w:sz w:val="21"/>
                <w:szCs w:val="21"/>
              </w:rPr>
            </w:pPr>
            <w:r>
              <w:rPr>
                <w:rFonts w:hint="eastAsia" w:hAnsi="宋体"/>
                <w:color w:val="auto"/>
                <w:sz w:val="21"/>
                <w:szCs w:val="21"/>
              </w:rPr>
              <w:t>2.2</w:t>
            </w:r>
          </w:p>
        </w:tc>
        <w:tc>
          <w:tcPr>
            <w:tcW w:w="1944" w:type="dxa"/>
            <w:tcBorders>
              <w:top w:val="single" w:color="auto" w:sz="6" w:space="0"/>
              <w:bottom w:val="single" w:color="auto" w:sz="6" w:space="0"/>
            </w:tcBorders>
            <w:tcMar>
              <w:left w:w="0" w:type="dxa"/>
              <w:right w:w="0" w:type="dxa"/>
            </w:tcMar>
            <w:vAlign w:val="center"/>
          </w:tcPr>
          <w:p w14:paraId="47DCB294">
            <w:pPr>
              <w:autoSpaceDE w:val="0"/>
              <w:autoSpaceDN w:val="0"/>
              <w:adjustRightInd w:val="0"/>
              <w:snapToGrid w:val="0"/>
              <w:spacing w:line="240" w:lineRule="auto"/>
              <w:jc w:val="center"/>
              <w:rPr>
                <w:rFonts w:ascii="宋体" w:hAnsi="宋体" w:eastAsia="宋体" w:cs="宋体"/>
                <w:color w:val="auto"/>
                <w:kern w:val="0"/>
                <w:szCs w:val="21"/>
              </w:rPr>
            </w:pPr>
            <w:r>
              <w:rPr>
                <w:rFonts w:hint="eastAsia" w:ascii="宋体" w:hAnsi="宋体" w:eastAsia="宋体" w:cs="宋体"/>
                <w:bCs/>
                <w:color w:val="auto"/>
                <w:szCs w:val="21"/>
                <w:lang w:val="zh-CN"/>
              </w:rPr>
              <w:t>投标人确认收到采购文件澄清的时间</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2B99E782">
            <w:pPr>
              <w:snapToGrid w:val="0"/>
              <w:spacing w:line="240" w:lineRule="auto"/>
              <w:ind w:left="105" w:leftChars="50"/>
              <w:rPr>
                <w:rFonts w:ascii="宋体" w:hAnsi="宋体" w:eastAsia="宋体" w:cs="宋体"/>
                <w:color w:val="auto"/>
                <w:szCs w:val="21"/>
              </w:rPr>
            </w:pPr>
            <w:r>
              <w:rPr>
                <w:rFonts w:hint="eastAsia" w:ascii="宋体" w:hAnsi="宋体" w:eastAsia="宋体" w:cs="宋体"/>
                <w:color w:val="auto"/>
              </w:rPr>
              <w:t>在收到相应澄清文件后</w:t>
            </w:r>
            <w:r>
              <w:rPr>
                <w:rFonts w:hint="eastAsia" w:ascii="宋体" w:hAnsi="宋体" w:eastAsia="宋体" w:cs="宋体"/>
                <w:color w:val="auto"/>
                <w:u w:val="single"/>
              </w:rPr>
              <w:t>24</w:t>
            </w:r>
            <w:r>
              <w:rPr>
                <w:rFonts w:hint="eastAsia" w:ascii="宋体" w:hAnsi="宋体" w:eastAsia="宋体" w:cs="宋体"/>
                <w:color w:val="auto"/>
              </w:rPr>
              <w:t>小时内</w:t>
            </w:r>
          </w:p>
        </w:tc>
      </w:tr>
      <w:tr w14:paraId="6A070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6" w:space="0"/>
            </w:tcBorders>
            <w:tcMar>
              <w:left w:w="0" w:type="dxa"/>
              <w:right w:w="0" w:type="dxa"/>
            </w:tcMar>
            <w:vAlign w:val="center"/>
          </w:tcPr>
          <w:p w14:paraId="63EFC0BD">
            <w:pPr>
              <w:pStyle w:val="45"/>
              <w:snapToGrid w:val="0"/>
              <w:spacing w:before="36" w:beforeLines="15" w:line="240" w:lineRule="auto"/>
              <w:jc w:val="center"/>
              <w:rPr>
                <w:rFonts w:hAnsi="宋体"/>
                <w:color w:val="auto"/>
                <w:sz w:val="21"/>
                <w:szCs w:val="21"/>
              </w:rPr>
            </w:pPr>
            <w:r>
              <w:rPr>
                <w:rFonts w:hint="eastAsia" w:hAnsi="宋体"/>
                <w:color w:val="auto"/>
                <w:sz w:val="21"/>
                <w:szCs w:val="21"/>
              </w:rPr>
              <w:t>2.3</w:t>
            </w:r>
          </w:p>
        </w:tc>
        <w:tc>
          <w:tcPr>
            <w:tcW w:w="1944" w:type="dxa"/>
            <w:tcBorders>
              <w:top w:val="single" w:color="auto" w:sz="6" w:space="0"/>
            </w:tcBorders>
            <w:tcMar>
              <w:left w:w="0" w:type="dxa"/>
              <w:right w:w="0" w:type="dxa"/>
            </w:tcMar>
            <w:vAlign w:val="center"/>
          </w:tcPr>
          <w:p w14:paraId="4B3E39F8">
            <w:pPr>
              <w:autoSpaceDE w:val="0"/>
              <w:autoSpaceDN w:val="0"/>
              <w:adjustRightInd w:val="0"/>
              <w:snapToGrid w:val="0"/>
              <w:spacing w:line="24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投标人确认收到采购文件修改内容的时间</w:t>
            </w:r>
          </w:p>
        </w:tc>
        <w:tc>
          <w:tcPr>
            <w:tcW w:w="6374" w:type="dxa"/>
            <w:tcBorders>
              <w:top w:val="single" w:color="auto" w:sz="6" w:space="0"/>
              <w:right w:val="single" w:color="auto" w:sz="6" w:space="0"/>
            </w:tcBorders>
            <w:tcMar>
              <w:left w:w="0" w:type="dxa"/>
              <w:right w:w="0" w:type="dxa"/>
            </w:tcMar>
            <w:vAlign w:val="center"/>
          </w:tcPr>
          <w:p w14:paraId="74640331">
            <w:pPr>
              <w:snapToGrid w:val="0"/>
              <w:spacing w:line="240" w:lineRule="auto"/>
              <w:ind w:left="105" w:leftChars="50"/>
              <w:rPr>
                <w:rFonts w:ascii="宋体" w:hAnsi="宋体" w:eastAsia="宋体" w:cs="宋体"/>
                <w:bCs/>
                <w:color w:val="auto"/>
                <w:szCs w:val="21"/>
                <w:lang w:val="zh-CN"/>
              </w:rPr>
            </w:pPr>
            <w:r>
              <w:rPr>
                <w:rFonts w:hint="eastAsia" w:ascii="宋体" w:hAnsi="宋体" w:eastAsia="宋体" w:cs="宋体"/>
                <w:color w:val="auto"/>
              </w:rPr>
              <w:t>在收到相应澄清文件后</w:t>
            </w:r>
            <w:r>
              <w:rPr>
                <w:rFonts w:hint="eastAsia" w:ascii="宋体" w:hAnsi="宋体" w:eastAsia="宋体" w:cs="宋体"/>
                <w:color w:val="auto"/>
                <w:u w:val="single"/>
              </w:rPr>
              <w:t>24</w:t>
            </w:r>
            <w:r>
              <w:rPr>
                <w:rFonts w:hint="eastAsia" w:ascii="宋体" w:hAnsi="宋体" w:eastAsia="宋体" w:cs="宋体"/>
                <w:color w:val="auto"/>
              </w:rPr>
              <w:t>小时内</w:t>
            </w:r>
          </w:p>
        </w:tc>
      </w:tr>
      <w:tr w14:paraId="15E353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895" w:type="dxa"/>
            <w:tcBorders>
              <w:top w:val="single" w:color="auto" w:sz="4" w:space="0"/>
              <w:left w:val="single" w:color="auto" w:sz="6" w:space="0"/>
            </w:tcBorders>
            <w:tcMar>
              <w:left w:w="0" w:type="dxa"/>
              <w:right w:w="0" w:type="dxa"/>
            </w:tcMar>
            <w:vAlign w:val="center"/>
          </w:tcPr>
          <w:p w14:paraId="5944EDC9">
            <w:pPr>
              <w:pStyle w:val="45"/>
              <w:snapToGrid w:val="0"/>
              <w:spacing w:before="36" w:beforeLines="15" w:line="240" w:lineRule="auto"/>
              <w:jc w:val="center"/>
              <w:rPr>
                <w:rFonts w:hAnsi="宋体"/>
                <w:color w:val="auto"/>
                <w:sz w:val="21"/>
                <w:szCs w:val="21"/>
              </w:rPr>
            </w:pPr>
            <w:r>
              <w:rPr>
                <w:rFonts w:hint="eastAsia" w:hAnsi="宋体"/>
                <w:color w:val="auto"/>
                <w:sz w:val="21"/>
                <w:szCs w:val="21"/>
              </w:rPr>
              <w:t>3.1</w:t>
            </w:r>
          </w:p>
        </w:tc>
        <w:tc>
          <w:tcPr>
            <w:tcW w:w="1944" w:type="dxa"/>
            <w:tcBorders>
              <w:top w:val="single" w:color="auto" w:sz="6" w:space="0"/>
            </w:tcBorders>
            <w:tcMar>
              <w:left w:w="0" w:type="dxa"/>
              <w:right w:w="0" w:type="dxa"/>
            </w:tcMar>
            <w:vAlign w:val="center"/>
          </w:tcPr>
          <w:p w14:paraId="755317FD">
            <w:pPr>
              <w:adjustRightInd w:val="0"/>
              <w:snapToGrid w:val="0"/>
              <w:spacing w:before="36" w:beforeLines="15" w:line="240" w:lineRule="auto"/>
              <w:jc w:val="center"/>
              <w:rPr>
                <w:rFonts w:ascii="宋体" w:hAnsi="宋体" w:eastAsia="宋体" w:cs="宋体"/>
                <w:bCs/>
                <w:color w:val="auto"/>
                <w:szCs w:val="21"/>
                <w:lang w:val="zh-CN"/>
              </w:rPr>
            </w:pPr>
            <w:r>
              <w:rPr>
                <w:rFonts w:hint="eastAsia" w:ascii="宋体" w:hAnsi="宋体" w:eastAsia="宋体" w:cs="宋体"/>
                <w:color w:val="auto"/>
                <w:szCs w:val="21"/>
              </w:rPr>
              <w:t>构成投标文件的其他材料</w:t>
            </w:r>
          </w:p>
        </w:tc>
        <w:tc>
          <w:tcPr>
            <w:tcW w:w="6374" w:type="dxa"/>
            <w:tcBorders>
              <w:top w:val="single" w:color="auto" w:sz="6" w:space="0"/>
              <w:right w:val="single" w:color="auto" w:sz="6" w:space="0"/>
            </w:tcBorders>
            <w:tcMar>
              <w:left w:w="0" w:type="dxa"/>
              <w:right w:w="0" w:type="dxa"/>
            </w:tcMar>
            <w:vAlign w:val="center"/>
          </w:tcPr>
          <w:p w14:paraId="44C6C6E8">
            <w:pPr>
              <w:autoSpaceDE w:val="0"/>
              <w:autoSpaceDN w:val="0"/>
              <w:adjustRightInd w:val="0"/>
              <w:snapToGrid w:val="0"/>
              <w:spacing w:line="240" w:lineRule="auto"/>
              <w:ind w:left="105" w:leftChars="50"/>
              <w:rPr>
                <w:rFonts w:ascii="宋体" w:hAnsi="宋体" w:eastAsia="宋体" w:cs="宋体"/>
                <w:bCs/>
                <w:color w:val="auto"/>
                <w:szCs w:val="21"/>
                <w:lang w:val="zh-CN"/>
              </w:rPr>
            </w:pPr>
            <w:r>
              <w:rPr>
                <w:rFonts w:hint="eastAsia" w:ascii="宋体" w:hAnsi="宋体" w:eastAsia="宋体" w:cs="宋体"/>
                <w:color w:val="auto"/>
                <w:szCs w:val="21"/>
              </w:rPr>
              <w:t>/</w:t>
            </w:r>
          </w:p>
        </w:tc>
      </w:tr>
      <w:tr w14:paraId="5699E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4A91A72B">
            <w:pPr>
              <w:pStyle w:val="45"/>
              <w:snapToGrid w:val="0"/>
              <w:spacing w:before="36" w:beforeLines="15" w:line="240" w:lineRule="auto"/>
              <w:jc w:val="center"/>
              <w:rPr>
                <w:rFonts w:hAnsi="宋体"/>
                <w:color w:val="auto"/>
                <w:sz w:val="21"/>
                <w:szCs w:val="21"/>
              </w:rPr>
            </w:pPr>
            <w:r>
              <w:rPr>
                <w:rFonts w:hint="eastAsia" w:hAnsi="宋体"/>
                <w:color w:val="auto"/>
                <w:sz w:val="21"/>
                <w:szCs w:val="21"/>
              </w:rPr>
              <w:t>3.2.1</w:t>
            </w:r>
          </w:p>
        </w:tc>
        <w:tc>
          <w:tcPr>
            <w:tcW w:w="1944" w:type="dxa"/>
            <w:tcBorders>
              <w:top w:val="single" w:color="auto" w:sz="6" w:space="0"/>
            </w:tcBorders>
            <w:tcMar>
              <w:left w:w="0" w:type="dxa"/>
              <w:right w:w="0" w:type="dxa"/>
            </w:tcMar>
            <w:vAlign w:val="center"/>
          </w:tcPr>
          <w:p w14:paraId="275FC0D6">
            <w:pPr>
              <w:pStyle w:val="45"/>
              <w:snapToGrid w:val="0"/>
              <w:spacing w:before="36" w:beforeLines="15" w:line="240" w:lineRule="auto"/>
              <w:jc w:val="center"/>
              <w:rPr>
                <w:rFonts w:hAnsi="宋体"/>
                <w:color w:val="auto"/>
                <w:szCs w:val="21"/>
                <w:highlight w:val="none"/>
              </w:rPr>
            </w:pPr>
            <w:r>
              <w:rPr>
                <w:rFonts w:hint="eastAsia" w:hAnsi="宋体"/>
                <w:color w:val="auto"/>
                <w:kern w:val="2"/>
                <w:sz w:val="21"/>
                <w:szCs w:val="21"/>
                <w:highlight w:val="none"/>
                <w:lang w:val="zh-CN"/>
              </w:rPr>
              <w:t>采购预算</w:t>
            </w:r>
          </w:p>
        </w:tc>
        <w:tc>
          <w:tcPr>
            <w:tcW w:w="6374" w:type="dxa"/>
            <w:tcBorders>
              <w:top w:val="single" w:color="auto" w:sz="6" w:space="0"/>
              <w:right w:val="single" w:color="auto" w:sz="6" w:space="0"/>
            </w:tcBorders>
            <w:tcMar>
              <w:left w:w="0" w:type="dxa"/>
              <w:right w:w="0" w:type="dxa"/>
            </w:tcMar>
            <w:vAlign w:val="center"/>
          </w:tcPr>
          <w:p w14:paraId="27428D98">
            <w:pPr>
              <w:spacing w:line="24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1000万元</w:t>
            </w:r>
          </w:p>
        </w:tc>
      </w:tr>
      <w:tr w14:paraId="66773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64AC4F87">
            <w:pPr>
              <w:pStyle w:val="45"/>
              <w:snapToGrid w:val="0"/>
              <w:spacing w:before="36" w:beforeLines="15" w:line="240" w:lineRule="auto"/>
              <w:jc w:val="center"/>
              <w:rPr>
                <w:rFonts w:hAnsi="宋体"/>
                <w:color w:val="auto"/>
                <w:sz w:val="21"/>
                <w:szCs w:val="21"/>
              </w:rPr>
            </w:pPr>
            <w:r>
              <w:rPr>
                <w:rFonts w:hint="eastAsia" w:hAnsi="宋体"/>
                <w:color w:val="auto"/>
                <w:sz w:val="21"/>
                <w:szCs w:val="21"/>
              </w:rPr>
              <w:t>3.2.2</w:t>
            </w:r>
          </w:p>
        </w:tc>
        <w:tc>
          <w:tcPr>
            <w:tcW w:w="1944" w:type="dxa"/>
            <w:tcBorders>
              <w:top w:val="single" w:color="auto" w:sz="6" w:space="0"/>
            </w:tcBorders>
            <w:tcMar>
              <w:left w:w="0" w:type="dxa"/>
              <w:right w:w="0" w:type="dxa"/>
            </w:tcMar>
            <w:vAlign w:val="center"/>
          </w:tcPr>
          <w:p w14:paraId="68E98449">
            <w:pPr>
              <w:pStyle w:val="45"/>
              <w:snapToGrid w:val="0"/>
              <w:spacing w:before="36" w:beforeLines="15" w:line="240" w:lineRule="auto"/>
              <w:jc w:val="center"/>
              <w:rPr>
                <w:rFonts w:hAnsi="宋体"/>
                <w:color w:val="auto"/>
                <w:kern w:val="2"/>
                <w:sz w:val="21"/>
                <w:szCs w:val="21"/>
                <w:lang w:val="zh-CN"/>
              </w:rPr>
            </w:pPr>
            <w:r>
              <w:rPr>
                <w:rFonts w:hint="eastAsia" w:hAnsi="宋体"/>
                <w:bCs/>
                <w:color w:val="auto"/>
                <w:sz w:val="21"/>
                <w:szCs w:val="21"/>
                <w:lang w:val="zh-CN"/>
              </w:rPr>
              <w:t>投标报价的其他要求</w:t>
            </w:r>
          </w:p>
        </w:tc>
        <w:tc>
          <w:tcPr>
            <w:tcW w:w="6374" w:type="dxa"/>
            <w:tcBorders>
              <w:top w:val="single" w:color="auto" w:sz="6" w:space="0"/>
              <w:right w:val="single" w:color="auto" w:sz="6" w:space="0"/>
            </w:tcBorders>
            <w:tcMar>
              <w:left w:w="0" w:type="dxa"/>
              <w:right w:w="0" w:type="dxa"/>
            </w:tcMar>
            <w:vAlign w:val="center"/>
          </w:tcPr>
          <w:p w14:paraId="1C6215E8">
            <w:pPr>
              <w:spacing w:line="240" w:lineRule="auto"/>
              <w:ind w:firstLine="210" w:firstLineChars="100"/>
              <w:rPr>
                <w:rFonts w:ascii="宋体" w:hAnsi="宋体" w:eastAsia="宋体" w:cs="宋体"/>
                <w:color w:val="auto"/>
                <w:szCs w:val="21"/>
              </w:rPr>
            </w:pPr>
            <w:r>
              <w:rPr>
                <w:rFonts w:hint="eastAsia" w:ascii="宋体" w:hAnsi="宋体" w:eastAsia="宋体" w:cs="宋体"/>
                <w:color w:val="auto"/>
                <w:szCs w:val="21"/>
              </w:rPr>
              <w:t>/</w:t>
            </w:r>
          </w:p>
        </w:tc>
      </w:tr>
      <w:tr w14:paraId="53117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0D6E4493">
            <w:pPr>
              <w:pStyle w:val="45"/>
              <w:snapToGrid w:val="0"/>
              <w:spacing w:before="36" w:beforeLines="15" w:line="240" w:lineRule="auto"/>
              <w:jc w:val="center"/>
              <w:rPr>
                <w:rFonts w:hAnsi="宋体"/>
                <w:color w:val="auto"/>
                <w:sz w:val="21"/>
                <w:szCs w:val="21"/>
              </w:rPr>
            </w:pPr>
            <w:r>
              <w:rPr>
                <w:rFonts w:hint="eastAsia" w:hAnsi="宋体"/>
                <w:color w:val="auto"/>
                <w:sz w:val="21"/>
                <w:szCs w:val="21"/>
              </w:rPr>
              <w:t>3.3</w:t>
            </w:r>
          </w:p>
        </w:tc>
        <w:tc>
          <w:tcPr>
            <w:tcW w:w="1944" w:type="dxa"/>
            <w:tcBorders>
              <w:top w:val="single" w:color="auto" w:sz="6" w:space="0"/>
              <w:bottom w:val="single" w:color="auto" w:sz="6" w:space="0"/>
            </w:tcBorders>
            <w:tcMar>
              <w:left w:w="0" w:type="dxa"/>
              <w:right w:w="0" w:type="dxa"/>
            </w:tcMar>
            <w:vAlign w:val="center"/>
          </w:tcPr>
          <w:p w14:paraId="45B52AC7">
            <w:pPr>
              <w:adjustRightInd w:val="0"/>
              <w:snapToGrid w:val="0"/>
              <w:spacing w:before="36" w:beforeLines="15" w:line="240" w:lineRule="auto"/>
              <w:jc w:val="center"/>
              <w:rPr>
                <w:rFonts w:ascii="宋体" w:hAnsi="宋体" w:eastAsia="宋体" w:cs="宋体"/>
                <w:bCs/>
                <w:color w:val="auto"/>
                <w:szCs w:val="21"/>
                <w:lang w:val="zh-CN"/>
              </w:rPr>
            </w:pPr>
            <w:r>
              <w:rPr>
                <w:rFonts w:hint="eastAsia" w:ascii="宋体" w:hAnsi="宋体" w:eastAsia="宋体" w:cs="宋体"/>
                <w:color w:val="auto"/>
                <w:kern w:val="0"/>
                <w:szCs w:val="21"/>
              </w:rPr>
              <w:t>投标有效期</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06169996">
            <w:pPr>
              <w:adjustRightInd w:val="0"/>
              <w:snapToGrid w:val="0"/>
              <w:spacing w:line="240" w:lineRule="auto"/>
              <w:rPr>
                <w:rFonts w:ascii="宋体" w:hAnsi="宋体" w:eastAsia="宋体" w:cs="宋体"/>
                <w:color w:val="auto"/>
                <w:szCs w:val="21"/>
              </w:rPr>
            </w:pPr>
            <w:r>
              <w:rPr>
                <w:rFonts w:hint="eastAsia" w:ascii="宋体" w:hAnsi="宋体" w:eastAsia="宋体" w:cs="宋体"/>
                <w:bCs/>
                <w:color w:val="auto"/>
                <w:kern w:val="15"/>
                <w:szCs w:val="21"/>
              </w:rPr>
              <w:t>投标截止之日起</w:t>
            </w:r>
            <w:r>
              <w:rPr>
                <w:rFonts w:hint="eastAsia" w:ascii="宋体" w:hAnsi="宋体" w:eastAsia="宋体" w:cs="宋体"/>
                <w:bCs/>
                <w:color w:val="auto"/>
                <w:szCs w:val="21"/>
              </w:rPr>
              <w:t>90</w:t>
            </w:r>
            <w:r>
              <w:rPr>
                <w:rFonts w:hint="eastAsia" w:ascii="宋体" w:hAnsi="宋体" w:eastAsia="宋体" w:cs="宋体"/>
                <w:bCs/>
                <w:color w:val="auto"/>
                <w:szCs w:val="21"/>
                <w:lang w:val="zh-CN"/>
              </w:rPr>
              <w:t>天</w:t>
            </w:r>
          </w:p>
        </w:tc>
      </w:tr>
      <w:tr w14:paraId="79014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29983D2D">
            <w:pPr>
              <w:pStyle w:val="45"/>
              <w:snapToGrid w:val="0"/>
              <w:spacing w:before="36" w:beforeLines="15" w:line="240" w:lineRule="auto"/>
              <w:jc w:val="center"/>
              <w:rPr>
                <w:rFonts w:hAnsi="宋体"/>
                <w:color w:val="auto"/>
                <w:sz w:val="21"/>
                <w:szCs w:val="21"/>
              </w:rPr>
            </w:pPr>
            <w:r>
              <w:rPr>
                <w:rFonts w:hint="eastAsia" w:hAnsi="宋体"/>
                <w:color w:val="auto"/>
                <w:sz w:val="21"/>
                <w:szCs w:val="21"/>
              </w:rPr>
              <w:t>3.4</w:t>
            </w:r>
          </w:p>
        </w:tc>
        <w:tc>
          <w:tcPr>
            <w:tcW w:w="1944" w:type="dxa"/>
            <w:tcBorders>
              <w:top w:val="single" w:color="auto" w:sz="6" w:space="0"/>
              <w:bottom w:val="single" w:color="auto" w:sz="6" w:space="0"/>
            </w:tcBorders>
            <w:tcMar>
              <w:left w:w="0" w:type="dxa"/>
              <w:right w:w="0" w:type="dxa"/>
            </w:tcMar>
            <w:vAlign w:val="center"/>
          </w:tcPr>
          <w:p w14:paraId="2D4E26D4">
            <w:pPr>
              <w:adjustRightInd w:val="0"/>
              <w:snapToGrid w:val="0"/>
              <w:spacing w:before="36" w:beforeLines="15"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3F08DC0B">
            <w:pPr>
              <w:adjustRightInd w:val="0"/>
              <w:snapToGrid w:val="0"/>
              <w:spacing w:line="240" w:lineRule="auto"/>
              <w:jc w:val="left"/>
              <w:rPr>
                <w:rFonts w:hint="eastAsia" w:ascii="宋体" w:hAnsi="宋体" w:cs="宋体"/>
                <w:bCs/>
                <w:highlight w:val="none"/>
              </w:rPr>
            </w:pPr>
            <w:r>
              <w:rPr>
                <w:rFonts w:hint="eastAsia" w:ascii="宋体" w:hAnsi="宋体" w:cs="宋体"/>
                <w:bCs/>
                <w:highlight w:val="none"/>
              </w:rPr>
              <w:t>投标保证金的形式：以支票、汇票、本票或者金融机构、担保机构出具的保函等非现金形式提交</w:t>
            </w:r>
          </w:p>
          <w:p w14:paraId="51EE55BB">
            <w:pPr>
              <w:adjustRightInd w:val="0"/>
              <w:snapToGrid w:val="0"/>
              <w:spacing w:line="240" w:lineRule="auto"/>
              <w:jc w:val="left"/>
              <w:rPr>
                <w:rFonts w:hint="eastAsia" w:ascii="宋体" w:hAnsi="宋体" w:cs="宋体"/>
                <w:bCs/>
                <w:highlight w:val="none"/>
              </w:rPr>
            </w:pPr>
            <w:r>
              <w:rPr>
                <w:rFonts w:hint="eastAsia" w:ascii="宋体" w:hAnsi="宋体" w:cs="宋体"/>
                <w:bCs/>
                <w:highlight w:val="none"/>
              </w:rPr>
              <w:t>投标保证金的金额：</w:t>
            </w:r>
            <w:r>
              <w:rPr>
                <w:rFonts w:hint="eastAsia" w:ascii="宋体" w:hAnsi="宋体" w:cs="宋体"/>
                <w:bCs/>
                <w:highlight w:val="none"/>
                <w:lang w:val="en-US" w:eastAsia="zh-CN"/>
              </w:rPr>
              <w:t>3000</w:t>
            </w:r>
            <w:r>
              <w:rPr>
                <w:rFonts w:hint="eastAsia" w:ascii="宋体" w:hAnsi="宋体" w:cs="宋体"/>
                <w:bCs/>
                <w:highlight w:val="none"/>
              </w:rPr>
              <w:t xml:space="preserve">0.00元 </w:t>
            </w:r>
          </w:p>
          <w:p w14:paraId="3F5BC891">
            <w:pPr>
              <w:adjustRightInd w:val="0"/>
              <w:snapToGrid w:val="0"/>
              <w:spacing w:line="240" w:lineRule="auto"/>
              <w:jc w:val="left"/>
              <w:rPr>
                <w:rFonts w:hint="eastAsia" w:ascii="宋体" w:hAnsi="宋体" w:cs="宋体"/>
                <w:bCs/>
                <w:highlight w:val="none"/>
              </w:rPr>
            </w:pPr>
            <w:r>
              <w:rPr>
                <w:rFonts w:hint="eastAsia" w:ascii="宋体" w:hAnsi="宋体" w:cs="宋体"/>
                <w:bCs/>
                <w:highlight w:val="none"/>
              </w:rPr>
              <w:t>递交方式：</w:t>
            </w:r>
          </w:p>
          <w:p w14:paraId="3F2A3027">
            <w:pPr>
              <w:adjustRightInd w:val="0"/>
              <w:snapToGrid w:val="0"/>
              <w:spacing w:line="240" w:lineRule="auto"/>
              <w:jc w:val="left"/>
              <w:rPr>
                <w:rFonts w:hint="eastAsia" w:ascii="宋体" w:hAnsi="宋体" w:cs="宋体"/>
                <w:bCs/>
                <w:highlight w:val="none"/>
              </w:rPr>
            </w:pPr>
            <w:r>
              <w:rPr>
                <w:rFonts w:hint="eastAsia" w:ascii="宋体" w:hAnsi="宋体" w:cs="宋体"/>
                <w:bCs/>
                <w:highlight w:val="none"/>
              </w:rPr>
              <w:t>投标人须在投标文件递交的截止时间前（北京时间），以转账、电汇形式递交的投标保证金应当从投标单位的基本账户转出将投标保证金存入采购代理机构指定账户，银行进帐单或电汇凭证等凭证上应明确用途为【</w:t>
            </w:r>
            <w:r>
              <w:rPr>
                <w:rFonts w:hint="eastAsia" w:ascii="宋体" w:hAnsi="宋体" w:cs="宋体"/>
                <w:b/>
                <w:bCs w:val="0"/>
                <w:highlight w:val="none"/>
              </w:rPr>
              <w:t>投标保证金</w:t>
            </w:r>
            <w:r>
              <w:rPr>
                <w:rFonts w:hint="eastAsia" w:ascii="宋体" w:hAnsi="宋体" w:cs="宋体"/>
                <w:bCs/>
                <w:highlight w:val="none"/>
              </w:rPr>
              <w:t>】、项目名称，以便核对查实；以保函形式递交投标保证金的，保函原件须</w:t>
            </w:r>
            <w:r>
              <w:rPr>
                <w:rFonts w:hint="eastAsia" w:ascii="宋体" w:hAnsi="宋体" w:cs="宋体"/>
                <w:bCs/>
                <w:highlight w:val="none"/>
                <w:lang w:eastAsia="zh-CN"/>
              </w:rPr>
              <w:t>邮箱发送扫描件后邮寄至代理机构处</w:t>
            </w:r>
            <w:r>
              <w:rPr>
                <w:rFonts w:hint="eastAsia" w:ascii="宋体" w:hAnsi="宋体" w:cs="宋体"/>
                <w:bCs/>
                <w:highlight w:val="none"/>
              </w:rPr>
              <w:t>。投标保证金的确认以最终到帐日期为准。未按规定时间办理，投标将被拒绝。投标保证金有效期应当与投标有效期一致。</w:t>
            </w:r>
          </w:p>
          <w:p w14:paraId="3FEBDFCD">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cs="宋体"/>
                <w:bCs/>
                <w:highlight w:val="none"/>
              </w:rPr>
            </w:pPr>
            <w:r>
              <w:rPr>
                <w:rFonts w:hint="eastAsia" w:ascii="宋体" w:hAnsi="宋体" w:cs="宋体"/>
                <w:bCs/>
                <w:highlight w:val="none"/>
              </w:rPr>
              <w:t>名称：</w:t>
            </w:r>
            <w:r>
              <w:rPr>
                <w:rFonts w:hint="eastAsia" w:ascii="宋体" w:hAnsi="宋体" w:eastAsia="宋体" w:cs="宋体"/>
                <w:bCs/>
                <w:color w:val="auto"/>
                <w:kern w:val="15"/>
                <w:szCs w:val="21"/>
                <w:highlight w:val="none"/>
                <w:lang w:val="zh-CN"/>
              </w:rPr>
              <w:t>圣源祥保险经纪有限公司吉林分公司</w:t>
            </w:r>
            <w:r>
              <w:rPr>
                <w:rFonts w:hint="eastAsia" w:ascii="宋体" w:hAnsi="宋体" w:eastAsia="宋体" w:cs="宋体"/>
                <w:bCs/>
                <w:color w:val="auto"/>
                <w:kern w:val="15"/>
                <w:szCs w:val="21"/>
                <w:highlight w:val="none"/>
              </w:rPr>
              <w:t xml:space="preserve"> </w:t>
            </w:r>
            <w:r>
              <w:rPr>
                <w:rFonts w:hint="eastAsia" w:ascii="宋体" w:hAnsi="宋体" w:cs="宋体"/>
                <w:bCs/>
                <w:highlight w:val="none"/>
              </w:rPr>
              <w:t xml:space="preserve">  </w:t>
            </w:r>
          </w:p>
          <w:p w14:paraId="597E8F5D">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cs="宋体"/>
                <w:bCs/>
                <w:highlight w:val="none"/>
              </w:rPr>
            </w:pPr>
            <w:r>
              <w:rPr>
                <w:rFonts w:hint="eastAsia" w:ascii="宋体" w:hAnsi="宋体" w:cs="宋体"/>
                <w:bCs/>
                <w:highlight w:val="none"/>
              </w:rPr>
              <w:t>开户行账号</w:t>
            </w:r>
            <w:r>
              <w:rPr>
                <w:rFonts w:hint="eastAsia" w:ascii="宋体" w:hAnsi="宋体" w:cs="宋体"/>
                <w:bCs/>
                <w:highlight w:val="none"/>
                <w:lang w:eastAsia="zh-CN"/>
              </w:rPr>
              <w:t>：</w:t>
            </w:r>
            <w:r>
              <w:rPr>
                <w:rFonts w:hint="eastAsia" w:ascii="宋体" w:hAnsi="宋体" w:eastAsia="宋体" w:cs="宋体"/>
                <w:b/>
                <w:bCs w:val="0"/>
                <w:color w:val="auto"/>
                <w:kern w:val="15"/>
                <w:szCs w:val="21"/>
                <w:highlight w:val="none"/>
                <w:lang w:val="zh-CN"/>
              </w:rPr>
              <w:t>中国建设银行股份有限公司长春东南湖大路支行</w:t>
            </w:r>
          </w:p>
          <w:p w14:paraId="226C005C">
            <w:pPr>
              <w:spacing w:line="240" w:lineRule="auto"/>
              <w:ind w:left="105" w:leftChars="50"/>
              <w:rPr>
                <w:rFonts w:ascii="宋体" w:hAnsi="宋体" w:eastAsia="宋体" w:cs="宋体"/>
                <w:b/>
                <w:bCs w:val="0"/>
                <w:color w:val="auto"/>
                <w:kern w:val="15"/>
                <w:szCs w:val="21"/>
                <w:highlight w:val="none"/>
                <w:lang w:val="zh-CN"/>
              </w:rPr>
            </w:pPr>
            <w:r>
              <w:rPr>
                <w:rFonts w:hint="eastAsia" w:ascii="宋体" w:hAnsi="宋体" w:cs="宋体"/>
                <w:bCs/>
                <w:highlight w:val="none"/>
              </w:rPr>
              <w:t>账号：</w:t>
            </w:r>
            <w:r>
              <w:rPr>
                <w:rFonts w:hint="eastAsia" w:ascii="宋体" w:hAnsi="宋体" w:eastAsia="宋体" w:cs="宋体"/>
                <w:b/>
                <w:bCs w:val="0"/>
                <w:color w:val="auto"/>
                <w:kern w:val="15"/>
                <w:szCs w:val="21"/>
                <w:highlight w:val="none"/>
                <w:lang w:val="zh-CN"/>
              </w:rPr>
              <w:t>22050131007100000570</w:t>
            </w:r>
            <w:r>
              <w:rPr>
                <w:rFonts w:hint="eastAsia" w:ascii="宋体" w:hAnsi="宋体" w:eastAsia="宋体" w:cs="宋体"/>
                <w:b/>
                <w:bCs w:val="0"/>
                <w:color w:val="auto"/>
                <w:kern w:val="15"/>
                <w:szCs w:val="21"/>
                <w:highlight w:val="none"/>
              </w:rPr>
              <w:t xml:space="preserve"> </w:t>
            </w:r>
          </w:p>
          <w:p w14:paraId="43EB99CB">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highlight w:val="none"/>
              </w:rPr>
            </w:pPr>
            <w:r>
              <w:rPr>
                <w:rFonts w:hint="eastAsia" w:ascii="宋体" w:hAnsi="宋体" w:eastAsia="宋体" w:cs="宋体"/>
                <w:bCs/>
                <w:highlight w:val="none"/>
              </w:rPr>
              <w:t>注：各投标单位应在汇款时认真核对收款单位、开户行名称、账号准确无误，确保保证金按时到账，否则后果自负。</w:t>
            </w:r>
          </w:p>
          <w:p w14:paraId="50C81BA6">
            <w:pPr>
              <w:spacing w:line="240" w:lineRule="auto"/>
              <w:ind w:left="105" w:leftChars="50"/>
              <w:rPr>
                <w:rFonts w:ascii="宋体" w:hAnsi="宋体" w:eastAsia="宋体" w:cs="宋体"/>
                <w:bCs/>
                <w:color w:val="auto"/>
                <w:szCs w:val="21"/>
                <w:highlight w:val="none"/>
                <w:lang w:val="zh-CN"/>
              </w:rPr>
            </w:pPr>
            <w:r>
              <w:rPr>
                <w:rFonts w:hint="eastAsia" w:ascii="宋体" w:hAnsi="宋体" w:eastAsia="宋体" w:cs="宋体"/>
                <w:bCs/>
                <w:highlight w:val="none"/>
              </w:rPr>
              <w:t>投标保证金应写明</w:t>
            </w:r>
            <w:r>
              <w:rPr>
                <w:rFonts w:hint="eastAsia" w:ascii="宋体" w:hAnsi="宋体" w:eastAsia="宋体" w:cs="宋体"/>
                <w:bCs/>
                <w:highlight w:val="none"/>
                <w:lang w:eastAsia="zh-CN"/>
              </w:rPr>
              <w:t>项目名称</w:t>
            </w:r>
            <w:r>
              <w:rPr>
                <w:rFonts w:hint="eastAsia" w:ascii="宋体" w:hAnsi="宋体" w:eastAsia="宋体" w:cs="宋体"/>
                <w:bCs/>
                <w:highlight w:val="none"/>
              </w:rPr>
              <w:t>(</w:t>
            </w:r>
            <w:r>
              <w:rPr>
                <w:rFonts w:hint="eastAsia" w:ascii="宋体" w:hAnsi="宋体" w:eastAsia="宋体" w:cs="宋体"/>
                <w:bCs/>
                <w:highlight w:val="none"/>
                <w:lang w:eastAsia="zh-CN"/>
              </w:rPr>
              <w:t>可简写</w:t>
            </w:r>
            <w:r>
              <w:rPr>
                <w:rFonts w:hint="eastAsia" w:ascii="宋体" w:hAnsi="宋体" w:eastAsia="宋体" w:cs="宋体"/>
                <w:bCs/>
                <w:highlight w:val="none"/>
              </w:rPr>
              <w:t>)，并于提交投标文件截止时间前将电汇或转账凭证（或保函、银行汇票等保证金递交凭证）、基本账户信息（完整清晰）以电子档扫描发送到采购代理机构邮箱“xinyang.liu1221@qq.com”邮箱中，如不及时发送，后果投标人自行负责。否则后果自负。</w:t>
            </w:r>
          </w:p>
        </w:tc>
      </w:tr>
      <w:tr w14:paraId="4C477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895" w:type="dxa"/>
            <w:tcBorders>
              <w:top w:val="single" w:color="auto" w:sz="6" w:space="0"/>
              <w:left w:val="single" w:color="auto" w:sz="6" w:space="0"/>
            </w:tcBorders>
            <w:tcMar>
              <w:left w:w="0" w:type="dxa"/>
              <w:right w:w="0" w:type="dxa"/>
            </w:tcMar>
            <w:vAlign w:val="center"/>
          </w:tcPr>
          <w:p w14:paraId="4F25E85E">
            <w:pPr>
              <w:spacing w:line="240" w:lineRule="auto"/>
              <w:jc w:val="center"/>
              <w:rPr>
                <w:rFonts w:ascii="宋体" w:hAnsi="宋体" w:eastAsia="宋体" w:cs="宋体"/>
                <w:color w:val="auto"/>
                <w:szCs w:val="21"/>
              </w:rPr>
            </w:pPr>
            <w:r>
              <w:rPr>
                <w:rFonts w:hint="eastAsia" w:ascii="宋体" w:hAnsi="宋体" w:eastAsia="宋体" w:cs="宋体"/>
                <w:color w:val="auto"/>
                <w:szCs w:val="21"/>
              </w:rPr>
              <w:t>3.5.1</w:t>
            </w:r>
          </w:p>
        </w:tc>
        <w:tc>
          <w:tcPr>
            <w:tcW w:w="1944" w:type="dxa"/>
            <w:tcBorders>
              <w:top w:val="single" w:color="auto" w:sz="6" w:space="0"/>
              <w:bottom w:val="single" w:color="auto" w:sz="6" w:space="0"/>
            </w:tcBorders>
            <w:tcMar>
              <w:left w:w="0" w:type="dxa"/>
              <w:right w:w="0" w:type="dxa"/>
            </w:tcMar>
            <w:vAlign w:val="center"/>
          </w:tcPr>
          <w:p w14:paraId="51BDCD74">
            <w:pPr>
              <w:spacing w:line="240" w:lineRule="auto"/>
              <w:jc w:val="center"/>
              <w:rPr>
                <w:rFonts w:ascii="宋体" w:hAnsi="宋体" w:eastAsia="宋体" w:cs="宋体"/>
                <w:color w:val="auto"/>
                <w:kern w:val="0"/>
                <w:szCs w:val="21"/>
              </w:rPr>
            </w:pPr>
            <w:r>
              <w:rPr>
                <w:rFonts w:hint="eastAsia" w:ascii="宋体" w:hAnsi="宋体" w:eastAsia="宋体" w:cs="宋体"/>
                <w:color w:val="auto"/>
                <w:szCs w:val="21"/>
              </w:rPr>
              <w:t>近年财务状况的年份要求</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68A70DB4">
            <w:pPr>
              <w:spacing w:line="240" w:lineRule="auto"/>
              <w:ind w:left="105" w:leftChars="50"/>
              <w:rPr>
                <w:rFonts w:ascii="宋体" w:hAnsi="宋体" w:eastAsia="宋体" w:cs="宋体"/>
                <w:bCs/>
                <w:color w:val="auto"/>
                <w:kern w:val="15"/>
                <w:szCs w:val="21"/>
              </w:rPr>
            </w:pPr>
            <w:r>
              <w:rPr>
                <w:rFonts w:hint="eastAsia" w:ascii="宋体" w:hAnsi="宋体" w:eastAsia="宋体" w:cs="宋体"/>
                <w:bCs/>
                <w:color w:val="auto"/>
                <w:kern w:val="15"/>
                <w:szCs w:val="21"/>
              </w:rPr>
              <w:t>近三年（</w:t>
            </w:r>
            <w:r>
              <w:rPr>
                <w:rFonts w:hint="eastAsia" w:ascii="宋体" w:hAnsi="宋体" w:eastAsia="宋体" w:cs="宋体"/>
                <w:bCs/>
                <w:color w:val="auto"/>
                <w:kern w:val="15"/>
                <w:szCs w:val="21"/>
                <w:lang w:eastAsia="zh-CN"/>
              </w:rPr>
              <w:t>202</w:t>
            </w:r>
            <w:r>
              <w:rPr>
                <w:rFonts w:hint="eastAsia" w:ascii="宋体" w:hAnsi="宋体" w:eastAsia="宋体" w:cs="宋体"/>
                <w:bCs/>
                <w:color w:val="auto"/>
                <w:kern w:val="15"/>
                <w:szCs w:val="21"/>
                <w:lang w:val="en-US" w:eastAsia="zh-CN"/>
              </w:rPr>
              <w:t>3</w:t>
            </w:r>
            <w:r>
              <w:rPr>
                <w:rFonts w:hint="eastAsia" w:ascii="宋体" w:hAnsi="宋体" w:eastAsia="宋体" w:cs="宋体"/>
                <w:bCs/>
                <w:color w:val="auto"/>
                <w:kern w:val="15"/>
                <w:szCs w:val="21"/>
                <w:lang w:eastAsia="zh-CN"/>
              </w:rPr>
              <w:t>年、202</w:t>
            </w:r>
            <w:r>
              <w:rPr>
                <w:rFonts w:hint="eastAsia" w:ascii="宋体" w:hAnsi="宋体" w:eastAsia="宋体" w:cs="宋体"/>
                <w:bCs/>
                <w:color w:val="auto"/>
                <w:kern w:val="15"/>
                <w:szCs w:val="21"/>
                <w:lang w:val="en-US" w:eastAsia="zh-CN"/>
              </w:rPr>
              <w:t>4</w:t>
            </w:r>
            <w:r>
              <w:rPr>
                <w:rFonts w:hint="eastAsia" w:ascii="宋体" w:hAnsi="宋体" w:eastAsia="宋体" w:cs="宋体"/>
                <w:bCs/>
                <w:color w:val="auto"/>
                <w:kern w:val="15"/>
                <w:szCs w:val="21"/>
                <w:lang w:eastAsia="zh-CN"/>
              </w:rPr>
              <w:t>年、202</w:t>
            </w:r>
            <w:r>
              <w:rPr>
                <w:rFonts w:hint="eastAsia" w:ascii="宋体" w:hAnsi="宋体" w:eastAsia="宋体" w:cs="宋体"/>
                <w:bCs/>
                <w:color w:val="auto"/>
                <w:kern w:val="15"/>
                <w:szCs w:val="21"/>
                <w:lang w:val="en-US" w:eastAsia="zh-CN"/>
              </w:rPr>
              <w:t>5</w:t>
            </w:r>
            <w:r>
              <w:rPr>
                <w:rFonts w:hint="eastAsia" w:ascii="宋体" w:hAnsi="宋体" w:eastAsia="宋体" w:cs="宋体"/>
                <w:bCs/>
                <w:color w:val="auto"/>
                <w:kern w:val="15"/>
                <w:szCs w:val="21"/>
                <w:lang w:eastAsia="zh-CN"/>
              </w:rPr>
              <w:t>年</w:t>
            </w:r>
            <w:r>
              <w:rPr>
                <w:rFonts w:hint="eastAsia" w:ascii="宋体" w:hAnsi="宋体" w:eastAsia="宋体" w:cs="宋体"/>
                <w:bCs/>
                <w:color w:val="auto"/>
                <w:kern w:val="15"/>
                <w:szCs w:val="21"/>
              </w:rPr>
              <w:t>）</w:t>
            </w:r>
          </w:p>
        </w:tc>
      </w:tr>
      <w:tr w14:paraId="780D2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95" w:type="dxa"/>
            <w:tcBorders>
              <w:left w:val="single" w:color="auto" w:sz="6" w:space="0"/>
            </w:tcBorders>
            <w:tcMar>
              <w:left w:w="0" w:type="dxa"/>
              <w:right w:w="0" w:type="dxa"/>
            </w:tcMar>
            <w:vAlign w:val="center"/>
          </w:tcPr>
          <w:p w14:paraId="6DFA049D">
            <w:pPr>
              <w:spacing w:line="240" w:lineRule="auto"/>
              <w:jc w:val="center"/>
              <w:rPr>
                <w:rFonts w:ascii="宋体" w:hAnsi="宋体" w:eastAsia="宋体" w:cs="宋体"/>
                <w:color w:val="auto"/>
                <w:szCs w:val="21"/>
              </w:rPr>
            </w:pPr>
            <w:r>
              <w:rPr>
                <w:rFonts w:hint="eastAsia" w:ascii="宋体" w:hAnsi="宋体" w:eastAsia="宋体" w:cs="宋体"/>
                <w:color w:val="auto"/>
                <w:szCs w:val="21"/>
              </w:rPr>
              <w:t>3.5.2</w:t>
            </w:r>
          </w:p>
        </w:tc>
        <w:tc>
          <w:tcPr>
            <w:tcW w:w="1944" w:type="dxa"/>
            <w:tcBorders>
              <w:top w:val="single" w:color="auto" w:sz="6" w:space="0"/>
            </w:tcBorders>
            <w:tcMar>
              <w:left w:w="0" w:type="dxa"/>
              <w:right w:w="0" w:type="dxa"/>
            </w:tcMar>
            <w:vAlign w:val="center"/>
          </w:tcPr>
          <w:p w14:paraId="1DBA13B1">
            <w:pPr>
              <w:spacing w:line="240" w:lineRule="auto"/>
              <w:jc w:val="center"/>
              <w:rPr>
                <w:rFonts w:ascii="宋体" w:hAnsi="宋体" w:eastAsia="宋体" w:cs="宋体"/>
                <w:color w:val="auto"/>
                <w:szCs w:val="21"/>
              </w:rPr>
            </w:pPr>
            <w:r>
              <w:rPr>
                <w:rFonts w:hint="eastAsia" w:ascii="宋体" w:hAnsi="宋体" w:eastAsia="宋体" w:cs="宋体"/>
                <w:color w:val="auto"/>
              </w:rPr>
              <w:t>依法缴纳税收和社保保障资金的年份要求</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5EA67940">
            <w:pPr>
              <w:spacing w:line="240" w:lineRule="auto"/>
              <w:ind w:left="105" w:leftChars="50"/>
              <w:rPr>
                <w:rFonts w:ascii="宋体" w:hAnsi="宋体" w:eastAsia="宋体" w:cs="宋体"/>
                <w:color w:val="auto"/>
                <w:szCs w:val="21"/>
              </w:rPr>
            </w:pPr>
            <w:r>
              <w:rPr>
                <w:rFonts w:hint="eastAsia" w:ascii="宋体" w:hAnsi="宋体" w:eastAsia="宋体" w:cs="宋体"/>
                <w:color w:val="auto"/>
                <w:szCs w:val="21"/>
              </w:rPr>
              <w:t>近半年内任意三个月</w:t>
            </w:r>
          </w:p>
        </w:tc>
      </w:tr>
      <w:tr w14:paraId="190F80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1556755A">
            <w:pPr>
              <w:pStyle w:val="45"/>
              <w:snapToGrid w:val="0"/>
              <w:spacing w:before="36" w:beforeLines="15" w:line="240" w:lineRule="auto"/>
              <w:jc w:val="center"/>
              <w:rPr>
                <w:rFonts w:hAnsi="宋体"/>
                <w:color w:val="auto"/>
                <w:szCs w:val="21"/>
              </w:rPr>
            </w:pPr>
            <w:r>
              <w:rPr>
                <w:rFonts w:hint="eastAsia" w:hAnsi="宋体"/>
                <w:color w:val="auto"/>
                <w:sz w:val="21"/>
                <w:szCs w:val="21"/>
              </w:rPr>
              <w:t>3.6</w:t>
            </w:r>
          </w:p>
        </w:tc>
        <w:tc>
          <w:tcPr>
            <w:tcW w:w="1944" w:type="dxa"/>
            <w:tcBorders>
              <w:top w:val="single" w:color="auto" w:sz="6" w:space="0"/>
              <w:bottom w:val="single" w:color="auto" w:sz="6" w:space="0"/>
            </w:tcBorders>
            <w:tcMar>
              <w:left w:w="0" w:type="dxa"/>
              <w:right w:w="0" w:type="dxa"/>
            </w:tcMar>
            <w:vAlign w:val="center"/>
          </w:tcPr>
          <w:p w14:paraId="594D1177">
            <w:pPr>
              <w:spacing w:line="240" w:lineRule="auto"/>
              <w:jc w:val="center"/>
              <w:rPr>
                <w:rFonts w:ascii="宋体" w:hAnsi="宋体" w:eastAsia="宋体" w:cs="宋体"/>
                <w:color w:val="auto"/>
                <w:szCs w:val="21"/>
              </w:rPr>
            </w:pPr>
            <w:r>
              <w:rPr>
                <w:rFonts w:hint="eastAsia" w:ascii="宋体" w:hAnsi="宋体" w:eastAsia="宋体" w:cs="宋体"/>
                <w:color w:val="auto"/>
                <w:szCs w:val="21"/>
              </w:rPr>
              <w:t>是否允许递交备选投标方案</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12519F76">
            <w:pPr>
              <w:pStyle w:val="45"/>
              <w:snapToGrid w:val="0"/>
              <w:spacing w:before="36" w:beforeLines="15" w:line="240" w:lineRule="auto"/>
              <w:ind w:left="105" w:leftChars="50"/>
              <w:jc w:val="both"/>
              <w:rPr>
                <w:rFonts w:hAnsi="宋体"/>
                <w:color w:val="auto"/>
              </w:rPr>
            </w:pPr>
            <w:r>
              <w:rPr>
                <w:rFonts w:hint="eastAsia" w:hAnsi="宋体"/>
                <w:color w:val="auto"/>
                <w:sz w:val="21"/>
                <w:szCs w:val="21"/>
              </w:rPr>
              <w:t>不允许</w:t>
            </w:r>
          </w:p>
        </w:tc>
      </w:tr>
      <w:tr w14:paraId="1F2FA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1B70D787">
            <w:pPr>
              <w:pStyle w:val="45"/>
              <w:snapToGrid w:val="0"/>
              <w:spacing w:before="36" w:beforeLines="15" w:line="240" w:lineRule="auto"/>
              <w:jc w:val="center"/>
              <w:rPr>
                <w:rFonts w:hAnsi="宋体"/>
                <w:color w:val="auto"/>
                <w:sz w:val="21"/>
                <w:szCs w:val="21"/>
              </w:rPr>
            </w:pPr>
            <w:r>
              <w:rPr>
                <w:rFonts w:hint="eastAsia" w:hAnsi="宋体"/>
                <w:color w:val="auto"/>
                <w:sz w:val="21"/>
                <w:szCs w:val="21"/>
              </w:rPr>
              <w:t>3.7.1</w:t>
            </w:r>
          </w:p>
        </w:tc>
        <w:tc>
          <w:tcPr>
            <w:tcW w:w="1944" w:type="dxa"/>
            <w:tcBorders>
              <w:top w:val="single" w:color="auto" w:sz="6" w:space="0"/>
              <w:bottom w:val="single" w:color="auto" w:sz="6" w:space="0"/>
            </w:tcBorders>
            <w:tcMar>
              <w:left w:w="0" w:type="dxa"/>
              <w:right w:w="0" w:type="dxa"/>
            </w:tcMar>
            <w:vAlign w:val="center"/>
          </w:tcPr>
          <w:p w14:paraId="234C701C">
            <w:pPr>
              <w:adjustRightInd w:val="0"/>
              <w:snapToGrid w:val="0"/>
              <w:spacing w:line="240" w:lineRule="auto"/>
              <w:jc w:val="center"/>
              <w:rPr>
                <w:rFonts w:hAnsi="宋体"/>
                <w:color w:val="auto"/>
                <w:szCs w:val="21"/>
              </w:rPr>
            </w:pPr>
            <w:r>
              <w:rPr>
                <w:rFonts w:hint="eastAsia" w:ascii="宋体" w:hAnsi="宋体" w:cs="宋体"/>
                <w:highlight w:val="none"/>
              </w:rPr>
              <w:t>签字或盖章要求</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726E8E82">
            <w:pPr>
              <w:adjustRightInd w:val="0"/>
              <w:snapToGrid w:val="0"/>
              <w:spacing w:line="240" w:lineRule="auto"/>
              <w:jc w:val="left"/>
              <w:rPr>
                <w:rFonts w:ascii="宋体" w:hAnsi="宋体" w:eastAsia="宋体" w:cs="宋体"/>
                <w:color w:val="auto"/>
                <w:szCs w:val="21"/>
              </w:rPr>
            </w:pPr>
            <w:r>
              <w:rPr>
                <w:rFonts w:hint="eastAsia" w:ascii="宋体" w:hAnsi="宋体" w:cs="宋体"/>
                <w:bCs/>
                <w:highlight w:val="none"/>
                <w:lang w:val="zh-CN"/>
              </w:rPr>
              <w:t>按招标文件相应要求执行</w:t>
            </w:r>
          </w:p>
        </w:tc>
      </w:tr>
      <w:tr w14:paraId="53E839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65FFC9D3">
            <w:pPr>
              <w:pStyle w:val="45"/>
              <w:snapToGrid w:val="0"/>
              <w:spacing w:before="36" w:beforeLines="15" w:line="240" w:lineRule="auto"/>
              <w:jc w:val="center"/>
              <w:rPr>
                <w:rFonts w:hAnsi="宋体"/>
                <w:color w:val="auto"/>
                <w:sz w:val="21"/>
                <w:szCs w:val="21"/>
              </w:rPr>
            </w:pPr>
            <w:r>
              <w:rPr>
                <w:rFonts w:hint="eastAsia" w:hAnsi="宋体"/>
                <w:color w:val="auto"/>
                <w:sz w:val="21"/>
                <w:szCs w:val="21"/>
              </w:rPr>
              <w:t>3.7.2</w:t>
            </w:r>
          </w:p>
        </w:tc>
        <w:tc>
          <w:tcPr>
            <w:tcW w:w="1944" w:type="dxa"/>
            <w:tcBorders>
              <w:top w:val="single" w:color="auto" w:sz="6" w:space="0"/>
              <w:bottom w:val="single" w:color="auto" w:sz="6" w:space="0"/>
            </w:tcBorders>
            <w:tcMar>
              <w:left w:w="0" w:type="dxa"/>
              <w:right w:w="0" w:type="dxa"/>
            </w:tcMar>
            <w:vAlign w:val="center"/>
          </w:tcPr>
          <w:p w14:paraId="13283903">
            <w:pPr>
              <w:adjustRightInd w:val="0"/>
              <w:snapToGrid w:val="0"/>
              <w:spacing w:line="240" w:lineRule="auto"/>
              <w:jc w:val="center"/>
              <w:rPr>
                <w:rFonts w:hAnsi="宋体"/>
                <w:color w:val="auto"/>
                <w:sz w:val="21"/>
                <w:szCs w:val="21"/>
              </w:rPr>
            </w:pPr>
            <w:r>
              <w:rPr>
                <w:rFonts w:hint="eastAsia" w:ascii="宋体" w:hAnsi="宋体" w:cs="宋体"/>
                <w:highlight w:val="none"/>
              </w:rPr>
              <w:t>投标文件份数</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17A57811">
            <w:pPr>
              <w:widowControl/>
              <w:autoSpaceDN w:val="0"/>
              <w:spacing w:line="240" w:lineRule="auto"/>
              <w:jc w:val="left"/>
              <w:rPr>
                <w:rFonts w:hint="eastAsia" w:ascii="宋体" w:hAnsi="宋体" w:cs="宋体"/>
                <w:color w:val="000000"/>
                <w:highlight w:val="none"/>
                <w:lang w:bidi="ar"/>
              </w:rPr>
            </w:pPr>
            <w:r>
              <w:rPr>
                <w:rFonts w:hint="eastAsia" w:ascii="宋体" w:hAnsi="宋体" w:cs="宋体"/>
                <w:color w:val="000000"/>
                <w:highlight w:val="none"/>
                <w:lang w:bidi="ar"/>
              </w:rPr>
              <w:t>（1）投标单位在“政采云”平台（http：//www.zcygov.cn）上制作投标文件1份（此投标文件须上传至“政采云”平台）。</w:t>
            </w:r>
          </w:p>
          <w:p w14:paraId="6AE9D8AA">
            <w:pPr>
              <w:adjustRightInd w:val="0"/>
              <w:snapToGrid w:val="0"/>
              <w:spacing w:line="240" w:lineRule="auto"/>
              <w:jc w:val="left"/>
              <w:rPr>
                <w:rFonts w:hint="default" w:ascii="宋体" w:hAnsi="宋体" w:eastAsia="宋体" w:cs="宋体"/>
                <w:color w:val="auto"/>
                <w:szCs w:val="21"/>
                <w:lang w:val="en-US" w:eastAsia="zh-CN"/>
              </w:rPr>
            </w:pPr>
            <w:r>
              <w:rPr>
                <w:rFonts w:hint="eastAsia" w:ascii="宋体" w:hAnsi="宋体" w:cs="宋体"/>
                <w:color w:val="000000"/>
                <w:highlight w:val="none"/>
                <w:lang w:bidi="ar"/>
              </w:rPr>
              <w:t>（2）投标单位在制作投标文件时，电子投标文件与纸质版本投标文件均以“政采云”平台的投标文件格式为准，投标单位上传至“政采云”平台的电子</w:t>
            </w:r>
          </w:p>
        </w:tc>
      </w:tr>
      <w:tr w14:paraId="54BA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02CBE1B1">
            <w:pPr>
              <w:pStyle w:val="45"/>
              <w:snapToGrid w:val="0"/>
              <w:spacing w:before="36" w:beforeLines="15" w:line="240" w:lineRule="auto"/>
              <w:jc w:val="center"/>
              <w:rPr>
                <w:rFonts w:hAnsi="宋体"/>
                <w:color w:val="auto"/>
                <w:szCs w:val="21"/>
              </w:rPr>
            </w:pPr>
            <w:r>
              <w:rPr>
                <w:rFonts w:hint="eastAsia" w:hAnsi="宋体"/>
                <w:color w:val="auto"/>
                <w:sz w:val="21"/>
                <w:szCs w:val="21"/>
              </w:rPr>
              <w:t>4.2.1</w:t>
            </w:r>
          </w:p>
        </w:tc>
        <w:tc>
          <w:tcPr>
            <w:tcW w:w="1944" w:type="dxa"/>
            <w:tcBorders>
              <w:top w:val="single" w:color="auto" w:sz="6" w:space="0"/>
              <w:bottom w:val="single" w:color="auto" w:sz="6" w:space="0"/>
            </w:tcBorders>
            <w:tcMar>
              <w:left w:w="0" w:type="dxa"/>
              <w:right w:w="0" w:type="dxa"/>
            </w:tcMar>
            <w:vAlign w:val="center"/>
          </w:tcPr>
          <w:p w14:paraId="40CCF217">
            <w:pPr>
              <w:adjustRightInd w:val="0"/>
              <w:snapToGrid w:val="0"/>
              <w:spacing w:before="36" w:beforeLines="15" w:line="240" w:lineRule="auto"/>
              <w:jc w:val="center"/>
              <w:rPr>
                <w:rFonts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投标截止时间</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27FA386B">
            <w:pPr>
              <w:adjustRightInd w:val="0"/>
              <w:snapToGrid w:val="0"/>
              <w:spacing w:before="36" w:beforeLines="15" w:line="240" w:lineRule="auto"/>
              <w:jc w:val="left"/>
              <w:rPr>
                <w:rFonts w:ascii="宋体" w:hAnsi="宋体" w:eastAsia="宋体" w:cs="宋体"/>
                <w:bCs/>
                <w:i w:val="0"/>
                <w:iCs w:val="0"/>
                <w:color w:val="auto"/>
                <w:szCs w:val="21"/>
                <w:highlight w:val="none"/>
                <w:u w:val="single"/>
                <w:lang w:val="zh-CN"/>
              </w:rPr>
            </w:pPr>
            <w:r>
              <w:rPr>
                <w:rFonts w:hint="eastAsia" w:ascii="宋体" w:hAnsi="宋体" w:eastAsia="宋体" w:cs="宋体"/>
                <w:i w:val="0"/>
                <w:iCs w:val="0"/>
                <w:color w:val="auto"/>
                <w:kern w:val="0"/>
                <w:szCs w:val="21"/>
                <w:highlight w:val="none"/>
              </w:rPr>
              <w:t>202</w:t>
            </w:r>
            <w:r>
              <w:rPr>
                <w:rFonts w:hint="eastAsia" w:ascii="宋体" w:hAnsi="宋体" w:eastAsia="宋体" w:cs="宋体"/>
                <w:i w:val="0"/>
                <w:iCs w:val="0"/>
                <w:color w:val="auto"/>
                <w:kern w:val="0"/>
                <w:szCs w:val="21"/>
                <w:highlight w:val="none"/>
                <w:lang w:val="en-US" w:eastAsia="zh-CN"/>
              </w:rPr>
              <w:t>6</w:t>
            </w:r>
            <w:r>
              <w:rPr>
                <w:rFonts w:hint="eastAsia" w:ascii="宋体" w:hAnsi="宋体" w:eastAsia="宋体" w:cs="宋体"/>
                <w:i w:val="0"/>
                <w:iCs w:val="0"/>
                <w:color w:val="auto"/>
                <w:kern w:val="0"/>
                <w:szCs w:val="21"/>
                <w:highlight w:val="none"/>
              </w:rPr>
              <w:t>年</w:t>
            </w:r>
            <w:r>
              <w:rPr>
                <w:rFonts w:hint="eastAsia" w:ascii="宋体" w:hAnsi="宋体" w:eastAsia="宋体" w:cs="宋体"/>
                <w:i w:val="0"/>
                <w:iCs w:val="0"/>
                <w:color w:val="auto"/>
                <w:kern w:val="0"/>
                <w:szCs w:val="21"/>
                <w:highlight w:val="none"/>
                <w:lang w:val="en-US" w:eastAsia="zh-CN"/>
              </w:rPr>
              <w:t>07</w:t>
            </w:r>
            <w:r>
              <w:rPr>
                <w:rFonts w:hint="eastAsia" w:ascii="宋体" w:hAnsi="宋体" w:eastAsia="宋体" w:cs="宋体"/>
                <w:i w:val="0"/>
                <w:iCs w:val="0"/>
                <w:color w:val="auto"/>
                <w:kern w:val="0"/>
                <w:szCs w:val="21"/>
                <w:highlight w:val="none"/>
              </w:rPr>
              <w:t>月</w:t>
            </w:r>
            <w:r>
              <w:rPr>
                <w:rFonts w:hint="eastAsia" w:ascii="宋体" w:hAnsi="宋体" w:eastAsia="宋体" w:cs="宋体"/>
                <w:i w:val="0"/>
                <w:iCs w:val="0"/>
                <w:color w:val="auto"/>
                <w:kern w:val="0"/>
                <w:szCs w:val="21"/>
                <w:highlight w:val="none"/>
                <w:lang w:val="en-US" w:eastAsia="zh-CN"/>
              </w:rPr>
              <w:t>10日09</w:t>
            </w:r>
            <w:r>
              <w:rPr>
                <w:rFonts w:hint="eastAsia" w:ascii="宋体" w:hAnsi="宋体" w:eastAsia="宋体" w:cs="宋体"/>
                <w:i w:val="0"/>
                <w:iCs w:val="0"/>
                <w:color w:val="auto"/>
                <w:kern w:val="0"/>
                <w:szCs w:val="21"/>
                <w:highlight w:val="none"/>
              </w:rPr>
              <w:t>点00分</w:t>
            </w:r>
          </w:p>
        </w:tc>
      </w:tr>
      <w:tr w14:paraId="117F2D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7C17DE77">
            <w:pPr>
              <w:pStyle w:val="45"/>
              <w:snapToGrid w:val="0"/>
              <w:spacing w:before="36" w:beforeLines="15" w:line="240" w:lineRule="auto"/>
              <w:jc w:val="center"/>
              <w:rPr>
                <w:rFonts w:hAnsi="宋体"/>
                <w:color w:val="auto"/>
                <w:sz w:val="21"/>
                <w:szCs w:val="21"/>
              </w:rPr>
            </w:pPr>
            <w:r>
              <w:rPr>
                <w:rFonts w:hint="eastAsia" w:hAnsi="宋体"/>
                <w:color w:val="auto"/>
                <w:sz w:val="21"/>
                <w:szCs w:val="21"/>
              </w:rPr>
              <w:t>4.2.2</w:t>
            </w:r>
          </w:p>
        </w:tc>
        <w:tc>
          <w:tcPr>
            <w:tcW w:w="1944" w:type="dxa"/>
            <w:tcBorders>
              <w:top w:val="single" w:color="auto" w:sz="6" w:space="0"/>
              <w:bottom w:val="single" w:color="auto" w:sz="6" w:space="0"/>
            </w:tcBorders>
            <w:tcMar>
              <w:left w:w="0" w:type="dxa"/>
              <w:right w:w="0" w:type="dxa"/>
            </w:tcMar>
            <w:vAlign w:val="center"/>
          </w:tcPr>
          <w:p w14:paraId="59999D61">
            <w:pPr>
              <w:adjustRightInd w:val="0"/>
              <w:snapToGrid w:val="0"/>
              <w:spacing w:before="36" w:beforeLines="15" w:line="240" w:lineRule="auto"/>
              <w:jc w:val="center"/>
              <w:rPr>
                <w:rFonts w:ascii="宋体" w:hAnsi="宋体" w:eastAsia="宋体" w:cs="宋体"/>
                <w:color w:val="auto"/>
                <w:kern w:val="0"/>
                <w:szCs w:val="21"/>
                <w:highlight w:val="yellow"/>
              </w:rPr>
            </w:pPr>
            <w:r>
              <w:rPr>
                <w:rFonts w:hint="eastAsia" w:ascii="宋体" w:hAnsi="宋体" w:eastAsia="宋体" w:cs="宋体"/>
                <w:color w:val="auto"/>
                <w:kern w:val="0"/>
                <w:szCs w:val="21"/>
              </w:rPr>
              <w:t>递交投标文件地点</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0FC0D03B">
            <w:pPr>
              <w:adjustRightInd w:val="0"/>
              <w:snapToGrid w:val="0"/>
              <w:spacing w:before="36" w:beforeLines="15" w:line="240" w:lineRule="auto"/>
              <w:jc w:val="left"/>
              <w:rPr>
                <w:rFonts w:ascii="宋体" w:hAnsi="宋体" w:eastAsia="宋体" w:cs="宋体"/>
                <w:color w:val="auto"/>
                <w:kern w:val="0"/>
                <w:szCs w:val="21"/>
                <w:highlight w:val="yellow"/>
              </w:rPr>
            </w:pPr>
            <w:r>
              <w:rPr>
                <w:rFonts w:hint="eastAsia" w:ascii="宋体" w:hAnsi="宋体" w:eastAsia="宋体" w:cs="宋体"/>
                <w:color w:val="auto"/>
                <w:kern w:val="0"/>
                <w:szCs w:val="21"/>
              </w:rPr>
              <w:t>本项目采用全流程电子化招投标，开标方式为远程开标，投标人在截止时间前通过政府采购云平台（网址：http://www.zcygov.cn）递交电子投标文件，并按照工作人员通知后30分钟内使用CA锁进行投标文件远程解密，否则按无效投标处理。</w:t>
            </w:r>
          </w:p>
        </w:tc>
      </w:tr>
      <w:tr w14:paraId="1E3F3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658618D9">
            <w:pPr>
              <w:pStyle w:val="45"/>
              <w:snapToGrid w:val="0"/>
              <w:spacing w:before="36" w:beforeLines="15" w:line="240" w:lineRule="auto"/>
              <w:jc w:val="center"/>
              <w:rPr>
                <w:rFonts w:hAnsi="宋体"/>
                <w:color w:val="auto"/>
                <w:sz w:val="21"/>
                <w:szCs w:val="21"/>
              </w:rPr>
            </w:pPr>
            <w:r>
              <w:rPr>
                <w:rFonts w:hint="eastAsia" w:hAnsi="宋体"/>
                <w:color w:val="auto"/>
                <w:sz w:val="21"/>
                <w:szCs w:val="21"/>
              </w:rPr>
              <w:t>5</w:t>
            </w:r>
          </w:p>
        </w:tc>
        <w:tc>
          <w:tcPr>
            <w:tcW w:w="1944" w:type="dxa"/>
            <w:tcBorders>
              <w:top w:val="single" w:color="auto" w:sz="6" w:space="0"/>
              <w:bottom w:val="single" w:color="auto" w:sz="6" w:space="0"/>
            </w:tcBorders>
            <w:tcMar>
              <w:left w:w="0" w:type="dxa"/>
              <w:right w:w="0" w:type="dxa"/>
            </w:tcMar>
            <w:vAlign w:val="center"/>
          </w:tcPr>
          <w:p w14:paraId="70286F0C">
            <w:pPr>
              <w:adjustRightInd w:val="0"/>
              <w:snapToGrid w:val="0"/>
              <w:spacing w:before="36" w:beforeLines="15"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开标时间和地点</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01B0FC87">
            <w:pPr>
              <w:adjustRightInd w:val="0"/>
              <w:snapToGrid w:val="0"/>
              <w:spacing w:before="36" w:beforeLines="15" w:line="24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i w:val="0"/>
                <w:iCs w:val="0"/>
                <w:color w:val="auto"/>
                <w:kern w:val="0"/>
                <w:szCs w:val="21"/>
                <w:highlight w:val="none"/>
                <w:lang w:val="en-US" w:eastAsia="zh-CN"/>
              </w:rPr>
              <w:t>07</w:t>
            </w:r>
            <w:r>
              <w:rPr>
                <w:rFonts w:hint="eastAsia" w:ascii="宋体" w:hAnsi="宋体" w:eastAsia="宋体" w:cs="宋体"/>
                <w:i w:val="0"/>
                <w:iCs w:val="0"/>
                <w:color w:val="auto"/>
                <w:kern w:val="0"/>
                <w:szCs w:val="21"/>
                <w:highlight w:val="none"/>
              </w:rPr>
              <w:t>月</w:t>
            </w:r>
            <w:r>
              <w:rPr>
                <w:rFonts w:hint="eastAsia" w:ascii="宋体" w:hAnsi="宋体" w:eastAsia="宋体" w:cs="宋体"/>
                <w:i w:val="0"/>
                <w:iCs w:val="0"/>
                <w:color w:val="auto"/>
                <w:kern w:val="0"/>
                <w:szCs w:val="21"/>
                <w:highlight w:val="none"/>
                <w:lang w:val="en-US" w:eastAsia="zh-CN"/>
              </w:rPr>
              <w:t>10日</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点00分</w:t>
            </w:r>
          </w:p>
          <w:p w14:paraId="1B9B9C81">
            <w:pPr>
              <w:adjustRightInd w:val="0"/>
              <w:snapToGrid w:val="0"/>
              <w:spacing w:before="36" w:beforeLines="15" w:line="24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开标地点：</w:t>
            </w:r>
            <w:r>
              <w:rPr>
                <w:rFonts w:hint="eastAsia" w:ascii="宋体" w:hAnsi="宋体" w:eastAsia="宋体" w:cs="宋体"/>
                <w:color w:val="auto"/>
                <w:kern w:val="0"/>
                <w:szCs w:val="21"/>
                <w:highlight w:val="none"/>
                <w:lang w:val="en-US" w:eastAsia="zh-CN"/>
              </w:rPr>
              <w:t>长春市二道区洋浦大街6999号凯利中心AB栋101开标二室</w:t>
            </w:r>
          </w:p>
        </w:tc>
      </w:tr>
      <w:tr w14:paraId="76070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895" w:type="dxa"/>
            <w:tcBorders>
              <w:top w:val="single" w:color="auto" w:sz="6" w:space="0"/>
              <w:left w:val="single" w:color="auto" w:sz="6" w:space="0"/>
              <w:bottom w:val="single" w:color="auto" w:sz="6" w:space="0"/>
            </w:tcBorders>
            <w:shd w:val="clear" w:color="auto" w:fill="auto"/>
            <w:tcMar>
              <w:left w:w="0" w:type="dxa"/>
              <w:right w:w="0" w:type="dxa"/>
            </w:tcMar>
            <w:vAlign w:val="center"/>
          </w:tcPr>
          <w:p w14:paraId="654C7FDF">
            <w:pPr>
              <w:adjustRightInd w:val="0"/>
              <w:snapToGrid w:val="0"/>
              <w:spacing w:before="36" w:beforeLines="15" w:line="240" w:lineRule="auto"/>
              <w:jc w:val="center"/>
              <w:rPr>
                <w:rFonts w:ascii="宋体" w:hAnsi="宋体" w:eastAsia="宋体" w:cs="宋体"/>
                <w:color w:val="auto"/>
                <w:szCs w:val="21"/>
              </w:rPr>
            </w:pPr>
            <w:r>
              <w:rPr>
                <w:rFonts w:hint="eastAsia" w:ascii="宋体" w:hAnsi="宋体" w:eastAsia="宋体" w:cs="宋体"/>
                <w:color w:val="auto"/>
                <w:kern w:val="0"/>
                <w:szCs w:val="21"/>
              </w:rPr>
              <w:t>6</w:t>
            </w:r>
          </w:p>
        </w:tc>
        <w:tc>
          <w:tcPr>
            <w:tcW w:w="1944" w:type="dxa"/>
            <w:tcBorders>
              <w:top w:val="single" w:color="auto" w:sz="6" w:space="0"/>
              <w:bottom w:val="single" w:color="auto" w:sz="6" w:space="0"/>
            </w:tcBorders>
            <w:shd w:val="clear" w:color="auto" w:fill="auto"/>
            <w:tcMar>
              <w:left w:w="0" w:type="dxa"/>
              <w:right w:w="0" w:type="dxa"/>
            </w:tcMar>
            <w:vAlign w:val="center"/>
          </w:tcPr>
          <w:p w14:paraId="6BC8DB2E">
            <w:pPr>
              <w:adjustRightInd w:val="0"/>
              <w:snapToGrid w:val="0"/>
              <w:spacing w:before="36" w:beforeLines="15" w:line="240" w:lineRule="auto"/>
              <w:jc w:val="center"/>
              <w:rPr>
                <w:rFonts w:ascii="宋体" w:hAnsi="宋体" w:eastAsia="宋体" w:cs="宋体"/>
                <w:color w:val="auto"/>
                <w:kern w:val="0"/>
                <w:szCs w:val="21"/>
                <w:highlight w:val="yellow"/>
              </w:rPr>
            </w:pPr>
            <w:r>
              <w:rPr>
                <w:rFonts w:hint="eastAsia" w:ascii="宋体" w:hAnsi="宋体" w:eastAsia="宋体" w:cs="宋体"/>
                <w:color w:val="auto"/>
                <w:kern w:val="0"/>
                <w:szCs w:val="21"/>
              </w:rPr>
              <w:t>评标委员会的组建</w:t>
            </w:r>
          </w:p>
        </w:tc>
        <w:tc>
          <w:tcPr>
            <w:tcW w:w="6374" w:type="dxa"/>
            <w:tcBorders>
              <w:top w:val="single" w:color="auto" w:sz="6" w:space="0"/>
              <w:bottom w:val="single" w:color="auto" w:sz="6" w:space="0"/>
              <w:right w:val="single" w:color="auto" w:sz="6" w:space="0"/>
            </w:tcBorders>
            <w:shd w:val="clear" w:color="auto" w:fill="auto"/>
            <w:tcMar>
              <w:left w:w="0" w:type="dxa"/>
              <w:right w:w="0" w:type="dxa"/>
            </w:tcMar>
            <w:vAlign w:val="center"/>
          </w:tcPr>
          <w:p w14:paraId="5C5FE51E">
            <w:pPr>
              <w:adjustRightInd w:val="0"/>
              <w:snapToGrid w:val="0"/>
              <w:spacing w:line="240" w:lineRule="auto"/>
              <w:jc w:val="left"/>
              <w:rPr>
                <w:rFonts w:hint="eastAsia" w:ascii="宋体" w:hAnsi="宋体" w:cs="宋体"/>
                <w:bCs/>
                <w:highlight w:val="none"/>
                <w:lang w:val="zh-CN"/>
              </w:rPr>
            </w:pPr>
            <w:r>
              <w:rPr>
                <w:rFonts w:hint="eastAsia" w:ascii="宋体" w:hAnsi="宋体" w:eastAsia="宋体" w:cs="宋体"/>
                <w:color w:val="auto"/>
                <w:kern w:val="0"/>
                <w:szCs w:val="21"/>
              </w:rPr>
              <w:t>评标委员会</w:t>
            </w:r>
            <w:r>
              <w:rPr>
                <w:rFonts w:hint="eastAsia" w:ascii="宋体" w:hAnsi="宋体" w:eastAsia="宋体" w:cs="宋体"/>
                <w:color w:val="auto"/>
                <w:kern w:val="0"/>
                <w:szCs w:val="21"/>
                <w:highlight w:val="none"/>
              </w:rPr>
              <w:t>构成：专家评委7人。</w:t>
            </w:r>
            <w:r>
              <w:rPr>
                <w:rFonts w:hint="eastAsia" w:ascii="宋体" w:hAnsi="宋体" w:cs="宋体"/>
                <w:bCs/>
                <w:highlight w:val="none"/>
                <w:lang w:val="zh-CN"/>
              </w:rPr>
              <w:t>其中经济、技术专家</w:t>
            </w:r>
            <w:r>
              <w:rPr>
                <w:rFonts w:hint="eastAsia" w:ascii="宋体" w:hAnsi="宋体" w:cs="宋体"/>
                <w:bCs/>
                <w:highlight w:val="none"/>
                <w:lang w:val="en-US" w:eastAsia="zh-CN"/>
              </w:rPr>
              <w:t>5</w:t>
            </w:r>
            <w:r>
              <w:rPr>
                <w:rFonts w:hint="eastAsia" w:ascii="宋体" w:hAnsi="宋体" w:cs="宋体"/>
                <w:bCs/>
                <w:highlight w:val="none"/>
                <w:lang w:val="zh-CN"/>
              </w:rPr>
              <w:t>人，</w:t>
            </w:r>
            <w:r>
              <w:rPr>
                <w:rFonts w:hint="eastAsia" w:ascii="宋体" w:hAnsi="宋体" w:cs="宋体"/>
                <w:bCs/>
                <w:highlight w:val="none"/>
                <w:lang w:val="en-US" w:eastAsia="zh-CN"/>
              </w:rPr>
              <w:t>采购人代表2</w:t>
            </w:r>
            <w:r>
              <w:rPr>
                <w:rFonts w:hint="eastAsia" w:ascii="宋体" w:hAnsi="宋体" w:cs="宋体"/>
                <w:bCs/>
                <w:highlight w:val="none"/>
                <w:lang w:val="zh-CN"/>
              </w:rPr>
              <w:t>人；</w:t>
            </w:r>
          </w:p>
          <w:p w14:paraId="41CD080F">
            <w:pPr>
              <w:adjustRightInd w:val="0"/>
              <w:snapToGrid w:val="0"/>
              <w:spacing w:before="36" w:beforeLines="15" w:line="240" w:lineRule="auto"/>
              <w:jc w:val="left"/>
              <w:rPr>
                <w:rFonts w:ascii="宋体" w:hAnsi="宋体" w:eastAsia="宋体" w:cs="宋体"/>
                <w:color w:val="auto"/>
                <w:kern w:val="0"/>
                <w:szCs w:val="21"/>
                <w:highlight w:val="yellow"/>
              </w:rPr>
            </w:pPr>
            <w:r>
              <w:rPr>
                <w:rFonts w:hint="eastAsia" w:ascii="宋体" w:hAnsi="宋体" w:cs="宋体"/>
                <w:bCs/>
                <w:highlight w:val="none"/>
                <w:lang w:val="zh-CN"/>
              </w:rPr>
              <w:t>评标专家确定方式：有关专家</w:t>
            </w:r>
            <w:r>
              <w:rPr>
                <w:rFonts w:hint="eastAsia" w:ascii="宋体" w:hAnsi="宋体" w:eastAsia="宋体" w:cs="宋体"/>
                <w:color w:val="auto"/>
                <w:kern w:val="0"/>
                <w:szCs w:val="21"/>
              </w:rPr>
              <w:t>从政采云评标专家库中随机抽取。</w:t>
            </w:r>
          </w:p>
        </w:tc>
      </w:tr>
      <w:tr w14:paraId="1BB3C1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790A00B6">
            <w:pPr>
              <w:pStyle w:val="45"/>
              <w:snapToGrid w:val="0"/>
              <w:spacing w:before="36" w:beforeLines="15" w:line="240" w:lineRule="auto"/>
              <w:jc w:val="center"/>
              <w:rPr>
                <w:rFonts w:hAnsi="宋体"/>
                <w:color w:val="auto"/>
                <w:szCs w:val="21"/>
              </w:rPr>
            </w:pPr>
            <w:r>
              <w:rPr>
                <w:rFonts w:hint="eastAsia" w:hAnsi="宋体"/>
                <w:color w:val="auto"/>
                <w:sz w:val="21"/>
                <w:szCs w:val="21"/>
              </w:rPr>
              <w:t>7.1</w:t>
            </w:r>
          </w:p>
        </w:tc>
        <w:tc>
          <w:tcPr>
            <w:tcW w:w="1944" w:type="dxa"/>
            <w:tcBorders>
              <w:top w:val="single" w:color="auto" w:sz="6" w:space="0"/>
              <w:bottom w:val="single" w:color="auto" w:sz="6" w:space="0"/>
            </w:tcBorders>
            <w:tcMar>
              <w:left w:w="0" w:type="dxa"/>
              <w:right w:w="0" w:type="dxa"/>
            </w:tcMar>
            <w:vAlign w:val="center"/>
          </w:tcPr>
          <w:p w14:paraId="2F1F12D9">
            <w:pPr>
              <w:adjustRightInd w:val="0"/>
              <w:snapToGrid w:val="0"/>
              <w:spacing w:before="36" w:beforeLines="15"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52B43F49">
            <w:pPr>
              <w:adjustRightInd w:val="0"/>
              <w:snapToGrid w:val="0"/>
              <w:spacing w:before="36" w:beforeLines="15" w:line="240" w:lineRule="auto"/>
              <w:ind w:left="105" w:leftChars="50"/>
              <w:jc w:val="left"/>
              <w:rPr>
                <w:rFonts w:ascii="宋体" w:hAnsi="宋体" w:eastAsia="宋体" w:cs="宋体"/>
                <w:color w:val="auto"/>
                <w:szCs w:val="21"/>
                <w:highlight w:val="none"/>
              </w:rPr>
            </w:pPr>
            <w:r>
              <w:rPr>
                <w:rFonts w:hint="eastAsia" w:ascii="宋体" w:hAnsi="宋体" w:eastAsia="宋体" w:cs="宋体"/>
                <w:color w:val="auto"/>
                <w:szCs w:val="21"/>
                <w:highlight w:val="none"/>
              </w:rPr>
              <w:t>否，推荐10名中标候选人。</w:t>
            </w:r>
          </w:p>
          <w:p w14:paraId="2FCABE4C">
            <w:pPr>
              <w:adjustRightInd w:val="0"/>
              <w:snapToGrid w:val="0"/>
              <w:spacing w:before="36" w:beforeLines="15" w:line="240" w:lineRule="auto"/>
              <w:ind w:left="105" w:leftChars="50"/>
              <w:jc w:val="left"/>
              <w:rPr>
                <w:rFonts w:ascii="宋体" w:hAnsi="宋体" w:eastAsia="宋体" w:cs="宋体"/>
                <w:color w:val="auto"/>
                <w:kern w:val="0"/>
                <w:szCs w:val="21"/>
                <w:highlight w:val="none"/>
              </w:rPr>
            </w:pPr>
            <w:r>
              <w:rPr>
                <w:rFonts w:ascii="宋体" w:hAnsi="宋体" w:eastAsia="宋体" w:cs="宋体"/>
                <w:color w:val="auto"/>
                <w:szCs w:val="21"/>
                <w:highlight w:val="none"/>
              </w:rPr>
              <w:t>通过资格审查和符合性审查的投标人数量少于或等于招标文件中要求确定中标人数量的，通过资格审查和符合性审查的投标人直接确定为中标人。</w:t>
            </w:r>
          </w:p>
        </w:tc>
      </w:tr>
      <w:tr w14:paraId="4C3B19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00E3F62A">
            <w:pPr>
              <w:pStyle w:val="45"/>
              <w:snapToGrid w:val="0"/>
              <w:spacing w:before="36" w:beforeLines="15" w:line="240" w:lineRule="auto"/>
              <w:jc w:val="center"/>
              <w:rPr>
                <w:rFonts w:hAnsi="宋体"/>
                <w:color w:val="auto"/>
                <w:sz w:val="21"/>
                <w:szCs w:val="21"/>
              </w:rPr>
            </w:pPr>
            <w:r>
              <w:rPr>
                <w:rFonts w:hint="eastAsia" w:hAnsi="宋体"/>
                <w:color w:val="auto"/>
                <w:sz w:val="21"/>
                <w:szCs w:val="21"/>
              </w:rPr>
              <w:t>7.2</w:t>
            </w:r>
          </w:p>
        </w:tc>
        <w:tc>
          <w:tcPr>
            <w:tcW w:w="1944" w:type="dxa"/>
            <w:tcBorders>
              <w:top w:val="single" w:color="auto" w:sz="6" w:space="0"/>
              <w:bottom w:val="single" w:color="auto" w:sz="6" w:space="0"/>
            </w:tcBorders>
            <w:tcMar>
              <w:left w:w="0" w:type="dxa"/>
              <w:right w:w="0" w:type="dxa"/>
            </w:tcMar>
            <w:vAlign w:val="center"/>
          </w:tcPr>
          <w:p w14:paraId="71918FB1">
            <w:pPr>
              <w:adjustRightInd w:val="0"/>
              <w:snapToGrid w:val="0"/>
              <w:spacing w:before="36" w:beforeLines="15" w:line="240" w:lineRule="auto"/>
              <w:jc w:val="center"/>
              <w:rPr>
                <w:rFonts w:ascii="宋体" w:hAnsi="宋体" w:eastAsia="宋体" w:cs="宋体"/>
                <w:color w:val="auto"/>
                <w:kern w:val="0"/>
                <w:szCs w:val="21"/>
              </w:rPr>
            </w:pPr>
            <w:r>
              <w:rPr>
                <w:rFonts w:hint="eastAsia" w:ascii="宋体" w:hAnsi="宋体" w:eastAsia="宋体" w:cs="宋体"/>
                <w:color w:val="auto"/>
                <w:kern w:val="0"/>
                <w:szCs w:val="21"/>
              </w:rPr>
              <w:t>中标结果公告媒介</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170F37D8">
            <w:pPr>
              <w:adjustRightInd w:val="0"/>
              <w:snapToGrid w:val="0"/>
              <w:spacing w:before="36" w:beforeLines="15" w:line="240" w:lineRule="auto"/>
              <w:ind w:left="105" w:leftChars="50"/>
              <w:rPr>
                <w:rFonts w:ascii="宋体" w:hAnsi="宋体" w:eastAsia="宋体" w:cs="宋体"/>
                <w:color w:val="auto"/>
                <w:szCs w:val="21"/>
              </w:rPr>
            </w:pPr>
            <w:r>
              <w:rPr>
                <w:rFonts w:hint="eastAsia" w:ascii="宋体" w:hAnsi="宋体" w:eastAsia="宋体" w:cs="宋体"/>
                <w:color w:val="auto"/>
                <w:szCs w:val="21"/>
              </w:rPr>
              <w:t>同招标公告发布媒介</w:t>
            </w:r>
          </w:p>
        </w:tc>
      </w:tr>
      <w:tr w14:paraId="0271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4"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6ACDF303">
            <w:pPr>
              <w:spacing w:line="240" w:lineRule="auto"/>
              <w:jc w:val="center"/>
              <w:rPr>
                <w:rFonts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szCs w:val="21"/>
                <w:lang w:val="en-US" w:eastAsia="zh-CN"/>
              </w:rPr>
              <w:t>z</w:t>
            </w:r>
            <w:r>
              <w:rPr>
                <w:rFonts w:hint="eastAsia" w:ascii="宋体" w:hAnsi="宋体" w:eastAsia="宋体" w:cs="宋体"/>
                <w:color w:val="auto"/>
                <w:szCs w:val="21"/>
              </w:rPr>
              <w:t>3</w:t>
            </w:r>
          </w:p>
        </w:tc>
        <w:tc>
          <w:tcPr>
            <w:tcW w:w="1944" w:type="dxa"/>
            <w:tcBorders>
              <w:top w:val="single" w:color="auto" w:sz="6" w:space="0"/>
              <w:bottom w:val="single" w:color="auto" w:sz="6" w:space="0"/>
            </w:tcBorders>
            <w:tcMar>
              <w:left w:w="0" w:type="dxa"/>
              <w:right w:w="0" w:type="dxa"/>
            </w:tcMar>
            <w:vAlign w:val="center"/>
          </w:tcPr>
          <w:p w14:paraId="111F2BA6">
            <w:pPr>
              <w:adjustRightInd w:val="0"/>
              <w:snapToGrid w:val="0"/>
              <w:spacing w:before="120" w:beforeLines="50" w:line="240" w:lineRule="auto"/>
              <w:jc w:val="center"/>
              <w:rPr>
                <w:rFonts w:ascii="宋体" w:hAnsi="宋体" w:eastAsia="宋体" w:cs="宋体"/>
                <w:color w:val="auto"/>
                <w:kern w:val="0"/>
                <w:szCs w:val="21"/>
              </w:rPr>
            </w:pPr>
            <w:r>
              <w:rPr>
                <w:rFonts w:hint="eastAsia" w:ascii="宋体" w:hAnsi="宋体" w:eastAsia="宋体" w:cs="宋体"/>
                <w:color w:val="auto"/>
                <w:szCs w:val="21"/>
              </w:rPr>
              <w:t>投标文件电子版</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2EB19E49">
            <w:pPr>
              <w:spacing w:line="240" w:lineRule="auto"/>
              <w:ind w:left="51" w:right="51"/>
              <w:contextualSpacing/>
              <w:rPr>
                <w:rFonts w:ascii="宋体" w:hAnsi="宋体" w:eastAsia="宋体" w:cs="宋体"/>
                <w:color w:val="auto"/>
                <w:szCs w:val="21"/>
              </w:rPr>
            </w:pPr>
            <w:r>
              <w:rPr>
                <w:rFonts w:hint="eastAsia" w:ascii="宋体" w:hAnsi="宋体" w:eastAsia="宋体" w:cs="宋体"/>
                <w:color w:val="auto"/>
                <w:szCs w:val="21"/>
              </w:rPr>
              <w:t>投标人应在投标文件递交截止时间前上传电子投标文件。各投标单位使用CA锁制作的投标文件符合网上开标要求才可进入评标阶段，“政采云”平台（https://www.zcygov.cn/）支持投标文件远程解密，投标人应提前确认好CA锁及电脑等设备使用正常。逾期上传的或因投标人原因未能进行解密的电子投标文件，平台将予以拒收，其投标无效。</w:t>
            </w:r>
          </w:p>
        </w:tc>
      </w:tr>
      <w:tr w14:paraId="5B1075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3D0105A5">
            <w:pPr>
              <w:spacing w:line="24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44" w:type="dxa"/>
            <w:tcBorders>
              <w:top w:val="single" w:color="auto" w:sz="6" w:space="0"/>
              <w:bottom w:val="single" w:color="auto" w:sz="6" w:space="0"/>
            </w:tcBorders>
            <w:tcMar>
              <w:left w:w="0" w:type="dxa"/>
              <w:right w:w="0" w:type="dxa"/>
            </w:tcMar>
            <w:vAlign w:val="center"/>
          </w:tcPr>
          <w:p w14:paraId="38A90EBE">
            <w:pPr>
              <w:spacing w:line="240" w:lineRule="auto"/>
              <w:ind w:left="51" w:right="51"/>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履约担保</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459CFDFC">
            <w:pPr>
              <w:spacing w:line="240" w:lineRule="auto"/>
              <w:ind w:left="51" w:right="51"/>
              <w:contextualSpacing/>
              <w:rPr>
                <w:rFonts w:ascii="宋体" w:hAnsi="宋体" w:eastAsia="宋体" w:cs="宋体"/>
                <w:color w:val="auto"/>
                <w:szCs w:val="21"/>
                <w:highlight w:val="none"/>
              </w:rPr>
            </w:pPr>
            <w:r>
              <w:rPr>
                <w:rFonts w:ascii="宋体" w:hAnsi="宋体" w:eastAsia="宋体" w:cs="宋体"/>
                <w:color w:val="auto"/>
                <w:szCs w:val="21"/>
                <w:highlight w:val="none"/>
              </w:rPr>
              <w:t>本项目履约保证金共人民币60万元整。</w:t>
            </w:r>
          </w:p>
          <w:p w14:paraId="07BCC21A">
            <w:pPr>
              <w:spacing w:line="240" w:lineRule="auto"/>
              <w:ind w:left="51" w:right="51"/>
              <w:contextualSpacing/>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(按承保比例缴纳</w:t>
            </w:r>
            <w:r>
              <w:rPr>
                <w:rFonts w:hint="eastAsia" w:ascii="宋体" w:hAnsi="宋体" w:eastAsia="宋体" w:cs="宋体"/>
                <w:b/>
                <w:bCs/>
                <w:color w:val="auto"/>
                <w:szCs w:val="21"/>
                <w:highlight w:val="none"/>
                <w:lang w:val="zh-CN"/>
              </w:rPr>
              <w:t>履约</w:t>
            </w:r>
            <w:r>
              <w:rPr>
                <w:rFonts w:hint="eastAsia" w:ascii="宋体" w:hAnsi="宋体" w:eastAsia="宋体" w:cs="宋体"/>
                <w:b/>
                <w:bCs/>
                <w:color w:val="auto"/>
                <w:szCs w:val="21"/>
                <w:highlight w:val="none"/>
                <w:lang w:val="en-US" w:eastAsia="zh-CN"/>
              </w:rPr>
              <w:t>保证金）</w:t>
            </w:r>
          </w:p>
          <w:p w14:paraId="2D942AB6">
            <w:pPr>
              <w:spacing w:line="240" w:lineRule="auto"/>
              <w:ind w:left="51" w:right="51"/>
              <w:contextualSpacing/>
              <w:rPr>
                <w:rFonts w:ascii="宋体" w:hAnsi="宋体" w:eastAsia="宋体" w:cs="宋体"/>
                <w:color w:val="auto"/>
                <w:szCs w:val="21"/>
                <w:highlight w:val="none"/>
              </w:rPr>
            </w:pPr>
            <w:r>
              <w:rPr>
                <w:rFonts w:ascii="宋体" w:hAnsi="宋体" w:eastAsia="宋体" w:cs="宋体"/>
                <w:color w:val="auto"/>
                <w:szCs w:val="21"/>
                <w:highlight w:val="none"/>
              </w:rPr>
              <w:t>支付方式：转账、电汇等。</w:t>
            </w:r>
          </w:p>
          <w:p w14:paraId="32911AAF">
            <w:pPr>
              <w:spacing w:line="240" w:lineRule="auto"/>
              <w:ind w:left="51" w:right="51"/>
              <w:contextualSpacing/>
              <w:rPr>
                <w:rFonts w:ascii="宋体" w:hAnsi="宋体" w:eastAsia="宋体" w:cs="宋体"/>
                <w:color w:val="auto"/>
                <w:szCs w:val="21"/>
                <w:highlight w:val="none"/>
              </w:rPr>
            </w:pPr>
            <w:r>
              <w:rPr>
                <w:rFonts w:ascii="宋体" w:hAnsi="宋体" w:eastAsia="宋体" w:cs="宋体"/>
                <w:color w:val="auto"/>
                <w:szCs w:val="21"/>
                <w:highlight w:val="none"/>
              </w:rPr>
              <w:t>保证金账户信息：</w:t>
            </w:r>
          </w:p>
          <w:p w14:paraId="5862477B">
            <w:pPr>
              <w:spacing w:line="240" w:lineRule="auto"/>
              <w:ind w:left="51" w:right="51"/>
              <w:contextualSpacing/>
              <w:rPr>
                <w:rFonts w:ascii="宋体" w:hAnsi="宋体" w:eastAsia="宋体" w:cs="宋体"/>
                <w:color w:val="auto"/>
                <w:szCs w:val="21"/>
                <w:highlight w:val="none"/>
              </w:rPr>
            </w:pPr>
            <w:r>
              <w:rPr>
                <w:rFonts w:ascii="宋体" w:hAnsi="宋体" w:eastAsia="宋体" w:cs="宋体"/>
                <w:color w:val="auto"/>
                <w:szCs w:val="21"/>
                <w:highlight w:val="none"/>
              </w:rPr>
              <w:t>户  名：圣源祥保险经纪有限公司吉林分公司</w:t>
            </w:r>
          </w:p>
          <w:p w14:paraId="575A731F">
            <w:pPr>
              <w:spacing w:line="240" w:lineRule="auto"/>
              <w:ind w:left="51" w:right="51"/>
              <w:contextualSpacing/>
              <w:rPr>
                <w:rFonts w:ascii="宋体" w:hAnsi="宋体" w:eastAsia="宋体" w:cs="宋体"/>
                <w:color w:val="auto"/>
                <w:szCs w:val="21"/>
                <w:highlight w:val="none"/>
              </w:rPr>
            </w:pPr>
            <w:r>
              <w:rPr>
                <w:rFonts w:ascii="宋体" w:hAnsi="宋体" w:eastAsia="宋体" w:cs="宋体"/>
                <w:color w:val="auto"/>
                <w:szCs w:val="21"/>
                <w:highlight w:val="none"/>
              </w:rPr>
              <w:t>帐  号：22050131007100000570</w:t>
            </w:r>
          </w:p>
          <w:p w14:paraId="6EE79E8D">
            <w:pPr>
              <w:spacing w:line="240" w:lineRule="auto"/>
              <w:ind w:left="51" w:right="51"/>
              <w:contextualSpacing/>
              <w:rPr>
                <w:rFonts w:ascii="宋体" w:hAnsi="宋体" w:eastAsia="宋体" w:cs="宋体"/>
                <w:color w:val="auto"/>
                <w:szCs w:val="21"/>
                <w:highlight w:val="none"/>
              </w:rPr>
            </w:pPr>
            <w:r>
              <w:rPr>
                <w:rFonts w:ascii="宋体" w:hAnsi="宋体" w:eastAsia="宋体" w:cs="宋体"/>
                <w:color w:val="auto"/>
                <w:szCs w:val="21"/>
                <w:highlight w:val="none"/>
              </w:rPr>
              <w:t>开户行：中国建设银行股份有限公司</w:t>
            </w:r>
          </w:p>
          <w:p w14:paraId="709A8483">
            <w:pPr>
              <w:spacing w:line="240" w:lineRule="auto"/>
              <w:ind w:left="51" w:right="51"/>
              <w:contextualSpacing/>
              <w:rPr>
                <w:rFonts w:ascii="宋体" w:hAnsi="宋体" w:eastAsia="宋体" w:cs="宋体"/>
                <w:color w:val="auto"/>
                <w:szCs w:val="21"/>
                <w:highlight w:val="none"/>
                <w:lang w:val="zh-CN"/>
              </w:rPr>
            </w:pPr>
            <w:r>
              <w:rPr>
                <w:rFonts w:ascii="宋体" w:hAnsi="宋体" w:eastAsia="宋体" w:cs="宋体"/>
                <w:color w:val="auto"/>
                <w:szCs w:val="21"/>
                <w:highlight w:val="none"/>
              </w:rPr>
              <w:t>开户行地址：长春东南湖大路支行</w:t>
            </w:r>
          </w:p>
        </w:tc>
      </w:tr>
      <w:tr w14:paraId="26272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1AAA25B0">
            <w:pPr>
              <w:spacing w:line="240" w:lineRule="auto"/>
              <w:jc w:val="center"/>
              <w:rPr>
                <w:rFonts w:ascii="宋体" w:hAnsi="宋体" w:eastAsia="宋体" w:cs="宋体"/>
                <w:color w:val="auto"/>
                <w:szCs w:val="21"/>
              </w:rPr>
            </w:pPr>
            <w:r>
              <w:rPr>
                <w:rFonts w:hint="eastAsia" w:ascii="宋体" w:hAnsi="宋体" w:eastAsia="宋体" w:cs="宋体"/>
                <w:color w:val="auto"/>
                <w:szCs w:val="21"/>
              </w:rPr>
              <w:t>8.1</w:t>
            </w:r>
          </w:p>
        </w:tc>
        <w:tc>
          <w:tcPr>
            <w:tcW w:w="1944" w:type="dxa"/>
            <w:tcBorders>
              <w:top w:val="single" w:color="auto" w:sz="6" w:space="0"/>
              <w:bottom w:val="single" w:color="auto" w:sz="6" w:space="0"/>
            </w:tcBorders>
            <w:tcMar>
              <w:left w:w="0" w:type="dxa"/>
              <w:right w:w="0" w:type="dxa"/>
            </w:tcMar>
          </w:tcPr>
          <w:p w14:paraId="473B7B21">
            <w:pPr>
              <w:adjustRightInd w:val="0"/>
              <w:snapToGrid w:val="0"/>
              <w:spacing w:before="120" w:beforeLines="50" w:line="240" w:lineRule="auto"/>
              <w:jc w:val="center"/>
              <w:rPr>
                <w:rFonts w:ascii="宋体" w:hAnsi="宋体" w:eastAsia="宋体" w:cs="宋体"/>
                <w:color w:val="auto"/>
                <w:szCs w:val="21"/>
              </w:rPr>
            </w:pPr>
            <w:r>
              <w:rPr>
                <w:rFonts w:hint="eastAsia" w:ascii="宋体" w:hAnsi="宋体" w:eastAsia="宋体" w:cs="宋体"/>
                <w:color w:val="auto"/>
                <w:szCs w:val="21"/>
                <w:lang w:val="zh-CN"/>
              </w:rPr>
              <w:t>付款方式</w:t>
            </w:r>
          </w:p>
        </w:tc>
        <w:tc>
          <w:tcPr>
            <w:tcW w:w="6374" w:type="dxa"/>
            <w:tcBorders>
              <w:top w:val="single" w:color="auto" w:sz="6" w:space="0"/>
              <w:bottom w:val="single" w:color="auto" w:sz="6" w:space="0"/>
              <w:right w:val="single" w:color="auto" w:sz="6" w:space="0"/>
            </w:tcBorders>
            <w:tcMar>
              <w:left w:w="0" w:type="dxa"/>
              <w:right w:w="0" w:type="dxa"/>
            </w:tcMar>
            <w:vAlign w:val="center"/>
          </w:tcPr>
          <w:p w14:paraId="260EA624">
            <w:pPr>
              <w:spacing w:line="240" w:lineRule="auto"/>
              <w:ind w:left="51" w:right="51"/>
              <w:contextualSpacing/>
              <w:rPr>
                <w:rFonts w:ascii="宋体" w:hAnsi="宋体" w:eastAsia="宋体" w:cs="宋体"/>
                <w:color w:val="auto"/>
                <w:szCs w:val="21"/>
              </w:rPr>
            </w:pPr>
            <w:r>
              <w:rPr>
                <w:rFonts w:ascii="宋体" w:hAnsi="宋体" w:eastAsia="宋体" w:cs="宋体"/>
                <w:color w:val="auto"/>
                <w:szCs w:val="21"/>
              </w:rPr>
              <w:t>按采购人协议要求</w:t>
            </w:r>
          </w:p>
        </w:tc>
      </w:tr>
      <w:tr w14:paraId="75EFB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95" w:type="dxa"/>
            <w:tcBorders>
              <w:top w:val="single" w:color="auto" w:sz="6" w:space="0"/>
              <w:left w:val="single" w:color="auto" w:sz="6" w:space="0"/>
              <w:bottom w:val="single" w:color="auto" w:sz="6" w:space="0"/>
            </w:tcBorders>
            <w:shd w:val="clear" w:color="auto" w:fill="auto"/>
            <w:tcMar>
              <w:left w:w="0" w:type="dxa"/>
              <w:right w:w="0" w:type="dxa"/>
            </w:tcMar>
            <w:vAlign w:val="center"/>
          </w:tcPr>
          <w:p w14:paraId="3FF9F9A3">
            <w:pPr>
              <w:spacing w:line="240" w:lineRule="auto"/>
              <w:jc w:val="center"/>
              <w:rPr>
                <w:rFonts w:ascii="宋体" w:hAnsi="宋体" w:eastAsia="宋体" w:cs="宋体"/>
                <w:color w:val="auto"/>
                <w:szCs w:val="21"/>
              </w:rPr>
            </w:pPr>
            <w:r>
              <w:rPr>
                <w:rFonts w:hint="eastAsia" w:ascii="宋体" w:hAnsi="宋体" w:eastAsia="宋体" w:cs="宋体"/>
                <w:color w:val="auto"/>
                <w:szCs w:val="21"/>
              </w:rPr>
              <w:t>8.2</w:t>
            </w:r>
          </w:p>
        </w:tc>
        <w:tc>
          <w:tcPr>
            <w:tcW w:w="1944" w:type="dxa"/>
            <w:tcBorders>
              <w:top w:val="single" w:color="auto" w:sz="6" w:space="0"/>
              <w:bottom w:val="single" w:color="auto" w:sz="6" w:space="0"/>
            </w:tcBorders>
            <w:shd w:val="clear" w:color="auto" w:fill="auto"/>
            <w:tcMar>
              <w:left w:w="0" w:type="dxa"/>
              <w:right w:w="0" w:type="dxa"/>
            </w:tcMar>
            <w:vAlign w:val="center"/>
          </w:tcPr>
          <w:p w14:paraId="49DA2BF9">
            <w:pPr>
              <w:adjustRightInd w:val="0"/>
              <w:snapToGrid w:val="0"/>
              <w:spacing w:before="120" w:beforeLines="50" w:line="240" w:lineRule="auto"/>
              <w:jc w:val="center"/>
              <w:rPr>
                <w:rFonts w:ascii="宋体" w:hAnsi="宋体" w:eastAsia="宋体" w:cs="宋体"/>
                <w:color w:val="auto"/>
                <w:szCs w:val="21"/>
                <w:lang w:val="zh-CN"/>
              </w:rPr>
            </w:pPr>
            <w:r>
              <w:rPr>
                <w:rFonts w:ascii="宋体" w:hAnsi="宋体" w:eastAsia="宋体" w:cs="宋体"/>
                <w:color w:val="auto"/>
                <w:szCs w:val="21"/>
              </w:rPr>
              <w:t>采购代理服务费</w:t>
            </w:r>
          </w:p>
        </w:tc>
        <w:tc>
          <w:tcPr>
            <w:tcW w:w="6374" w:type="dxa"/>
            <w:tcBorders>
              <w:top w:val="single" w:color="auto" w:sz="6" w:space="0"/>
              <w:bottom w:val="single" w:color="auto" w:sz="6" w:space="0"/>
              <w:right w:val="single" w:color="auto" w:sz="6" w:space="0"/>
            </w:tcBorders>
            <w:shd w:val="clear" w:color="auto" w:fill="auto"/>
            <w:tcMar>
              <w:left w:w="0" w:type="dxa"/>
              <w:right w:w="0" w:type="dxa"/>
            </w:tcMar>
            <w:vAlign w:val="center"/>
          </w:tcPr>
          <w:p w14:paraId="408E2900">
            <w:pPr>
              <w:spacing w:line="240" w:lineRule="auto"/>
              <w:ind w:right="51"/>
              <w:contextualSpacing/>
              <w:jc w:val="left"/>
              <w:rPr>
                <w:rFonts w:ascii="宋体" w:hAnsi="宋体" w:eastAsia="宋体" w:cs="宋体"/>
                <w:color w:val="auto"/>
                <w:szCs w:val="21"/>
              </w:rPr>
            </w:pPr>
            <w:r>
              <w:rPr>
                <w:rFonts w:ascii="宋体" w:hAnsi="Times New Roman" w:eastAsia="宋体" w:cs="宋体"/>
                <w:color w:val="auto"/>
                <w:szCs w:val="21"/>
              </w:rPr>
              <w:t>参照《国家发展改革委关于进一步放开建设项目专业服务价格的</w:t>
            </w:r>
            <w:r>
              <w:rPr>
                <w:rFonts w:hint="eastAsia" w:ascii="宋体" w:hAnsi="Times New Roman" w:eastAsia="宋体" w:cs="宋体"/>
                <w:color w:val="auto"/>
                <w:szCs w:val="21"/>
              </w:rPr>
              <w:t>通</w:t>
            </w:r>
            <w:r>
              <w:rPr>
                <w:rFonts w:ascii="宋体" w:hAnsi="Times New Roman" w:eastAsia="宋体" w:cs="宋体"/>
                <w:color w:val="auto"/>
                <w:szCs w:val="21"/>
              </w:rPr>
              <w:t>知》（发改办价格【2015】299号）的规定，招标代理服务费按承保比例收取，由中标人支付。</w:t>
            </w:r>
          </w:p>
        </w:tc>
      </w:tr>
      <w:tr w14:paraId="534EC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6C9E8A41">
            <w:pPr>
              <w:spacing w:line="240" w:lineRule="auto"/>
              <w:jc w:val="center"/>
              <w:rPr>
                <w:rFonts w:ascii="宋体" w:hAnsi="宋体" w:eastAsia="宋体" w:cs="宋体"/>
                <w:color w:val="auto"/>
                <w:szCs w:val="21"/>
              </w:rPr>
            </w:pPr>
            <w:r>
              <w:rPr>
                <w:rFonts w:hint="eastAsia" w:ascii="宋体" w:hAnsi="宋体" w:eastAsia="宋体" w:cs="宋体"/>
                <w:color w:val="auto"/>
                <w:szCs w:val="21"/>
              </w:rPr>
              <w:t>8.3</w:t>
            </w:r>
          </w:p>
        </w:tc>
        <w:tc>
          <w:tcPr>
            <w:tcW w:w="1944" w:type="dxa"/>
            <w:tcBorders>
              <w:top w:val="single" w:color="auto" w:sz="6" w:space="0"/>
              <w:bottom w:val="single" w:color="auto" w:sz="6" w:space="0"/>
            </w:tcBorders>
            <w:shd w:val="clear" w:color="auto" w:fill="auto"/>
            <w:tcMar>
              <w:left w:w="0" w:type="dxa"/>
              <w:right w:w="0" w:type="dxa"/>
            </w:tcMar>
            <w:vAlign w:val="center"/>
          </w:tcPr>
          <w:p w14:paraId="3CEF45E7">
            <w:pPr>
              <w:pStyle w:val="61"/>
              <w:snapToGrid w:val="0"/>
              <w:spacing w:line="240" w:lineRule="auto"/>
              <w:jc w:val="center"/>
              <w:rPr>
                <w:rFonts w:ascii="宋体" w:hAnsi="宋体" w:cs="宋体"/>
                <w:color w:val="auto"/>
                <w:szCs w:val="21"/>
              </w:rPr>
            </w:pPr>
            <w:r>
              <w:rPr>
                <w:rFonts w:hint="eastAsia" w:ascii="宋体" w:hAnsi="宋体" w:cs="宋体"/>
                <w:color w:val="auto"/>
                <w:kern w:val="0"/>
                <w:szCs w:val="21"/>
                <w:lang w:val="zh-CN"/>
              </w:rPr>
              <w:t>合同类型及定价方式</w:t>
            </w:r>
          </w:p>
        </w:tc>
        <w:tc>
          <w:tcPr>
            <w:tcW w:w="6374" w:type="dxa"/>
            <w:tcBorders>
              <w:top w:val="single" w:color="auto" w:sz="6" w:space="0"/>
              <w:bottom w:val="single" w:color="auto" w:sz="6" w:space="0"/>
              <w:right w:val="single" w:color="auto" w:sz="6" w:space="0"/>
            </w:tcBorders>
            <w:shd w:val="clear" w:color="auto" w:fill="auto"/>
            <w:tcMar>
              <w:left w:w="0" w:type="dxa"/>
              <w:right w:w="0" w:type="dxa"/>
            </w:tcMar>
            <w:vAlign w:val="center"/>
          </w:tcPr>
          <w:p w14:paraId="12952A10">
            <w:pPr>
              <w:pStyle w:val="61"/>
              <w:snapToGrid w:val="0"/>
              <w:spacing w:line="240" w:lineRule="auto"/>
              <w:jc w:val="left"/>
              <w:rPr>
                <w:rFonts w:ascii="宋体" w:hAnsi="宋体" w:cs="宋体"/>
                <w:color w:val="auto"/>
                <w:kern w:val="0"/>
                <w:szCs w:val="21"/>
              </w:rPr>
            </w:pPr>
            <w:r>
              <w:rPr>
                <w:rFonts w:hint="eastAsia" w:ascii="宋体" w:hAnsi="宋体" w:cs="宋体"/>
                <w:color w:val="auto"/>
                <w:kern w:val="0"/>
                <w:szCs w:val="21"/>
              </w:rPr>
              <w:t>本项目为固定总价合同。</w:t>
            </w:r>
          </w:p>
          <w:p w14:paraId="4F595183">
            <w:pPr>
              <w:pStyle w:val="61"/>
              <w:snapToGrid w:val="0"/>
              <w:spacing w:line="240" w:lineRule="auto"/>
              <w:jc w:val="left"/>
              <w:rPr>
                <w:rFonts w:ascii="宋体" w:hAnsi="Times New Roman" w:cs="宋体"/>
                <w:color w:val="auto"/>
                <w:szCs w:val="21"/>
              </w:rPr>
            </w:pPr>
            <w:r>
              <w:rPr>
                <w:rFonts w:hint="eastAsia" w:ascii="宋体" w:hAnsi="宋体" w:cs="宋体"/>
                <w:color w:val="auto"/>
                <w:kern w:val="0"/>
                <w:szCs w:val="21"/>
              </w:rPr>
              <w:t>说明：供应商的报价应当包含为完成本项目全部工作所需的一切费用，包括成本、利润、税金等。</w:t>
            </w:r>
          </w:p>
        </w:tc>
      </w:tr>
      <w:tr w14:paraId="4FAC49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443AC86C">
            <w:pPr>
              <w:spacing w:line="240" w:lineRule="auto"/>
              <w:jc w:val="center"/>
              <w:rPr>
                <w:rFonts w:ascii="宋体" w:hAnsi="宋体" w:eastAsia="宋体" w:cs="宋体"/>
                <w:color w:val="auto"/>
                <w:szCs w:val="21"/>
              </w:rPr>
            </w:pPr>
            <w:r>
              <w:rPr>
                <w:rFonts w:hint="eastAsia" w:ascii="宋体" w:hAnsi="宋体" w:eastAsia="宋体" w:cs="宋体"/>
                <w:color w:val="auto"/>
                <w:szCs w:val="21"/>
              </w:rPr>
              <w:t>8.4</w:t>
            </w:r>
          </w:p>
        </w:tc>
        <w:tc>
          <w:tcPr>
            <w:tcW w:w="1944" w:type="dxa"/>
            <w:tcBorders>
              <w:top w:val="single" w:color="auto" w:sz="6" w:space="0"/>
              <w:bottom w:val="single" w:color="auto" w:sz="6" w:space="0"/>
            </w:tcBorders>
            <w:shd w:val="clear" w:color="auto" w:fill="auto"/>
            <w:tcMar>
              <w:left w:w="0" w:type="dxa"/>
              <w:right w:w="0" w:type="dxa"/>
            </w:tcMar>
            <w:vAlign w:val="center"/>
          </w:tcPr>
          <w:p w14:paraId="68BDF21B">
            <w:pPr>
              <w:autoSpaceDE w:val="0"/>
              <w:autoSpaceDN w:val="0"/>
              <w:adjustRightInd w:val="0"/>
              <w:snapToGrid w:val="0"/>
              <w:spacing w:line="240" w:lineRule="auto"/>
              <w:jc w:val="center"/>
              <w:rPr>
                <w:rFonts w:ascii="宋体" w:hAnsi="宋体" w:eastAsia="宋体" w:cs="宋体"/>
                <w:color w:val="auto"/>
                <w:kern w:val="0"/>
                <w:szCs w:val="21"/>
              </w:rPr>
            </w:pPr>
            <w:r>
              <w:rPr>
                <w:rFonts w:hint="eastAsia" w:ascii="宋体" w:hAnsi="宋体" w:eastAsia="宋体" w:cs="宋体"/>
                <w:color w:val="auto"/>
              </w:rPr>
              <w:t>售后服务要求</w:t>
            </w:r>
          </w:p>
        </w:tc>
        <w:tc>
          <w:tcPr>
            <w:tcW w:w="6374" w:type="dxa"/>
            <w:tcBorders>
              <w:top w:val="single" w:color="auto" w:sz="6" w:space="0"/>
              <w:bottom w:val="single" w:color="auto" w:sz="6" w:space="0"/>
              <w:right w:val="single" w:color="auto" w:sz="6" w:space="0"/>
            </w:tcBorders>
            <w:shd w:val="clear" w:color="auto" w:fill="auto"/>
            <w:tcMar>
              <w:left w:w="0" w:type="dxa"/>
              <w:right w:w="0" w:type="dxa"/>
            </w:tcMar>
            <w:vAlign w:val="center"/>
          </w:tcPr>
          <w:p w14:paraId="22AA6409">
            <w:pPr>
              <w:autoSpaceDE w:val="0"/>
              <w:autoSpaceDN w:val="0"/>
              <w:adjustRightInd w:val="0"/>
              <w:snapToGrid w:val="0"/>
              <w:spacing w:line="240" w:lineRule="auto"/>
              <w:rPr>
                <w:rFonts w:ascii="宋体" w:hAnsi="宋体" w:eastAsia="宋体" w:cs="宋体"/>
                <w:color w:val="auto"/>
                <w:kern w:val="0"/>
                <w:szCs w:val="21"/>
              </w:rPr>
            </w:pPr>
            <w:r>
              <w:rPr>
                <w:rFonts w:hint="eastAsia" w:ascii="宋体" w:hAnsi="宋体" w:eastAsia="宋体" w:cs="宋体"/>
                <w:color w:val="auto"/>
              </w:rPr>
              <w:t>优质服务、符合采购人及行业部门质量要求标准</w:t>
            </w:r>
          </w:p>
        </w:tc>
      </w:tr>
      <w:tr w14:paraId="523FA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2B7776F2">
            <w:pPr>
              <w:pStyle w:val="45"/>
              <w:snapToGrid w:val="0"/>
              <w:spacing w:before="36" w:beforeLines="15" w:line="240" w:lineRule="auto"/>
              <w:jc w:val="center"/>
              <w:rPr>
                <w:rFonts w:hAnsi="宋体"/>
                <w:color w:val="auto"/>
                <w:szCs w:val="21"/>
              </w:rPr>
            </w:pPr>
            <w:r>
              <w:rPr>
                <w:rFonts w:hint="eastAsia" w:hAnsi="宋体"/>
                <w:color w:val="auto"/>
                <w:sz w:val="21"/>
                <w:szCs w:val="21"/>
              </w:rPr>
              <w:t>9</w:t>
            </w:r>
          </w:p>
        </w:tc>
        <w:tc>
          <w:tcPr>
            <w:tcW w:w="1944" w:type="dxa"/>
            <w:tcBorders>
              <w:top w:val="single" w:color="auto" w:sz="6" w:space="0"/>
              <w:bottom w:val="single" w:color="auto" w:sz="6" w:space="0"/>
              <w:right w:val="single" w:color="auto" w:sz="6" w:space="0"/>
            </w:tcBorders>
            <w:tcMar>
              <w:left w:w="0" w:type="dxa"/>
              <w:right w:w="0" w:type="dxa"/>
            </w:tcMar>
            <w:vAlign w:val="center"/>
          </w:tcPr>
          <w:p w14:paraId="1F16B81A">
            <w:pPr>
              <w:adjustRightInd w:val="0"/>
              <w:snapToGrid w:val="0"/>
              <w:spacing w:before="36" w:beforeLines="15" w:line="240" w:lineRule="auto"/>
              <w:ind w:left="105" w:leftChars="50"/>
              <w:jc w:val="center"/>
              <w:rPr>
                <w:rFonts w:ascii="宋体" w:hAnsi="宋体" w:eastAsia="宋体" w:cs="宋体"/>
                <w:color w:val="auto"/>
              </w:rPr>
            </w:pPr>
            <w:r>
              <w:rPr>
                <w:rFonts w:hint="eastAsia" w:ascii="宋体" w:hAnsi="宋体" w:eastAsia="宋体" w:cs="宋体"/>
                <w:color w:val="auto"/>
                <w:kern w:val="0"/>
                <w:szCs w:val="21"/>
              </w:rPr>
              <w:t>需要补充的其他内容</w:t>
            </w:r>
          </w:p>
        </w:tc>
        <w:tc>
          <w:tcPr>
            <w:tcW w:w="6374" w:type="dxa"/>
            <w:tcBorders>
              <w:top w:val="single" w:color="auto" w:sz="6" w:space="0"/>
              <w:bottom w:val="single" w:color="auto" w:sz="6" w:space="0"/>
              <w:right w:val="single" w:color="auto" w:sz="6" w:space="0"/>
            </w:tcBorders>
            <w:shd w:val="clear" w:color="auto" w:fill="auto"/>
            <w:tcMar>
              <w:left w:w="0" w:type="dxa"/>
              <w:right w:w="0" w:type="dxa"/>
            </w:tcMar>
            <w:vAlign w:val="center"/>
          </w:tcPr>
          <w:p w14:paraId="51503422">
            <w:pPr>
              <w:autoSpaceDE w:val="0"/>
              <w:autoSpaceDN w:val="0"/>
              <w:adjustRightInd w:val="0"/>
              <w:snapToGrid w:val="0"/>
              <w:spacing w:line="240" w:lineRule="auto"/>
              <w:ind w:firstLine="21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3427A5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2535B80C">
            <w:pPr>
              <w:pStyle w:val="45"/>
              <w:snapToGrid w:val="0"/>
              <w:spacing w:before="36" w:beforeLines="15" w:line="240" w:lineRule="auto"/>
              <w:jc w:val="center"/>
              <w:rPr>
                <w:rFonts w:hAnsi="宋体"/>
                <w:color w:val="auto"/>
                <w:sz w:val="21"/>
                <w:szCs w:val="21"/>
              </w:rPr>
            </w:pPr>
            <w:r>
              <w:rPr>
                <w:rFonts w:hint="eastAsia" w:hAnsi="宋体"/>
                <w:color w:val="auto"/>
                <w:sz w:val="21"/>
                <w:szCs w:val="21"/>
              </w:rPr>
              <w:t>9.1</w:t>
            </w:r>
          </w:p>
        </w:tc>
        <w:tc>
          <w:tcPr>
            <w:tcW w:w="8318" w:type="dxa"/>
            <w:gridSpan w:val="2"/>
            <w:tcBorders>
              <w:top w:val="single" w:color="auto" w:sz="6" w:space="0"/>
              <w:bottom w:val="single" w:color="auto" w:sz="6" w:space="0"/>
              <w:right w:val="single" w:color="auto" w:sz="6" w:space="0"/>
            </w:tcBorders>
            <w:tcMar>
              <w:left w:w="0" w:type="dxa"/>
              <w:right w:w="0" w:type="dxa"/>
            </w:tcMar>
            <w:vAlign w:val="center"/>
          </w:tcPr>
          <w:p w14:paraId="73039568">
            <w:pPr>
              <w:autoSpaceDE w:val="0"/>
              <w:autoSpaceDN w:val="0"/>
              <w:adjustRightInd w:val="0"/>
              <w:spacing w:line="240" w:lineRule="auto"/>
              <w:jc w:val="left"/>
              <w:rPr>
                <w:rFonts w:ascii="宋体" w:hAnsi="宋体" w:eastAsia="宋体" w:cs="宋体"/>
                <w:color w:val="auto"/>
                <w:kern w:val="0"/>
                <w:szCs w:val="21"/>
              </w:rPr>
            </w:pPr>
            <w:r>
              <w:rPr>
                <w:rFonts w:hint="eastAsia" w:ascii="宋体" w:hAnsi="宋体" w:eastAsia="宋体" w:cs="宋体"/>
                <w:color w:val="auto"/>
                <w:kern w:val="0"/>
                <w:szCs w:val="21"/>
              </w:rPr>
              <w:t>电子标说明：</w:t>
            </w:r>
          </w:p>
          <w:p w14:paraId="6FC9E604">
            <w:pPr>
              <w:autoSpaceDE w:val="0"/>
              <w:autoSpaceDN w:val="0"/>
              <w:adjustRightInd w:val="0"/>
              <w:spacing w:line="240" w:lineRule="auto"/>
              <w:ind w:left="105" w:leftChars="5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一、上传的电子证件及资料均需按要求签字盖章上传，否则按未签章处理。</w:t>
            </w:r>
          </w:p>
          <w:p w14:paraId="3E431461">
            <w:pPr>
              <w:autoSpaceDE w:val="0"/>
              <w:autoSpaceDN w:val="0"/>
              <w:adjustRightInd w:val="0"/>
              <w:spacing w:line="240" w:lineRule="auto"/>
              <w:ind w:left="105" w:leftChars="5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（投标文件电子版方面技术支持：400-8817190）</w:t>
            </w:r>
          </w:p>
          <w:p w14:paraId="6AED7A01">
            <w:pPr>
              <w:autoSpaceDE w:val="0"/>
              <w:autoSpaceDN w:val="0"/>
              <w:adjustRightInd w:val="0"/>
              <w:spacing w:line="240" w:lineRule="auto"/>
              <w:ind w:left="105" w:leftChars="50"/>
              <w:jc w:val="left"/>
              <w:rPr>
                <w:rFonts w:ascii="宋体" w:hAnsi="宋体" w:eastAsia="宋体" w:cs="宋体"/>
                <w:color w:val="auto"/>
                <w:kern w:val="0"/>
                <w:szCs w:val="21"/>
                <w:lang w:val="zh-CN"/>
              </w:rPr>
            </w:pPr>
            <w:r>
              <w:rPr>
                <w:rFonts w:hint="eastAsia" w:ascii="宋体" w:hAnsi="宋体" w:eastAsia="宋体" w:cs="宋体"/>
                <w:color w:val="auto"/>
                <w:kern w:val="0"/>
                <w:szCs w:val="21"/>
              </w:rPr>
              <w:t>二、</w:t>
            </w:r>
            <w:r>
              <w:rPr>
                <w:rFonts w:hint="eastAsia" w:ascii="宋体" w:hAnsi="宋体" w:eastAsia="宋体" w:cs="宋体"/>
                <w:color w:val="auto"/>
                <w:kern w:val="0"/>
                <w:szCs w:val="21"/>
                <w:lang w:val="zh-CN"/>
              </w:rPr>
              <w:t>投标人在政府采购云平台（网址：http://www.zcygov.cn）通过数字证书制作投标文件1份（此投标文件需上传至政府采购云平台，并在开标现场持编制投标文件的供应商数字证书现场解密）。</w:t>
            </w:r>
          </w:p>
          <w:p w14:paraId="4C01C347">
            <w:pPr>
              <w:autoSpaceDE w:val="0"/>
              <w:autoSpaceDN w:val="0"/>
              <w:adjustRightInd w:val="0"/>
              <w:spacing w:line="240" w:lineRule="auto"/>
              <w:ind w:left="105" w:leftChars="50"/>
              <w:jc w:val="left"/>
              <w:rPr>
                <w:rFonts w:ascii="宋体" w:hAnsi="宋体" w:eastAsia="宋体" w:cs="宋体"/>
                <w:color w:val="auto"/>
                <w:kern w:val="0"/>
                <w:szCs w:val="21"/>
                <w:lang w:val="zh-CN"/>
              </w:rPr>
            </w:pPr>
            <w:r>
              <w:rPr>
                <w:rFonts w:hint="eastAsia" w:ascii="宋体" w:hAnsi="宋体" w:eastAsia="宋体" w:cs="宋体"/>
                <w:color w:val="auto"/>
                <w:kern w:val="0"/>
                <w:szCs w:val="21"/>
              </w:rPr>
              <w:t>三</w:t>
            </w:r>
            <w:r>
              <w:rPr>
                <w:rFonts w:hint="eastAsia" w:ascii="宋体" w:hAnsi="宋体" w:eastAsia="宋体" w:cs="宋体"/>
                <w:color w:val="auto"/>
                <w:kern w:val="0"/>
                <w:szCs w:val="21"/>
                <w:lang w:val="zh-CN"/>
              </w:rPr>
              <w:t>、电子投标文件中反映投标人资格审查的图片、扫描件、文字描述等，必须清晰可见。</w:t>
            </w:r>
          </w:p>
          <w:p w14:paraId="1F39B7F1">
            <w:pPr>
              <w:autoSpaceDE w:val="0"/>
              <w:autoSpaceDN w:val="0"/>
              <w:adjustRightInd w:val="0"/>
              <w:spacing w:line="240" w:lineRule="auto"/>
              <w:ind w:left="105" w:leftChars="50"/>
              <w:jc w:val="left"/>
              <w:rPr>
                <w:rFonts w:ascii="宋体" w:hAnsi="宋体" w:eastAsia="宋体" w:cs="宋体"/>
                <w:color w:val="auto"/>
                <w:kern w:val="0"/>
                <w:szCs w:val="21"/>
                <w:lang w:val="zh-CN"/>
              </w:rPr>
            </w:pPr>
            <w:r>
              <w:rPr>
                <w:rFonts w:hint="eastAsia" w:ascii="宋体" w:hAnsi="宋体" w:eastAsia="宋体" w:cs="宋体"/>
                <w:color w:val="auto"/>
                <w:kern w:val="0"/>
                <w:szCs w:val="21"/>
              </w:rPr>
              <w:t>四</w:t>
            </w:r>
            <w:r>
              <w:rPr>
                <w:rFonts w:hint="eastAsia" w:ascii="宋体" w:hAnsi="宋体" w:eastAsia="宋体" w:cs="宋体"/>
                <w:color w:val="auto"/>
                <w:kern w:val="0"/>
                <w:szCs w:val="21"/>
                <w:lang w:val="zh-CN"/>
              </w:rPr>
              <w:t>、若投标人上传的电子投标文件因无法在规定时间解密而对投标文件无法进行评价的，采购人将拒绝该供应商的投标文件，投标无效。</w:t>
            </w:r>
          </w:p>
          <w:p w14:paraId="465DB5DC">
            <w:pPr>
              <w:autoSpaceDE w:val="0"/>
              <w:autoSpaceDN w:val="0"/>
              <w:adjustRightInd w:val="0"/>
              <w:spacing w:line="240" w:lineRule="auto"/>
              <w:ind w:left="105" w:leftChars="50"/>
              <w:jc w:val="left"/>
              <w:rPr>
                <w:rFonts w:ascii="宋体" w:hAnsi="宋体" w:eastAsia="宋体" w:cs="宋体"/>
                <w:bCs/>
                <w:color w:val="auto"/>
                <w:kern w:val="15"/>
                <w:szCs w:val="21"/>
                <w:lang w:val="zh-CN"/>
              </w:rPr>
            </w:pPr>
            <w:r>
              <w:rPr>
                <w:rFonts w:hint="eastAsia" w:ascii="宋体" w:hAnsi="宋体" w:eastAsia="宋体" w:cs="宋体"/>
                <w:color w:val="auto"/>
                <w:kern w:val="0"/>
                <w:szCs w:val="21"/>
                <w:lang w:val="zh-CN"/>
              </w:rPr>
              <w:t>投标文件电子版(U盘)按招标文件规定执行，用数字证书编制的电子版按《政府采购项目电子交易管理操作指南-供应商》进行投标操作。</w:t>
            </w:r>
          </w:p>
        </w:tc>
      </w:tr>
      <w:tr w14:paraId="792779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569E545B">
            <w:pPr>
              <w:pStyle w:val="45"/>
              <w:snapToGrid w:val="0"/>
              <w:spacing w:before="36" w:beforeLines="15" w:line="240" w:lineRule="auto"/>
              <w:jc w:val="center"/>
              <w:rPr>
                <w:rFonts w:hAnsi="宋体"/>
                <w:color w:val="auto"/>
                <w:sz w:val="21"/>
                <w:szCs w:val="21"/>
              </w:rPr>
            </w:pPr>
            <w:r>
              <w:rPr>
                <w:rFonts w:hint="eastAsia" w:hAnsi="宋体"/>
                <w:color w:val="auto"/>
                <w:sz w:val="21"/>
                <w:szCs w:val="21"/>
              </w:rPr>
              <w:t>9.2</w:t>
            </w:r>
          </w:p>
        </w:tc>
        <w:tc>
          <w:tcPr>
            <w:tcW w:w="8318" w:type="dxa"/>
            <w:gridSpan w:val="2"/>
            <w:tcBorders>
              <w:top w:val="single" w:color="auto" w:sz="6" w:space="0"/>
              <w:bottom w:val="single" w:color="auto" w:sz="6" w:space="0"/>
              <w:right w:val="single" w:color="auto" w:sz="6" w:space="0"/>
            </w:tcBorders>
            <w:tcMar>
              <w:left w:w="0" w:type="dxa"/>
              <w:right w:w="0" w:type="dxa"/>
            </w:tcMar>
            <w:vAlign w:val="center"/>
          </w:tcPr>
          <w:p w14:paraId="4CE068AA">
            <w:pPr>
              <w:autoSpaceDE w:val="0"/>
              <w:autoSpaceDN w:val="0"/>
              <w:adjustRightInd w:val="0"/>
              <w:spacing w:line="240" w:lineRule="auto"/>
              <w:ind w:left="105" w:leftChars="50"/>
              <w:jc w:val="left"/>
              <w:rPr>
                <w:rFonts w:ascii="宋体" w:hAnsi="宋体" w:eastAsia="宋体" w:cs="宋体"/>
                <w:color w:val="auto"/>
                <w:kern w:val="0"/>
                <w:szCs w:val="21"/>
              </w:rPr>
            </w:pPr>
            <w:r>
              <w:rPr>
                <w:rFonts w:hint="eastAsia" w:ascii="宋体" w:hAnsi="宋体" w:eastAsia="宋体" w:cs="宋体"/>
                <w:color w:val="auto"/>
                <w:szCs w:val="21"/>
                <w:lang w:val="zh-CN"/>
              </w:rPr>
              <w:t>合同备案管理</w:t>
            </w:r>
            <w:r>
              <w:rPr>
                <w:rFonts w:hint="eastAsia" w:ascii="宋体" w:hAnsi="宋体" w:eastAsia="宋体" w:cs="宋体"/>
                <w:color w:val="auto"/>
                <w:kern w:val="0"/>
                <w:szCs w:val="21"/>
              </w:rPr>
              <w:t>：</w:t>
            </w:r>
            <w:r>
              <w:rPr>
                <w:rStyle w:val="37"/>
                <w:rFonts w:hint="eastAsia" w:ascii="宋体" w:hAnsi="宋体" w:eastAsia="宋体" w:cs="宋体"/>
                <w:color w:val="auto"/>
              </w:rPr>
              <w:t>中标单位与采购人签订合同后2个工作日内，将扫描件交于采购代理机构，</w:t>
            </w:r>
            <w:r>
              <w:rPr>
                <w:rFonts w:hint="eastAsia" w:ascii="宋体" w:hAnsi="宋体" w:eastAsia="宋体" w:cs="宋体"/>
                <w:color w:val="auto"/>
                <w:kern w:val="0"/>
                <w:szCs w:val="21"/>
              </w:rPr>
              <w:t>采购代理机构协助采购人，将政府采购合同在省级以上人民政府部门指定的媒体上公告（政府采购合同中涉及国家秘密、商业秘密的内容除外）。</w:t>
            </w:r>
          </w:p>
        </w:tc>
      </w:tr>
      <w:tr w14:paraId="781464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6E01D8D8">
            <w:pPr>
              <w:autoSpaceDE w:val="0"/>
              <w:autoSpaceDN w:val="0"/>
              <w:adjustRightInd w:val="0"/>
              <w:spacing w:line="240" w:lineRule="auto"/>
              <w:jc w:val="center"/>
              <w:rPr>
                <w:rFonts w:ascii="宋体" w:hAnsi="宋体" w:eastAsia="宋体" w:cs="宋体"/>
                <w:color w:val="auto"/>
                <w:szCs w:val="21"/>
              </w:rPr>
            </w:pPr>
            <w:r>
              <w:rPr>
                <w:rFonts w:hint="eastAsia" w:ascii="宋体" w:hAnsi="宋体" w:eastAsia="宋体" w:cs="宋体"/>
                <w:color w:val="auto"/>
                <w:szCs w:val="21"/>
              </w:rPr>
              <w:t>9.3</w:t>
            </w:r>
          </w:p>
        </w:tc>
        <w:tc>
          <w:tcPr>
            <w:tcW w:w="8318" w:type="dxa"/>
            <w:gridSpan w:val="2"/>
            <w:tcBorders>
              <w:top w:val="single" w:color="auto" w:sz="6" w:space="0"/>
              <w:left w:val="single" w:color="auto" w:sz="4" w:space="0"/>
              <w:bottom w:val="single" w:color="auto" w:sz="6" w:space="0"/>
              <w:right w:val="single" w:color="auto" w:sz="6" w:space="0"/>
            </w:tcBorders>
            <w:tcMar>
              <w:left w:w="0" w:type="dxa"/>
              <w:right w:w="0" w:type="dxa"/>
            </w:tcMar>
            <w:vAlign w:val="center"/>
          </w:tcPr>
          <w:p w14:paraId="10269709">
            <w:pPr>
              <w:adjustRightInd w:val="0"/>
              <w:snapToGrid w:val="0"/>
              <w:spacing w:line="240" w:lineRule="auto"/>
              <w:ind w:left="105" w:leftChars="50"/>
              <w:rPr>
                <w:rFonts w:ascii="宋体" w:hAnsi="宋体" w:eastAsia="宋体" w:cs="宋体"/>
                <w:color w:val="auto"/>
              </w:rPr>
            </w:pPr>
            <w:r>
              <w:rPr>
                <w:rFonts w:hint="eastAsia" w:ascii="宋体" w:hAnsi="宋体" w:eastAsia="宋体" w:cs="宋体"/>
                <w:color w:val="auto"/>
              </w:rPr>
              <w:t>对投标人信用信息的查询：</w:t>
            </w:r>
          </w:p>
          <w:p w14:paraId="14540110">
            <w:pPr>
              <w:adjustRightInd w:val="0"/>
              <w:snapToGrid w:val="0"/>
              <w:spacing w:line="240" w:lineRule="auto"/>
              <w:ind w:left="105" w:leftChars="50"/>
              <w:rPr>
                <w:rFonts w:ascii="宋体" w:hAnsi="宋体" w:eastAsia="宋体" w:cs="宋体"/>
                <w:color w:val="auto"/>
              </w:rPr>
            </w:pPr>
            <w:r>
              <w:rPr>
                <w:rFonts w:hint="eastAsia" w:ascii="宋体" w:hAnsi="宋体" w:eastAsia="宋体" w:cs="宋体"/>
                <w:color w:val="auto"/>
              </w:rPr>
              <w:t>查询渠道：①“信用中国”网站（www.creditchina.gov.cn）：失信被执行人、重大税收违法案件当事人名单、政府采购严重违法失信名单。</w:t>
            </w:r>
          </w:p>
          <w:p w14:paraId="6BBEFA5C">
            <w:pPr>
              <w:adjustRightInd w:val="0"/>
              <w:snapToGrid w:val="0"/>
              <w:spacing w:line="240" w:lineRule="auto"/>
              <w:ind w:left="105" w:leftChars="50"/>
              <w:rPr>
                <w:rFonts w:ascii="宋体" w:hAnsi="宋体" w:eastAsia="宋体" w:cs="宋体"/>
                <w:color w:val="auto"/>
              </w:rPr>
            </w:pPr>
            <w:r>
              <w:rPr>
                <w:rFonts w:hint="eastAsia" w:ascii="宋体" w:hAnsi="宋体" w:eastAsia="宋体" w:cs="宋体"/>
                <w:color w:val="auto"/>
              </w:rPr>
              <w:t>②中国政府采购网(www.ccgp.gov.cn)：政府采购严重违法失信行为信息记录。</w:t>
            </w:r>
          </w:p>
          <w:p w14:paraId="73F87D7E">
            <w:pPr>
              <w:adjustRightInd w:val="0"/>
              <w:snapToGrid w:val="0"/>
              <w:spacing w:line="240" w:lineRule="auto"/>
              <w:ind w:left="105" w:leftChars="50"/>
              <w:rPr>
                <w:rFonts w:ascii="宋体" w:hAnsi="宋体" w:eastAsia="宋体" w:cs="宋体"/>
                <w:color w:val="auto"/>
              </w:rPr>
            </w:pPr>
            <w:r>
              <w:rPr>
                <w:rFonts w:hint="eastAsia" w:ascii="宋体" w:hAnsi="宋体" w:eastAsia="宋体" w:cs="宋体"/>
                <w:color w:val="auto"/>
              </w:rPr>
              <w:t>查询时间：需在投标报名时间之后</w:t>
            </w:r>
          </w:p>
          <w:p w14:paraId="1962E002">
            <w:pPr>
              <w:adjustRightInd w:val="0"/>
              <w:snapToGrid w:val="0"/>
              <w:spacing w:line="240" w:lineRule="auto"/>
              <w:ind w:left="105" w:leftChars="50"/>
              <w:rPr>
                <w:rFonts w:ascii="宋体" w:hAnsi="宋体" w:eastAsia="宋体" w:cs="宋体"/>
                <w:color w:val="auto"/>
              </w:rPr>
            </w:pPr>
            <w:r>
              <w:rPr>
                <w:rFonts w:hint="eastAsia" w:ascii="宋体" w:hAnsi="宋体" w:eastAsia="宋体" w:cs="宋体"/>
                <w:color w:val="auto"/>
              </w:rPr>
              <w:t>信用信息查询记录和证据留存的具体方式：</w:t>
            </w:r>
          </w:p>
          <w:p w14:paraId="4F172FFA">
            <w:pPr>
              <w:adjustRightInd w:val="0"/>
              <w:snapToGrid w:val="0"/>
              <w:spacing w:line="240" w:lineRule="auto"/>
              <w:ind w:left="105" w:leftChars="50"/>
              <w:rPr>
                <w:rFonts w:ascii="宋体" w:hAnsi="宋体" w:eastAsia="宋体" w:cs="宋体"/>
                <w:color w:val="auto"/>
              </w:rPr>
            </w:pPr>
            <w:r>
              <w:rPr>
                <w:rFonts w:hint="eastAsia" w:ascii="宋体" w:hAnsi="宋体" w:eastAsia="宋体" w:cs="宋体"/>
                <w:color w:val="auto"/>
              </w:rPr>
              <w:t>采购人或采购代理机构将按查询截止时间对所有投标人的信用信息进行查询，网站查询记录作为招投标存档备案材料的组成部分进行留存。</w:t>
            </w:r>
          </w:p>
          <w:p w14:paraId="39908A81">
            <w:pPr>
              <w:adjustRightInd w:val="0"/>
              <w:snapToGrid w:val="0"/>
              <w:spacing w:line="240" w:lineRule="auto"/>
              <w:ind w:left="105" w:leftChars="50"/>
              <w:rPr>
                <w:rFonts w:ascii="宋体" w:hAnsi="宋体" w:eastAsia="宋体" w:cs="宋体"/>
                <w:color w:val="auto"/>
              </w:rPr>
            </w:pPr>
            <w:r>
              <w:rPr>
                <w:rFonts w:hint="eastAsia" w:ascii="宋体" w:hAnsi="宋体" w:eastAsia="宋体" w:cs="宋体"/>
                <w:color w:val="auto"/>
              </w:rPr>
              <w:t>信用信息的使用规则：</w:t>
            </w:r>
          </w:p>
          <w:p w14:paraId="2314ABB6">
            <w:pPr>
              <w:autoSpaceDE w:val="0"/>
              <w:autoSpaceDN w:val="0"/>
              <w:adjustRightInd w:val="0"/>
              <w:spacing w:line="240" w:lineRule="auto"/>
              <w:ind w:left="105" w:leftChars="50"/>
              <w:jc w:val="left"/>
              <w:rPr>
                <w:rFonts w:ascii="宋体" w:hAnsi="宋体" w:eastAsia="宋体" w:cs="宋体"/>
                <w:color w:val="auto"/>
                <w:kern w:val="0"/>
                <w:szCs w:val="21"/>
              </w:rPr>
            </w:pPr>
            <w:r>
              <w:rPr>
                <w:rFonts w:hint="eastAsia" w:ascii="宋体" w:hAnsi="宋体" w:eastAsia="宋体" w:cs="宋体"/>
                <w:color w:val="auto"/>
                <w:kern w:val="0"/>
                <w:szCs w:val="21"/>
                <w:lang w:val="zh-CN"/>
              </w:rPr>
              <w:t>采购人或采购代理机构将按查询截止时间对所有投标人的信用信息进行查询，查询结果作为是否接受投标报名的依据之一，被列入失信被执行人、重大税收违法案件当事人名单、政府采购严重违法失信行为记录名单的投标人将不接受其投标报名。</w:t>
            </w:r>
          </w:p>
        </w:tc>
      </w:tr>
      <w:tr w14:paraId="0D6AD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9"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318B04BD">
            <w:pPr>
              <w:autoSpaceDE w:val="0"/>
              <w:autoSpaceDN w:val="0"/>
              <w:adjustRightInd w:val="0"/>
              <w:spacing w:line="240" w:lineRule="auto"/>
              <w:jc w:val="center"/>
              <w:rPr>
                <w:rFonts w:ascii="宋体" w:hAnsi="宋体" w:eastAsia="宋体" w:cs="宋体"/>
                <w:color w:val="auto"/>
                <w:kern w:val="0"/>
                <w:szCs w:val="21"/>
              </w:rPr>
            </w:pPr>
            <w:r>
              <w:rPr>
                <w:rFonts w:hint="eastAsia" w:ascii="宋体" w:hAnsi="宋体" w:eastAsia="宋体" w:cs="宋体"/>
                <w:color w:val="auto"/>
                <w:szCs w:val="21"/>
              </w:rPr>
              <w:t>9.4</w:t>
            </w:r>
          </w:p>
        </w:tc>
        <w:tc>
          <w:tcPr>
            <w:tcW w:w="8318" w:type="dxa"/>
            <w:gridSpan w:val="2"/>
            <w:tcBorders>
              <w:top w:val="single" w:color="auto" w:sz="6" w:space="0"/>
              <w:left w:val="single" w:color="auto" w:sz="4" w:space="0"/>
              <w:bottom w:val="single" w:color="auto" w:sz="6" w:space="0"/>
              <w:right w:val="single" w:color="auto" w:sz="6" w:space="0"/>
            </w:tcBorders>
            <w:shd w:val="clear" w:color="auto" w:fill="auto"/>
            <w:tcMar>
              <w:left w:w="0" w:type="dxa"/>
              <w:right w:w="0" w:type="dxa"/>
            </w:tcMar>
            <w:vAlign w:val="center"/>
          </w:tcPr>
          <w:p w14:paraId="72D9014F">
            <w:pPr>
              <w:spacing w:line="240" w:lineRule="auto"/>
              <w:ind w:left="105" w:leftChars="50"/>
              <w:rPr>
                <w:rFonts w:ascii="宋体" w:hAnsi="宋体" w:eastAsia="宋体" w:cs="宋体"/>
                <w:color w:val="auto"/>
              </w:rPr>
            </w:pPr>
            <w:r>
              <w:rPr>
                <w:rFonts w:hint="eastAsia" w:ascii="宋体" w:hAnsi="宋体" w:eastAsia="宋体" w:cs="宋体"/>
                <w:bCs/>
                <w:color w:val="auto"/>
                <w:szCs w:val="21"/>
              </w:rPr>
              <w:t>声明：本项目采购公</w:t>
            </w:r>
            <w:r>
              <w:rPr>
                <w:rFonts w:hint="eastAsia" w:ascii="宋体" w:hAnsi="宋体" w:eastAsia="宋体" w:cs="宋体"/>
                <w:color w:val="auto"/>
              </w:rPr>
              <w:t>告与采购文件投标人须知内容有不符之处，以本项目采购文件投标人须知内容为准。</w:t>
            </w:r>
          </w:p>
          <w:p w14:paraId="0E0DF99E">
            <w:pPr>
              <w:spacing w:line="240" w:lineRule="auto"/>
              <w:ind w:left="105" w:leftChars="50"/>
              <w:rPr>
                <w:rFonts w:ascii="宋体" w:hAnsi="宋体" w:eastAsia="宋体" w:cs="宋体"/>
                <w:color w:val="auto"/>
                <w:kern w:val="2"/>
                <w:sz w:val="21"/>
                <w:szCs w:val="24"/>
                <w:lang w:val="en-US" w:eastAsia="zh-CN" w:bidi="ar-SA"/>
              </w:rPr>
            </w:pPr>
            <w:r>
              <w:rPr>
                <w:rFonts w:hint="eastAsia" w:ascii="宋体" w:hAnsi="宋体" w:eastAsia="宋体" w:cs="宋体"/>
                <w:color w:val="auto"/>
              </w:rPr>
              <w:t>采购文件中的投标人须知总则部分是采购文件标准文本通用条款，投标人须知前附表是采购人对总则相应条款重点表述的明示和补</w:t>
            </w:r>
            <w:r>
              <w:rPr>
                <w:rFonts w:hint="eastAsia" w:ascii="宋体" w:hAnsi="宋体" w:eastAsia="宋体" w:cs="宋体"/>
                <w:bCs/>
                <w:color w:val="auto"/>
                <w:szCs w:val="21"/>
              </w:rPr>
              <w:t>充，如条款有不一致，总则部分相应条款不适用本文件。</w:t>
            </w:r>
          </w:p>
        </w:tc>
      </w:tr>
      <w:tr w14:paraId="576569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9"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004D7502">
            <w:pPr>
              <w:pStyle w:val="45"/>
              <w:snapToGrid w:val="0"/>
              <w:spacing w:before="36" w:beforeLines="15" w:line="240" w:lineRule="auto"/>
              <w:jc w:val="center"/>
              <w:rPr>
                <w:rFonts w:hAnsi="宋体"/>
                <w:color w:val="auto"/>
                <w:sz w:val="21"/>
                <w:szCs w:val="21"/>
              </w:rPr>
            </w:pPr>
            <w:r>
              <w:rPr>
                <w:rFonts w:hint="eastAsia" w:hAnsi="宋体"/>
                <w:color w:val="auto"/>
                <w:sz w:val="21"/>
                <w:szCs w:val="21"/>
              </w:rPr>
              <w:t>9.5</w:t>
            </w:r>
          </w:p>
        </w:tc>
        <w:tc>
          <w:tcPr>
            <w:tcW w:w="8318" w:type="dxa"/>
            <w:gridSpan w:val="2"/>
            <w:tcBorders>
              <w:top w:val="single" w:color="auto" w:sz="6" w:space="0"/>
              <w:left w:val="single" w:color="auto" w:sz="4" w:space="0"/>
              <w:bottom w:val="single" w:color="auto" w:sz="6" w:space="0"/>
              <w:right w:val="single" w:color="auto" w:sz="6" w:space="0"/>
            </w:tcBorders>
            <w:shd w:val="clear" w:color="auto" w:fill="auto"/>
            <w:tcMar>
              <w:left w:w="0" w:type="dxa"/>
              <w:right w:w="0" w:type="dxa"/>
            </w:tcMar>
            <w:vAlign w:val="center"/>
          </w:tcPr>
          <w:p w14:paraId="64E4FFEC">
            <w:pPr>
              <w:spacing w:line="240" w:lineRule="auto"/>
              <w:ind w:left="105" w:leftChars="50"/>
              <w:rPr>
                <w:rFonts w:ascii="宋体" w:hAnsi="宋体" w:eastAsia="宋体" w:cs="宋体"/>
                <w:color w:val="auto"/>
                <w:kern w:val="0"/>
                <w:sz w:val="21"/>
                <w:szCs w:val="21"/>
                <w:lang w:val="en-US" w:eastAsia="zh-CN" w:bidi="ar-SA"/>
              </w:rPr>
            </w:pPr>
            <w:r>
              <w:rPr>
                <w:rFonts w:hint="eastAsia" w:ascii="宋体" w:hAnsi="宋体" w:eastAsia="宋体" w:cs="宋体"/>
                <w:bCs/>
                <w:color w:val="auto"/>
                <w:szCs w:val="21"/>
                <w:lang w:val="zh-CN"/>
              </w:rPr>
              <w:t>解释权：</w:t>
            </w:r>
            <w:r>
              <w:rPr>
                <w:rFonts w:hint="eastAsia" w:ascii="宋体" w:hAnsi="宋体" w:eastAsia="宋体" w:cs="宋体"/>
                <w:color w:val="auto"/>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采购投标阶段的规定，按采购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172D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36D6035F">
            <w:pPr>
              <w:pStyle w:val="45"/>
              <w:snapToGrid w:val="0"/>
              <w:spacing w:before="36" w:beforeLines="15" w:line="240" w:lineRule="auto"/>
              <w:jc w:val="center"/>
              <w:rPr>
                <w:rFonts w:hAnsi="宋体"/>
                <w:color w:val="auto"/>
                <w:sz w:val="21"/>
                <w:szCs w:val="21"/>
              </w:rPr>
            </w:pPr>
            <w:r>
              <w:rPr>
                <w:rFonts w:hint="eastAsia" w:hAnsi="宋体"/>
                <w:color w:val="auto"/>
                <w:sz w:val="21"/>
                <w:szCs w:val="21"/>
              </w:rPr>
              <w:t>9.6</w:t>
            </w:r>
          </w:p>
        </w:tc>
        <w:tc>
          <w:tcPr>
            <w:tcW w:w="8318" w:type="dxa"/>
            <w:gridSpan w:val="2"/>
            <w:tcBorders>
              <w:top w:val="single" w:color="auto" w:sz="6" w:space="0"/>
              <w:left w:val="single" w:color="auto" w:sz="4" w:space="0"/>
              <w:bottom w:val="single" w:color="auto" w:sz="6" w:space="0"/>
              <w:right w:val="single" w:color="auto" w:sz="6" w:space="0"/>
            </w:tcBorders>
            <w:shd w:val="clear" w:color="auto" w:fill="auto"/>
            <w:tcMar>
              <w:left w:w="0" w:type="dxa"/>
              <w:right w:w="0" w:type="dxa"/>
            </w:tcMar>
            <w:vAlign w:val="center"/>
          </w:tcPr>
          <w:p w14:paraId="03D27B42">
            <w:pPr>
              <w:spacing w:line="240" w:lineRule="auto"/>
              <w:ind w:left="105" w:leftChars="50"/>
              <w:rPr>
                <w:rFonts w:ascii="宋体" w:hAnsi="宋体" w:eastAsia="宋体" w:cs="宋体"/>
                <w:bCs/>
                <w:color w:val="auto"/>
                <w:kern w:val="2"/>
                <w:sz w:val="21"/>
                <w:szCs w:val="21"/>
                <w:lang w:val="en-US" w:eastAsia="zh-CN" w:bidi="ar-SA"/>
              </w:rPr>
            </w:pPr>
            <w:r>
              <w:rPr>
                <w:rFonts w:hint="eastAsia" w:ascii="宋体" w:hAnsi="宋体" w:eastAsia="宋体" w:cs="宋体"/>
                <w:color w:val="auto"/>
                <w:kern w:val="0"/>
                <w:szCs w:val="21"/>
                <w:lang w:val="zh-CN"/>
              </w:rPr>
              <w:t>投标人若对项目采购电子交易系统操作有疑问</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如</w:t>
            </w:r>
            <w:r>
              <w:rPr>
                <w:rFonts w:hint="eastAsia" w:ascii="宋体" w:hAnsi="宋体" w:eastAsia="宋体" w:cs="宋体"/>
                <w:color w:val="auto"/>
                <w:kern w:val="0"/>
                <w:szCs w:val="21"/>
              </w:rPr>
              <w:t>CA</w:t>
            </w:r>
            <w:r>
              <w:rPr>
                <w:rFonts w:hint="eastAsia" w:ascii="宋体" w:hAnsi="宋体" w:eastAsia="宋体" w:cs="宋体"/>
                <w:color w:val="auto"/>
                <w:kern w:val="0"/>
                <w:szCs w:val="21"/>
                <w:lang w:val="zh-CN"/>
              </w:rPr>
              <w:t>锁获取、使用、投标文件远程解密等问题</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可在投标截止时间前登录</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政采云</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平台</w:t>
            </w:r>
            <w:r>
              <w:rPr>
                <w:rFonts w:hint="eastAsia" w:ascii="宋体" w:hAnsi="宋体" w:eastAsia="宋体" w:cs="宋体"/>
                <w:color w:val="auto"/>
                <w:kern w:val="0"/>
                <w:szCs w:val="21"/>
              </w:rPr>
              <w:t>（https://www.zcygov.cn/），</w:t>
            </w:r>
            <w:r>
              <w:rPr>
                <w:rFonts w:hint="eastAsia" w:ascii="宋体" w:hAnsi="宋体" w:eastAsia="宋体" w:cs="宋体"/>
                <w:color w:val="auto"/>
                <w:kern w:val="0"/>
                <w:szCs w:val="21"/>
                <w:lang w:val="zh-CN"/>
              </w:rPr>
              <w:t>点击右侧咨询小采</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获取采小蜜智能服务管家帮助</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或及时拨打政采云服务热线</w:t>
            </w:r>
            <w:r>
              <w:rPr>
                <w:rFonts w:hint="eastAsia" w:ascii="宋体" w:hAnsi="宋体" w:eastAsia="宋体" w:cs="宋体"/>
                <w:color w:val="auto"/>
                <w:kern w:val="0"/>
                <w:szCs w:val="21"/>
                <w:lang w:val="en-US" w:eastAsia="zh-CN"/>
              </w:rPr>
              <w:t>95763</w:t>
            </w:r>
            <w:r>
              <w:rPr>
                <w:rFonts w:hint="eastAsia" w:ascii="宋体" w:hAnsi="宋体" w:eastAsia="宋体" w:cs="宋体"/>
                <w:color w:val="auto"/>
                <w:kern w:val="0"/>
                <w:szCs w:val="21"/>
                <w:lang w:val="zh-CN"/>
              </w:rPr>
              <w:t>获取热线服务帮助</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以免影响其投标。</w:t>
            </w:r>
          </w:p>
        </w:tc>
      </w:tr>
      <w:tr w14:paraId="495D0E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895" w:type="dxa"/>
            <w:tcBorders>
              <w:top w:val="single" w:color="auto" w:sz="6" w:space="0"/>
              <w:left w:val="single" w:color="auto" w:sz="6" w:space="0"/>
              <w:bottom w:val="single" w:color="auto" w:sz="6" w:space="0"/>
            </w:tcBorders>
            <w:tcMar>
              <w:left w:w="0" w:type="dxa"/>
              <w:right w:w="0" w:type="dxa"/>
            </w:tcMar>
            <w:vAlign w:val="center"/>
          </w:tcPr>
          <w:p w14:paraId="17C8090D">
            <w:pPr>
              <w:pStyle w:val="45"/>
              <w:snapToGrid w:val="0"/>
              <w:spacing w:before="36" w:beforeLines="15" w:line="240" w:lineRule="auto"/>
              <w:jc w:val="center"/>
              <w:rPr>
                <w:rFonts w:hAnsi="宋体"/>
                <w:color w:val="auto"/>
                <w:sz w:val="21"/>
                <w:szCs w:val="21"/>
              </w:rPr>
            </w:pPr>
            <w:r>
              <w:rPr>
                <w:rFonts w:hint="eastAsia" w:hAnsi="宋体"/>
                <w:color w:val="auto"/>
                <w:sz w:val="21"/>
                <w:szCs w:val="21"/>
              </w:rPr>
              <w:t>9.7</w:t>
            </w:r>
          </w:p>
        </w:tc>
        <w:tc>
          <w:tcPr>
            <w:tcW w:w="8318" w:type="dxa"/>
            <w:gridSpan w:val="2"/>
            <w:tcBorders>
              <w:top w:val="single" w:color="auto" w:sz="6" w:space="0"/>
              <w:left w:val="single" w:color="auto" w:sz="4" w:space="0"/>
              <w:bottom w:val="single" w:color="auto" w:sz="6" w:space="0"/>
              <w:right w:val="single" w:color="auto" w:sz="6" w:space="0"/>
            </w:tcBorders>
            <w:shd w:val="clear" w:color="auto" w:fill="auto"/>
            <w:tcMar>
              <w:left w:w="0" w:type="dxa"/>
              <w:right w:w="0" w:type="dxa"/>
            </w:tcMar>
            <w:vAlign w:val="center"/>
          </w:tcPr>
          <w:p w14:paraId="3D07959C">
            <w:pPr>
              <w:spacing w:line="240" w:lineRule="auto"/>
              <w:ind w:left="105" w:leftChars="5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选择10家供应商组成共保体作为共同承保人。</w:t>
            </w:r>
          </w:p>
          <w:p w14:paraId="4295BE5D">
            <w:pPr>
              <w:spacing w:line="240" w:lineRule="auto"/>
              <w:ind w:left="105" w:leftChars="5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kern w:val="0"/>
                <w:szCs w:val="21"/>
                <w:highlight w:val="none"/>
                <w:lang w:val="zh-CN"/>
              </w:rPr>
              <w:t>按照得分高低进行排序，排序前</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lang w:val="zh-CN" w:eastAsia="zh-CN"/>
              </w:rPr>
              <w:t>家</w:t>
            </w:r>
            <w:r>
              <w:rPr>
                <w:rFonts w:hint="eastAsia" w:ascii="宋体" w:hAnsi="宋体" w:eastAsia="宋体" w:cs="宋体"/>
                <w:kern w:val="0"/>
                <w:szCs w:val="21"/>
                <w:highlight w:val="none"/>
                <w:lang w:val="zh-CN"/>
              </w:rPr>
              <w:t>的作为入围供应商。</w:t>
            </w:r>
            <w:r>
              <w:rPr>
                <w:rFonts w:hint="eastAsia" w:ascii="宋体" w:hAnsi="宋体" w:eastAsia="宋体" w:cs="宋体"/>
                <w:kern w:val="0"/>
                <w:szCs w:val="21"/>
                <w:highlight w:val="none"/>
                <w:lang w:val="zh-CN" w:eastAsia="zh-CN"/>
              </w:rPr>
              <w:t>评审结果按评审后得分由高到低顺序排列；得分相同的，按技术标优劣排序；技术标得分也相同的，按供应商业绩优劣排序；业绩得分也相同的，按供应商项目管理团队人员优劣排序；前款不能确定的，按《政府采购货物和服务招标投标管理办法》（财政部87号）第六十八条，由评标委员会随机抽取的方式确定。通过资格审查和符合性审查的投标人数量少于或等于招标文件中要求确定中标人数量的，通过资格审查和符合性审查的投标人直接确定为中标人。</w:t>
            </w:r>
          </w:p>
        </w:tc>
      </w:tr>
    </w:tbl>
    <w:p w14:paraId="1B974022">
      <w:pPr>
        <w:rPr>
          <w:rFonts w:ascii="宋体" w:hAnsi="宋体" w:eastAsia="宋体" w:cs="宋体"/>
          <w:b/>
          <w:color w:val="auto"/>
          <w:sz w:val="24"/>
          <w:szCs w:val="32"/>
        </w:rPr>
      </w:pPr>
      <w:bookmarkStart w:id="52" w:name="_Toc291782332"/>
      <w:bookmarkStart w:id="53" w:name="_Toc325358491"/>
      <w:bookmarkStart w:id="54" w:name="_Toc179632546"/>
      <w:bookmarkStart w:id="55" w:name="_Toc457839487"/>
      <w:bookmarkStart w:id="56" w:name="_Toc357177710"/>
      <w:bookmarkStart w:id="57" w:name="_Toc246996175"/>
      <w:bookmarkStart w:id="58" w:name="_Toc152042305"/>
      <w:bookmarkStart w:id="59" w:name="_Toc246996918"/>
      <w:bookmarkStart w:id="60" w:name="_Toc420417622"/>
      <w:bookmarkStart w:id="61" w:name="_Toc144974497"/>
      <w:bookmarkStart w:id="62" w:name="_Toc152045529"/>
      <w:bookmarkStart w:id="63" w:name="_Toc247085689"/>
      <w:r>
        <w:rPr>
          <w:rFonts w:hint="eastAsia" w:ascii="宋体" w:hAnsi="宋体" w:eastAsia="宋体" w:cs="宋体"/>
          <w:b/>
          <w:color w:val="auto"/>
          <w:sz w:val="24"/>
          <w:szCs w:val="32"/>
        </w:rPr>
        <w:br w:type="page"/>
      </w:r>
    </w:p>
    <w:p w14:paraId="43F545DD">
      <w:pPr>
        <w:spacing w:line="360" w:lineRule="auto"/>
        <w:rPr>
          <w:rFonts w:ascii="宋体" w:hAnsi="宋体" w:eastAsia="宋体" w:cs="宋体"/>
          <w:b/>
          <w:color w:val="auto"/>
          <w:sz w:val="24"/>
        </w:rPr>
      </w:pPr>
      <w:r>
        <w:rPr>
          <w:rFonts w:hint="eastAsia" w:ascii="宋体" w:hAnsi="宋体" w:eastAsia="宋体" w:cs="宋体"/>
          <w:b/>
          <w:color w:val="auto"/>
          <w:sz w:val="24"/>
          <w:szCs w:val="32"/>
        </w:rPr>
        <w:t>附表1</w:t>
      </w:r>
      <w:bookmarkEnd w:id="52"/>
      <w:bookmarkEnd w:id="53"/>
    </w:p>
    <w:p w14:paraId="0D3F5F56">
      <w:pPr>
        <w:spacing w:before="240" w:beforeLines="100" w:after="240" w:afterLines="10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投标疑问</w:t>
      </w:r>
    </w:p>
    <w:p w14:paraId="7DC01FC2">
      <w:pPr>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项目名称：</w:t>
      </w:r>
    </w:p>
    <w:p w14:paraId="49FDCDA0">
      <w:pPr>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投标编号：</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4116"/>
      </w:tblGrid>
      <w:tr w14:paraId="27ECD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968" w:type="dxa"/>
            <w:tcBorders>
              <w:top w:val="single" w:color="080000" w:sz="4" w:space="0"/>
              <w:left w:val="single" w:color="080000" w:sz="4" w:space="0"/>
              <w:bottom w:val="single" w:color="080000" w:sz="4" w:space="0"/>
              <w:right w:val="single" w:color="080000" w:sz="4" w:space="0"/>
            </w:tcBorders>
            <w:vAlign w:val="center"/>
          </w:tcPr>
          <w:p w14:paraId="66B62C26">
            <w:pPr>
              <w:snapToGrid w:val="0"/>
              <w:spacing w:line="360" w:lineRule="auto"/>
              <w:rPr>
                <w:rFonts w:ascii="宋体" w:hAnsi="宋体" w:eastAsia="宋体" w:cs="宋体"/>
                <w:color w:val="auto"/>
                <w:sz w:val="18"/>
              </w:rPr>
            </w:pPr>
            <w:r>
              <w:rPr>
                <w:rFonts w:hint="eastAsia" w:ascii="宋体" w:hAnsi="宋体" w:eastAsia="宋体" w:cs="宋体"/>
                <w:color w:val="auto"/>
              </w:rPr>
              <w:t>投标单位名称</w:t>
            </w:r>
          </w:p>
        </w:tc>
        <w:tc>
          <w:tcPr>
            <w:tcW w:w="4116" w:type="dxa"/>
            <w:tcBorders>
              <w:top w:val="single" w:color="080000" w:sz="4" w:space="0"/>
              <w:left w:val="single" w:color="080000" w:sz="4" w:space="0"/>
              <w:bottom w:val="single" w:color="080000" w:sz="4" w:space="0"/>
              <w:right w:val="single" w:color="080000" w:sz="4" w:space="0"/>
            </w:tcBorders>
            <w:vAlign w:val="center"/>
          </w:tcPr>
          <w:p w14:paraId="259782FB">
            <w:pPr>
              <w:snapToGrid w:val="0"/>
              <w:spacing w:line="360" w:lineRule="auto"/>
              <w:rPr>
                <w:rFonts w:ascii="宋体" w:hAnsi="宋体" w:eastAsia="宋体" w:cs="宋体"/>
                <w:color w:val="auto"/>
                <w:sz w:val="18"/>
              </w:rPr>
            </w:pPr>
          </w:p>
        </w:tc>
      </w:tr>
      <w:tr w14:paraId="04599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8" w:hRule="atLeast"/>
          <w:jc w:val="center"/>
        </w:trPr>
        <w:tc>
          <w:tcPr>
            <w:tcW w:w="8084" w:type="dxa"/>
            <w:gridSpan w:val="2"/>
            <w:tcBorders>
              <w:top w:val="single" w:color="080000" w:sz="4" w:space="0"/>
              <w:left w:val="single" w:color="080000" w:sz="4" w:space="0"/>
              <w:bottom w:val="single" w:color="080000" w:sz="4" w:space="0"/>
              <w:right w:val="single" w:color="080000" w:sz="4" w:space="0"/>
            </w:tcBorders>
          </w:tcPr>
          <w:p w14:paraId="3DA7D965">
            <w:pPr>
              <w:snapToGrid w:val="0"/>
              <w:spacing w:line="360" w:lineRule="auto"/>
              <w:rPr>
                <w:rFonts w:ascii="宋体" w:hAnsi="宋体" w:eastAsia="宋体" w:cs="宋体"/>
                <w:color w:val="auto"/>
                <w:sz w:val="18"/>
              </w:rPr>
            </w:pPr>
          </w:p>
          <w:p w14:paraId="2F36BDA1">
            <w:pPr>
              <w:snapToGrid w:val="0"/>
              <w:spacing w:line="360" w:lineRule="auto"/>
              <w:rPr>
                <w:rFonts w:ascii="宋体" w:hAnsi="宋体" w:eastAsia="宋体" w:cs="宋体"/>
                <w:color w:val="auto"/>
                <w:sz w:val="18"/>
              </w:rPr>
            </w:pPr>
          </w:p>
        </w:tc>
      </w:tr>
    </w:tbl>
    <w:p w14:paraId="50A0950F">
      <w:pPr>
        <w:snapToGrid w:val="0"/>
        <w:spacing w:line="360" w:lineRule="auto"/>
        <w:jc w:val="right"/>
        <w:rPr>
          <w:rFonts w:ascii="宋体" w:hAnsi="宋体" w:eastAsia="宋体" w:cs="宋体"/>
          <w:color w:val="auto"/>
        </w:rPr>
      </w:pPr>
    </w:p>
    <w:p w14:paraId="1B4F0A02">
      <w:pPr>
        <w:wordWrap w:val="0"/>
        <w:snapToGrid w:val="0"/>
        <w:spacing w:line="360" w:lineRule="auto"/>
        <w:jc w:val="right"/>
        <w:rPr>
          <w:rFonts w:ascii="宋体" w:hAnsi="宋体" w:eastAsia="宋体" w:cs="宋体"/>
          <w:color w:val="auto"/>
        </w:rPr>
      </w:pPr>
      <w:r>
        <w:rPr>
          <w:rFonts w:hint="eastAsia" w:ascii="宋体" w:hAnsi="宋体" w:eastAsia="宋体" w:cs="宋体"/>
          <w:color w:val="auto"/>
        </w:rPr>
        <w:t>投标单位：（公章）</w:t>
      </w:r>
    </w:p>
    <w:p w14:paraId="63BF1352">
      <w:pPr>
        <w:snapToGrid w:val="0"/>
        <w:spacing w:line="360" w:lineRule="auto"/>
        <w:jc w:val="right"/>
        <w:rPr>
          <w:rFonts w:ascii="宋体" w:hAnsi="宋体" w:eastAsia="宋体" w:cs="宋体"/>
          <w:color w:val="auto"/>
        </w:rPr>
      </w:pPr>
    </w:p>
    <w:p w14:paraId="1F04DB97">
      <w:pPr>
        <w:snapToGrid w:val="0"/>
        <w:spacing w:line="360" w:lineRule="auto"/>
        <w:jc w:val="right"/>
        <w:rPr>
          <w:rFonts w:ascii="宋体" w:hAnsi="宋体" w:eastAsia="宋体" w:cs="宋体"/>
          <w:color w:val="auto"/>
        </w:rPr>
      </w:pPr>
    </w:p>
    <w:p w14:paraId="49972BD5">
      <w:pPr>
        <w:snapToGrid w:val="0"/>
        <w:spacing w:line="360" w:lineRule="auto"/>
        <w:ind w:firstLine="7350" w:firstLineChars="3500"/>
        <w:rPr>
          <w:rFonts w:ascii="宋体" w:hAnsi="宋体" w:eastAsia="宋体" w:cs="宋体"/>
          <w:color w:val="auto"/>
        </w:rPr>
      </w:pPr>
      <w:r>
        <w:rPr>
          <w:rFonts w:hint="eastAsia" w:ascii="宋体" w:hAnsi="宋体" w:eastAsia="宋体" w:cs="宋体"/>
          <w:color w:val="auto"/>
        </w:rPr>
        <w:t>日期：</w:t>
      </w:r>
    </w:p>
    <w:bookmarkEnd w:id="54"/>
    <w:bookmarkEnd w:id="55"/>
    <w:bookmarkEnd w:id="56"/>
    <w:bookmarkEnd w:id="57"/>
    <w:bookmarkEnd w:id="58"/>
    <w:bookmarkEnd w:id="59"/>
    <w:bookmarkEnd w:id="60"/>
    <w:bookmarkEnd w:id="61"/>
    <w:bookmarkEnd w:id="62"/>
    <w:bookmarkEnd w:id="63"/>
    <w:p w14:paraId="0FDBFD46">
      <w:pPr>
        <w:pStyle w:val="3"/>
        <w:adjustRightInd w:val="0"/>
        <w:snapToGrid w:val="0"/>
        <w:spacing w:before="0" w:after="0" w:line="360" w:lineRule="auto"/>
        <w:ind w:firstLine="211" w:firstLineChars="100"/>
        <w:jc w:val="left"/>
        <w:rPr>
          <w:rFonts w:ascii="宋体" w:hAnsi="宋体" w:eastAsia="宋体" w:cs="宋体"/>
          <w:color w:val="auto"/>
          <w:kern w:val="0"/>
          <w:sz w:val="21"/>
          <w:szCs w:val="21"/>
        </w:rPr>
      </w:pPr>
      <w:bookmarkStart w:id="64" w:name="_Toc23173"/>
      <w:bookmarkStart w:id="65" w:name="_Toc77593384"/>
      <w:bookmarkStart w:id="66" w:name="_Toc29640"/>
      <w:bookmarkStart w:id="67" w:name="_Toc15531"/>
      <w:bookmarkStart w:id="68" w:name="_Toc6953"/>
      <w:bookmarkStart w:id="69" w:name="_Toc67490883"/>
      <w:r>
        <w:rPr>
          <w:rFonts w:hint="eastAsia" w:ascii="宋体" w:hAnsi="宋体" w:eastAsia="宋体" w:cs="宋体"/>
          <w:color w:val="auto"/>
          <w:kern w:val="0"/>
          <w:sz w:val="21"/>
          <w:szCs w:val="21"/>
        </w:rPr>
        <w:t>1.总则</w:t>
      </w:r>
      <w:bookmarkEnd w:id="64"/>
      <w:bookmarkEnd w:id="65"/>
      <w:bookmarkEnd w:id="66"/>
      <w:bookmarkEnd w:id="67"/>
      <w:bookmarkEnd w:id="68"/>
      <w:bookmarkEnd w:id="69"/>
    </w:p>
    <w:p w14:paraId="6AC6CB05">
      <w:pPr>
        <w:spacing w:line="360" w:lineRule="auto"/>
        <w:rPr>
          <w:rFonts w:ascii="宋体" w:hAnsi="宋体" w:eastAsia="宋体" w:cs="宋体"/>
          <w:b/>
          <w:color w:val="auto"/>
        </w:rPr>
      </w:pPr>
      <w:bookmarkStart w:id="70" w:name="_Toc152045530"/>
      <w:bookmarkStart w:id="71" w:name="_Toc246996919"/>
      <w:bookmarkStart w:id="72" w:name="_Toc31798"/>
      <w:bookmarkStart w:id="73" w:name="_Toc179632547"/>
      <w:bookmarkStart w:id="74" w:name="_Toc152042306"/>
      <w:bookmarkStart w:id="75" w:name="_Toc247085690"/>
      <w:bookmarkStart w:id="76" w:name="_Toc246996176"/>
      <w:bookmarkStart w:id="77" w:name="_Toc144974498"/>
      <w:r>
        <w:rPr>
          <w:rFonts w:hint="eastAsia" w:ascii="宋体" w:hAnsi="宋体" w:eastAsia="宋体" w:cs="宋体"/>
          <w:b/>
          <w:color w:val="auto"/>
        </w:rPr>
        <w:t>1.1项目概况</w:t>
      </w:r>
      <w:bookmarkEnd w:id="70"/>
      <w:bookmarkEnd w:id="71"/>
      <w:bookmarkEnd w:id="72"/>
      <w:bookmarkEnd w:id="73"/>
      <w:bookmarkEnd w:id="74"/>
      <w:bookmarkEnd w:id="75"/>
      <w:bookmarkEnd w:id="76"/>
      <w:bookmarkEnd w:id="77"/>
    </w:p>
    <w:p w14:paraId="49CCE0B3">
      <w:pPr>
        <w:spacing w:line="360" w:lineRule="auto"/>
        <w:ind w:firstLine="420" w:firstLineChars="200"/>
        <w:rPr>
          <w:rFonts w:ascii="宋体" w:hAnsi="宋体" w:eastAsia="宋体" w:cs="宋体"/>
          <w:color w:val="auto"/>
        </w:rPr>
      </w:pPr>
      <w:r>
        <w:rPr>
          <w:rFonts w:hint="eastAsia" w:ascii="宋体" w:hAnsi="宋体" w:eastAsia="宋体" w:cs="宋体"/>
          <w:color w:val="auto"/>
        </w:rPr>
        <w:t>1.1.1根据《中华人民共和国政府采购法》等有关法律、法规和规章的规定，本采购项目已具备采购条件，现对本项目进行采购。</w:t>
      </w:r>
    </w:p>
    <w:p w14:paraId="7AFB3990">
      <w:pPr>
        <w:spacing w:line="360" w:lineRule="auto"/>
        <w:ind w:firstLine="420" w:firstLineChars="200"/>
        <w:rPr>
          <w:rFonts w:ascii="宋体" w:hAnsi="宋体" w:eastAsia="宋体" w:cs="宋体"/>
          <w:color w:val="auto"/>
        </w:rPr>
      </w:pPr>
      <w:r>
        <w:rPr>
          <w:rFonts w:hint="eastAsia" w:ascii="宋体" w:hAnsi="宋体" w:eastAsia="宋体" w:cs="宋体"/>
          <w:color w:val="auto"/>
        </w:rPr>
        <w:t>1.1.2本采购项目采购人：见投标人须知前附表。</w:t>
      </w:r>
    </w:p>
    <w:p w14:paraId="30563A21">
      <w:pPr>
        <w:spacing w:line="360" w:lineRule="auto"/>
        <w:ind w:firstLine="420" w:firstLineChars="200"/>
        <w:rPr>
          <w:rFonts w:ascii="宋体" w:hAnsi="宋体" w:eastAsia="宋体" w:cs="宋体"/>
          <w:color w:val="auto"/>
        </w:rPr>
      </w:pPr>
      <w:r>
        <w:rPr>
          <w:rFonts w:hint="eastAsia" w:ascii="宋体" w:hAnsi="宋体" w:eastAsia="宋体" w:cs="宋体"/>
          <w:color w:val="auto"/>
        </w:rPr>
        <w:t>1.1.3本采购项目采购代理机构：见投标人须知前附表。</w:t>
      </w:r>
    </w:p>
    <w:p w14:paraId="12CB6534">
      <w:pPr>
        <w:spacing w:line="360" w:lineRule="auto"/>
        <w:ind w:firstLine="420" w:firstLineChars="200"/>
        <w:rPr>
          <w:rFonts w:ascii="宋体" w:hAnsi="宋体" w:eastAsia="宋体" w:cs="宋体"/>
          <w:color w:val="auto"/>
        </w:rPr>
      </w:pPr>
      <w:r>
        <w:rPr>
          <w:rFonts w:hint="eastAsia" w:ascii="宋体" w:hAnsi="宋体" w:eastAsia="宋体" w:cs="宋体"/>
          <w:color w:val="auto"/>
        </w:rPr>
        <w:t>1.1.4本采购项目名称及编号：见投标人须知前附表。</w:t>
      </w:r>
    </w:p>
    <w:p w14:paraId="57700681">
      <w:pPr>
        <w:spacing w:line="360" w:lineRule="auto"/>
        <w:ind w:firstLine="420" w:firstLineChars="200"/>
        <w:rPr>
          <w:rFonts w:ascii="宋体" w:hAnsi="宋体" w:eastAsia="宋体" w:cs="宋体"/>
          <w:color w:val="auto"/>
        </w:rPr>
      </w:pPr>
      <w:r>
        <w:rPr>
          <w:rFonts w:hint="eastAsia" w:ascii="宋体" w:hAnsi="宋体" w:eastAsia="宋体" w:cs="宋体"/>
          <w:color w:val="auto"/>
        </w:rPr>
        <w:t>1.1.5本采购项目地点：见投标人须知前附表。</w:t>
      </w:r>
    </w:p>
    <w:p w14:paraId="1FB9BC18">
      <w:pPr>
        <w:spacing w:line="360" w:lineRule="auto"/>
        <w:rPr>
          <w:rFonts w:ascii="宋体" w:hAnsi="宋体" w:eastAsia="宋体" w:cs="宋体"/>
          <w:b/>
          <w:color w:val="auto"/>
        </w:rPr>
      </w:pPr>
      <w:bookmarkStart w:id="78" w:name="_Toc10577"/>
      <w:bookmarkStart w:id="79" w:name="_Toc246996177"/>
      <w:bookmarkStart w:id="80" w:name="_Toc247085691"/>
      <w:bookmarkStart w:id="81" w:name="_Toc246996920"/>
      <w:bookmarkStart w:id="82" w:name="_Toc144974499"/>
      <w:bookmarkStart w:id="83" w:name="_Toc179632548"/>
      <w:bookmarkStart w:id="84" w:name="_Toc152042307"/>
      <w:bookmarkStart w:id="85" w:name="_Toc152045531"/>
      <w:r>
        <w:rPr>
          <w:rFonts w:hint="eastAsia" w:ascii="宋体" w:hAnsi="宋体" w:eastAsia="宋体" w:cs="宋体"/>
          <w:b/>
          <w:color w:val="auto"/>
        </w:rPr>
        <w:t>1.2资金来源和落实情况</w:t>
      </w:r>
      <w:bookmarkEnd w:id="78"/>
      <w:bookmarkEnd w:id="79"/>
      <w:bookmarkEnd w:id="80"/>
      <w:bookmarkEnd w:id="81"/>
      <w:bookmarkEnd w:id="82"/>
      <w:bookmarkEnd w:id="83"/>
      <w:bookmarkEnd w:id="84"/>
      <w:bookmarkEnd w:id="85"/>
    </w:p>
    <w:p w14:paraId="343ECD56">
      <w:pPr>
        <w:spacing w:line="360" w:lineRule="auto"/>
        <w:ind w:firstLine="420" w:firstLineChars="200"/>
        <w:rPr>
          <w:rFonts w:ascii="宋体" w:hAnsi="宋体" w:eastAsia="宋体" w:cs="宋体"/>
          <w:color w:val="auto"/>
        </w:rPr>
      </w:pPr>
      <w:r>
        <w:rPr>
          <w:rFonts w:hint="eastAsia" w:ascii="宋体" w:hAnsi="宋体" w:eastAsia="宋体" w:cs="宋体"/>
          <w:color w:val="auto"/>
        </w:rPr>
        <w:t>1.2.1本采购项目的资金来源及出资比例：见投标人须知前附表。</w:t>
      </w:r>
    </w:p>
    <w:p w14:paraId="48A86D07">
      <w:pPr>
        <w:spacing w:line="360" w:lineRule="auto"/>
        <w:ind w:firstLine="420" w:firstLineChars="200"/>
        <w:rPr>
          <w:rFonts w:ascii="宋体" w:hAnsi="宋体" w:eastAsia="宋体" w:cs="宋体"/>
          <w:color w:val="auto"/>
        </w:rPr>
      </w:pPr>
      <w:r>
        <w:rPr>
          <w:rFonts w:hint="eastAsia" w:ascii="宋体" w:hAnsi="宋体" w:eastAsia="宋体" w:cs="宋体"/>
          <w:color w:val="auto"/>
        </w:rPr>
        <w:t>1.2.2本采购项目的资金落实情况：见投标人须知前附表。</w:t>
      </w:r>
    </w:p>
    <w:p w14:paraId="354331DA">
      <w:pPr>
        <w:spacing w:line="360" w:lineRule="auto"/>
        <w:rPr>
          <w:rFonts w:ascii="宋体" w:hAnsi="宋体" w:eastAsia="宋体" w:cs="宋体"/>
          <w:b/>
          <w:color w:val="auto"/>
        </w:rPr>
      </w:pPr>
      <w:bookmarkStart w:id="86" w:name="_Toc246996178"/>
      <w:bookmarkStart w:id="87" w:name="_Toc246996921"/>
      <w:bookmarkStart w:id="88" w:name="_Toc247085692"/>
      <w:bookmarkStart w:id="89" w:name="_Toc152042308"/>
      <w:bookmarkStart w:id="90" w:name="_Toc24381"/>
      <w:bookmarkStart w:id="91" w:name="_Toc179632549"/>
      <w:bookmarkStart w:id="92" w:name="_Toc152045532"/>
      <w:bookmarkStart w:id="93" w:name="_Toc144974500"/>
      <w:r>
        <w:rPr>
          <w:rFonts w:hint="eastAsia" w:ascii="宋体" w:hAnsi="宋体" w:eastAsia="宋体" w:cs="宋体"/>
          <w:b/>
          <w:color w:val="auto"/>
        </w:rPr>
        <w:t>1.3采购需求、</w:t>
      </w:r>
      <w:bookmarkEnd w:id="86"/>
      <w:bookmarkEnd w:id="87"/>
      <w:bookmarkEnd w:id="88"/>
      <w:bookmarkEnd w:id="89"/>
      <w:bookmarkEnd w:id="90"/>
      <w:bookmarkEnd w:id="91"/>
      <w:bookmarkEnd w:id="92"/>
      <w:bookmarkEnd w:id="93"/>
      <w:r>
        <w:rPr>
          <w:rFonts w:hint="eastAsia" w:ascii="宋体" w:hAnsi="宋体" w:eastAsia="宋体" w:cs="宋体"/>
          <w:b/>
          <w:color w:val="auto"/>
        </w:rPr>
        <w:t>合同履行期限、质量标准</w:t>
      </w:r>
    </w:p>
    <w:p w14:paraId="184A46B2">
      <w:pPr>
        <w:spacing w:line="360" w:lineRule="auto"/>
        <w:ind w:firstLine="420" w:firstLineChars="200"/>
        <w:rPr>
          <w:rFonts w:ascii="宋体" w:hAnsi="宋体" w:eastAsia="宋体" w:cs="宋体"/>
          <w:color w:val="auto"/>
        </w:rPr>
      </w:pPr>
      <w:r>
        <w:rPr>
          <w:rFonts w:hint="eastAsia" w:ascii="宋体" w:hAnsi="宋体" w:eastAsia="宋体" w:cs="宋体"/>
          <w:color w:val="auto"/>
        </w:rPr>
        <w:t>1.3.1本次采购需求：见投标人须知前附表。</w:t>
      </w:r>
    </w:p>
    <w:p w14:paraId="314008B0">
      <w:pPr>
        <w:spacing w:line="360" w:lineRule="auto"/>
        <w:ind w:firstLine="420" w:firstLineChars="200"/>
        <w:rPr>
          <w:rFonts w:ascii="宋体" w:hAnsi="宋体" w:eastAsia="宋体" w:cs="宋体"/>
          <w:color w:val="auto"/>
        </w:rPr>
      </w:pPr>
      <w:r>
        <w:rPr>
          <w:rFonts w:hint="eastAsia" w:ascii="宋体" w:hAnsi="宋体" w:eastAsia="宋体" w:cs="宋体"/>
          <w:color w:val="auto"/>
        </w:rPr>
        <w:t>1.3.2本采购项目的合同履行期限：见投标人须知前附表。</w:t>
      </w:r>
    </w:p>
    <w:p w14:paraId="55C02F47">
      <w:pPr>
        <w:spacing w:line="360" w:lineRule="auto"/>
        <w:ind w:firstLine="420" w:firstLineChars="200"/>
        <w:rPr>
          <w:rFonts w:ascii="宋体" w:hAnsi="宋体" w:eastAsia="宋体" w:cs="宋体"/>
          <w:color w:val="auto"/>
        </w:rPr>
      </w:pPr>
      <w:r>
        <w:rPr>
          <w:rFonts w:hint="eastAsia" w:ascii="宋体" w:hAnsi="宋体" w:eastAsia="宋体" w:cs="宋体"/>
          <w:color w:val="auto"/>
        </w:rPr>
        <w:t>1.3.3本采购项目的质量标准：见投标人须知前附表。</w:t>
      </w:r>
    </w:p>
    <w:p w14:paraId="0D7476DB">
      <w:pPr>
        <w:spacing w:line="360" w:lineRule="auto"/>
        <w:rPr>
          <w:rFonts w:ascii="宋体" w:hAnsi="宋体" w:eastAsia="宋体" w:cs="宋体"/>
          <w:b/>
          <w:color w:val="auto"/>
        </w:rPr>
      </w:pPr>
      <w:bookmarkStart w:id="94" w:name="_Toc179632551"/>
      <w:bookmarkStart w:id="95" w:name="_Toc152045534"/>
      <w:bookmarkStart w:id="96" w:name="_Toc247085693"/>
      <w:bookmarkStart w:id="97" w:name="_Toc152042310"/>
      <w:bookmarkStart w:id="98" w:name="_Toc144974502"/>
      <w:bookmarkStart w:id="99" w:name="_Toc246996922"/>
      <w:bookmarkStart w:id="100" w:name="_Toc246996179"/>
      <w:bookmarkStart w:id="101" w:name="_Toc6126"/>
      <w:r>
        <w:rPr>
          <w:rFonts w:hint="eastAsia" w:ascii="宋体" w:hAnsi="宋体" w:eastAsia="宋体" w:cs="宋体"/>
          <w:b/>
          <w:color w:val="auto"/>
        </w:rPr>
        <w:t>1.4投标人资格要求</w:t>
      </w:r>
      <w:bookmarkEnd w:id="94"/>
      <w:bookmarkEnd w:id="95"/>
      <w:bookmarkEnd w:id="96"/>
      <w:bookmarkEnd w:id="97"/>
      <w:bookmarkEnd w:id="98"/>
      <w:bookmarkEnd w:id="99"/>
      <w:bookmarkEnd w:id="100"/>
      <w:bookmarkEnd w:id="101"/>
    </w:p>
    <w:p w14:paraId="26508A25">
      <w:pPr>
        <w:spacing w:line="360" w:lineRule="auto"/>
        <w:ind w:firstLine="420" w:firstLineChars="200"/>
        <w:rPr>
          <w:rFonts w:ascii="宋体" w:hAnsi="宋体" w:eastAsia="宋体" w:cs="宋体"/>
          <w:color w:val="auto"/>
        </w:rPr>
      </w:pPr>
      <w:r>
        <w:rPr>
          <w:rFonts w:hint="eastAsia" w:ascii="宋体" w:hAnsi="宋体" w:eastAsia="宋体" w:cs="宋体"/>
          <w:color w:val="auto"/>
        </w:rPr>
        <w:t>1.4.1投标人应具备承担本项目的资质条件、能力和信誉。</w:t>
      </w:r>
    </w:p>
    <w:p w14:paraId="11D290A1">
      <w:pPr>
        <w:spacing w:line="360" w:lineRule="auto"/>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zh-CN"/>
        </w:rPr>
        <w:t>资格要求</w:t>
      </w:r>
      <w:r>
        <w:rPr>
          <w:rFonts w:hint="eastAsia" w:ascii="宋体" w:hAnsi="宋体" w:eastAsia="宋体" w:cs="宋体"/>
          <w:color w:val="auto"/>
        </w:rPr>
        <w:t>：见投标人须知前附表；</w:t>
      </w:r>
    </w:p>
    <w:p w14:paraId="7E0C5945">
      <w:pPr>
        <w:spacing w:line="360" w:lineRule="auto"/>
        <w:ind w:firstLine="420" w:firstLineChars="200"/>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CN"/>
        </w:rPr>
        <w:t>财务要求</w:t>
      </w:r>
      <w:r>
        <w:rPr>
          <w:rFonts w:hint="eastAsia" w:ascii="宋体" w:hAnsi="宋体" w:eastAsia="宋体" w:cs="宋体"/>
          <w:color w:val="auto"/>
        </w:rPr>
        <w:t>：见投标人须知前附表；</w:t>
      </w:r>
    </w:p>
    <w:p w14:paraId="56DFB4BE">
      <w:pPr>
        <w:spacing w:line="360" w:lineRule="auto"/>
        <w:ind w:firstLine="420" w:firstLineChars="200"/>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CN"/>
        </w:rPr>
        <w:t>信誉要求</w:t>
      </w:r>
      <w:r>
        <w:rPr>
          <w:rFonts w:hint="eastAsia" w:ascii="宋体" w:hAnsi="宋体" w:eastAsia="宋体" w:cs="宋体"/>
          <w:color w:val="auto"/>
        </w:rPr>
        <w:t>：见投标人须知前附表；</w:t>
      </w:r>
    </w:p>
    <w:p w14:paraId="43A30DD8">
      <w:pPr>
        <w:spacing w:line="360" w:lineRule="auto"/>
        <w:ind w:firstLine="420" w:firstLineChars="200"/>
        <w:rPr>
          <w:rFonts w:ascii="宋体" w:hAnsi="宋体" w:eastAsia="宋体" w:cs="宋体"/>
          <w:color w:val="auto"/>
        </w:rPr>
      </w:pPr>
      <w:r>
        <w:rPr>
          <w:rFonts w:hint="eastAsia" w:ascii="宋体" w:hAnsi="宋体" w:eastAsia="宋体" w:cs="宋体"/>
          <w:color w:val="auto"/>
        </w:rPr>
        <w:t>1.4.2投标人不得存在下列情形之一：</w:t>
      </w:r>
    </w:p>
    <w:p w14:paraId="2782F0FB">
      <w:pPr>
        <w:spacing w:line="360" w:lineRule="auto"/>
        <w:ind w:firstLine="420" w:firstLineChars="200"/>
        <w:rPr>
          <w:rFonts w:ascii="宋体" w:hAnsi="宋体" w:eastAsia="宋体" w:cs="宋体"/>
          <w:color w:val="auto"/>
        </w:rPr>
      </w:pPr>
      <w:r>
        <w:rPr>
          <w:rFonts w:hint="eastAsia" w:ascii="宋体" w:hAnsi="宋体" w:eastAsia="宋体" w:cs="宋体"/>
          <w:color w:val="auto"/>
        </w:rPr>
        <w:t>（1）为采购人不具有独立法人资格的附属机构（单位）；</w:t>
      </w:r>
    </w:p>
    <w:p w14:paraId="784B90AF">
      <w:pPr>
        <w:spacing w:line="360" w:lineRule="auto"/>
        <w:ind w:firstLine="420" w:firstLineChars="200"/>
        <w:rPr>
          <w:rFonts w:ascii="宋体" w:hAnsi="宋体" w:eastAsia="宋体" w:cs="宋体"/>
          <w:color w:val="auto"/>
        </w:rPr>
      </w:pPr>
      <w:r>
        <w:rPr>
          <w:rFonts w:hint="eastAsia" w:ascii="宋体" w:hAnsi="宋体" w:eastAsia="宋体" w:cs="宋体"/>
          <w:color w:val="auto"/>
        </w:rPr>
        <w:t>（2）与采购人存在利害关系且可能影响招标公正性；</w:t>
      </w:r>
    </w:p>
    <w:p w14:paraId="701E58FD">
      <w:pPr>
        <w:spacing w:line="360" w:lineRule="auto"/>
        <w:ind w:firstLine="420" w:firstLineChars="200"/>
        <w:rPr>
          <w:rFonts w:ascii="宋体" w:hAnsi="宋体" w:eastAsia="宋体" w:cs="宋体"/>
          <w:color w:val="auto"/>
        </w:rPr>
      </w:pPr>
      <w:r>
        <w:rPr>
          <w:rFonts w:hint="eastAsia" w:ascii="宋体" w:hAnsi="宋体" w:eastAsia="宋体" w:cs="宋体"/>
          <w:color w:val="auto"/>
        </w:rPr>
        <w:t>（3）与本招标项目的其他投标人为同一个单位负责人；</w:t>
      </w:r>
    </w:p>
    <w:p w14:paraId="0AAB7B92">
      <w:pPr>
        <w:spacing w:line="360" w:lineRule="auto"/>
        <w:ind w:firstLine="420" w:firstLineChars="200"/>
        <w:rPr>
          <w:rFonts w:ascii="宋体" w:hAnsi="宋体" w:eastAsia="宋体" w:cs="宋体"/>
          <w:color w:val="auto"/>
        </w:rPr>
      </w:pPr>
      <w:r>
        <w:rPr>
          <w:rFonts w:hint="eastAsia" w:ascii="宋体" w:hAnsi="宋体" w:eastAsia="宋体" w:cs="宋体"/>
          <w:color w:val="auto"/>
        </w:rPr>
        <w:t>（4）与本招标项目的其他投标人存在控股、管理关系；</w:t>
      </w:r>
    </w:p>
    <w:p w14:paraId="3A671AF5">
      <w:pPr>
        <w:spacing w:line="360" w:lineRule="auto"/>
        <w:ind w:firstLine="420" w:firstLineChars="200"/>
        <w:rPr>
          <w:rFonts w:ascii="宋体" w:hAnsi="宋体" w:eastAsia="宋体" w:cs="宋体"/>
          <w:color w:val="auto"/>
        </w:rPr>
      </w:pPr>
      <w:r>
        <w:rPr>
          <w:rFonts w:hint="eastAsia" w:ascii="宋体" w:hAnsi="宋体" w:eastAsia="宋体" w:cs="宋体"/>
          <w:color w:val="auto"/>
        </w:rPr>
        <w:t>（5）为本招标项目的代建人；</w:t>
      </w:r>
    </w:p>
    <w:p w14:paraId="3080BA21">
      <w:pPr>
        <w:spacing w:line="360" w:lineRule="auto"/>
        <w:ind w:firstLine="420" w:firstLineChars="200"/>
        <w:rPr>
          <w:rFonts w:ascii="宋体" w:hAnsi="宋体" w:eastAsia="宋体" w:cs="宋体"/>
          <w:color w:val="auto"/>
        </w:rPr>
      </w:pPr>
      <w:r>
        <w:rPr>
          <w:rFonts w:hint="eastAsia" w:ascii="宋体" w:hAnsi="宋体" w:eastAsia="宋体" w:cs="宋体"/>
          <w:color w:val="auto"/>
        </w:rPr>
        <w:t>（6）为本招标项目的采购代理机构；</w:t>
      </w:r>
    </w:p>
    <w:p w14:paraId="59E21E44">
      <w:pPr>
        <w:spacing w:line="360" w:lineRule="auto"/>
        <w:ind w:firstLine="420" w:firstLineChars="200"/>
        <w:rPr>
          <w:rFonts w:ascii="宋体" w:hAnsi="宋体" w:eastAsia="宋体" w:cs="宋体"/>
          <w:color w:val="auto"/>
        </w:rPr>
      </w:pPr>
      <w:r>
        <w:rPr>
          <w:rFonts w:hint="eastAsia" w:ascii="宋体" w:hAnsi="宋体" w:eastAsia="宋体" w:cs="宋体"/>
          <w:color w:val="auto"/>
        </w:rPr>
        <w:t>（7）与本招标项目的代建人或采购代理机构同为一个法定代表人；</w:t>
      </w:r>
    </w:p>
    <w:p w14:paraId="4D90B9EA">
      <w:pPr>
        <w:spacing w:line="360" w:lineRule="auto"/>
        <w:ind w:firstLine="420" w:firstLineChars="200"/>
        <w:rPr>
          <w:rFonts w:ascii="宋体" w:hAnsi="宋体" w:eastAsia="宋体" w:cs="宋体"/>
          <w:color w:val="auto"/>
        </w:rPr>
      </w:pPr>
      <w:r>
        <w:rPr>
          <w:rFonts w:hint="eastAsia" w:ascii="宋体" w:hAnsi="宋体" w:eastAsia="宋体" w:cs="宋体"/>
          <w:color w:val="auto"/>
        </w:rPr>
        <w:t>（8）与本招标项目的代建人或采购代理机构存在控股或参股关系；</w:t>
      </w:r>
    </w:p>
    <w:p w14:paraId="63C7C691">
      <w:pPr>
        <w:spacing w:line="360" w:lineRule="auto"/>
        <w:ind w:firstLine="420" w:firstLineChars="200"/>
        <w:rPr>
          <w:rFonts w:ascii="宋体" w:hAnsi="宋体" w:eastAsia="宋体" w:cs="宋体"/>
          <w:color w:val="auto"/>
        </w:rPr>
      </w:pPr>
      <w:r>
        <w:rPr>
          <w:rFonts w:hint="eastAsia" w:ascii="宋体" w:hAnsi="宋体" w:eastAsia="宋体" w:cs="宋体"/>
          <w:color w:val="auto"/>
        </w:rPr>
        <w:t>（9）被依法暂停或者取消投标资格；</w:t>
      </w:r>
    </w:p>
    <w:p w14:paraId="5A8783B2">
      <w:pPr>
        <w:spacing w:line="360" w:lineRule="auto"/>
        <w:ind w:firstLine="420" w:firstLineChars="200"/>
        <w:rPr>
          <w:rFonts w:ascii="宋体" w:hAnsi="宋体" w:eastAsia="宋体" w:cs="宋体"/>
          <w:color w:val="auto"/>
        </w:rPr>
      </w:pPr>
      <w:r>
        <w:rPr>
          <w:rFonts w:hint="eastAsia" w:ascii="宋体" w:hAnsi="宋体" w:eastAsia="宋体" w:cs="宋体"/>
          <w:color w:val="auto"/>
        </w:rPr>
        <w:t>（10）被责令停产停业、暂扣或者吊销许可证、暂扣或者吊销执照；</w:t>
      </w:r>
    </w:p>
    <w:p w14:paraId="3902BC3C">
      <w:pPr>
        <w:spacing w:line="360" w:lineRule="auto"/>
        <w:ind w:firstLine="420" w:firstLineChars="200"/>
        <w:rPr>
          <w:rFonts w:ascii="宋体" w:hAnsi="宋体" w:eastAsia="宋体" w:cs="宋体"/>
          <w:color w:val="auto"/>
        </w:rPr>
      </w:pPr>
      <w:r>
        <w:rPr>
          <w:rFonts w:hint="eastAsia" w:ascii="宋体" w:hAnsi="宋体" w:eastAsia="宋体" w:cs="宋体"/>
          <w:color w:val="auto"/>
        </w:rPr>
        <w:t>（11）进入清算程序，或被宣告破产，或其他丧失履约能力的情形；</w:t>
      </w:r>
    </w:p>
    <w:p w14:paraId="6CEA5C3D">
      <w:pPr>
        <w:spacing w:line="360" w:lineRule="auto"/>
        <w:ind w:firstLine="420" w:firstLineChars="200"/>
        <w:rPr>
          <w:rFonts w:ascii="宋体" w:hAnsi="宋体" w:eastAsia="宋体" w:cs="宋体"/>
          <w:color w:val="auto"/>
        </w:rPr>
      </w:pPr>
      <w:r>
        <w:rPr>
          <w:rFonts w:hint="eastAsia" w:ascii="宋体" w:hAnsi="宋体" w:eastAsia="宋体" w:cs="宋体"/>
          <w:color w:val="auto"/>
        </w:rPr>
        <w:t>（12）在最近三年内发生重大质量问题；</w:t>
      </w:r>
    </w:p>
    <w:p w14:paraId="2904B868">
      <w:pPr>
        <w:spacing w:line="360" w:lineRule="auto"/>
        <w:ind w:firstLine="420" w:firstLineChars="200"/>
        <w:rPr>
          <w:rFonts w:ascii="宋体" w:hAnsi="宋体" w:eastAsia="宋体" w:cs="宋体"/>
          <w:color w:val="auto"/>
        </w:rPr>
      </w:pPr>
      <w:r>
        <w:rPr>
          <w:rFonts w:hint="eastAsia" w:ascii="宋体" w:hAnsi="宋体" w:eastAsia="宋体" w:cs="宋体"/>
          <w:color w:val="auto"/>
        </w:rPr>
        <w:t>（13）被工商行政管理机关在全国企业信用信息公示系统中列入严重违法失信企业名单；</w:t>
      </w:r>
    </w:p>
    <w:p w14:paraId="1E7E8BAC">
      <w:pPr>
        <w:spacing w:line="360" w:lineRule="auto"/>
        <w:ind w:firstLine="420" w:firstLineChars="200"/>
        <w:rPr>
          <w:rFonts w:ascii="宋体" w:hAnsi="宋体" w:eastAsia="宋体" w:cs="宋体"/>
          <w:color w:val="auto"/>
        </w:rPr>
      </w:pPr>
      <w:r>
        <w:rPr>
          <w:rFonts w:hint="eastAsia" w:ascii="宋体" w:hAnsi="宋体" w:eastAsia="宋体" w:cs="宋体"/>
          <w:color w:val="auto"/>
        </w:rPr>
        <w:t>（14）被最高人民法院在“信用中国”网站（www.creditchina.gov.cn）中列入失信被执行人名单；</w:t>
      </w:r>
    </w:p>
    <w:p w14:paraId="0352E38F">
      <w:pPr>
        <w:spacing w:line="360" w:lineRule="auto"/>
        <w:ind w:firstLine="420" w:firstLineChars="200"/>
        <w:rPr>
          <w:rFonts w:ascii="宋体" w:hAnsi="宋体" w:eastAsia="宋体" w:cs="宋体"/>
          <w:color w:val="auto"/>
        </w:rPr>
      </w:pPr>
      <w:r>
        <w:rPr>
          <w:rFonts w:hint="eastAsia" w:ascii="宋体" w:hAnsi="宋体" w:eastAsia="宋体" w:cs="宋体"/>
          <w:color w:val="auto"/>
        </w:rPr>
        <w:t>（15）在近三年内投标人或其法定代表人有行贿犯罪行为的；</w:t>
      </w:r>
    </w:p>
    <w:p w14:paraId="38B7681B">
      <w:pPr>
        <w:spacing w:line="360" w:lineRule="auto"/>
        <w:ind w:firstLine="420" w:firstLineChars="200"/>
        <w:rPr>
          <w:rFonts w:ascii="宋体" w:hAnsi="宋体" w:eastAsia="宋体" w:cs="宋体"/>
          <w:color w:val="auto"/>
        </w:rPr>
      </w:pPr>
      <w:r>
        <w:rPr>
          <w:rFonts w:hint="eastAsia" w:ascii="宋体" w:hAnsi="宋体" w:eastAsia="宋体" w:cs="宋体"/>
          <w:color w:val="auto"/>
        </w:rPr>
        <w:t>（16）法律法规或投标人须知前附表规定的其他情形。如投标人有上述情况，则取消其中标资格。</w:t>
      </w:r>
    </w:p>
    <w:p w14:paraId="79312A91">
      <w:pPr>
        <w:spacing w:line="360" w:lineRule="auto"/>
        <w:ind w:firstLine="420" w:firstLineChars="200"/>
        <w:rPr>
          <w:rFonts w:ascii="宋体" w:hAnsi="宋体" w:eastAsia="宋体" w:cs="宋体"/>
          <w:color w:val="auto"/>
        </w:rPr>
      </w:pPr>
      <w:r>
        <w:rPr>
          <w:rFonts w:hint="eastAsia" w:ascii="宋体" w:hAnsi="宋体" w:eastAsia="宋体" w:cs="宋体"/>
          <w:color w:val="auto"/>
        </w:rPr>
        <w:t>1.4.3</w:t>
      </w:r>
      <w:r>
        <w:rPr>
          <w:rFonts w:hint="eastAsia" w:ascii="宋体" w:hAnsi="宋体" w:eastAsia="宋体" w:cs="宋体"/>
          <w:color w:val="auto"/>
          <w:lang w:val="zh-CN"/>
        </w:rPr>
        <w:t>与采购人存在利害关系可能影响招标公正性的法人、其他组织或者个人，不得参加投标。单位负责人为同一人或者存在控股、管理关系的不同单位，不得参加同一标段投标或者未划分标段的同一采购项目投标。违反这两款规定的，相关投标均无效。</w:t>
      </w:r>
    </w:p>
    <w:p w14:paraId="6879AAA0">
      <w:pPr>
        <w:spacing w:line="360" w:lineRule="auto"/>
        <w:rPr>
          <w:rFonts w:ascii="宋体" w:hAnsi="宋体" w:eastAsia="宋体" w:cs="宋体"/>
          <w:b/>
          <w:color w:val="auto"/>
        </w:rPr>
      </w:pPr>
      <w:bookmarkStart w:id="102" w:name="_Toc26607"/>
      <w:bookmarkStart w:id="103" w:name="_Toc246996923"/>
      <w:bookmarkStart w:id="104" w:name="_Toc152045535"/>
      <w:bookmarkStart w:id="105" w:name="_Toc246996180"/>
      <w:bookmarkStart w:id="106" w:name="_Toc247085694"/>
      <w:bookmarkStart w:id="107" w:name="_Toc152042311"/>
      <w:bookmarkStart w:id="108" w:name="_Toc144974503"/>
      <w:bookmarkStart w:id="109" w:name="_Toc179632552"/>
      <w:r>
        <w:rPr>
          <w:rFonts w:hint="eastAsia" w:ascii="宋体" w:hAnsi="宋体" w:eastAsia="宋体" w:cs="宋体"/>
          <w:b/>
          <w:color w:val="auto"/>
        </w:rPr>
        <w:t>1.5费用承担</w:t>
      </w:r>
      <w:bookmarkEnd w:id="102"/>
      <w:bookmarkEnd w:id="103"/>
      <w:bookmarkEnd w:id="104"/>
      <w:bookmarkEnd w:id="105"/>
      <w:bookmarkEnd w:id="106"/>
      <w:bookmarkEnd w:id="107"/>
      <w:bookmarkEnd w:id="108"/>
      <w:bookmarkEnd w:id="109"/>
    </w:p>
    <w:p w14:paraId="5BF9EC8F">
      <w:pPr>
        <w:spacing w:line="360" w:lineRule="auto"/>
        <w:ind w:firstLine="420" w:firstLineChars="200"/>
        <w:rPr>
          <w:rFonts w:ascii="宋体" w:hAnsi="宋体" w:eastAsia="宋体" w:cs="宋体"/>
          <w:color w:val="auto"/>
        </w:rPr>
      </w:pPr>
      <w:r>
        <w:rPr>
          <w:rFonts w:hint="eastAsia" w:ascii="宋体" w:hAnsi="宋体" w:eastAsia="宋体" w:cs="宋体"/>
          <w:color w:val="auto"/>
        </w:rPr>
        <w:t>投标人准备和参加投标活动发生的费用自理。</w:t>
      </w:r>
    </w:p>
    <w:p w14:paraId="15B367CE">
      <w:pPr>
        <w:spacing w:line="360" w:lineRule="auto"/>
        <w:rPr>
          <w:rFonts w:ascii="宋体" w:hAnsi="宋体" w:eastAsia="宋体" w:cs="宋体"/>
          <w:b/>
          <w:color w:val="auto"/>
        </w:rPr>
      </w:pPr>
      <w:bookmarkStart w:id="110" w:name="_Toc11612"/>
      <w:bookmarkStart w:id="111" w:name="_Toc247085695"/>
      <w:bookmarkStart w:id="112" w:name="_Toc144974504"/>
      <w:bookmarkStart w:id="113" w:name="_Toc246996181"/>
      <w:bookmarkStart w:id="114" w:name="_Toc179632553"/>
      <w:bookmarkStart w:id="115" w:name="_Toc152042312"/>
      <w:bookmarkStart w:id="116" w:name="_Toc246996924"/>
      <w:bookmarkStart w:id="117" w:name="_Toc152045536"/>
      <w:r>
        <w:rPr>
          <w:rFonts w:hint="eastAsia" w:ascii="宋体" w:hAnsi="宋体" w:eastAsia="宋体" w:cs="宋体"/>
          <w:b/>
          <w:color w:val="auto"/>
        </w:rPr>
        <w:t>1.6保密</w:t>
      </w:r>
      <w:bookmarkEnd w:id="110"/>
      <w:bookmarkEnd w:id="111"/>
      <w:bookmarkEnd w:id="112"/>
      <w:bookmarkEnd w:id="113"/>
      <w:bookmarkEnd w:id="114"/>
      <w:bookmarkEnd w:id="115"/>
      <w:bookmarkEnd w:id="116"/>
      <w:bookmarkEnd w:id="117"/>
    </w:p>
    <w:p w14:paraId="7EC18BC0">
      <w:pPr>
        <w:spacing w:line="360" w:lineRule="auto"/>
        <w:ind w:firstLine="420" w:firstLineChars="200"/>
        <w:rPr>
          <w:rFonts w:ascii="宋体" w:hAnsi="宋体" w:eastAsia="宋体" w:cs="宋体"/>
          <w:color w:val="auto"/>
        </w:rPr>
      </w:pPr>
      <w:r>
        <w:rPr>
          <w:rFonts w:hint="eastAsia" w:ascii="宋体" w:hAnsi="宋体" w:eastAsia="宋体" w:cs="宋体"/>
          <w:color w:val="auto"/>
        </w:rPr>
        <w:t>参与招标投标活动的各方应对采购文件和投标文件中的商业和技术等秘密保密，违者应对由此造成的后果承担法律责任。</w:t>
      </w:r>
    </w:p>
    <w:p w14:paraId="572F536B">
      <w:pPr>
        <w:spacing w:line="360" w:lineRule="auto"/>
        <w:rPr>
          <w:rFonts w:ascii="宋体" w:hAnsi="宋体" w:eastAsia="宋体" w:cs="宋体"/>
          <w:b/>
          <w:color w:val="auto"/>
        </w:rPr>
      </w:pPr>
      <w:bookmarkStart w:id="118" w:name="_Toc144974505"/>
      <w:bookmarkStart w:id="119" w:name="_Toc247085696"/>
      <w:bookmarkStart w:id="120" w:name="_Toc246996182"/>
      <w:bookmarkStart w:id="121" w:name="_Toc152042313"/>
      <w:bookmarkStart w:id="122" w:name="_Toc4533"/>
      <w:bookmarkStart w:id="123" w:name="_Toc152045537"/>
      <w:bookmarkStart w:id="124" w:name="_Toc246996925"/>
      <w:bookmarkStart w:id="125" w:name="_Toc179632554"/>
      <w:r>
        <w:rPr>
          <w:rFonts w:hint="eastAsia" w:ascii="宋体" w:hAnsi="宋体" w:eastAsia="宋体" w:cs="宋体"/>
          <w:b/>
          <w:color w:val="auto"/>
        </w:rPr>
        <w:t>1.7语言</w:t>
      </w:r>
      <w:bookmarkEnd w:id="118"/>
      <w:r>
        <w:rPr>
          <w:rFonts w:hint="eastAsia" w:ascii="宋体" w:hAnsi="宋体" w:eastAsia="宋体" w:cs="宋体"/>
          <w:b/>
          <w:color w:val="auto"/>
        </w:rPr>
        <w:t>文字</w:t>
      </w:r>
      <w:bookmarkEnd w:id="119"/>
      <w:bookmarkEnd w:id="120"/>
      <w:bookmarkEnd w:id="121"/>
      <w:bookmarkEnd w:id="122"/>
      <w:bookmarkEnd w:id="123"/>
      <w:bookmarkEnd w:id="124"/>
      <w:bookmarkEnd w:id="125"/>
    </w:p>
    <w:p w14:paraId="71ABAF14">
      <w:pPr>
        <w:spacing w:line="360" w:lineRule="auto"/>
        <w:ind w:firstLine="420" w:firstLineChars="200"/>
        <w:rPr>
          <w:rFonts w:ascii="宋体" w:hAnsi="宋体" w:eastAsia="宋体" w:cs="宋体"/>
          <w:color w:val="auto"/>
        </w:rPr>
      </w:pPr>
      <w:bookmarkStart w:id="126" w:name="_Toc246996926"/>
      <w:bookmarkStart w:id="127" w:name="_Toc152042314"/>
      <w:bookmarkStart w:id="128" w:name="_Toc152045538"/>
      <w:bookmarkStart w:id="129" w:name="_Toc247085697"/>
      <w:bookmarkStart w:id="130" w:name="_Toc144974506"/>
      <w:bookmarkStart w:id="131" w:name="_Toc246996183"/>
      <w:bookmarkStart w:id="132" w:name="_Toc179632555"/>
      <w:r>
        <w:rPr>
          <w:rFonts w:hint="eastAsia" w:ascii="宋体" w:hAnsi="宋体" w:eastAsia="宋体" w:cs="宋体"/>
          <w:color w:val="auto"/>
        </w:rPr>
        <w:t>招标投标文件使用的语言文字为中文。专用术语使用外文的，应附有中文注释。</w:t>
      </w:r>
    </w:p>
    <w:p w14:paraId="19274B9A">
      <w:pPr>
        <w:spacing w:line="360" w:lineRule="auto"/>
        <w:rPr>
          <w:rFonts w:ascii="宋体" w:hAnsi="宋体" w:eastAsia="宋体" w:cs="宋体"/>
          <w:b/>
          <w:color w:val="auto"/>
        </w:rPr>
      </w:pPr>
      <w:bookmarkStart w:id="133" w:name="_Toc2047"/>
      <w:r>
        <w:rPr>
          <w:rFonts w:hint="eastAsia" w:ascii="宋体" w:hAnsi="宋体" w:eastAsia="宋体" w:cs="宋体"/>
          <w:b/>
          <w:color w:val="auto"/>
        </w:rPr>
        <w:t>1.8计量单位</w:t>
      </w:r>
      <w:bookmarkEnd w:id="126"/>
      <w:bookmarkEnd w:id="127"/>
      <w:bookmarkEnd w:id="128"/>
      <w:bookmarkEnd w:id="129"/>
      <w:bookmarkEnd w:id="130"/>
      <w:bookmarkEnd w:id="131"/>
      <w:bookmarkEnd w:id="132"/>
      <w:bookmarkEnd w:id="133"/>
    </w:p>
    <w:p w14:paraId="37B309EF">
      <w:pPr>
        <w:spacing w:line="360" w:lineRule="auto"/>
        <w:ind w:firstLine="420" w:firstLineChars="200"/>
        <w:rPr>
          <w:rFonts w:ascii="宋体" w:hAnsi="宋体" w:eastAsia="宋体" w:cs="宋体"/>
          <w:color w:val="auto"/>
        </w:rPr>
      </w:pPr>
      <w:r>
        <w:rPr>
          <w:rFonts w:hint="eastAsia" w:ascii="宋体" w:hAnsi="宋体" w:eastAsia="宋体" w:cs="宋体"/>
          <w:color w:val="auto"/>
        </w:rPr>
        <w:t>所有计量均采用中华人民共和国法定计量单位。</w:t>
      </w:r>
    </w:p>
    <w:p w14:paraId="21C6CB4E">
      <w:pPr>
        <w:spacing w:line="360" w:lineRule="auto"/>
        <w:rPr>
          <w:rFonts w:ascii="宋体" w:hAnsi="宋体" w:eastAsia="宋体" w:cs="宋体"/>
          <w:b/>
          <w:color w:val="auto"/>
        </w:rPr>
      </w:pPr>
      <w:bookmarkStart w:id="134" w:name="_Toc247513962"/>
      <w:bookmarkStart w:id="135" w:name="_Toc152042315"/>
      <w:bookmarkStart w:id="136" w:name="_Toc14227"/>
      <w:bookmarkStart w:id="137" w:name="_Toc247527563"/>
      <w:bookmarkStart w:id="138" w:name="_Toc144974507"/>
      <w:bookmarkStart w:id="139" w:name="_Toc152045539"/>
      <w:bookmarkStart w:id="140" w:name="_Toc247592876"/>
      <w:r>
        <w:rPr>
          <w:rFonts w:hint="eastAsia" w:ascii="宋体" w:hAnsi="宋体" w:eastAsia="宋体" w:cs="宋体"/>
          <w:b/>
          <w:color w:val="auto"/>
        </w:rPr>
        <w:t>1.9踏勘现场</w:t>
      </w:r>
      <w:bookmarkEnd w:id="134"/>
      <w:bookmarkEnd w:id="135"/>
      <w:bookmarkEnd w:id="136"/>
      <w:bookmarkEnd w:id="137"/>
      <w:bookmarkEnd w:id="138"/>
      <w:bookmarkEnd w:id="139"/>
      <w:bookmarkEnd w:id="140"/>
    </w:p>
    <w:p w14:paraId="6444DC73">
      <w:pPr>
        <w:spacing w:line="360" w:lineRule="auto"/>
        <w:ind w:firstLine="420" w:firstLineChars="200"/>
        <w:rPr>
          <w:rFonts w:ascii="宋体" w:hAnsi="宋体" w:eastAsia="宋体" w:cs="宋体"/>
          <w:color w:val="auto"/>
        </w:rPr>
      </w:pPr>
      <w:r>
        <w:rPr>
          <w:rFonts w:hint="eastAsia" w:ascii="宋体" w:hAnsi="宋体" w:eastAsia="宋体" w:cs="宋体"/>
          <w:color w:val="auto"/>
        </w:rPr>
        <w:t>1.9.1投标人须知前附表规定组织踏勘现场的，采购人按投标人须知前附表规定的时间、地点组织投标人踏勘项目现场。未规定的，投标人自行踏勘。</w:t>
      </w:r>
    </w:p>
    <w:p w14:paraId="3C41185C">
      <w:pPr>
        <w:spacing w:line="360" w:lineRule="auto"/>
        <w:ind w:firstLine="420" w:firstLineChars="200"/>
        <w:rPr>
          <w:rFonts w:ascii="宋体" w:hAnsi="宋体" w:eastAsia="宋体" w:cs="宋体"/>
          <w:color w:val="auto"/>
        </w:rPr>
      </w:pPr>
      <w:r>
        <w:rPr>
          <w:rFonts w:hint="eastAsia" w:ascii="宋体" w:hAnsi="宋体" w:eastAsia="宋体" w:cs="宋体"/>
          <w:color w:val="auto"/>
        </w:rPr>
        <w:t>1.9.2投标人踏勘现场发生的费用自理。</w:t>
      </w:r>
    </w:p>
    <w:p w14:paraId="7D35AC2B">
      <w:pPr>
        <w:spacing w:line="360" w:lineRule="auto"/>
        <w:ind w:firstLine="420" w:firstLineChars="200"/>
        <w:rPr>
          <w:rFonts w:ascii="宋体" w:hAnsi="宋体" w:eastAsia="宋体" w:cs="宋体"/>
          <w:color w:val="auto"/>
        </w:rPr>
      </w:pPr>
      <w:r>
        <w:rPr>
          <w:rFonts w:hint="eastAsia" w:ascii="宋体" w:hAnsi="宋体" w:eastAsia="宋体" w:cs="宋体"/>
          <w:color w:val="auto"/>
        </w:rPr>
        <w:t>1.9.3除采购人的原因外，投标人自行负责在踏勘现场中所发生的人员伤亡和财产损失。</w:t>
      </w:r>
    </w:p>
    <w:p w14:paraId="68AC554A">
      <w:pPr>
        <w:spacing w:line="360" w:lineRule="auto"/>
        <w:ind w:firstLine="420" w:firstLineChars="200"/>
        <w:rPr>
          <w:rFonts w:ascii="宋体" w:hAnsi="宋体" w:eastAsia="宋体" w:cs="宋体"/>
          <w:color w:val="auto"/>
        </w:rPr>
      </w:pPr>
      <w:r>
        <w:rPr>
          <w:rFonts w:hint="eastAsia" w:ascii="宋体" w:hAnsi="宋体" w:eastAsia="宋体" w:cs="宋体"/>
          <w:color w:val="auto"/>
        </w:rPr>
        <w:t>1.9.4采购人在踏勘现场中介绍的项目场地和相关的周边环境情况，供投标人在编制投标文件时参考，采购人不对投标人据此作出的判断和决策负责。</w:t>
      </w:r>
    </w:p>
    <w:p w14:paraId="7D6CA80A">
      <w:pPr>
        <w:spacing w:line="360" w:lineRule="auto"/>
        <w:rPr>
          <w:rFonts w:ascii="宋体" w:hAnsi="宋体" w:eastAsia="宋体" w:cs="宋体"/>
          <w:b/>
          <w:color w:val="auto"/>
        </w:rPr>
      </w:pPr>
      <w:bookmarkStart w:id="141" w:name="_Toc223345309"/>
      <w:bookmarkStart w:id="142" w:name="_Toc222905993"/>
      <w:bookmarkStart w:id="143" w:name="_Toc228014261"/>
      <w:bookmarkStart w:id="144" w:name="_Toc223063723"/>
      <w:bookmarkStart w:id="145" w:name="_Toc223161275"/>
      <w:bookmarkStart w:id="146" w:name="_Toc222987481"/>
      <w:bookmarkStart w:id="147" w:name="_Toc201719074"/>
      <w:bookmarkStart w:id="148" w:name="_Toc222900712"/>
      <w:bookmarkStart w:id="149" w:name="_Toc259131296"/>
      <w:bookmarkStart w:id="150" w:name="_Toc223256351"/>
      <w:bookmarkStart w:id="151" w:name="_Toc222907589"/>
      <w:bookmarkStart w:id="152" w:name="_Toc223580592"/>
      <w:bookmarkStart w:id="153" w:name="_Toc223068448"/>
      <w:bookmarkStart w:id="154" w:name="_Toc222987634"/>
      <w:bookmarkStart w:id="155" w:name="_Toc279848083"/>
      <w:bookmarkStart w:id="156" w:name="_Toc259125187"/>
      <w:r>
        <w:rPr>
          <w:rFonts w:hint="eastAsia" w:ascii="宋体" w:hAnsi="宋体" w:eastAsia="宋体" w:cs="宋体"/>
          <w:b/>
          <w:color w:val="auto"/>
        </w:rPr>
        <w:t>1.10投标</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宋体" w:hAnsi="宋体" w:eastAsia="宋体" w:cs="宋体"/>
          <w:b/>
          <w:color w:val="auto"/>
        </w:rPr>
        <w:t>预备会</w:t>
      </w:r>
    </w:p>
    <w:p w14:paraId="643E408C">
      <w:pPr>
        <w:autoSpaceDE w:val="0"/>
        <w:autoSpaceDN w:val="0"/>
        <w:adjustRightInd w:val="0"/>
        <w:spacing w:line="360" w:lineRule="auto"/>
        <w:ind w:firstLine="420" w:firstLineChars="200"/>
        <w:jc w:val="left"/>
        <w:rPr>
          <w:rFonts w:ascii="宋体" w:hAnsi="宋体" w:eastAsia="宋体" w:cs="宋体"/>
          <w:bCs/>
          <w:color w:val="auto"/>
          <w:szCs w:val="21"/>
          <w:lang w:val="zh-CN"/>
        </w:rPr>
      </w:pPr>
      <w:r>
        <w:rPr>
          <w:rFonts w:hint="eastAsia" w:ascii="宋体" w:hAnsi="宋体" w:eastAsia="宋体" w:cs="宋体"/>
          <w:bCs/>
          <w:color w:val="auto"/>
          <w:szCs w:val="21"/>
          <w:lang w:val="zh-CN"/>
        </w:rPr>
        <w:t>1.10.1投标人须知前附表规定召开投标预备会的，采购人按投标人须知前附表规定的时间和地点召开投标预备会，澄清投标人提出的问题。</w:t>
      </w:r>
    </w:p>
    <w:p w14:paraId="0F4F7D51">
      <w:pPr>
        <w:autoSpaceDE w:val="0"/>
        <w:autoSpaceDN w:val="0"/>
        <w:adjustRightInd w:val="0"/>
        <w:spacing w:line="360" w:lineRule="auto"/>
        <w:ind w:firstLine="420" w:firstLineChars="200"/>
        <w:jc w:val="left"/>
        <w:rPr>
          <w:rFonts w:ascii="宋体" w:hAnsi="宋体" w:eastAsia="宋体" w:cs="宋体"/>
          <w:bCs/>
          <w:color w:val="auto"/>
          <w:szCs w:val="21"/>
          <w:lang w:val="zh-CN"/>
        </w:rPr>
      </w:pPr>
      <w:r>
        <w:rPr>
          <w:rFonts w:hint="eastAsia" w:ascii="宋体" w:hAnsi="宋体" w:eastAsia="宋体" w:cs="宋体"/>
          <w:bCs/>
          <w:color w:val="auto"/>
          <w:szCs w:val="21"/>
          <w:lang w:val="zh-CN"/>
        </w:rPr>
        <w:t>1.10.2投标人应在投标人须知前附表规定的时间前，以书面形式将提出的问题送达采购人，以便采购人在会议期间澄清。</w:t>
      </w:r>
    </w:p>
    <w:p w14:paraId="701A1263">
      <w:pPr>
        <w:autoSpaceDE w:val="0"/>
        <w:autoSpaceDN w:val="0"/>
        <w:adjustRightInd w:val="0"/>
        <w:spacing w:line="360" w:lineRule="auto"/>
        <w:ind w:firstLine="420" w:firstLineChars="200"/>
        <w:jc w:val="left"/>
        <w:rPr>
          <w:rFonts w:ascii="宋体" w:hAnsi="宋体" w:eastAsia="宋体" w:cs="宋体"/>
          <w:bCs/>
          <w:color w:val="auto"/>
          <w:szCs w:val="21"/>
          <w:lang w:val="zh-CN"/>
        </w:rPr>
      </w:pPr>
      <w:r>
        <w:rPr>
          <w:rFonts w:hint="eastAsia" w:ascii="宋体" w:hAnsi="宋体" w:eastAsia="宋体" w:cs="宋体"/>
          <w:bCs/>
          <w:color w:val="auto"/>
          <w:szCs w:val="21"/>
          <w:lang w:val="zh-CN"/>
        </w:rPr>
        <w:t>1.10.3投标预备会后，采购人在投标人须知前附表规定的时间内，将对投标人所提问题的澄清，以书面形式通知所有购买采购文件的投标人。该澄清内容为采购文件的组成部分。</w:t>
      </w:r>
    </w:p>
    <w:p w14:paraId="66020107">
      <w:pPr>
        <w:spacing w:line="360" w:lineRule="auto"/>
        <w:ind w:firstLine="315"/>
        <w:rPr>
          <w:rFonts w:ascii="宋体" w:hAnsi="宋体" w:eastAsia="宋体" w:cs="宋体"/>
          <w:b/>
          <w:color w:val="auto"/>
          <w:szCs w:val="21"/>
        </w:rPr>
      </w:pPr>
      <w:bookmarkStart w:id="157" w:name="_Toc247085701"/>
      <w:bookmarkStart w:id="158" w:name="_Toc26905"/>
      <w:bookmarkStart w:id="159" w:name="_Toc67490884"/>
      <w:bookmarkStart w:id="160" w:name="_Toc152045542"/>
      <w:bookmarkStart w:id="161" w:name="_Toc20304"/>
      <w:bookmarkStart w:id="162" w:name="_Toc246996930"/>
      <w:bookmarkStart w:id="163" w:name="_Toc144974510"/>
      <w:bookmarkStart w:id="164" w:name="_Toc420417623"/>
      <w:bookmarkStart w:id="165" w:name="_Toc179632560"/>
      <w:bookmarkStart w:id="166" w:name="_Toc152042318"/>
      <w:bookmarkStart w:id="167" w:name="_Toc77593385"/>
      <w:bookmarkStart w:id="168" w:name="_Toc457839488"/>
      <w:bookmarkStart w:id="169" w:name="_Toc357177711"/>
      <w:bookmarkStart w:id="170" w:name="_Toc246996187"/>
      <w:r>
        <w:rPr>
          <w:rFonts w:hint="eastAsia" w:ascii="宋体" w:hAnsi="宋体" w:eastAsia="宋体" w:cs="宋体"/>
          <w:b/>
          <w:color w:val="auto"/>
          <w:szCs w:val="21"/>
        </w:rPr>
        <w:t>1.11分包</w:t>
      </w:r>
    </w:p>
    <w:p w14:paraId="6A08FD23">
      <w:pPr>
        <w:spacing w:line="360" w:lineRule="auto"/>
        <w:ind w:firstLine="315"/>
        <w:rPr>
          <w:rFonts w:ascii="宋体" w:hAnsi="宋体" w:eastAsia="宋体" w:cs="宋体"/>
          <w:color w:val="auto"/>
          <w:szCs w:val="21"/>
        </w:rPr>
      </w:pPr>
      <w:r>
        <w:rPr>
          <w:rFonts w:hint="eastAsia" w:ascii="宋体" w:hAnsi="宋体" w:eastAsia="宋体" w:cs="宋体"/>
          <w:color w:val="auto"/>
          <w:szCs w:val="21"/>
        </w:rPr>
        <w:t>1.11.1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71AF5F09">
      <w:pPr>
        <w:spacing w:line="360" w:lineRule="auto"/>
        <w:ind w:firstLine="315"/>
        <w:rPr>
          <w:rFonts w:ascii="宋体" w:hAnsi="宋体" w:eastAsia="宋体" w:cs="宋体"/>
          <w:color w:val="auto"/>
          <w:szCs w:val="21"/>
        </w:rPr>
      </w:pPr>
      <w:r>
        <w:rPr>
          <w:rFonts w:hint="eastAsia" w:ascii="宋体" w:hAnsi="宋体" w:eastAsia="宋体" w:cs="宋体"/>
          <w:color w:val="auto"/>
          <w:szCs w:val="21"/>
        </w:rPr>
        <w:t>1.11.2中标人不得向他人转让中标项目，接受分包的人不得再次分包。中标人应当就分包项目向采购人负责，接受分包的人就分包项目承担连带责任。</w:t>
      </w:r>
    </w:p>
    <w:p w14:paraId="3468003C">
      <w:pPr>
        <w:spacing w:line="360" w:lineRule="auto"/>
        <w:ind w:firstLine="315"/>
        <w:rPr>
          <w:rFonts w:ascii="宋体" w:hAnsi="宋体" w:eastAsia="宋体" w:cs="宋体"/>
          <w:b/>
          <w:color w:val="auto"/>
          <w:szCs w:val="21"/>
        </w:rPr>
      </w:pPr>
      <w:r>
        <w:rPr>
          <w:rFonts w:hint="eastAsia" w:ascii="宋体" w:hAnsi="宋体" w:eastAsia="宋体" w:cs="宋体"/>
          <w:b/>
          <w:color w:val="auto"/>
          <w:szCs w:val="21"/>
        </w:rPr>
        <w:t>1.12响应和偏差</w:t>
      </w:r>
    </w:p>
    <w:p w14:paraId="0AC612D3">
      <w:pPr>
        <w:spacing w:line="360" w:lineRule="auto"/>
        <w:ind w:firstLine="315"/>
        <w:rPr>
          <w:rFonts w:ascii="宋体" w:hAnsi="宋体" w:eastAsia="宋体" w:cs="宋体"/>
          <w:color w:val="auto"/>
          <w:szCs w:val="21"/>
        </w:rPr>
      </w:pPr>
      <w:r>
        <w:rPr>
          <w:rFonts w:hint="eastAsia" w:ascii="宋体" w:hAnsi="宋体" w:eastAsia="宋体" w:cs="宋体"/>
          <w:color w:val="auto"/>
          <w:szCs w:val="21"/>
        </w:rPr>
        <w:t>1.12.1投标文件应当对采购文件的实质性要求和条件作出满足性或更有利于采购人的响应，否则，投标人的投标将被否决。实质性要求和条件见投标人须知前附表。</w:t>
      </w:r>
    </w:p>
    <w:p w14:paraId="307D2786">
      <w:pPr>
        <w:spacing w:line="360" w:lineRule="auto"/>
        <w:ind w:firstLine="315"/>
        <w:rPr>
          <w:rFonts w:ascii="宋体" w:hAnsi="宋体" w:eastAsia="宋体" w:cs="宋体"/>
          <w:color w:val="auto"/>
          <w:szCs w:val="21"/>
        </w:rPr>
      </w:pPr>
      <w:r>
        <w:rPr>
          <w:rFonts w:hint="eastAsia" w:ascii="宋体" w:hAnsi="宋体" w:eastAsia="宋体" w:cs="宋体"/>
          <w:color w:val="auto"/>
          <w:szCs w:val="21"/>
        </w:rPr>
        <w:t>1.12.2投标人应根据采购文件的要求提供投标技术方案等内容以对采购文件作出响应。</w:t>
      </w:r>
    </w:p>
    <w:p w14:paraId="2502E7B7">
      <w:pPr>
        <w:spacing w:line="360" w:lineRule="auto"/>
        <w:ind w:firstLine="315"/>
        <w:rPr>
          <w:rFonts w:ascii="宋体" w:hAnsi="宋体" w:eastAsia="宋体" w:cs="宋体"/>
          <w:color w:val="auto"/>
          <w:szCs w:val="21"/>
        </w:rPr>
      </w:pPr>
      <w:r>
        <w:rPr>
          <w:rFonts w:hint="eastAsia" w:ascii="宋体" w:hAnsi="宋体" w:eastAsia="宋体" w:cs="宋体"/>
          <w:color w:val="auto"/>
          <w:szCs w:val="21"/>
        </w:rPr>
        <w:t>1.12.3投标人须知前附表允许投标文件偏离采购文件某些要求的，偏差应当符合采购文件规定的偏差范围和幅度。</w:t>
      </w:r>
    </w:p>
    <w:p w14:paraId="0740361A">
      <w:pPr>
        <w:pStyle w:val="3"/>
        <w:spacing w:line="360" w:lineRule="auto"/>
        <w:jc w:val="center"/>
        <w:rPr>
          <w:rFonts w:ascii="宋体" w:hAnsi="宋体" w:eastAsia="宋体" w:cs="宋体"/>
          <w:color w:val="auto"/>
          <w:sz w:val="21"/>
          <w:szCs w:val="21"/>
        </w:rPr>
      </w:pPr>
      <w:bookmarkStart w:id="171" w:name="_Toc2340"/>
      <w:bookmarkStart w:id="172" w:name="_Toc25237"/>
      <w:r>
        <w:rPr>
          <w:rFonts w:hint="eastAsia" w:ascii="宋体" w:hAnsi="宋体" w:eastAsia="宋体" w:cs="宋体"/>
          <w:color w:val="auto"/>
          <w:sz w:val="21"/>
          <w:szCs w:val="21"/>
        </w:rPr>
        <w:t>2.采购文件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92FA98C">
      <w:pPr>
        <w:spacing w:line="360" w:lineRule="auto"/>
        <w:rPr>
          <w:rFonts w:ascii="宋体" w:hAnsi="宋体" w:eastAsia="宋体" w:cs="宋体"/>
          <w:b/>
          <w:color w:val="auto"/>
        </w:rPr>
      </w:pPr>
      <w:bookmarkStart w:id="173" w:name="_Toc247085702"/>
      <w:bookmarkStart w:id="174" w:name="_Toc152045543"/>
      <w:bookmarkStart w:id="175" w:name="_Toc246996188"/>
      <w:bookmarkStart w:id="176" w:name="_Toc152042319"/>
      <w:bookmarkStart w:id="177" w:name="_Toc179632561"/>
      <w:bookmarkStart w:id="178" w:name="_Toc23578"/>
      <w:bookmarkStart w:id="179" w:name="_Toc246996931"/>
      <w:bookmarkStart w:id="180" w:name="_Toc144974511"/>
      <w:r>
        <w:rPr>
          <w:rFonts w:hint="eastAsia" w:ascii="宋体" w:hAnsi="宋体" w:eastAsia="宋体" w:cs="宋体"/>
          <w:b/>
          <w:color w:val="auto"/>
        </w:rPr>
        <w:t>2.1采购文件的组成</w:t>
      </w:r>
      <w:bookmarkEnd w:id="173"/>
      <w:bookmarkEnd w:id="174"/>
      <w:bookmarkEnd w:id="175"/>
      <w:bookmarkEnd w:id="176"/>
      <w:bookmarkEnd w:id="177"/>
      <w:bookmarkEnd w:id="178"/>
      <w:bookmarkEnd w:id="179"/>
      <w:bookmarkEnd w:id="180"/>
    </w:p>
    <w:p w14:paraId="5C13E705">
      <w:pPr>
        <w:spacing w:line="360" w:lineRule="auto"/>
        <w:rPr>
          <w:rFonts w:ascii="宋体" w:hAnsi="宋体" w:eastAsia="宋体" w:cs="宋体"/>
          <w:color w:val="auto"/>
        </w:rPr>
      </w:pPr>
      <w:r>
        <w:rPr>
          <w:rFonts w:hint="eastAsia" w:ascii="宋体" w:hAnsi="宋体" w:eastAsia="宋体" w:cs="宋体"/>
          <w:color w:val="auto"/>
        </w:rPr>
        <w:t>　　2.1.1本采购文件包括：</w:t>
      </w:r>
    </w:p>
    <w:p w14:paraId="63C4D2F5">
      <w:pPr>
        <w:spacing w:line="360" w:lineRule="auto"/>
        <w:ind w:firstLine="359" w:firstLineChars="171"/>
        <w:rPr>
          <w:rFonts w:ascii="宋体" w:hAnsi="宋体" w:eastAsia="宋体" w:cs="宋体"/>
          <w:color w:val="auto"/>
        </w:rPr>
      </w:pPr>
      <w:r>
        <w:rPr>
          <w:rFonts w:hint="eastAsia" w:ascii="宋体" w:hAnsi="宋体" w:eastAsia="宋体" w:cs="宋体"/>
          <w:color w:val="auto"/>
        </w:rPr>
        <w:t>（1）采购公告；</w:t>
      </w:r>
    </w:p>
    <w:p w14:paraId="32BD4FFF">
      <w:pPr>
        <w:spacing w:line="360" w:lineRule="auto"/>
        <w:ind w:firstLine="359" w:firstLineChars="171"/>
        <w:rPr>
          <w:rFonts w:ascii="宋体" w:hAnsi="宋体" w:eastAsia="宋体" w:cs="宋体"/>
          <w:color w:val="auto"/>
        </w:rPr>
      </w:pPr>
      <w:r>
        <w:rPr>
          <w:rFonts w:hint="eastAsia" w:ascii="宋体" w:hAnsi="宋体" w:eastAsia="宋体" w:cs="宋体"/>
          <w:color w:val="auto"/>
        </w:rPr>
        <w:t>（2）投标人须知；</w:t>
      </w:r>
    </w:p>
    <w:p w14:paraId="1D1ECA45">
      <w:pPr>
        <w:spacing w:line="360" w:lineRule="auto"/>
        <w:ind w:firstLine="359" w:firstLineChars="171"/>
        <w:rPr>
          <w:rFonts w:ascii="宋体" w:hAnsi="宋体" w:eastAsia="宋体" w:cs="宋体"/>
          <w:color w:val="auto"/>
        </w:rPr>
      </w:pPr>
      <w:r>
        <w:rPr>
          <w:rFonts w:hint="eastAsia" w:ascii="宋体" w:hAnsi="宋体" w:eastAsia="宋体" w:cs="宋体"/>
          <w:color w:val="auto"/>
        </w:rPr>
        <w:t>（3）评标办法；</w:t>
      </w:r>
    </w:p>
    <w:p w14:paraId="3AEF234D">
      <w:pPr>
        <w:spacing w:line="360" w:lineRule="auto"/>
        <w:ind w:firstLine="359" w:firstLineChars="171"/>
        <w:rPr>
          <w:rFonts w:ascii="宋体" w:hAnsi="宋体" w:eastAsia="宋体" w:cs="宋体"/>
          <w:color w:val="auto"/>
        </w:rPr>
      </w:pPr>
      <w:r>
        <w:rPr>
          <w:rFonts w:hint="eastAsia" w:ascii="宋体" w:hAnsi="宋体" w:eastAsia="宋体" w:cs="宋体"/>
          <w:color w:val="auto"/>
        </w:rPr>
        <w:t>（4）合同条款</w:t>
      </w:r>
      <w:r>
        <w:rPr>
          <w:rFonts w:hint="eastAsia" w:ascii="宋体" w:hAnsi="宋体" w:eastAsia="宋体" w:cs="宋体"/>
          <w:color w:val="auto"/>
          <w:szCs w:val="22"/>
        </w:rPr>
        <w:t>及格式</w:t>
      </w:r>
      <w:r>
        <w:rPr>
          <w:rFonts w:hint="eastAsia" w:ascii="宋体" w:hAnsi="宋体" w:eastAsia="宋体" w:cs="宋体"/>
          <w:color w:val="auto"/>
        </w:rPr>
        <w:t>；</w:t>
      </w:r>
    </w:p>
    <w:p w14:paraId="4BEF0EDB">
      <w:pPr>
        <w:spacing w:line="360" w:lineRule="auto"/>
        <w:ind w:firstLine="359" w:firstLineChars="171"/>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en-US" w:eastAsia="zh-CN"/>
        </w:rPr>
        <w:t>服务需求</w:t>
      </w:r>
      <w:r>
        <w:rPr>
          <w:rFonts w:hint="eastAsia" w:ascii="宋体" w:hAnsi="宋体" w:eastAsia="宋体" w:cs="宋体"/>
          <w:color w:val="auto"/>
        </w:rPr>
        <w:t>；</w:t>
      </w:r>
    </w:p>
    <w:p w14:paraId="6977C43C">
      <w:pPr>
        <w:spacing w:line="360" w:lineRule="auto"/>
        <w:ind w:firstLine="359" w:firstLineChars="171"/>
        <w:rPr>
          <w:rFonts w:ascii="宋体" w:hAnsi="宋体" w:eastAsia="宋体" w:cs="宋体"/>
          <w:color w:val="auto"/>
        </w:rPr>
      </w:pPr>
      <w:r>
        <w:rPr>
          <w:rFonts w:hint="eastAsia" w:ascii="宋体" w:hAnsi="宋体" w:eastAsia="宋体" w:cs="宋体"/>
          <w:color w:val="auto"/>
        </w:rPr>
        <w:t>（6）投标文件格式。</w:t>
      </w:r>
    </w:p>
    <w:p w14:paraId="11C0D1A1">
      <w:pPr>
        <w:spacing w:line="360" w:lineRule="auto"/>
        <w:ind w:firstLine="420" w:firstLineChars="200"/>
        <w:rPr>
          <w:rFonts w:ascii="宋体" w:hAnsi="宋体" w:eastAsia="宋体" w:cs="宋体"/>
          <w:color w:val="auto"/>
        </w:rPr>
      </w:pPr>
      <w:r>
        <w:rPr>
          <w:rFonts w:hint="eastAsia" w:ascii="宋体" w:hAnsi="宋体" w:eastAsia="宋体" w:cs="宋体"/>
          <w:color w:val="auto"/>
        </w:rPr>
        <w:t>2.1.2根据本章第1.10款、第2.2款和第2.3款对采购文件所作的澄清、修改，构成采购文件的组成部分。</w:t>
      </w:r>
    </w:p>
    <w:p w14:paraId="314E3154">
      <w:pPr>
        <w:spacing w:line="360" w:lineRule="auto"/>
        <w:rPr>
          <w:rFonts w:ascii="宋体" w:hAnsi="宋体" w:eastAsia="宋体" w:cs="宋体"/>
          <w:b/>
          <w:color w:val="auto"/>
        </w:rPr>
      </w:pPr>
      <w:bookmarkStart w:id="181" w:name="_Toc246996189"/>
      <w:bookmarkStart w:id="182" w:name="_Toc246996932"/>
      <w:bookmarkStart w:id="183" w:name="_Toc247085703"/>
      <w:bookmarkStart w:id="184" w:name="_Toc144974512"/>
      <w:bookmarkStart w:id="185" w:name="_Toc7276"/>
      <w:bookmarkStart w:id="186" w:name="_Toc152045544"/>
      <w:bookmarkStart w:id="187" w:name="_Toc179632562"/>
      <w:bookmarkStart w:id="188" w:name="_Toc152042320"/>
      <w:r>
        <w:rPr>
          <w:rFonts w:hint="eastAsia" w:ascii="宋体" w:hAnsi="宋体" w:eastAsia="宋体" w:cs="宋体"/>
          <w:b/>
          <w:color w:val="auto"/>
        </w:rPr>
        <w:t>2.2采购文件的澄清</w:t>
      </w:r>
      <w:bookmarkEnd w:id="181"/>
      <w:bookmarkEnd w:id="182"/>
      <w:bookmarkEnd w:id="183"/>
      <w:bookmarkEnd w:id="184"/>
      <w:bookmarkEnd w:id="185"/>
      <w:bookmarkEnd w:id="186"/>
      <w:bookmarkEnd w:id="187"/>
      <w:bookmarkEnd w:id="188"/>
    </w:p>
    <w:p w14:paraId="3E91F70D">
      <w:pPr>
        <w:spacing w:line="360" w:lineRule="auto"/>
        <w:ind w:firstLine="420" w:firstLineChars="200"/>
        <w:rPr>
          <w:rFonts w:ascii="宋体" w:hAnsi="宋体" w:eastAsia="宋体" w:cs="宋体"/>
          <w:color w:val="auto"/>
        </w:rPr>
      </w:pPr>
      <w:r>
        <w:rPr>
          <w:rFonts w:hint="eastAsia" w:ascii="宋体" w:hAnsi="宋体" w:eastAsia="宋体" w:cs="宋体"/>
          <w:color w:val="auto"/>
        </w:rPr>
        <w:t>2.2.1投标人应仔细阅读和检查采购文件的全部内容。</w:t>
      </w:r>
      <w:r>
        <w:rPr>
          <w:rFonts w:hint="eastAsia" w:ascii="宋体" w:hAnsi="宋体" w:eastAsia="宋体" w:cs="宋体"/>
          <w:color w:val="auto"/>
          <w:szCs w:val="21"/>
        </w:rPr>
        <w:t>如发现缺页或附件不全，应及时向采购人提出，以便补齐。</w:t>
      </w:r>
      <w:r>
        <w:rPr>
          <w:rFonts w:hint="eastAsia" w:ascii="宋体" w:hAnsi="宋体" w:eastAsia="宋体" w:cs="宋体"/>
          <w:color w:val="auto"/>
        </w:rPr>
        <w:t>如有疑问，应在投标人须知前附表规定的时间前以书面形式（包括信函、电报、传真等可以有形地表现所载内容的形式，下同），要求采购人对采购文件予以澄清。</w:t>
      </w:r>
    </w:p>
    <w:p w14:paraId="3F4D46E9">
      <w:pPr>
        <w:spacing w:line="360" w:lineRule="auto"/>
        <w:ind w:firstLine="420" w:firstLineChars="200"/>
        <w:rPr>
          <w:rFonts w:ascii="宋体" w:hAnsi="宋体" w:eastAsia="宋体" w:cs="宋体"/>
          <w:color w:val="auto"/>
          <w:sz w:val="32"/>
          <w:szCs w:val="32"/>
        </w:rPr>
      </w:pPr>
      <w:r>
        <w:rPr>
          <w:rFonts w:hint="eastAsia" w:ascii="宋体" w:hAnsi="宋体" w:eastAsia="宋体" w:cs="宋体"/>
          <w:color w:val="auto"/>
        </w:rPr>
        <w:t>2.2.2采购文件的澄清将以书面形式发给所有购买采购文件的投标人，但不指明澄清问题的来源。如果澄清发出的时间距投标人须知前附表规定的投标截止时间不足15天，并且澄清内容影响投标文件编制的，将相应延长投标截止时间。</w:t>
      </w:r>
    </w:p>
    <w:p w14:paraId="1DF5EC57">
      <w:pPr>
        <w:spacing w:line="360" w:lineRule="auto"/>
        <w:ind w:firstLine="420" w:firstLineChars="200"/>
        <w:rPr>
          <w:rFonts w:ascii="宋体" w:hAnsi="宋体" w:eastAsia="宋体" w:cs="宋体"/>
          <w:color w:val="auto"/>
        </w:rPr>
      </w:pPr>
      <w:r>
        <w:rPr>
          <w:rFonts w:hint="eastAsia" w:ascii="宋体" w:hAnsi="宋体" w:eastAsia="宋体" w:cs="宋体"/>
          <w:color w:val="auto"/>
        </w:rPr>
        <w:t>2.2.3</w:t>
      </w:r>
      <w:r>
        <w:rPr>
          <w:rFonts w:hint="eastAsia" w:ascii="宋体" w:hAnsi="宋体" w:eastAsia="宋体" w:cs="宋体"/>
          <w:bCs/>
          <w:color w:val="auto"/>
          <w:szCs w:val="21"/>
          <w:lang w:val="zh-CN"/>
        </w:rPr>
        <w:t>请潜在投标人在参加与本项目活动期间关注网站信息，所有有意愿的投标人有义务在网上自行查询。</w:t>
      </w:r>
    </w:p>
    <w:p w14:paraId="4E256DDA">
      <w:pPr>
        <w:spacing w:line="360" w:lineRule="auto"/>
        <w:ind w:firstLine="420" w:firstLineChars="200"/>
        <w:rPr>
          <w:rFonts w:ascii="宋体" w:hAnsi="宋体" w:eastAsia="宋体" w:cs="宋体"/>
          <w:color w:val="auto"/>
        </w:rPr>
      </w:pPr>
      <w:r>
        <w:rPr>
          <w:rFonts w:hint="eastAsia" w:ascii="宋体" w:hAnsi="宋体" w:eastAsia="宋体" w:cs="宋体"/>
          <w:color w:val="auto"/>
        </w:rPr>
        <w:t>2.2.4除非采购人认为确有必要答复，否则，采购人有权拒绝回复投标人在本章第2.2.1项规定的时间后的任何澄清要求。</w:t>
      </w:r>
    </w:p>
    <w:p w14:paraId="235AFC43">
      <w:pPr>
        <w:spacing w:line="360" w:lineRule="auto"/>
        <w:rPr>
          <w:rFonts w:ascii="宋体" w:hAnsi="宋体" w:eastAsia="宋体" w:cs="宋体"/>
          <w:b/>
          <w:color w:val="auto"/>
        </w:rPr>
      </w:pPr>
      <w:bookmarkStart w:id="189" w:name="_Toc152042321"/>
      <w:bookmarkStart w:id="190" w:name="_Toc144974513"/>
      <w:bookmarkStart w:id="191" w:name="_Toc246996190"/>
      <w:bookmarkStart w:id="192" w:name="_Toc247085704"/>
      <w:bookmarkStart w:id="193" w:name="_Toc152045545"/>
      <w:bookmarkStart w:id="194" w:name="_Toc246996933"/>
      <w:bookmarkStart w:id="195" w:name="_Toc179632563"/>
      <w:bookmarkStart w:id="196" w:name="_Toc18007"/>
      <w:r>
        <w:rPr>
          <w:rFonts w:hint="eastAsia" w:ascii="宋体" w:hAnsi="宋体" w:eastAsia="宋体" w:cs="宋体"/>
          <w:b/>
          <w:color w:val="auto"/>
        </w:rPr>
        <w:t>2.3采购文件的修改</w:t>
      </w:r>
      <w:bookmarkEnd w:id="189"/>
      <w:bookmarkEnd w:id="190"/>
      <w:bookmarkEnd w:id="191"/>
      <w:bookmarkEnd w:id="192"/>
      <w:bookmarkEnd w:id="193"/>
      <w:bookmarkEnd w:id="194"/>
      <w:bookmarkEnd w:id="195"/>
      <w:bookmarkEnd w:id="196"/>
    </w:p>
    <w:p w14:paraId="72E8E147">
      <w:pPr>
        <w:spacing w:line="360" w:lineRule="auto"/>
        <w:ind w:firstLine="420" w:firstLineChars="200"/>
        <w:rPr>
          <w:rFonts w:ascii="宋体" w:hAnsi="宋体" w:eastAsia="宋体" w:cs="宋体"/>
          <w:color w:val="auto"/>
        </w:rPr>
      </w:pPr>
      <w:r>
        <w:rPr>
          <w:rFonts w:hint="eastAsia" w:ascii="宋体" w:hAnsi="宋体" w:eastAsia="宋体" w:cs="宋体"/>
          <w:color w:val="auto"/>
        </w:rPr>
        <w:t>2.3.1采购人可以书面形式修改采购文件，并通知所有已购买采购文件的投标人。但如果修改采购文件的时间距投标截止时间不足15天，并且修改内容影响投标文件编制的，将相应延长投标截止时间。</w:t>
      </w:r>
    </w:p>
    <w:p w14:paraId="5BBEC6CD">
      <w:pPr>
        <w:spacing w:line="360" w:lineRule="auto"/>
        <w:ind w:firstLine="420" w:firstLineChars="200"/>
        <w:rPr>
          <w:rFonts w:ascii="宋体" w:hAnsi="宋体" w:eastAsia="宋体" w:cs="宋体"/>
          <w:color w:val="auto"/>
        </w:rPr>
      </w:pPr>
      <w:r>
        <w:rPr>
          <w:rFonts w:hint="eastAsia" w:ascii="宋体" w:hAnsi="宋体" w:eastAsia="宋体" w:cs="宋体"/>
          <w:color w:val="auto"/>
        </w:rPr>
        <w:t>2.3.2请潜在投标人在参加与本项目活动期间关注网站信息，所有有意愿的投标人有义务在网上自行查询。</w:t>
      </w:r>
    </w:p>
    <w:p w14:paraId="3BBB4439">
      <w:pPr>
        <w:spacing w:line="360" w:lineRule="auto"/>
        <w:rPr>
          <w:rFonts w:ascii="宋体" w:hAnsi="宋体" w:eastAsia="宋体" w:cs="宋体"/>
          <w:b/>
          <w:color w:val="auto"/>
        </w:rPr>
      </w:pPr>
      <w:bookmarkStart w:id="197" w:name="_Toc492300370"/>
      <w:r>
        <w:rPr>
          <w:rFonts w:hint="eastAsia" w:ascii="宋体" w:hAnsi="宋体" w:eastAsia="宋体" w:cs="宋体"/>
          <w:b/>
          <w:color w:val="auto"/>
        </w:rPr>
        <w:t>2.4采购文件的异议</w:t>
      </w:r>
      <w:bookmarkEnd w:id="197"/>
    </w:p>
    <w:p w14:paraId="27C3E7A8">
      <w:pPr>
        <w:spacing w:line="360" w:lineRule="auto"/>
        <w:ind w:firstLine="420" w:firstLineChars="200"/>
        <w:rPr>
          <w:rFonts w:ascii="宋体" w:hAnsi="宋体" w:eastAsia="宋体" w:cs="宋体"/>
          <w:color w:val="auto"/>
        </w:rPr>
      </w:pPr>
      <w:r>
        <w:rPr>
          <w:rFonts w:hint="eastAsia" w:ascii="宋体" w:hAnsi="宋体" w:eastAsia="宋体" w:cs="宋体"/>
          <w:color w:val="auto"/>
        </w:rPr>
        <w:t>投标人或者其他利害关系人对采购文件有异议的，应当在投标截止时间10日前以书面形式提出。采购人将在收到异议之日起3日内作出答复；作出答复前，将暂停招标投标活动。</w:t>
      </w:r>
    </w:p>
    <w:p w14:paraId="104998EF">
      <w:pPr>
        <w:pStyle w:val="3"/>
        <w:spacing w:line="360" w:lineRule="auto"/>
        <w:jc w:val="center"/>
        <w:rPr>
          <w:rFonts w:ascii="宋体" w:hAnsi="宋体" w:eastAsia="宋体" w:cs="宋体"/>
          <w:color w:val="auto"/>
          <w:sz w:val="21"/>
          <w:szCs w:val="21"/>
        </w:rPr>
      </w:pPr>
      <w:bookmarkStart w:id="198" w:name="_Toc67490885"/>
      <w:bookmarkStart w:id="199" w:name="_Toc357177712"/>
      <w:bookmarkStart w:id="200" w:name="_Toc247085705"/>
      <w:bookmarkStart w:id="201" w:name="_Toc20088"/>
      <w:bookmarkStart w:id="202" w:name="_Toc30594"/>
      <w:bookmarkStart w:id="203" w:name="_Toc246996191"/>
      <w:bookmarkStart w:id="204" w:name="_Toc144974514"/>
      <w:bookmarkStart w:id="205" w:name="_Toc179632564"/>
      <w:bookmarkStart w:id="206" w:name="_Toc1788"/>
      <w:bookmarkStart w:id="207" w:name="_Toc152045546"/>
      <w:bookmarkStart w:id="208" w:name="_Toc152042322"/>
      <w:bookmarkStart w:id="209" w:name="_Toc420417624"/>
      <w:bookmarkStart w:id="210" w:name="_Toc457839489"/>
      <w:bookmarkStart w:id="211" w:name="_Toc77593386"/>
      <w:bookmarkStart w:id="212" w:name="_Toc246996934"/>
      <w:bookmarkStart w:id="213" w:name="_Toc25548"/>
      <w:r>
        <w:rPr>
          <w:rFonts w:hint="eastAsia" w:ascii="宋体" w:hAnsi="宋体" w:eastAsia="宋体" w:cs="宋体"/>
          <w:color w:val="auto"/>
          <w:sz w:val="21"/>
          <w:szCs w:val="21"/>
        </w:rPr>
        <w:t>3.投标文件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BBC05C0">
      <w:pPr>
        <w:spacing w:line="360" w:lineRule="auto"/>
        <w:rPr>
          <w:rFonts w:ascii="宋体" w:hAnsi="宋体" w:eastAsia="宋体" w:cs="宋体"/>
          <w:b/>
          <w:color w:val="auto"/>
        </w:rPr>
      </w:pPr>
      <w:bookmarkStart w:id="214" w:name="_Toc179632565"/>
      <w:bookmarkStart w:id="215" w:name="_Toc152042323"/>
      <w:bookmarkStart w:id="216" w:name="_Toc144974515"/>
      <w:bookmarkStart w:id="217" w:name="_Toc247085706"/>
      <w:bookmarkStart w:id="218" w:name="_Toc246996935"/>
      <w:bookmarkStart w:id="219" w:name="_Toc246996192"/>
      <w:bookmarkStart w:id="220" w:name="_Toc152045547"/>
      <w:bookmarkStart w:id="221" w:name="_Toc19352"/>
      <w:r>
        <w:rPr>
          <w:rFonts w:hint="eastAsia" w:ascii="宋体" w:hAnsi="宋体" w:eastAsia="宋体" w:cs="宋体"/>
          <w:b/>
          <w:color w:val="auto"/>
        </w:rPr>
        <w:t>3.1投标文件的组成</w:t>
      </w:r>
      <w:bookmarkEnd w:id="214"/>
      <w:bookmarkEnd w:id="215"/>
      <w:bookmarkEnd w:id="216"/>
      <w:bookmarkEnd w:id="217"/>
      <w:bookmarkEnd w:id="218"/>
      <w:bookmarkEnd w:id="219"/>
      <w:bookmarkEnd w:id="220"/>
      <w:bookmarkEnd w:id="221"/>
    </w:p>
    <w:p w14:paraId="0FFC8A27">
      <w:pPr>
        <w:spacing w:line="360" w:lineRule="auto"/>
        <w:ind w:firstLine="359"/>
        <w:rPr>
          <w:rFonts w:ascii="宋体" w:hAnsi="宋体" w:eastAsia="宋体" w:cs="宋体"/>
          <w:color w:val="auto"/>
          <w:szCs w:val="21"/>
        </w:rPr>
      </w:pPr>
      <w:r>
        <w:rPr>
          <w:rFonts w:hint="eastAsia" w:ascii="宋体" w:hAnsi="宋体" w:eastAsia="宋体" w:cs="宋体"/>
          <w:color w:val="auto"/>
        </w:rPr>
        <w:t>投标文件格式详见第六章。</w:t>
      </w:r>
    </w:p>
    <w:p w14:paraId="09679F26">
      <w:pPr>
        <w:spacing w:line="360" w:lineRule="auto"/>
        <w:rPr>
          <w:rFonts w:ascii="宋体" w:hAnsi="宋体" w:eastAsia="宋体" w:cs="宋体"/>
          <w:b/>
          <w:color w:val="auto"/>
        </w:rPr>
      </w:pPr>
      <w:bookmarkStart w:id="222" w:name="_Toc617"/>
      <w:bookmarkStart w:id="223" w:name="_Toc246996193"/>
      <w:bookmarkStart w:id="224" w:name="_Toc152042324"/>
      <w:bookmarkStart w:id="225" w:name="_Toc247085707"/>
      <w:bookmarkStart w:id="226" w:name="_Toc144974516"/>
      <w:bookmarkStart w:id="227" w:name="_Toc152045548"/>
      <w:bookmarkStart w:id="228" w:name="_Toc246996936"/>
      <w:bookmarkStart w:id="229" w:name="_Toc179632566"/>
      <w:r>
        <w:rPr>
          <w:rFonts w:hint="eastAsia" w:ascii="宋体" w:hAnsi="宋体" w:eastAsia="宋体" w:cs="宋体"/>
          <w:b/>
          <w:color w:val="auto"/>
        </w:rPr>
        <w:t>3.2投标报价</w:t>
      </w:r>
      <w:bookmarkEnd w:id="222"/>
      <w:bookmarkEnd w:id="223"/>
      <w:bookmarkEnd w:id="224"/>
      <w:bookmarkEnd w:id="225"/>
      <w:bookmarkEnd w:id="226"/>
      <w:bookmarkEnd w:id="227"/>
      <w:bookmarkEnd w:id="228"/>
      <w:bookmarkEnd w:id="229"/>
      <w:r>
        <w:rPr>
          <w:rFonts w:hint="eastAsia" w:ascii="宋体" w:hAnsi="宋体" w:eastAsia="宋体" w:cs="宋体"/>
          <w:b/>
          <w:color w:val="auto"/>
        </w:rPr>
        <w:t>（</w:t>
      </w:r>
      <w:r>
        <w:rPr>
          <w:rFonts w:hint="eastAsia" w:ascii="宋体" w:hAnsi="宋体" w:eastAsia="宋体" w:cs="宋体"/>
          <w:b/>
          <w:color w:val="auto"/>
          <w:lang w:val="en-US" w:eastAsia="zh-CN"/>
        </w:rPr>
        <w:t>本项目不适用</w:t>
      </w:r>
      <w:r>
        <w:rPr>
          <w:rFonts w:hint="eastAsia" w:ascii="宋体" w:hAnsi="宋体" w:eastAsia="宋体" w:cs="宋体"/>
          <w:b/>
          <w:color w:val="auto"/>
        </w:rPr>
        <w:t>）</w:t>
      </w:r>
    </w:p>
    <w:p w14:paraId="0F825E1C">
      <w:pPr>
        <w:spacing w:line="360" w:lineRule="auto"/>
        <w:ind w:firstLine="420" w:firstLineChars="200"/>
        <w:rPr>
          <w:rFonts w:ascii="宋体" w:hAnsi="宋体" w:eastAsia="宋体" w:cs="宋体"/>
          <w:color w:val="auto"/>
        </w:rPr>
      </w:pPr>
      <w:r>
        <w:rPr>
          <w:rFonts w:hint="eastAsia" w:ascii="宋体" w:hAnsi="宋体" w:eastAsia="宋体" w:cs="宋体"/>
          <w:color w:val="auto"/>
        </w:rPr>
        <w:t>3.2.1投标报价应包括国家规定的增值税税金，除投标人须知前附表另有规定外，增值税税金按一般计税方法计算。投标人应按第六章“投标文件格式”的要求在投标函中进行报价并填写费用清单。</w:t>
      </w:r>
    </w:p>
    <w:p w14:paraId="5B0EE33F">
      <w:pPr>
        <w:spacing w:line="360" w:lineRule="auto"/>
        <w:ind w:firstLine="420" w:firstLineChars="200"/>
        <w:rPr>
          <w:rFonts w:ascii="宋体" w:hAnsi="宋体" w:eastAsia="宋体" w:cs="宋体"/>
          <w:color w:val="auto"/>
        </w:rPr>
      </w:pPr>
      <w:r>
        <w:rPr>
          <w:rFonts w:hint="eastAsia" w:ascii="宋体" w:hAnsi="宋体" w:eastAsia="宋体" w:cs="宋体"/>
          <w:color w:val="auto"/>
        </w:rPr>
        <w:t>3.2.2投标人应充分了解该项目的总体情况以及影响投标报价的其他要素。</w:t>
      </w:r>
    </w:p>
    <w:p w14:paraId="4BB4E1F0">
      <w:pPr>
        <w:spacing w:line="360" w:lineRule="auto"/>
        <w:ind w:firstLine="420" w:firstLineChars="200"/>
        <w:rPr>
          <w:rFonts w:ascii="宋体" w:hAnsi="宋体" w:eastAsia="宋体" w:cs="宋体"/>
          <w:color w:val="auto"/>
        </w:rPr>
      </w:pPr>
      <w:r>
        <w:rPr>
          <w:rFonts w:hint="eastAsia" w:ascii="宋体" w:hAnsi="宋体" w:eastAsia="宋体" w:cs="宋体"/>
          <w:color w:val="auto"/>
        </w:rPr>
        <w:t>3.2.3本项目的报价方式见投标人须知前附表。投标人在投标截止时间前修改投标函中的投标报价总额，应同时修改投标文件“投标报价说明”中的相应报价。此修改须符合本章第4.3款的有关要求。</w:t>
      </w:r>
    </w:p>
    <w:p w14:paraId="772E0C6D">
      <w:pPr>
        <w:spacing w:line="360" w:lineRule="auto"/>
        <w:ind w:firstLine="420" w:firstLineChars="200"/>
        <w:rPr>
          <w:rFonts w:ascii="宋体" w:hAnsi="宋体" w:eastAsia="宋体" w:cs="宋体"/>
          <w:color w:val="auto"/>
        </w:rPr>
      </w:pPr>
      <w:r>
        <w:rPr>
          <w:rFonts w:hint="eastAsia" w:ascii="宋体" w:hAnsi="宋体" w:eastAsia="宋体" w:cs="宋体"/>
          <w:color w:val="auto"/>
        </w:rPr>
        <w:t>3.2.4采购人设有最高投标限价（采购预算）的，投标人的投标报价不得超过最高投标限价（采购预算），否则废标。最高投标限价（采购预算）在投标人须知前附表中载明。</w:t>
      </w:r>
    </w:p>
    <w:p w14:paraId="4FA5B34D">
      <w:pPr>
        <w:spacing w:line="360" w:lineRule="auto"/>
        <w:ind w:firstLine="420" w:firstLineChars="200"/>
        <w:rPr>
          <w:rFonts w:ascii="宋体" w:hAnsi="宋体" w:eastAsia="宋体" w:cs="宋体"/>
          <w:color w:val="auto"/>
        </w:rPr>
      </w:pPr>
      <w:r>
        <w:rPr>
          <w:rFonts w:hint="eastAsia" w:ascii="宋体" w:hAnsi="宋体" w:eastAsia="宋体" w:cs="宋体"/>
          <w:color w:val="auto"/>
        </w:rPr>
        <w:t>3.2.5投标报价的其他要求见投标人须知前附表。</w:t>
      </w:r>
    </w:p>
    <w:p w14:paraId="246AD32D">
      <w:pPr>
        <w:spacing w:line="360" w:lineRule="auto"/>
        <w:ind w:firstLine="420" w:firstLineChars="200"/>
        <w:rPr>
          <w:rFonts w:ascii="宋体" w:hAnsi="宋体" w:eastAsia="宋体" w:cs="宋体"/>
          <w:color w:val="auto"/>
        </w:rPr>
      </w:pPr>
      <w:bookmarkStart w:id="230" w:name="_Toc152042325"/>
      <w:bookmarkStart w:id="231" w:name="_Toc152045549"/>
      <w:bookmarkStart w:id="232" w:name="_Toc144974517"/>
      <w:bookmarkStart w:id="233" w:name="_Toc179632567"/>
      <w:r>
        <w:rPr>
          <w:rFonts w:hint="eastAsia" w:ascii="宋体" w:hAnsi="宋体" w:eastAsia="宋体" w:cs="宋体"/>
          <w:color w:val="auto"/>
        </w:rPr>
        <w:t>3.2.6除非合同中另有规定，投标报价应包括承担本采购项目的全部费用，包括劳务、防护人员工资、福利、保险、成本、利润、税金及风险等全部费用；报价若有遗漏，视为免费提供，采购人不再另行支付。</w:t>
      </w:r>
    </w:p>
    <w:p w14:paraId="70D9C1B9">
      <w:pPr>
        <w:spacing w:line="360" w:lineRule="auto"/>
        <w:rPr>
          <w:rFonts w:ascii="宋体" w:hAnsi="宋体" w:eastAsia="宋体" w:cs="宋体"/>
          <w:b/>
          <w:color w:val="auto"/>
        </w:rPr>
      </w:pPr>
      <w:bookmarkStart w:id="234" w:name="_Toc18235"/>
      <w:bookmarkStart w:id="235" w:name="_Toc246996937"/>
      <w:bookmarkStart w:id="236" w:name="_Toc247085708"/>
      <w:bookmarkStart w:id="237" w:name="_Toc246996194"/>
      <w:r>
        <w:rPr>
          <w:rFonts w:hint="eastAsia" w:ascii="宋体" w:hAnsi="宋体" w:eastAsia="宋体" w:cs="宋体"/>
          <w:b/>
          <w:color w:val="auto"/>
        </w:rPr>
        <w:t>3.3投标有效期</w:t>
      </w:r>
      <w:bookmarkEnd w:id="230"/>
      <w:bookmarkEnd w:id="231"/>
      <w:bookmarkEnd w:id="232"/>
      <w:bookmarkEnd w:id="233"/>
      <w:bookmarkEnd w:id="234"/>
      <w:bookmarkEnd w:id="235"/>
      <w:bookmarkEnd w:id="236"/>
      <w:bookmarkEnd w:id="237"/>
    </w:p>
    <w:p w14:paraId="02FA3E5D">
      <w:pPr>
        <w:spacing w:line="360" w:lineRule="auto"/>
        <w:ind w:firstLine="420" w:firstLineChars="200"/>
        <w:rPr>
          <w:rFonts w:ascii="宋体" w:hAnsi="宋体" w:eastAsia="宋体" w:cs="宋体"/>
          <w:color w:val="auto"/>
        </w:rPr>
      </w:pPr>
      <w:r>
        <w:rPr>
          <w:rFonts w:hint="eastAsia" w:ascii="宋体" w:hAnsi="宋体" w:eastAsia="宋体" w:cs="宋体"/>
          <w:color w:val="auto"/>
        </w:rPr>
        <w:t>3.3.1除投标人须知前附表另有规定外，投标有效期为90天。</w:t>
      </w:r>
    </w:p>
    <w:p w14:paraId="56CD2EF7">
      <w:pPr>
        <w:spacing w:line="360" w:lineRule="auto"/>
        <w:ind w:firstLine="420" w:firstLineChars="200"/>
        <w:rPr>
          <w:rFonts w:ascii="宋体" w:hAnsi="宋体" w:eastAsia="宋体" w:cs="宋体"/>
          <w:color w:val="auto"/>
        </w:rPr>
      </w:pPr>
      <w:r>
        <w:rPr>
          <w:rFonts w:hint="eastAsia" w:ascii="宋体" w:hAnsi="宋体" w:eastAsia="宋体" w:cs="宋体"/>
          <w:color w:val="auto"/>
        </w:rPr>
        <w:t>3.3.2在投标有效期内，投标人撤销或修改其投标文件的，应承担采购文件和法律规定的责任。</w:t>
      </w:r>
    </w:p>
    <w:p w14:paraId="22033FD1">
      <w:pPr>
        <w:spacing w:line="360" w:lineRule="auto"/>
        <w:ind w:firstLine="420" w:firstLineChars="200"/>
        <w:rPr>
          <w:rFonts w:ascii="宋体" w:hAnsi="宋体" w:eastAsia="宋体" w:cs="宋体"/>
          <w:color w:val="auto"/>
        </w:rPr>
      </w:pPr>
      <w:r>
        <w:rPr>
          <w:rFonts w:hint="eastAsia" w:ascii="宋体" w:hAnsi="宋体" w:eastAsia="宋体" w:cs="宋体"/>
          <w:color w:val="auto"/>
        </w:rPr>
        <w:t>3.3.3出现特殊情况需要延长投标有效期的，采购人以书面形式通知所有投标人延长投标有效期。投标人同意延长的，不得要求或被允许修改或撤销其投标文件；投标人拒绝延长的，其投标失效。</w:t>
      </w:r>
    </w:p>
    <w:p w14:paraId="141F4BF4">
      <w:pPr>
        <w:spacing w:line="360" w:lineRule="auto"/>
        <w:rPr>
          <w:rFonts w:ascii="宋体" w:hAnsi="宋体" w:eastAsia="宋体" w:cs="宋体"/>
          <w:b/>
          <w:color w:val="auto"/>
        </w:rPr>
      </w:pPr>
      <w:bookmarkStart w:id="238" w:name="_Toc246996195"/>
      <w:bookmarkStart w:id="239" w:name="_Toc144974518"/>
      <w:bookmarkStart w:id="240" w:name="_Toc152045550"/>
      <w:bookmarkStart w:id="241" w:name="_Toc11043"/>
      <w:bookmarkStart w:id="242" w:name="_Toc247085709"/>
      <w:bookmarkStart w:id="243" w:name="_Toc179632568"/>
      <w:bookmarkStart w:id="244" w:name="_Toc152042326"/>
      <w:bookmarkStart w:id="245" w:name="_Toc246996938"/>
      <w:r>
        <w:rPr>
          <w:rFonts w:hint="eastAsia" w:ascii="宋体" w:hAnsi="宋体" w:eastAsia="宋体" w:cs="宋体"/>
          <w:b/>
          <w:color w:val="auto"/>
        </w:rPr>
        <w:t>3.4投标保证金</w:t>
      </w:r>
      <w:bookmarkEnd w:id="238"/>
      <w:bookmarkEnd w:id="239"/>
      <w:bookmarkEnd w:id="240"/>
      <w:bookmarkEnd w:id="241"/>
      <w:bookmarkEnd w:id="242"/>
      <w:bookmarkEnd w:id="243"/>
      <w:bookmarkEnd w:id="244"/>
      <w:bookmarkEnd w:id="245"/>
    </w:p>
    <w:p w14:paraId="4BF5884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3.4.1投标人在递交投标文件的同时，应按投标人须知前附表规定的金额</w:t>
      </w:r>
      <w:bookmarkStart w:id="246" w:name="_Toc247527570"/>
      <w:bookmarkStart w:id="247" w:name="_Toc384308226"/>
      <w:bookmarkStart w:id="248" w:name="_Toc247513969"/>
      <w:bookmarkStart w:id="249" w:name="_Toc352691489"/>
      <w:bookmarkStart w:id="250" w:name="_Toc361508601"/>
      <w:bookmarkStart w:id="251" w:name="_Toc300834966"/>
      <w:bookmarkStart w:id="252" w:name="_Toc4592"/>
      <w:bookmarkStart w:id="253" w:name="_Toc369531532"/>
      <w:r>
        <w:rPr>
          <w:rFonts w:hint="eastAsia" w:ascii="宋体" w:hAnsi="宋体" w:eastAsia="宋体" w:cs="宋体"/>
          <w:color w:val="auto"/>
        </w:rPr>
        <w:t>、形式和第六章“投标文</w:t>
      </w:r>
      <w:bookmarkEnd w:id="246"/>
      <w:bookmarkEnd w:id="247"/>
      <w:bookmarkEnd w:id="248"/>
      <w:bookmarkEnd w:id="249"/>
      <w:bookmarkEnd w:id="250"/>
      <w:bookmarkEnd w:id="251"/>
      <w:bookmarkEnd w:id="252"/>
      <w:bookmarkEnd w:id="253"/>
      <w:r>
        <w:rPr>
          <w:rFonts w:hint="eastAsia" w:ascii="宋体" w:hAnsi="宋体" w:eastAsia="宋体" w:cs="宋体"/>
          <w:color w:val="auto"/>
        </w:rPr>
        <w:t>件格式”规定的投标保证金格式递交投标保证金，并作为其投标文件的组成部分。境内投标人以现金或者支票形式提交的投标保证金，应当从其基本账户转出并在投标文件中附上基本账户开户证明。</w:t>
      </w:r>
    </w:p>
    <w:p w14:paraId="231C7F38">
      <w:pPr>
        <w:spacing w:line="360" w:lineRule="auto"/>
        <w:ind w:firstLine="420" w:firstLineChars="200"/>
        <w:rPr>
          <w:rFonts w:ascii="宋体" w:hAnsi="宋体" w:eastAsia="宋体" w:cs="宋体"/>
          <w:color w:val="auto"/>
        </w:rPr>
      </w:pPr>
      <w:r>
        <w:rPr>
          <w:rFonts w:hint="eastAsia" w:ascii="宋体" w:hAnsi="宋体" w:eastAsia="宋体" w:cs="宋体"/>
          <w:color w:val="auto"/>
        </w:rPr>
        <w:t>3.4.2投标人不按本章第3.4.1项要求提交投标保证金的，评标委员会将否决其投标。</w:t>
      </w:r>
    </w:p>
    <w:p w14:paraId="6D58C3A2">
      <w:pPr>
        <w:spacing w:line="360" w:lineRule="auto"/>
        <w:ind w:firstLine="420" w:firstLineChars="200"/>
        <w:rPr>
          <w:rFonts w:ascii="宋体" w:hAnsi="宋体" w:eastAsia="宋体" w:cs="宋体"/>
          <w:color w:val="auto"/>
        </w:rPr>
      </w:pPr>
      <w:r>
        <w:rPr>
          <w:rFonts w:hint="eastAsia" w:ascii="宋体" w:hAnsi="宋体" w:eastAsia="宋体" w:cs="宋体"/>
          <w:color w:val="auto"/>
        </w:rPr>
        <w:t>3.4.3</w:t>
      </w:r>
      <w:r>
        <w:rPr>
          <w:rFonts w:hint="eastAsia" w:ascii="宋体" w:hAnsi="宋体" w:eastAsia="宋体" w:cs="宋体"/>
          <w:bCs/>
          <w:color w:val="auto"/>
          <w:szCs w:val="21"/>
          <w:lang w:val="zh-CN"/>
        </w:rPr>
        <w:t>采购代理机构应当自中标通知书发出之日起5个工作日内退还未中标投标人的投标保证金，自政府采购合同签订之日起5个工作日内退还中标投标人的投标保证金。</w:t>
      </w:r>
    </w:p>
    <w:p w14:paraId="2FE3E07F">
      <w:pPr>
        <w:spacing w:line="360" w:lineRule="auto"/>
        <w:ind w:firstLine="420" w:firstLineChars="200"/>
        <w:rPr>
          <w:rFonts w:ascii="宋体" w:hAnsi="宋体" w:eastAsia="宋体" w:cs="宋体"/>
          <w:color w:val="auto"/>
        </w:rPr>
      </w:pPr>
      <w:r>
        <w:rPr>
          <w:rFonts w:hint="eastAsia" w:ascii="宋体" w:hAnsi="宋体" w:eastAsia="宋体" w:cs="宋体"/>
          <w:color w:val="auto"/>
        </w:rPr>
        <w:t>3.4.4有下列情形之一的，投标保证金将不予退还：</w:t>
      </w:r>
    </w:p>
    <w:p w14:paraId="56F15405">
      <w:pPr>
        <w:spacing w:line="360" w:lineRule="auto"/>
        <w:ind w:firstLine="718" w:firstLineChars="342"/>
        <w:rPr>
          <w:rFonts w:ascii="宋体" w:hAnsi="宋体" w:eastAsia="宋体" w:cs="宋体"/>
          <w:color w:val="auto"/>
        </w:rPr>
      </w:pPr>
      <w:r>
        <w:rPr>
          <w:rFonts w:hint="eastAsia" w:ascii="宋体" w:hAnsi="宋体" w:eastAsia="宋体" w:cs="宋体"/>
          <w:color w:val="auto"/>
        </w:rPr>
        <w:t>（1）投标人在规定的投标有效期内撤销或修改其投标文件；</w:t>
      </w:r>
    </w:p>
    <w:p w14:paraId="36C9D6D2">
      <w:pPr>
        <w:spacing w:line="360" w:lineRule="auto"/>
        <w:ind w:firstLine="718" w:firstLineChars="342"/>
        <w:rPr>
          <w:rFonts w:ascii="宋体" w:hAnsi="宋体" w:eastAsia="宋体" w:cs="宋体"/>
          <w:color w:val="auto"/>
        </w:rPr>
      </w:pPr>
      <w:r>
        <w:rPr>
          <w:rFonts w:hint="eastAsia" w:ascii="宋体" w:hAnsi="宋体" w:eastAsia="宋体" w:cs="宋体"/>
          <w:color w:val="auto"/>
        </w:rPr>
        <w:t>（2）中标人在收到中标通知书后，无正当理由拒签合同协议书。</w:t>
      </w:r>
    </w:p>
    <w:p w14:paraId="76C75500">
      <w:pPr>
        <w:spacing w:line="360" w:lineRule="auto"/>
        <w:rPr>
          <w:rFonts w:ascii="宋体" w:hAnsi="宋体" w:eastAsia="宋体" w:cs="宋体"/>
          <w:b/>
          <w:color w:val="auto"/>
        </w:rPr>
      </w:pPr>
      <w:bookmarkStart w:id="254" w:name="_Toc247085710"/>
      <w:bookmarkStart w:id="255" w:name="_Toc152042328"/>
      <w:bookmarkStart w:id="256" w:name="_Toc246996939"/>
      <w:bookmarkStart w:id="257" w:name="_Toc246996196"/>
      <w:bookmarkStart w:id="258" w:name="_Toc152045552"/>
      <w:bookmarkStart w:id="259" w:name="_Toc144974520"/>
      <w:bookmarkStart w:id="260" w:name="_Toc24001"/>
      <w:bookmarkStart w:id="261" w:name="_Toc179632570"/>
      <w:r>
        <w:rPr>
          <w:rFonts w:hint="eastAsia" w:ascii="宋体" w:hAnsi="宋体" w:eastAsia="宋体" w:cs="宋体"/>
          <w:b/>
          <w:color w:val="auto"/>
        </w:rPr>
        <w:t>3.5资格审查资料</w:t>
      </w:r>
      <w:bookmarkEnd w:id="254"/>
      <w:bookmarkEnd w:id="255"/>
      <w:bookmarkEnd w:id="256"/>
      <w:bookmarkEnd w:id="257"/>
      <w:bookmarkEnd w:id="258"/>
      <w:bookmarkEnd w:id="259"/>
      <w:bookmarkEnd w:id="260"/>
      <w:bookmarkEnd w:id="261"/>
    </w:p>
    <w:p w14:paraId="351ED7FD">
      <w:pPr>
        <w:spacing w:line="360" w:lineRule="auto"/>
        <w:ind w:firstLine="420" w:firstLineChars="200"/>
        <w:rPr>
          <w:rFonts w:ascii="宋体" w:hAnsi="宋体" w:eastAsia="宋体" w:cs="宋体"/>
          <w:color w:val="auto"/>
        </w:rPr>
      </w:pPr>
      <w:r>
        <w:rPr>
          <w:rFonts w:hint="eastAsia" w:ascii="宋体" w:hAnsi="宋体" w:eastAsia="宋体" w:cs="宋体"/>
          <w:color w:val="auto"/>
        </w:rPr>
        <w:t>3.5.1“投标人基本情况表”应附投标人须知前附表1.4.1项中的材要求料。</w:t>
      </w:r>
    </w:p>
    <w:p w14:paraId="54367705">
      <w:pPr>
        <w:autoSpaceDE w:val="0"/>
        <w:autoSpaceDN w:val="0"/>
        <w:adjustRightInd w:val="0"/>
        <w:spacing w:line="360" w:lineRule="auto"/>
        <w:ind w:firstLine="420" w:firstLineChars="200"/>
        <w:jc w:val="left"/>
        <w:rPr>
          <w:rFonts w:ascii="宋体" w:hAnsi="宋体" w:eastAsia="宋体" w:cs="宋体"/>
          <w:color w:val="auto"/>
        </w:rPr>
      </w:pPr>
      <w:r>
        <w:rPr>
          <w:rFonts w:hint="eastAsia" w:ascii="宋体" w:hAnsi="宋体" w:eastAsia="宋体" w:cs="宋体"/>
          <w:color w:val="auto"/>
        </w:rPr>
        <w:t>3.5.2“近年财务状况表”应附投标人须知前附表1.4.1项中要求的材料。</w:t>
      </w:r>
      <w:r>
        <w:rPr>
          <w:rFonts w:hint="eastAsia" w:ascii="宋体" w:hAnsi="宋体" w:eastAsia="宋体" w:cs="宋体"/>
          <w:bCs/>
          <w:color w:val="auto"/>
          <w:szCs w:val="21"/>
          <w:lang w:val="zh-CN"/>
        </w:rPr>
        <w:t>“依法缴纳税收和社会保障资金”</w:t>
      </w:r>
      <w:r>
        <w:rPr>
          <w:rFonts w:hint="eastAsia" w:ascii="宋体" w:hAnsi="宋体" w:eastAsia="宋体" w:cs="宋体"/>
          <w:color w:val="auto"/>
        </w:rPr>
        <w:t>应附投标人须知前附表1.4.1项中要求的材料</w:t>
      </w:r>
      <w:r>
        <w:rPr>
          <w:rFonts w:hint="eastAsia" w:ascii="宋体" w:hAnsi="宋体" w:eastAsia="宋体" w:cs="宋体"/>
          <w:bCs/>
          <w:color w:val="auto"/>
          <w:szCs w:val="21"/>
          <w:lang w:val="zh-CN"/>
        </w:rPr>
        <w:t>。</w:t>
      </w:r>
    </w:p>
    <w:p w14:paraId="24448BBC">
      <w:pPr>
        <w:autoSpaceDE w:val="0"/>
        <w:autoSpaceDN w:val="0"/>
        <w:adjustRightInd w:val="0"/>
        <w:spacing w:line="360" w:lineRule="auto"/>
        <w:ind w:firstLine="420" w:firstLineChars="200"/>
        <w:jc w:val="left"/>
        <w:rPr>
          <w:rFonts w:ascii="宋体" w:hAnsi="宋体" w:eastAsia="宋体" w:cs="宋体"/>
          <w:bCs/>
          <w:color w:val="auto"/>
          <w:szCs w:val="21"/>
          <w:lang w:val="zh-CN"/>
        </w:rPr>
      </w:pPr>
      <w:bookmarkStart w:id="262" w:name="_Toc2714"/>
      <w:bookmarkStart w:id="263" w:name="_Toc144974521"/>
      <w:bookmarkStart w:id="264" w:name="_Toc179632571"/>
      <w:bookmarkStart w:id="265" w:name="_Toc246996197"/>
      <w:bookmarkStart w:id="266" w:name="_Toc246996940"/>
      <w:bookmarkStart w:id="267" w:name="_Toc152042329"/>
      <w:bookmarkStart w:id="268" w:name="_Toc152045553"/>
      <w:bookmarkStart w:id="269" w:name="_Toc247085711"/>
      <w:r>
        <w:rPr>
          <w:rFonts w:hint="eastAsia" w:ascii="宋体" w:hAnsi="宋体" w:eastAsia="宋体" w:cs="宋体"/>
          <w:bCs/>
          <w:color w:val="auto"/>
          <w:szCs w:val="21"/>
          <w:lang w:val="zh-CN"/>
        </w:rPr>
        <w:t>3.5.3“近年类似项目情况表”应附中标通知书或合同协议书等，具体年份要求见投标人须知前附表。每张表格只填写一个项目，并标明序号。</w:t>
      </w:r>
    </w:p>
    <w:p w14:paraId="4DD1653B">
      <w:pPr>
        <w:autoSpaceDE w:val="0"/>
        <w:autoSpaceDN w:val="0"/>
        <w:adjustRightInd w:val="0"/>
        <w:spacing w:line="360" w:lineRule="auto"/>
        <w:ind w:firstLine="420" w:firstLineChars="200"/>
        <w:jc w:val="left"/>
        <w:rPr>
          <w:rFonts w:ascii="宋体" w:hAnsi="宋体" w:eastAsia="宋体" w:cs="宋体"/>
          <w:bCs/>
          <w:color w:val="auto"/>
          <w:szCs w:val="21"/>
          <w:lang w:val="zh-CN"/>
        </w:rPr>
      </w:pPr>
      <w:r>
        <w:rPr>
          <w:rFonts w:hint="eastAsia" w:ascii="宋体" w:hAnsi="宋体" w:eastAsia="宋体" w:cs="宋体"/>
          <w:bCs/>
          <w:color w:val="auto"/>
          <w:szCs w:val="21"/>
          <w:lang w:val="zh-CN"/>
        </w:rPr>
        <w:t>3.5.4“正在进行和新承接的项目情况表”应附中标通知书或合同协议书。每张表格只填写一个项目，并标明序号。</w:t>
      </w:r>
    </w:p>
    <w:p w14:paraId="75E3315D">
      <w:pPr>
        <w:spacing w:line="360" w:lineRule="auto"/>
        <w:ind w:firstLine="420"/>
        <w:rPr>
          <w:rFonts w:ascii="宋体" w:hAnsi="宋体" w:eastAsia="宋体" w:cs="宋体"/>
          <w:color w:val="auto"/>
          <w:szCs w:val="21"/>
        </w:rPr>
      </w:pPr>
      <w:r>
        <w:rPr>
          <w:rFonts w:hint="eastAsia" w:ascii="宋体" w:hAnsi="宋体" w:eastAsia="宋体" w:cs="宋体"/>
          <w:color w:val="auto"/>
          <w:szCs w:val="21"/>
        </w:rPr>
        <w:t>3.5.5投标人须知前附表规定接受联合体投标的，本章第3.5.1项至第3.5.4项规定的表格和资料应包括联合体各方相关情况。</w:t>
      </w:r>
    </w:p>
    <w:p w14:paraId="317D5F54">
      <w:pPr>
        <w:spacing w:line="360" w:lineRule="auto"/>
        <w:rPr>
          <w:rFonts w:ascii="宋体" w:hAnsi="宋体" w:eastAsia="宋体" w:cs="宋体"/>
          <w:b/>
          <w:color w:val="auto"/>
        </w:rPr>
      </w:pPr>
      <w:r>
        <w:rPr>
          <w:rFonts w:hint="eastAsia" w:ascii="宋体" w:hAnsi="宋体" w:eastAsia="宋体" w:cs="宋体"/>
          <w:b/>
          <w:color w:val="auto"/>
        </w:rPr>
        <w:t>3.6备选投标方案</w:t>
      </w:r>
    </w:p>
    <w:p w14:paraId="4A69DB70">
      <w:pPr>
        <w:spacing w:line="360" w:lineRule="auto"/>
        <w:ind w:firstLine="420"/>
        <w:rPr>
          <w:rFonts w:ascii="宋体" w:hAnsi="宋体" w:eastAsia="宋体" w:cs="宋体"/>
          <w:color w:val="auto"/>
          <w:szCs w:val="21"/>
        </w:rPr>
      </w:pPr>
      <w:r>
        <w:rPr>
          <w:rFonts w:hint="eastAsia" w:ascii="宋体" w:hAnsi="宋体" w:eastAsia="宋体" w:cs="宋体"/>
          <w:color w:val="auto"/>
          <w:szCs w:val="21"/>
        </w:rPr>
        <w:t>3.6.1除投标人须知前附表规定允许外，投标人不得递交备选投标方案，否则其投标将被否决。</w:t>
      </w:r>
    </w:p>
    <w:p w14:paraId="5ADC851C">
      <w:pPr>
        <w:spacing w:line="360" w:lineRule="auto"/>
        <w:rPr>
          <w:rFonts w:ascii="宋体" w:hAnsi="宋体" w:eastAsia="宋体" w:cs="宋体"/>
          <w:b/>
          <w:color w:val="auto"/>
        </w:rPr>
      </w:pPr>
      <w:r>
        <w:rPr>
          <w:rFonts w:hint="eastAsia" w:ascii="宋体" w:hAnsi="宋体" w:eastAsia="宋体" w:cs="宋体"/>
          <w:b/>
          <w:color w:val="auto"/>
        </w:rPr>
        <w:t>3.7投标文件的编制</w:t>
      </w:r>
      <w:bookmarkEnd w:id="262"/>
    </w:p>
    <w:p w14:paraId="4EB2A117">
      <w:pPr>
        <w:spacing w:line="360" w:lineRule="auto"/>
        <w:ind w:firstLine="420" w:firstLineChars="200"/>
        <w:rPr>
          <w:rFonts w:ascii="宋体" w:hAnsi="宋体" w:eastAsia="宋体" w:cs="宋体"/>
          <w:color w:val="auto"/>
        </w:rPr>
      </w:pPr>
      <w:r>
        <w:rPr>
          <w:rFonts w:hint="eastAsia" w:ascii="宋体" w:hAnsi="宋体" w:eastAsia="宋体" w:cs="宋体"/>
          <w:color w:val="auto"/>
        </w:rPr>
        <w:t>3.7.1投标文件应按第六章“投标文件格式”进行编写，如有必要，可以增加附页，作为投标文件的组成部分。其中，投标函附录在满足采购文件实质性要求的基础上，可以提出比采购文件要求更有利于采购人的承诺。</w:t>
      </w:r>
    </w:p>
    <w:p w14:paraId="0609189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3.7.2投标文件应当对采购文件有关</w:t>
      </w:r>
      <w:r>
        <w:rPr>
          <w:rFonts w:hint="eastAsia" w:ascii="宋体" w:hAnsi="宋体" w:eastAsia="宋体" w:cs="宋体"/>
          <w:color w:val="auto"/>
          <w:szCs w:val="21"/>
        </w:rPr>
        <w:t>合同履行期限、投标有效期、发包人要求、采购范围等实质性内容作出响应。技术</w:t>
      </w:r>
      <w:r>
        <w:rPr>
          <w:rFonts w:hint="eastAsia" w:ascii="宋体" w:hAnsi="宋体" w:eastAsia="宋体" w:cs="宋体"/>
          <w:color w:val="auto"/>
        </w:rPr>
        <w:t>方案应为具有可行性的供货方案。</w:t>
      </w:r>
    </w:p>
    <w:p w14:paraId="63351019">
      <w:pPr>
        <w:spacing w:line="360" w:lineRule="auto"/>
        <w:ind w:firstLine="420" w:firstLineChars="200"/>
        <w:rPr>
          <w:rFonts w:ascii="宋体" w:hAnsi="宋体" w:eastAsia="宋体" w:cs="宋体"/>
          <w:color w:val="auto"/>
        </w:rPr>
      </w:pPr>
      <w:r>
        <w:rPr>
          <w:rFonts w:hint="eastAsia" w:ascii="宋体" w:hAnsi="宋体" w:eastAsia="宋体" w:cs="宋体"/>
          <w:color w:val="auto"/>
        </w:rPr>
        <w:t>3.7.3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bookmarkEnd w:id="263"/>
    <w:bookmarkEnd w:id="264"/>
    <w:bookmarkEnd w:id="265"/>
    <w:bookmarkEnd w:id="266"/>
    <w:bookmarkEnd w:id="267"/>
    <w:bookmarkEnd w:id="268"/>
    <w:bookmarkEnd w:id="269"/>
    <w:p w14:paraId="2E2EECDB">
      <w:pPr>
        <w:autoSpaceDE w:val="0"/>
        <w:autoSpaceDN w:val="0"/>
        <w:adjustRightInd w:val="0"/>
        <w:spacing w:line="360" w:lineRule="auto"/>
        <w:ind w:firstLine="420" w:firstLineChars="200"/>
        <w:jc w:val="left"/>
        <w:rPr>
          <w:rFonts w:ascii="宋体" w:hAnsi="宋体" w:eastAsia="宋体" w:cs="宋体"/>
          <w:color w:val="auto"/>
          <w:kern w:val="0"/>
          <w:szCs w:val="21"/>
        </w:rPr>
      </w:pPr>
      <w:bookmarkStart w:id="270" w:name="_Toc179632573"/>
      <w:bookmarkStart w:id="271" w:name="_Toc246996942"/>
      <w:bookmarkStart w:id="272" w:name="_Toc246996199"/>
      <w:bookmarkStart w:id="273" w:name="_Toc152045555"/>
      <w:bookmarkStart w:id="274" w:name="_Toc247085713"/>
      <w:bookmarkStart w:id="275" w:name="_Toc152042331"/>
      <w:bookmarkStart w:id="276" w:name="_Toc144974523"/>
      <w:r>
        <w:rPr>
          <w:rFonts w:hint="eastAsia" w:ascii="宋体" w:hAnsi="宋体" w:eastAsia="宋体" w:cs="宋体"/>
          <w:bCs/>
          <w:color w:val="auto"/>
          <w:szCs w:val="21"/>
        </w:rPr>
        <w:t>3.7.</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val="zh-CN"/>
        </w:rPr>
        <w:t>为确保网上操作合法、有效和安全，投标人应当在投标截止时间前完成在“政采云”平台的身份认证，确保在电子投标过程中能够对相关数据电文进行加密和使用电子签名。</w:t>
      </w:r>
    </w:p>
    <w:p w14:paraId="25FBDA43">
      <w:pPr>
        <w:pStyle w:val="3"/>
        <w:spacing w:line="360" w:lineRule="auto"/>
        <w:jc w:val="center"/>
        <w:rPr>
          <w:rFonts w:ascii="宋体" w:hAnsi="宋体" w:eastAsia="宋体" w:cs="宋体"/>
          <w:color w:val="auto"/>
          <w:sz w:val="21"/>
          <w:szCs w:val="21"/>
        </w:rPr>
      </w:pPr>
      <w:bookmarkStart w:id="277" w:name="_Toc8359"/>
      <w:bookmarkStart w:id="278" w:name="_Toc24870"/>
      <w:bookmarkStart w:id="279" w:name="_Toc357177713"/>
      <w:bookmarkStart w:id="280" w:name="_Toc15004"/>
      <w:bookmarkStart w:id="281" w:name="_Toc4365"/>
      <w:bookmarkStart w:id="282" w:name="_Toc77593387"/>
      <w:bookmarkStart w:id="283" w:name="_Toc67490886"/>
      <w:bookmarkStart w:id="284" w:name="_Toc420417625"/>
      <w:bookmarkStart w:id="285" w:name="_Toc457839490"/>
      <w:r>
        <w:rPr>
          <w:rFonts w:hint="eastAsia" w:ascii="宋体" w:hAnsi="宋体" w:eastAsia="宋体" w:cs="宋体"/>
          <w:color w:val="auto"/>
          <w:sz w:val="21"/>
          <w:szCs w:val="21"/>
        </w:rPr>
        <w:t>4.投标</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AE21A35">
      <w:pPr>
        <w:spacing w:line="360" w:lineRule="auto"/>
        <w:rPr>
          <w:rFonts w:ascii="宋体" w:hAnsi="宋体" w:eastAsia="宋体" w:cs="宋体"/>
          <w:b/>
          <w:color w:val="auto"/>
        </w:rPr>
      </w:pPr>
      <w:bookmarkStart w:id="286" w:name="_Toc152042332"/>
      <w:bookmarkStart w:id="287" w:name="_Toc246996200"/>
      <w:bookmarkStart w:id="288" w:name="_Toc246996943"/>
      <w:bookmarkStart w:id="289" w:name="_Toc22194"/>
      <w:bookmarkStart w:id="290" w:name="_Toc152045556"/>
      <w:bookmarkStart w:id="291" w:name="_Toc144974524"/>
      <w:bookmarkStart w:id="292" w:name="_Toc247085714"/>
      <w:bookmarkStart w:id="293" w:name="_Toc179632574"/>
      <w:r>
        <w:rPr>
          <w:rFonts w:hint="eastAsia" w:ascii="宋体" w:hAnsi="宋体" w:eastAsia="宋体" w:cs="宋体"/>
          <w:b/>
          <w:color w:val="auto"/>
        </w:rPr>
        <w:t>4.1投标文件的密封和标记</w:t>
      </w:r>
      <w:bookmarkEnd w:id="286"/>
      <w:bookmarkEnd w:id="287"/>
      <w:bookmarkEnd w:id="288"/>
      <w:bookmarkEnd w:id="289"/>
      <w:bookmarkEnd w:id="290"/>
      <w:bookmarkEnd w:id="291"/>
      <w:bookmarkEnd w:id="292"/>
      <w:bookmarkEnd w:id="293"/>
    </w:p>
    <w:p w14:paraId="3E1096C7">
      <w:pPr>
        <w:autoSpaceDE w:val="0"/>
        <w:autoSpaceDN w:val="0"/>
        <w:adjustRightInd w:val="0"/>
        <w:spacing w:before="60" w:after="60" w:line="360" w:lineRule="auto"/>
        <w:ind w:firstLine="420" w:firstLineChars="200"/>
        <w:jc w:val="left"/>
        <w:rPr>
          <w:rFonts w:ascii="宋体" w:hAnsi="宋体" w:eastAsia="宋体" w:cs="宋体"/>
          <w:color w:val="auto"/>
          <w:szCs w:val="21"/>
        </w:rPr>
      </w:pPr>
      <w:bookmarkStart w:id="294" w:name="_Toc246996201"/>
      <w:bookmarkStart w:id="295" w:name="_Toc152045557"/>
      <w:bookmarkStart w:id="296" w:name="_Toc246996944"/>
      <w:bookmarkStart w:id="297" w:name="_Toc179632575"/>
      <w:bookmarkStart w:id="298" w:name="_Toc144974525"/>
      <w:bookmarkStart w:id="299" w:name="_Toc152042333"/>
      <w:bookmarkStart w:id="300" w:name="_Toc247085715"/>
      <w:bookmarkStart w:id="301" w:name="_Toc20908"/>
      <w:r>
        <w:rPr>
          <w:rFonts w:hint="eastAsia" w:ascii="宋体" w:hAnsi="宋体" w:eastAsia="宋体" w:cs="宋体"/>
          <w:color w:val="auto"/>
        </w:rPr>
        <w:t>4.1.1投标人必须在“投标人须知前附表”规定的投标文件接收时间和投标地点提交电子版投标文件和纸质版投标文件。电子投标文件应在制作完成后，在投标截止时间前通过有效数字证书（CA认证锁）进行电子签章、加密，然后通过网络将加密的电子投标文件递交至“政采云”平台。</w:t>
      </w:r>
    </w:p>
    <w:p w14:paraId="69A88834">
      <w:pPr>
        <w:autoSpaceDE w:val="0"/>
        <w:autoSpaceDN w:val="0"/>
        <w:adjustRightInd w:val="0"/>
        <w:spacing w:before="60" w:after="60"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4.1.2未在规定时间内提交或者未按照采购文件要求密封或者标记的电子投标文件，“政采云”平台将拒收。</w:t>
      </w:r>
    </w:p>
    <w:p w14:paraId="685A200A">
      <w:pPr>
        <w:autoSpaceDE w:val="0"/>
        <w:autoSpaceDN w:val="0"/>
        <w:adjustRightInd w:val="0"/>
        <w:spacing w:before="60" w:after="60"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4.1.3电子版投标文件提交方式见“招标公告”中“四、提交投标文件截止时间、开标时间和地点”。</w:t>
      </w:r>
    </w:p>
    <w:p w14:paraId="3105AC4C">
      <w:pPr>
        <w:spacing w:line="360" w:lineRule="auto"/>
        <w:rPr>
          <w:rFonts w:ascii="宋体" w:hAnsi="宋体" w:eastAsia="宋体" w:cs="宋体"/>
          <w:b/>
          <w:color w:val="auto"/>
        </w:rPr>
      </w:pPr>
      <w:r>
        <w:rPr>
          <w:rFonts w:hint="eastAsia" w:ascii="宋体" w:hAnsi="宋体" w:eastAsia="宋体" w:cs="宋体"/>
          <w:b/>
          <w:color w:val="auto"/>
        </w:rPr>
        <w:t>4.2投标文件的递交</w:t>
      </w:r>
      <w:bookmarkEnd w:id="294"/>
      <w:bookmarkEnd w:id="295"/>
      <w:bookmarkEnd w:id="296"/>
      <w:bookmarkEnd w:id="297"/>
      <w:bookmarkEnd w:id="298"/>
      <w:bookmarkEnd w:id="299"/>
      <w:bookmarkEnd w:id="300"/>
      <w:bookmarkEnd w:id="301"/>
    </w:p>
    <w:p w14:paraId="508EE8D5">
      <w:pPr>
        <w:spacing w:line="360" w:lineRule="auto"/>
        <w:ind w:firstLine="420" w:firstLineChars="200"/>
        <w:rPr>
          <w:rFonts w:ascii="宋体" w:hAnsi="宋体" w:eastAsia="宋体" w:cs="宋体"/>
          <w:color w:val="auto"/>
        </w:rPr>
      </w:pPr>
      <w:bookmarkStart w:id="302" w:name="_Toc152045558"/>
      <w:bookmarkStart w:id="303" w:name="_Toc246996945"/>
      <w:bookmarkStart w:id="304" w:name="_Toc247085716"/>
      <w:bookmarkStart w:id="305" w:name="_Toc144974526"/>
      <w:bookmarkStart w:id="306" w:name="_Toc152042334"/>
      <w:bookmarkStart w:id="307" w:name="_Toc179632576"/>
      <w:bookmarkStart w:id="308" w:name="_Toc246996202"/>
      <w:bookmarkStart w:id="309" w:name="_Toc14410"/>
      <w:r>
        <w:rPr>
          <w:rFonts w:hint="eastAsia" w:ascii="宋体" w:hAnsi="宋体" w:eastAsia="宋体" w:cs="宋体"/>
          <w:color w:val="auto"/>
        </w:rPr>
        <w:t>4.2.1投标人应在投标人须知前附表规定的投标截止时间前递交投标文件。</w:t>
      </w:r>
    </w:p>
    <w:p w14:paraId="35A79C22">
      <w:pPr>
        <w:spacing w:line="360" w:lineRule="auto"/>
        <w:ind w:firstLine="420" w:firstLineChars="200"/>
        <w:rPr>
          <w:rFonts w:ascii="宋体" w:hAnsi="宋体" w:eastAsia="宋体" w:cs="宋体"/>
          <w:color w:val="auto"/>
        </w:rPr>
      </w:pPr>
      <w:r>
        <w:rPr>
          <w:rFonts w:hint="eastAsia" w:ascii="宋体" w:hAnsi="宋体" w:eastAsia="宋体" w:cs="宋体"/>
          <w:color w:val="auto"/>
        </w:rPr>
        <w:t>4.2.2</w:t>
      </w:r>
      <w:r>
        <w:rPr>
          <w:rFonts w:hint="eastAsia" w:ascii="宋体" w:hAnsi="宋体" w:eastAsia="宋体" w:cs="宋体"/>
          <w:bCs/>
          <w:iCs/>
          <w:color w:val="auto"/>
        </w:rPr>
        <w:t>投标人通过下载采购文件的电子招标投标交易平台递交电子投标文件并现场提交纸质文件。</w:t>
      </w:r>
    </w:p>
    <w:p w14:paraId="5354D1B8">
      <w:pPr>
        <w:spacing w:line="360" w:lineRule="auto"/>
        <w:ind w:firstLine="420" w:firstLineChars="200"/>
        <w:rPr>
          <w:rFonts w:ascii="宋体" w:hAnsi="宋体" w:eastAsia="宋体" w:cs="宋体"/>
          <w:color w:val="auto"/>
        </w:rPr>
      </w:pPr>
      <w:r>
        <w:rPr>
          <w:rFonts w:hint="eastAsia" w:ascii="宋体" w:hAnsi="宋体" w:eastAsia="宋体" w:cs="宋体"/>
          <w:color w:val="auto"/>
        </w:rPr>
        <w:t>4.2.3除投标人须知前附表另有规定外，投标人所递交的投标文件不予退还。</w:t>
      </w:r>
    </w:p>
    <w:p w14:paraId="446721B2">
      <w:pPr>
        <w:spacing w:line="360" w:lineRule="auto"/>
        <w:ind w:firstLine="420" w:firstLineChars="200"/>
        <w:rPr>
          <w:rFonts w:ascii="宋体" w:hAnsi="宋体" w:eastAsia="宋体" w:cs="宋体"/>
          <w:color w:val="auto"/>
        </w:rPr>
      </w:pPr>
      <w:r>
        <w:rPr>
          <w:rFonts w:hint="eastAsia" w:ascii="宋体" w:hAnsi="宋体" w:eastAsia="宋体" w:cs="宋体"/>
          <w:color w:val="auto"/>
        </w:rPr>
        <w:t>4.2.4逾期送达的投标文件，采购人将予以拒收。</w:t>
      </w:r>
    </w:p>
    <w:p w14:paraId="35C4327D">
      <w:pPr>
        <w:spacing w:line="360" w:lineRule="auto"/>
        <w:rPr>
          <w:rFonts w:ascii="宋体" w:hAnsi="宋体" w:eastAsia="宋体" w:cs="宋体"/>
          <w:b/>
          <w:color w:val="auto"/>
        </w:rPr>
      </w:pPr>
      <w:r>
        <w:rPr>
          <w:rFonts w:hint="eastAsia" w:ascii="宋体" w:hAnsi="宋体" w:eastAsia="宋体" w:cs="宋体"/>
          <w:b/>
          <w:color w:val="auto"/>
        </w:rPr>
        <w:t>4.3投标文件的修改与撤回</w:t>
      </w:r>
      <w:bookmarkEnd w:id="302"/>
      <w:bookmarkEnd w:id="303"/>
      <w:bookmarkEnd w:id="304"/>
      <w:bookmarkEnd w:id="305"/>
      <w:bookmarkEnd w:id="306"/>
      <w:bookmarkEnd w:id="307"/>
      <w:bookmarkEnd w:id="308"/>
      <w:bookmarkEnd w:id="309"/>
    </w:p>
    <w:p w14:paraId="06C11183">
      <w:pPr>
        <w:spacing w:line="360" w:lineRule="auto"/>
        <w:ind w:firstLine="420" w:firstLineChars="200"/>
        <w:rPr>
          <w:rFonts w:ascii="宋体" w:hAnsi="宋体" w:eastAsia="宋体" w:cs="宋体"/>
          <w:color w:val="auto"/>
        </w:rPr>
      </w:pPr>
      <w:bookmarkStart w:id="310" w:name="_Toc420417626"/>
      <w:bookmarkStart w:id="311" w:name="_Toc246996203"/>
      <w:bookmarkStart w:id="312" w:name="_Toc179632577"/>
      <w:bookmarkStart w:id="313" w:name="_Toc152045559"/>
      <w:bookmarkStart w:id="314" w:name="_Toc357177714"/>
      <w:bookmarkStart w:id="315" w:name="_Toc457839491"/>
      <w:bookmarkStart w:id="316" w:name="_Toc247085717"/>
      <w:bookmarkStart w:id="317" w:name="_Toc67490887"/>
      <w:bookmarkStart w:id="318" w:name="_Toc7254"/>
      <w:bookmarkStart w:id="319" w:name="_Toc152042335"/>
      <w:bookmarkStart w:id="320" w:name="_Toc246996946"/>
      <w:bookmarkStart w:id="321" w:name="_Toc144974527"/>
      <w:bookmarkStart w:id="322" w:name="_Toc23688"/>
      <w:bookmarkStart w:id="323" w:name="_Toc77593388"/>
      <w:bookmarkStart w:id="324" w:name="_Toc4044"/>
      <w:r>
        <w:rPr>
          <w:rFonts w:hint="eastAsia" w:ascii="宋体" w:hAnsi="宋体" w:eastAsia="宋体" w:cs="宋体"/>
          <w:color w:val="auto"/>
        </w:rPr>
        <w:t>4.3.1投标人应当在投标截止时间前完成投标文件的传输及递交，并可以补充、修改或者撤回投标文件。补充或者修改投标文件的，应当先行撤回原文件，补充、修改后重新传输及递交。投标截止时间前未完成传输及递交的，视为撤回投标文件。投标截止时间后传输及递交的投标文件，采购代理机构及“政采云”平台将拒收。</w:t>
      </w:r>
    </w:p>
    <w:p w14:paraId="46710DB3">
      <w:pPr>
        <w:spacing w:line="360" w:lineRule="auto"/>
        <w:ind w:firstLine="420" w:firstLineChars="200"/>
        <w:rPr>
          <w:rFonts w:ascii="宋体" w:hAnsi="宋体" w:eastAsia="宋体" w:cs="宋体"/>
          <w:color w:val="auto"/>
        </w:rPr>
      </w:pPr>
      <w:r>
        <w:rPr>
          <w:rFonts w:hint="eastAsia" w:ascii="宋体" w:hAnsi="宋体" w:eastAsia="宋体" w:cs="宋体"/>
          <w:color w:val="auto"/>
        </w:rPr>
        <w:t>4.3.2“政采云”平台收到投标文件，在投标截止时间前，除投标人补充、修改或者撤回投标文件外，任何单位和个人不得解密或提取投标文件。</w:t>
      </w:r>
    </w:p>
    <w:p w14:paraId="69A89CA6">
      <w:pPr>
        <w:spacing w:line="360" w:lineRule="auto"/>
        <w:ind w:firstLine="420" w:firstLineChars="200"/>
        <w:rPr>
          <w:rFonts w:ascii="宋体" w:hAnsi="宋体" w:eastAsia="宋体" w:cs="宋体"/>
          <w:color w:val="auto"/>
        </w:rPr>
      </w:pPr>
      <w:r>
        <w:rPr>
          <w:rFonts w:hint="eastAsia" w:ascii="宋体" w:hAnsi="宋体" w:eastAsia="宋体" w:cs="宋体"/>
          <w:color w:val="auto"/>
        </w:rPr>
        <w:t>4.3.3在投标截止时间止提交电子版投标文件的投标人不足3家时，电子版投标文件由代理机构在“政采云”平台操作退回，除此之外采购人和采购代理机构对已提交的投标文件概不退回。</w:t>
      </w:r>
    </w:p>
    <w:p w14:paraId="37F40991">
      <w:pPr>
        <w:pStyle w:val="3"/>
        <w:spacing w:line="360" w:lineRule="auto"/>
        <w:jc w:val="center"/>
        <w:rPr>
          <w:rFonts w:ascii="宋体" w:hAnsi="宋体" w:eastAsia="宋体" w:cs="宋体"/>
          <w:color w:val="auto"/>
          <w:sz w:val="21"/>
          <w:szCs w:val="21"/>
        </w:rPr>
      </w:pPr>
      <w:bookmarkStart w:id="325" w:name="_Toc9072"/>
      <w:r>
        <w:rPr>
          <w:rFonts w:hint="eastAsia" w:ascii="宋体" w:hAnsi="宋体" w:eastAsia="宋体" w:cs="宋体"/>
          <w:color w:val="auto"/>
          <w:sz w:val="21"/>
          <w:szCs w:val="21"/>
        </w:rPr>
        <w:t>5.开标</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9A3A964">
      <w:pPr>
        <w:spacing w:line="360" w:lineRule="auto"/>
        <w:rPr>
          <w:rFonts w:ascii="宋体" w:hAnsi="宋体" w:eastAsia="宋体" w:cs="宋体"/>
          <w:b/>
          <w:color w:val="auto"/>
        </w:rPr>
      </w:pPr>
      <w:bookmarkStart w:id="326" w:name="_Toc259125207"/>
      <w:bookmarkStart w:id="327" w:name="_Toc279848103"/>
      <w:bookmarkStart w:id="328" w:name="_Toc201719094"/>
      <w:bookmarkStart w:id="329" w:name="_Toc223345327"/>
      <w:bookmarkStart w:id="330" w:name="_Toc222987499"/>
      <w:bookmarkStart w:id="331" w:name="_Toc222906011"/>
      <w:bookmarkStart w:id="332" w:name="_Toc222900730"/>
      <w:bookmarkStart w:id="333" w:name="_Toc223161293"/>
      <w:bookmarkStart w:id="334" w:name="_Toc259131316"/>
      <w:bookmarkStart w:id="335" w:name="_Toc223580610"/>
      <w:bookmarkStart w:id="336" w:name="_Toc222907607"/>
      <w:bookmarkStart w:id="337" w:name="_Toc223063741"/>
      <w:bookmarkStart w:id="338" w:name="_Toc228014279"/>
      <w:bookmarkStart w:id="339" w:name="_Toc223068466"/>
      <w:bookmarkStart w:id="340" w:name="_Toc222987652"/>
      <w:bookmarkStart w:id="341" w:name="_Toc223256369"/>
      <w:r>
        <w:rPr>
          <w:rFonts w:hint="eastAsia" w:ascii="宋体" w:hAnsi="宋体" w:eastAsia="宋体" w:cs="宋体"/>
          <w:b/>
          <w:color w:val="auto"/>
        </w:rPr>
        <w:t>5.1开标时间和地点</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6BE4471">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采购人在本章投标人须知前附表规定的投标截止时间(开标时间)和地点公开开标，并邀请所有投标人的法定代表人或其委托代理人准时参加。</w:t>
      </w:r>
    </w:p>
    <w:p w14:paraId="1240B26C">
      <w:pPr>
        <w:spacing w:line="360" w:lineRule="auto"/>
        <w:rPr>
          <w:rFonts w:ascii="宋体" w:hAnsi="宋体" w:eastAsia="宋体" w:cs="宋体"/>
          <w:b/>
          <w:color w:val="auto"/>
        </w:rPr>
      </w:pPr>
      <w:bookmarkStart w:id="342" w:name="_Toc144974529"/>
      <w:bookmarkStart w:id="343" w:name="_Toc246996205"/>
      <w:bookmarkStart w:id="344" w:name="_Toc24791"/>
      <w:bookmarkStart w:id="345" w:name="_Toc179632579"/>
      <w:bookmarkStart w:id="346" w:name="_Toc152042337"/>
      <w:bookmarkStart w:id="347" w:name="_Toc247085719"/>
      <w:bookmarkStart w:id="348" w:name="_Toc246996948"/>
      <w:bookmarkStart w:id="349" w:name="_Toc152045561"/>
      <w:r>
        <w:rPr>
          <w:rFonts w:hint="eastAsia" w:ascii="宋体" w:hAnsi="宋体" w:eastAsia="宋体" w:cs="宋体"/>
          <w:b/>
          <w:color w:val="auto"/>
        </w:rPr>
        <w:t>5.2开标程序</w:t>
      </w:r>
      <w:bookmarkEnd w:id="342"/>
      <w:bookmarkEnd w:id="343"/>
      <w:bookmarkEnd w:id="344"/>
      <w:bookmarkEnd w:id="345"/>
      <w:bookmarkEnd w:id="346"/>
      <w:bookmarkEnd w:id="347"/>
      <w:bookmarkEnd w:id="348"/>
      <w:bookmarkEnd w:id="349"/>
    </w:p>
    <w:p w14:paraId="0A275A99">
      <w:pPr>
        <w:autoSpaceDE w:val="0"/>
        <w:autoSpaceDN w:val="0"/>
        <w:adjustRightInd w:val="0"/>
        <w:spacing w:before="60" w:after="60" w:line="360" w:lineRule="auto"/>
        <w:ind w:firstLine="210" w:firstLineChars="100"/>
        <w:jc w:val="left"/>
        <w:rPr>
          <w:rFonts w:ascii="宋体" w:hAnsi="宋体" w:eastAsia="宋体" w:cs="宋体"/>
          <w:color w:val="auto"/>
          <w:szCs w:val="21"/>
        </w:rPr>
      </w:pPr>
      <w:bookmarkStart w:id="350" w:name="_Toc19598"/>
      <w:r>
        <w:rPr>
          <w:rFonts w:hint="eastAsia" w:ascii="宋体" w:hAnsi="宋体" w:eastAsia="宋体" w:cs="宋体"/>
          <w:color w:val="auto"/>
          <w:szCs w:val="21"/>
        </w:rPr>
        <w:t>5.2.1开标形式：</w:t>
      </w:r>
    </w:p>
    <w:p w14:paraId="5CB17FBE">
      <w:pPr>
        <w:autoSpaceDE w:val="0"/>
        <w:autoSpaceDN w:val="0"/>
        <w:adjustRightInd w:val="0"/>
        <w:spacing w:before="60" w:after="60" w:line="360" w:lineRule="auto"/>
        <w:ind w:firstLine="210" w:firstLineChars="100"/>
        <w:jc w:val="left"/>
        <w:rPr>
          <w:rFonts w:ascii="宋体" w:hAnsi="宋体" w:eastAsia="宋体" w:cs="宋体"/>
          <w:color w:val="auto"/>
        </w:rPr>
      </w:pPr>
      <w:r>
        <w:rPr>
          <w:rFonts w:hint="eastAsia" w:ascii="宋体" w:hAnsi="宋体" w:eastAsia="宋体" w:cs="宋体"/>
          <w:color w:val="auto"/>
          <w:szCs w:val="21"/>
        </w:rPr>
        <w:t>（1）见投标人须知前附表：</w:t>
      </w:r>
    </w:p>
    <w:p w14:paraId="5B6C383E">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（2）开标的准备工作由采购代理机构负责落实；</w:t>
      </w:r>
    </w:p>
    <w:p w14:paraId="56737C59">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3）采购代理机构将按照采购文件规定的时间和地点组织开标活动、开启投标文件，所有投标人均应当准时参加。投标人如不参加开标大会的，视同认可开标结果，事后不得对采购相关人员、开标过程和开标结果提出异议，同时投标人因未参加开标而导致投标文件无法按时解密等一切后果由投标人自己承担。</w:t>
      </w:r>
    </w:p>
    <w:p w14:paraId="5BB1E2DF">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5.2.2开标程序：</w:t>
      </w:r>
    </w:p>
    <w:p w14:paraId="5BA2551C">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（1）解密电子投标文件。“政采云”平台按开标时间自动提取所有投标文件。投标人的法定代表人或其委托代理人须按会议主持人要求使用制作投标文件加密时所用的CA锁准时对电子投标文件解密。</w:t>
      </w:r>
    </w:p>
    <w:p w14:paraId="3105AB95">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（2）唱标。投标文件解密结束，按照宣布的开标顺序当众唱标，公布投标人名称、投标报价等内容，并记录在案；</w:t>
      </w:r>
    </w:p>
    <w:p w14:paraId="51C155A8">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（3）采购人代表、监标人、记录人等有关人员在开标记录上签字确认。</w:t>
      </w:r>
    </w:p>
    <w:p w14:paraId="64CC91A4">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4870D4B">
      <w:pPr>
        <w:autoSpaceDE w:val="0"/>
        <w:autoSpaceDN w:val="0"/>
        <w:adjustRightInd w:val="0"/>
        <w:spacing w:before="60" w:after="60" w:line="360" w:lineRule="auto"/>
        <w:ind w:firstLine="210" w:firstLineChars="100"/>
        <w:jc w:val="left"/>
        <w:rPr>
          <w:rFonts w:ascii="宋体" w:hAnsi="宋体" w:eastAsia="宋体" w:cs="宋体"/>
          <w:color w:val="auto"/>
          <w:szCs w:val="21"/>
        </w:rPr>
      </w:pPr>
      <w:r>
        <w:rPr>
          <w:rFonts w:hint="eastAsia" w:ascii="宋体" w:hAnsi="宋体" w:eastAsia="宋体" w:cs="宋体"/>
          <w:color w:val="auto"/>
          <w:szCs w:val="21"/>
        </w:rPr>
        <w:t>（5）开标结束。</w:t>
      </w:r>
    </w:p>
    <w:p w14:paraId="097D14CE">
      <w:pPr>
        <w:adjustRightInd w:val="0"/>
        <w:snapToGrid w:val="0"/>
        <w:spacing w:line="360" w:lineRule="auto"/>
        <w:rPr>
          <w:rFonts w:ascii="宋体" w:hAnsi="宋体" w:eastAsia="宋体" w:cs="宋体"/>
          <w:color w:val="auto"/>
          <w:szCs w:val="21"/>
        </w:rPr>
      </w:pPr>
      <w:r>
        <w:rPr>
          <w:rFonts w:hint="eastAsia" w:ascii="宋体" w:hAnsi="宋体" w:eastAsia="宋体" w:cs="宋体"/>
          <w:color w:val="auto"/>
          <w:szCs w:val="21"/>
        </w:rPr>
        <w:t>特别说明：如遇“政采云”平台电子化开标或评审程序调整的，按调整后执行。</w:t>
      </w:r>
    </w:p>
    <w:p w14:paraId="17702AA0">
      <w:pPr>
        <w:adjustRightInd w:val="0"/>
        <w:snapToGrid w:val="0"/>
        <w:spacing w:line="360" w:lineRule="auto"/>
        <w:rPr>
          <w:rFonts w:ascii="宋体" w:hAnsi="宋体" w:eastAsia="宋体" w:cs="宋体"/>
          <w:b/>
          <w:color w:val="auto"/>
        </w:rPr>
      </w:pPr>
      <w:r>
        <w:rPr>
          <w:rFonts w:hint="eastAsia" w:ascii="宋体" w:hAnsi="宋体" w:eastAsia="宋体" w:cs="宋体"/>
          <w:b/>
          <w:color w:val="auto"/>
        </w:rPr>
        <w:t>5.3开标异议</w:t>
      </w:r>
      <w:bookmarkEnd w:id="350"/>
    </w:p>
    <w:p w14:paraId="1B4A9F73">
      <w:pPr>
        <w:spacing w:line="360" w:lineRule="auto"/>
        <w:ind w:firstLine="359" w:firstLineChars="171"/>
        <w:rPr>
          <w:rFonts w:ascii="宋体" w:hAnsi="宋体" w:eastAsia="宋体" w:cs="宋体"/>
          <w:color w:val="auto"/>
        </w:rPr>
      </w:pPr>
      <w:r>
        <w:rPr>
          <w:rFonts w:hint="eastAsia" w:ascii="宋体" w:hAnsi="宋体" w:eastAsia="宋体" w:cs="宋体"/>
          <w:color w:val="auto"/>
        </w:rPr>
        <w:t>投标人对开标有异议的，应当在开标时当场提出，采购人当场作出答复，并制作记录。</w:t>
      </w:r>
    </w:p>
    <w:p w14:paraId="037BCA31">
      <w:pPr>
        <w:pStyle w:val="3"/>
        <w:spacing w:line="360" w:lineRule="auto"/>
        <w:jc w:val="center"/>
        <w:rPr>
          <w:rFonts w:ascii="宋体" w:hAnsi="宋体" w:eastAsia="宋体" w:cs="宋体"/>
          <w:color w:val="auto"/>
          <w:sz w:val="21"/>
          <w:szCs w:val="21"/>
        </w:rPr>
      </w:pPr>
      <w:bookmarkStart w:id="351" w:name="_Toc28421"/>
      <w:bookmarkStart w:id="352" w:name="_Toc31814"/>
      <w:bookmarkStart w:id="353" w:name="_Toc246996206"/>
      <w:bookmarkStart w:id="354" w:name="_Toc144974530"/>
      <w:bookmarkStart w:id="355" w:name="_Toc152042338"/>
      <w:bookmarkStart w:id="356" w:name="_Toc77593389"/>
      <w:bookmarkStart w:id="357" w:name="_Toc15987"/>
      <w:bookmarkStart w:id="358" w:name="_Toc246996949"/>
      <w:bookmarkStart w:id="359" w:name="_Toc457839492"/>
      <w:bookmarkStart w:id="360" w:name="_Toc152045562"/>
      <w:bookmarkStart w:id="361" w:name="_Toc420417627"/>
      <w:bookmarkStart w:id="362" w:name="_Toc179632580"/>
      <w:bookmarkStart w:id="363" w:name="_Toc247085720"/>
      <w:bookmarkStart w:id="364" w:name="_Toc67490888"/>
      <w:bookmarkStart w:id="365" w:name="_Toc21164"/>
      <w:bookmarkStart w:id="366" w:name="_Toc357177715"/>
      <w:r>
        <w:rPr>
          <w:rFonts w:hint="eastAsia" w:ascii="宋体" w:hAnsi="宋体" w:eastAsia="宋体" w:cs="宋体"/>
          <w:color w:val="auto"/>
          <w:sz w:val="21"/>
          <w:szCs w:val="21"/>
        </w:rPr>
        <w:t>6.评标</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F1B2BA1">
      <w:pPr>
        <w:spacing w:line="360" w:lineRule="auto"/>
        <w:rPr>
          <w:rFonts w:ascii="宋体" w:hAnsi="宋体" w:eastAsia="宋体" w:cs="宋体"/>
          <w:b/>
          <w:color w:val="auto"/>
        </w:rPr>
      </w:pPr>
      <w:bookmarkStart w:id="367" w:name="_Toc152045563"/>
      <w:bookmarkStart w:id="368" w:name="_Toc246996207"/>
      <w:bookmarkStart w:id="369" w:name="_Toc246996950"/>
      <w:bookmarkStart w:id="370" w:name="_Toc152042339"/>
      <w:bookmarkStart w:id="371" w:name="_Toc247085721"/>
      <w:bookmarkStart w:id="372" w:name="_Toc179632581"/>
      <w:bookmarkStart w:id="373" w:name="_Toc18861"/>
      <w:bookmarkStart w:id="374" w:name="_Toc144974531"/>
      <w:r>
        <w:rPr>
          <w:rFonts w:hint="eastAsia" w:ascii="宋体" w:hAnsi="宋体" w:eastAsia="宋体" w:cs="宋体"/>
          <w:b/>
          <w:color w:val="auto"/>
        </w:rPr>
        <w:t>6.1评标委员会</w:t>
      </w:r>
      <w:bookmarkEnd w:id="367"/>
      <w:bookmarkEnd w:id="368"/>
      <w:bookmarkEnd w:id="369"/>
      <w:bookmarkEnd w:id="370"/>
      <w:bookmarkEnd w:id="371"/>
      <w:bookmarkEnd w:id="372"/>
      <w:bookmarkEnd w:id="373"/>
      <w:bookmarkEnd w:id="374"/>
    </w:p>
    <w:p w14:paraId="2731D858">
      <w:pPr>
        <w:spacing w:line="360" w:lineRule="auto"/>
        <w:ind w:firstLine="420" w:firstLineChars="200"/>
        <w:rPr>
          <w:rFonts w:ascii="宋体" w:hAnsi="宋体" w:eastAsia="宋体" w:cs="宋体"/>
          <w:color w:val="auto"/>
        </w:rPr>
      </w:pPr>
      <w:r>
        <w:rPr>
          <w:rFonts w:hint="eastAsia" w:ascii="宋体" w:hAnsi="宋体" w:eastAsia="宋体" w:cs="宋体"/>
          <w:color w:val="auto"/>
        </w:rPr>
        <w:t>6.1.1评标由采购人依法组建的评标委员会负责。评标委员会由有关技术、经济等方面的专家组成。评标委员会成员人数以及技术、经济等方面专家的确定方式见投标人须知前附表。</w:t>
      </w:r>
    </w:p>
    <w:p w14:paraId="08A9D991">
      <w:pPr>
        <w:spacing w:line="360" w:lineRule="auto"/>
        <w:ind w:firstLine="420" w:firstLineChars="200"/>
        <w:rPr>
          <w:rFonts w:ascii="宋体" w:hAnsi="宋体" w:eastAsia="宋体" w:cs="宋体"/>
          <w:color w:val="auto"/>
        </w:rPr>
      </w:pPr>
      <w:r>
        <w:rPr>
          <w:rFonts w:hint="eastAsia" w:ascii="宋体" w:hAnsi="宋体" w:eastAsia="宋体" w:cs="宋体"/>
          <w:color w:val="auto"/>
        </w:rPr>
        <w:t>6.1.2评标委员会成员有下列情形之一的，应当回避：</w:t>
      </w:r>
    </w:p>
    <w:p w14:paraId="14D302C4">
      <w:pPr>
        <w:spacing w:line="360" w:lineRule="auto"/>
        <w:ind w:firstLine="359" w:firstLineChars="171"/>
        <w:rPr>
          <w:rFonts w:ascii="宋体" w:hAnsi="宋体" w:eastAsia="宋体" w:cs="宋体"/>
          <w:color w:val="auto"/>
        </w:rPr>
      </w:pPr>
      <w:r>
        <w:rPr>
          <w:rFonts w:hint="eastAsia" w:ascii="宋体" w:hAnsi="宋体" w:eastAsia="宋体" w:cs="宋体"/>
          <w:color w:val="auto"/>
        </w:rPr>
        <w:t>（1）投标人或投标人主要负责人的近亲属；</w:t>
      </w:r>
    </w:p>
    <w:p w14:paraId="61F98E2D">
      <w:pPr>
        <w:spacing w:line="360" w:lineRule="auto"/>
        <w:ind w:firstLine="359" w:firstLineChars="171"/>
        <w:rPr>
          <w:rFonts w:ascii="宋体" w:hAnsi="宋体" w:eastAsia="宋体" w:cs="宋体"/>
          <w:color w:val="auto"/>
        </w:rPr>
      </w:pPr>
      <w:r>
        <w:rPr>
          <w:rFonts w:hint="eastAsia" w:ascii="宋体" w:hAnsi="宋体" w:eastAsia="宋体" w:cs="宋体"/>
          <w:color w:val="auto"/>
        </w:rPr>
        <w:t>（2）项目主管部门或者行政监督部门的人员；</w:t>
      </w:r>
    </w:p>
    <w:p w14:paraId="6BCE4989">
      <w:pPr>
        <w:spacing w:line="360" w:lineRule="auto"/>
        <w:ind w:firstLine="359" w:firstLineChars="171"/>
        <w:rPr>
          <w:rFonts w:ascii="宋体" w:hAnsi="宋体" w:eastAsia="宋体" w:cs="宋体"/>
          <w:color w:val="auto"/>
        </w:rPr>
      </w:pPr>
      <w:r>
        <w:rPr>
          <w:rFonts w:hint="eastAsia" w:ascii="宋体" w:hAnsi="宋体" w:eastAsia="宋体" w:cs="宋体"/>
          <w:color w:val="auto"/>
        </w:rPr>
        <w:t>（3）与投标人有经济利益关系；</w:t>
      </w:r>
    </w:p>
    <w:p w14:paraId="12912A42">
      <w:pPr>
        <w:spacing w:line="360" w:lineRule="auto"/>
        <w:ind w:firstLine="359" w:firstLineChars="171"/>
        <w:rPr>
          <w:rFonts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14:paraId="029B5C6E">
      <w:pPr>
        <w:spacing w:line="360" w:lineRule="auto"/>
        <w:ind w:firstLine="359" w:firstLineChars="171"/>
        <w:rPr>
          <w:rFonts w:ascii="宋体" w:hAnsi="宋体" w:eastAsia="宋体" w:cs="宋体"/>
          <w:color w:val="auto"/>
        </w:rPr>
      </w:pPr>
      <w:r>
        <w:rPr>
          <w:rFonts w:hint="eastAsia" w:ascii="宋体" w:hAnsi="宋体" w:eastAsia="宋体" w:cs="宋体"/>
          <w:color w:val="auto"/>
        </w:rPr>
        <w:t>（5）与投标人有其他利害关系。</w:t>
      </w:r>
    </w:p>
    <w:p w14:paraId="2033D78E">
      <w:pPr>
        <w:spacing w:line="360" w:lineRule="auto"/>
        <w:rPr>
          <w:rFonts w:ascii="宋体" w:hAnsi="宋体" w:eastAsia="宋体" w:cs="宋体"/>
          <w:b/>
          <w:color w:val="auto"/>
        </w:rPr>
      </w:pPr>
      <w:bookmarkStart w:id="375" w:name="_Toc144974532"/>
      <w:bookmarkStart w:id="376" w:name="_Toc179632582"/>
      <w:bookmarkStart w:id="377" w:name="_Toc246996208"/>
      <w:bookmarkStart w:id="378" w:name="_Toc246996951"/>
      <w:bookmarkStart w:id="379" w:name="_Toc152045564"/>
      <w:bookmarkStart w:id="380" w:name="_Toc876"/>
      <w:bookmarkStart w:id="381" w:name="_Toc247085722"/>
      <w:bookmarkStart w:id="382" w:name="_Toc152042340"/>
      <w:r>
        <w:rPr>
          <w:rFonts w:hint="eastAsia" w:ascii="宋体" w:hAnsi="宋体" w:eastAsia="宋体" w:cs="宋体"/>
          <w:b/>
          <w:color w:val="auto"/>
        </w:rPr>
        <w:t>6.2评标原则</w:t>
      </w:r>
      <w:bookmarkEnd w:id="375"/>
      <w:bookmarkEnd w:id="376"/>
      <w:bookmarkEnd w:id="377"/>
      <w:bookmarkEnd w:id="378"/>
      <w:bookmarkEnd w:id="379"/>
      <w:bookmarkEnd w:id="380"/>
      <w:bookmarkEnd w:id="381"/>
      <w:bookmarkEnd w:id="382"/>
    </w:p>
    <w:p w14:paraId="0165C10A">
      <w:pPr>
        <w:autoSpaceDE w:val="0"/>
        <w:autoSpaceDN w:val="0"/>
        <w:adjustRightInd w:val="0"/>
        <w:spacing w:line="360" w:lineRule="auto"/>
        <w:ind w:firstLine="420" w:firstLineChars="200"/>
        <w:jc w:val="left"/>
        <w:rPr>
          <w:rFonts w:ascii="宋体" w:hAnsi="宋体" w:eastAsia="宋体" w:cs="宋体"/>
          <w:color w:val="auto"/>
          <w:kern w:val="0"/>
          <w:szCs w:val="21"/>
        </w:rPr>
      </w:pPr>
      <w:bookmarkStart w:id="383" w:name="_Toc179632583"/>
      <w:bookmarkStart w:id="384" w:name="_Toc2428"/>
      <w:bookmarkStart w:id="385" w:name="_Toc246996209"/>
      <w:bookmarkStart w:id="386" w:name="_Toc152045565"/>
      <w:bookmarkStart w:id="387" w:name="_Toc152042341"/>
      <w:bookmarkStart w:id="388" w:name="_Toc144974533"/>
      <w:bookmarkStart w:id="389" w:name="_Toc247085723"/>
      <w:bookmarkStart w:id="390" w:name="_Toc246996952"/>
      <w:r>
        <w:rPr>
          <w:rFonts w:hint="eastAsia" w:ascii="宋体" w:hAnsi="宋体" w:eastAsia="宋体" w:cs="宋体"/>
          <w:color w:val="auto"/>
          <w:kern w:val="0"/>
          <w:szCs w:val="21"/>
        </w:rPr>
        <w:t>6.2.1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E4D28E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6.2.2评委表决。在评标过程中出现法律法规和采购文件均没有明确规定的情形时，由评标委员会现场协商解决，协商不一致的，由全体评委投票表决，以得票率三分之二以上专家的意见为准并由采购代理机构做记录。</w:t>
      </w:r>
      <w:bookmarkStart w:id="391" w:name="_28.3评标方法。本项目将按须知前附表规定的评标办法进行评标，具体评标"/>
      <w:bookmarkEnd w:id="391"/>
    </w:p>
    <w:p w14:paraId="3866FEC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6.2.3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BA50874">
      <w:pPr>
        <w:spacing w:line="360" w:lineRule="auto"/>
        <w:rPr>
          <w:rFonts w:ascii="宋体" w:hAnsi="宋体" w:eastAsia="宋体" w:cs="宋体"/>
          <w:b/>
          <w:color w:val="auto"/>
        </w:rPr>
      </w:pPr>
      <w:r>
        <w:rPr>
          <w:rFonts w:hint="eastAsia" w:ascii="宋体" w:hAnsi="宋体" w:eastAsia="宋体" w:cs="宋体"/>
          <w:b/>
          <w:color w:val="auto"/>
        </w:rPr>
        <w:t>6.3评标</w:t>
      </w:r>
      <w:bookmarkEnd w:id="383"/>
      <w:bookmarkEnd w:id="384"/>
      <w:bookmarkEnd w:id="385"/>
      <w:bookmarkEnd w:id="386"/>
      <w:bookmarkEnd w:id="387"/>
      <w:bookmarkEnd w:id="388"/>
      <w:bookmarkEnd w:id="389"/>
      <w:bookmarkEnd w:id="390"/>
    </w:p>
    <w:p w14:paraId="3E243BD9">
      <w:pPr>
        <w:autoSpaceDE w:val="0"/>
        <w:autoSpaceDN w:val="0"/>
        <w:adjustRightInd w:val="0"/>
        <w:spacing w:line="360" w:lineRule="auto"/>
        <w:ind w:firstLine="420" w:firstLineChars="200"/>
        <w:jc w:val="left"/>
        <w:rPr>
          <w:rFonts w:ascii="宋体" w:hAnsi="宋体" w:eastAsia="宋体" w:cs="宋体"/>
          <w:color w:val="auto"/>
          <w:kern w:val="0"/>
          <w:szCs w:val="21"/>
        </w:rPr>
      </w:pPr>
      <w:bookmarkStart w:id="392" w:name="_Toc25994"/>
      <w:bookmarkStart w:id="393" w:name="_Toc357177716"/>
      <w:bookmarkStart w:id="394" w:name="_Toc246996210"/>
      <w:bookmarkStart w:id="395" w:name="_Toc247085724"/>
      <w:bookmarkStart w:id="396" w:name="_Toc144974534"/>
      <w:bookmarkStart w:id="397" w:name="_Toc77593390"/>
      <w:bookmarkStart w:id="398" w:name="_Toc5312"/>
      <w:bookmarkStart w:id="399" w:name="_Toc246996953"/>
      <w:bookmarkStart w:id="400" w:name="_Toc457839493"/>
      <w:bookmarkStart w:id="401" w:name="_Toc152045566"/>
      <w:bookmarkStart w:id="402" w:name="_Toc4214"/>
      <w:bookmarkStart w:id="403" w:name="_Toc152042342"/>
      <w:bookmarkStart w:id="404" w:name="_Toc420417628"/>
      <w:bookmarkStart w:id="405" w:name="_Toc179632584"/>
      <w:bookmarkStart w:id="406" w:name="_Toc67490889"/>
      <w:r>
        <w:rPr>
          <w:rFonts w:hint="eastAsia" w:ascii="宋体" w:hAnsi="宋体" w:eastAsia="宋体" w:cs="宋体"/>
          <w:color w:val="auto"/>
          <w:kern w:val="0"/>
          <w:szCs w:val="21"/>
        </w:rPr>
        <w:t>6.3.1本项目的评标方法详见“投标人须知前附表”。</w:t>
      </w:r>
    </w:p>
    <w:p w14:paraId="28623A6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6.3.2评标委员会按照“第三章评标办法”规定的方法、评审因素、标准和程序对投标文件进行评审。</w:t>
      </w:r>
    </w:p>
    <w:p w14:paraId="1641B80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6.3.3电子交易活动的中止。采购过程中出现以下情形，导致电子交易平台无法正常运行，或者无法保证电子交易的公平、公正和安全时，采购机构可中止电子交易活动：</w:t>
      </w:r>
    </w:p>
    <w:p w14:paraId="11DD59A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（1）电子交易平台发生故障而无法登录访问的；</w:t>
      </w:r>
    </w:p>
    <w:p w14:paraId="5B1B23B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（2）电子交易平台应用或数据库出现错误，不能进行正常操作的；</w:t>
      </w:r>
    </w:p>
    <w:p w14:paraId="1D4EB52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（3）电子交易平台发现严重安全漏洞，有潜在泄密危险的；</w:t>
      </w:r>
    </w:p>
    <w:p w14:paraId="1C4290A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（4）病毒发作导致不能进行正常操作的；</w:t>
      </w:r>
    </w:p>
    <w:p w14:paraId="33B979D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（4）其他无法保证电子交易的公平、公正和安全的情况。</w:t>
      </w:r>
    </w:p>
    <w:p w14:paraId="5AD041C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6.3.4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5A892B2">
      <w:pPr>
        <w:pStyle w:val="3"/>
        <w:spacing w:line="360" w:lineRule="auto"/>
        <w:jc w:val="center"/>
        <w:rPr>
          <w:rFonts w:ascii="宋体" w:hAnsi="宋体" w:eastAsia="宋体" w:cs="宋体"/>
          <w:color w:val="auto"/>
          <w:sz w:val="21"/>
          <w:szCs w:val="21"/>
        </w:rPr>
      </w:pPr>
      <w:bookmarkStart w:id="407" w:name="_Toc7297"/>
      <w:r>
        <w:rPr>
          <w:rFonts w:hint="eastAsia" w:ascii="宋体" w:hAnsi="宋体" w:eastAsia="宋体" w:cs="宋体"/>
          <w:color w:val="auto"/>
          <w:sz w:val="21"/>
          <w:szCs w:val="21"/>
        </w:rPr>
        <w:t>7.合同授予</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2E027ADB">
      <w:pPr>
        <w:spacing w:line="360" w:lineRule="auto"/>
        <w:rPr>
          <w:rFonts w:ascii="宋体" w:hAnsi="宋体" w:eastAsia="宋体" w:cs="宋体"/>
          <w:b/>
          <w:color w:val="auto"/>
        </w:rPr>
      </w:pPr>
      <w:bookmarkStart w:id="408" w:name="_Toc152042343"/>
      <w:bookmarkStart w:id="409" w:name="_Toc144974535"/>
      <w:bookmarkStart w:id="410" w:name="_Toc152045567"/>
      <w:bookmarkStart w:id="411" w:name="_Toc247085725"/>
      <w:bookmarkStart w:id="412" w:name="_Toc246996954"/>
      <w:bookmarkStart w:id="413" w:name="_Toc179632585"/>
      <w:bookmarkStart w:id="414" w:name="_Toc24525"/>
      <w:bookmarkStart w:id="415" w:name="_Toc246996211"/>
      <w:r>
        <w:rPr>
          <w:rFonts w:hint="eastAsia" w:ascii="宋体" w:hAnsi="宋体" w:eastAsia="宋体" w:cs="宋体"/>
          <w:b/>
          <w:color w:val="auto"/>
        </w:rPr>
        <w:t>7.1定标方式</w:t>
      </w:r>
      <w:bookmarkEnd w:id="408"/>
      <w:bookmarkEnd w:id="409"/>
      <w:bookmarkEnd w:id="410"/>
      <w:bookmarkEnd w:id="411"/>
      <w:bookmarkEnd w:id="412"/>
      <w:bookmarkEnd w:id="413"/>
      <w:bookmarkEnd w:id="414"/>
      <w:bookmarkEnd w:id="415"/>
    </w:p>
    <w:p w14:paraId="342567A4">
      <w:pPr>
        <w:spacing w:line="360" w:lineRule="auto"/>
        <w:ind w:firstLine="420" w:firstLineChars="200"/>
        <w:rPr>
          <w:rFonts w:ascii="宋体" w:hAnsi="宋体" w:eastAsia="宋体" w:cs="宋体"/>
          <w:color w:val="auto"/>
        </w:rPr>
      </w:pPr>
      <w:r>
        <w:rPr>
          <w:rFonts w:hint="eastAsia" w:ascii="宋体" w:hAnsi="宋体" w:eastAsia="宋体" w:cs="宋体"/>
          <w:color w:val="auto"/>
        </w:rPr>
        <w:t>除投标人须知前附表规定评标委员会直接确定中标人外，采购人依据评标委员会推荐的候选人确定中标人，评标委员会推荐候选人的人数见投标人须知前附表。</w:t>
      </w:r>
    </w:p>
    <w:p w14:paraId="44ECA872">
      <w:pPr>
        <w:spacing w:line="360" w:lineRule="auto"/>
        <w:rPr>
          <w:rFonts w:ascii="宋体" w:hAnsi="宋体" w:eastAsia="宋体" w:cs="宋体"/>
          <w:b/>
          <w:color w:val="auto"/>
        </w:rPr>
      </w:pPr>
      <w:bookmarkStart w:id="416" w:name="_Toc18882"/>
      <w:r>
        <w:rPr>
          <w:rFonts w:hint="eastAsia" w:ascii="宋体" w:hAnsi="宋体" w:eastAsia="宋体" w:cs="宋体"/>
          <w:b/>
          <w:color w:val="auto"/>
        </w:rPr>
        <w:t>7.2中标</w:t>
      </w:r>
      <w:bookmarkEnd w:id="416"/>
      <w:r>
        <w:rPr>
          <w:rFonts w:hint="eastAsia" w:ascii="宋体" w:hAnsi="宋体" w:eastAsia="宋体" w:cs="宋体"/>
          <w:b/>
          <w:color w:val="auto"/>
        </w:rPr>
        <w:t>结果公告</w:t>
      </w:r>
    </w:p>
    <w:p w14:paraId="3A873FE9">
      <w:pPr>
        <w:spacing w:line="360" w:lineRule="auto"/>
        <w:ind w:firstLine="420" w:firstLineChars="200"/>
        <w:rPr>
          <w:rFonts w:ascii="宋体" w:hAnsi="宋体" w:eastAsia="宋体" w:cs="宋体"/>
          <w:color w:val="auto"/>
        </w:rPr>
      </w:pPr>
      <w:r>
        <w:rPr>
          <w:rFonts w:hint="eastAsia" w:ascii="宋体" w:hAnsi="宋体" w:eastAsia="宋体" w:cs="宋体"/>
          <w:color w:val="auto"/>
        </w:rPr>
        <w:t>采购人在投标人须知前附表规定的媒介公告中标结果。</w:t>
      </w:r>
    </w:p>
    <w:p w14:paraId="706A06CB">
      <w:pPr>
        <w:spacing w:line="360" w:lineRule="auto"/>
        <w:rPr>
          <w:rFonts w:ascii="宋体" w:hAnsi="宋体" w:eastAsia="宋体" w:cs="宋体"/>
          <w:b/>
          <w:color w:val="auto"/>
        </w:rPr>
      </w:pPr>
      <w:bookmarkStart w:id="417" w:name="_Toc247085726"/>
      <w:bookmarkStart w:id="418" w:name="_Toc13720"/>
      <w:bookmarkStart w:id="419" w:name="_Toc144974536"/>
      <w:bookmarkStart w:id="420" w:name="_Toc179632586"/>
      <w:bookmarkStart w:id="421" w:name="_Toc246996955"/>
      <w:bookmarkStart w:id="422" w:name="_Toc246996212"/>
      <w:bookmarkStart w:id="423" w:name="_Toc152045568"/>
      <w:bookmarkStart w:id="424" w:name="_Toc152042344"/>
      <w:r>
        <w:rPr>
          <w:rFonts w:hint="eastAsia" w:ascii="宋体" w:hAnsi="宋体" w:eastAsia="宋体" w:cs="宋体"/>
          <w:b/>
          <w:color w:val="auto"/>
        </w:rPr>
        <w:t>7.3中标通知</w:t>
      </w:r>
      <w:bookmarkEnd w:id="417"/>
      <w:bookmarkEnd w:id="418"/>
      <w:bookmarkEnd w:id="419"/>
      <w:bookmarkEnd w:id="420"/>
      <w:bookmarkEnd w:id="421"/>
      <w:bookmarkEnd w:id="422"/>
      <w:bookmarkEnd w:id="423"/>
      <w:bookmarkEnd w:id="424"/>
    </w:p>
    <w:p w14:paraId="26A8A96A">
      <w:pPr>
        <w:spacing w:line="360" w:lineRule="auto"/>
        <w:ind w:firstLine="420" w:firstLineChars="200"/>
        <w:rPr>
          <w:rFonts w:ascii="宋体" w:hAnsi="宋体" w:eastAsia="宋体" w:cs="宋体"/>
          <w:color w:val="auto"/>
        </w:rPr>
      </w:pPr>
      <w:r>
        <w:rPr>
          <w:rFonts w:hint="eastAsia" w:ascii="宋体" w:hAnsi="宋体" w:eastAsia="宋体" w:cs="宋体"/>
          <w:color w:val="auto"/>
        </w:rPr>
        <w:t>在本章第3.3款规定的投标有效期内，采购人以书面形式向中标人发出中标通知书，同时将中标结果通知未中标的投标人。</w:t>
      </w:r>
    </w:p>
    <w:p w14:paraId="1EBD204B">
      <w:pPr>
        <w:spacing w:line="360" w:lineRule="auto"/>
        <w:rPr>
          <w:rFonts w:ascii="宋体" w:hAnsi="宋体" w:eastAsia="宋体" w:cs="宋体"/>
          <w:b/>
          <w:color w:val="auto"/>
        </w:rPr>
      </w:pPr>
      <w:bookmarkStart w:id="425" w:name="_Toc152045570"/>
      <w:bookmarkStart w:id="426" w:name="_Toc179632588"/>
      <w:bookmarkStart w:id="427" w:name="_Toc1739"/>
      <w:bookmarkStart w:id="428" w:name="_Toc246996957"/>
      <w:bookmarkStart w:id="429" w:name="_Toc152042346"/>
      <w:bookmarkStart w:id="430" w:name="_Toc247085728"/>
      <w:bookmarkStart w:id="431" w:name="_Toc246996214"/>
      <w:bookmarkStart w:id="432" w:name="_Toc144974538"/>
      <w:r>
        <w:rPr>
          <w:rFonts w:hint="eastAsia" w:ascii="宋体" w:hAnsi="宋体" w:eastAsia="宋体" w:cs="宋体"/>
          <w:b/>
          <w:color w:val="auto"/>
        </w:rPr>
        <w:t>7.4</w:t>
      </w:r>
      <w:bookmarkEnd w:id="425"/>
      <w:bookmarkEnd w:id="426"/>
      <w:bookmarkEnd w:id="427"/>
      <w:bookmarkEnd w:id="428"/>
      <w:bookmarkEnd w:id="429"/>
      <w:bookmarkEnd w:id="430"/>
      <w:bookmarkEnd w:id="431"/>
      <w:bookmarkEnd w:id="432"/>
      <w:r>
        <w:rPr>
          <w:rFonts w:hint="eastAsia" w:ascii="宋体" w:hAnsi="宋体" w:eastAsia="宋体" w:cs="宋体"/>
          <w:b/>
          <w:color w:val="auto"/>
        </w:rPr>
        <w:t>签订合同</w:t>
      </w:r>
    </w:p>
    <w:p w14:paraId="16DD8480">
      <w:pPr>
        <w:spacing w:line="360" w:lineRule="auto"/>
        <w:ind w:firstLine="420" w:firstLineChars="200"/>
        <w:rPr>
          <w:rFonts w:ascii="宋体" w:hAnsi="宋体" w:eastAsia="宋体" w:cs="宋体"/>
          <w:color w:val="auto"/>
        </w:rPr>
      </w:pPr>
      <w:r>
        <w:rPr>
          <w:rFonts w:hint="eastAsia" w:ascii="宋体" w:hAnsi="宋体" w:eastAsia="宋体" w:cs="宋体"/>
          <w:color w:val="auto"/>
        </w:rPr>
        <w:t>7.4.1采购人和中标人应当自中标通知书发出之日起30天内，根据采购文件和中标人的投标文件订立书面合同。中标人无正当理由拒签合同的，采购人取消其中标资格；给采购人造成的损失的，中标人还应当予以赔偿。</w:t>
      </w:r>
    </w:p>
    <w:p w14:paraId="71E2DFEB">
      <w:pPr>
        <w:spacing w:line="360" w:lineRule="auto"/>
        <w:rPr>
          <w:rFonts w:ascii="宋体" w:hAnsi="宋体" w:eastAsia="宋体" w:cs="宋体"/>
          <w:b/>
          <w:color w:val="auto"/>
          <w:szCs w:val="22"/>
        </w:rPr>
      </w:pPr>
      <w:r>
        <w:rPr>
          <w:rFonts w:hint="eastAsia" w:ascii="宋体" w:hAnsi="宋体" w:eastAsia="宋体" w:cs="宋体"/>
          <w:b/>
          <w:color w:val="auto"/>
          <w:szCs w:val="22"/>
        </w:rPr>
        <w:t>7.5履约担保</w:t>
      </w:r>
    </w:p>
    <w:p w14:paraId="10F8487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2"/>
        </w:rPr>
        <w:t>7.5.1</w:t>
      </w:r>
      <w:r>
        <w:rPr>
          <w:rFonts w:hint="eastAsia" w:ascii="宋体" w:hAnsi="宋体" w:eastAsia="宋体" w:cs="宋体"/>
          <w:color w:val="auto"/>
          <w:kern w:val="0"/>
          <w:szCs w:val="21"/>
        </w:rPr>
        <w:t>在签订合同前，中标人应按投标人须知前附表规定的担保形式和采购文件第四章“合同条款及格式”规定的或者事先经过采购人书面认可的履约担保格式向采购人提交履约担保。除投标人须知前附表另有规定外。</w:t>
      </w:r>
    </w:p>
    <w:p w14:paraId="428EA716">
      <w:pPr>
        <w:spacing w:line="360" w:lineRule="auto"/>
        <w:ind w:firstLine="420" w:firstLineChars="200"/>
        <w:rPr>
          <w:rFonts w:ascii="宋体" w:hAnsi="宋体" w:eastAsia="宋体" w:cs="宋体"/>
          <w:color w:val="auto"/>
          <w:szCs w:val="22"/>
        </w:rPr>
      </w:pPr>
      <w:r>
        <w:rPr>
          <w:rFonts w:hint="eastAsia" w:ascii="宋体" w:hAnsi="宋体" w:eastAsia="宋体" w:cs="宋体"/>
          <w:color w:val="auto"/>
          <w:szCs w:val="22"/>
        </w:rPr>
        <w:t>7.5.2中标人不能按本章第7.5项要求提交履约担保的，视为放弃中标，给采购人造成的损失的，中标人还应当予以赔偿。</w:t>
      </w:r>
    </w:p>
    <w:p w14:paraId="216CEC5B">
      <w:pPr>
        <w:pStyle w:val="3"/>
        <w:spacing w:line="360" w:lineRule="auto"/>
        <w:jc w:val="center"/>
        <w:rPr>
          <w:rFonts w:ascii="宋体" w:hAnsi="宋体" w:eastAsia="宋体" w:cs="宋体"/>
          <w:color w:val="auto"/>
          <w:sz w:val="21"/>
          <w:szCs w:val="21"/>
        </w:rPr>
      </w:pPr>
      <w:bookmarkStart w:id="433" w:name="_Toc19853"/>
      <w:bookmarkStart w:id="434" w:name="_Toc457839494"/>
      <w:bookmarkStart w:id="435" w:name="_Toc24470"/>
      <w:bookmarkStart w:id="436" w:name="_Toc2265"/>
      <w:bookmarkStart w:id="437" w:name="_Toc420417629"/>
      <w:bookmarkStart w:id="438" w:name="_Toc357177717"/>
      <w:bookmarkStart w:id="439" w:name="_Toc67490890"/>
      <w:bookmarkStart w:id="440" w:name="_Toc77593391"/>
      <w:bookmarkStart w:id="441" w:name="_Toc31730"/>
      <w:r>
        <w:rPr>
          <w:rFonts w:hint="eastAsia" w:ascii="宋体" w:hAnsi="宋体" w:eastAsia="宋体" w:cs="宋体"/>
          <w:color w:val="auto"/>
          <w:sz w:val="21"/>
          <w:szCs w:val="21"/>
        </w:rPr>
        <w:t>8.纪律和监督</w:t>
      </w:r>
      <w:bookmarkEnd w:id="433"/>
      <w:bookmarkEnd w:id="434"/>
      <w:bookmarkEnd w:id="435"/>
      <w:bookmarkEnd w:id="436"/>
      <w:bookmarkEnd w:id="437"/>
      <w:bookmarkEnd w:id="438"/>
      <w:bookmarkEnd w:id="439"/>
      <w:bookmarkEnd w:id="440"/>
      <w:bookmarkEnd w:id="441"/>
    </w:p>
    <w:p w14:paraId="460554F6">
      <w:pPr>
        <w:spacing w:line="360" w:lineRule="auto"/>
        <w:rPr>
          <w:rFonts w:ascii="宋体" w:hAnsi="宋体" w:eastAsia="宋体" w:cs="宋体"/>
          <w:b/>
          <w:color w:val="auto"/>
        </w:rPr>
      </w:pPr>
      <w:bookmarkStart w:id="442" w:name="_Toc246996962"/>
      <w:bookmarkStart w:id="443" w:name="_Toc29583"/>
      <w:bookmarkStart w:id="444" w:name="_Toc247085733"/>
      <w:bookmarkStart w:id="445" w:name="_Toc152045575"/>
      <w:bookmarkStart w:id="446" w:name="_Toc144974543"/>
      <w:bookmarkStart w:id="447" w:name="_Toc152042351"/>
      <w:bookmarkStart w:id="448" w:name="_Toc296590983"/>
      <w:bookmarkStart w:id="449" w:name="_Toc179632593"/>
      <w:bookmarkStart w:id="450" w:name="_Toc246996219"/>
      <w:r>
        <w:rPr>
          <w:rFonts w:hint="eastAsia" w:ascii="宋体" w:hAnsi="宋体" w:eastAsia="宋体" w:cs="宋体"/>
          <w:b/>
          <w:color w:val="auto"/>
        </w:rPr>
        <w:t>8.1对采购人的纪律要求</w:t>
      </w:r>
      <w:bookmarkEnd w:id="442"/>
      <w:bookmarkEnd w:id="443"/>
      <w:bookmarkEnd w:id="444"/>
      <w:bookmarkEnd w:id="445"/>
      <w:bookmarkEnd w:id="446"/>
      <w:bookmarkEnd w:id="447"/>
      <w:bookmarkEnd w:id="448"/>
      <w:bookmarkEnd w:id="449"/>
      <w:bookmarkEnd w:id="450"/>
    </w:p>
    <w:p w14:paraId="6775A32D">
      <w:pPr>
        <w:spacing w:line="360" w:lineRule="auto"/>
        <w:ind w:firstLine="420" w:firstLineChars="200"/>
        <w:rPr>
          <w:rFonts w:ascii="宋体" w:hAnsi="宋体" w:eastAsia="宋体" w:cs="宋体"/>
          <w:color w:val="auto"/>
        </w:rPr>
      </w:pPr>
      <w:r>
        <w:rPr>
          <w:rFonts w:hint="eastAsia" w:ascii="宋体" w:hAnsi="宋体" w:eastAsia="宋体" w:cs="宋体"/>
          <w:color w:val="auto"/>
        </w:rPr>
        <w:t>采购人不得泄露招标投标活动中应当保密的情况和资料，不得与投标人串通损害国家利益、社会公共利益或者他人合法权益。</w:t>
      </w:r>
    </w:p>
    <w:p w14:paraId="62A6DC48">
      <w:pPr>
        <w:spacing w:line="360" w:lineRule="auto"/>
        <w:rPr>
          <w:rFonts w:ascii="宋体" w:hAnsi="宋体" w:eastAsia="宋体" w:cs="宋体"/>
          <w:b/>
          <w:color w:val="auto"/>
        </w:rPr>
      </w:pPr>
      <w:bookmarkStart w:id="451" w:name="_Toc144974544"/>
      <w:bookmarkStart w:id="452" w:name="_Toc9679"/>
      <w:bookmarkStart w:id="453" w:name="_Toc152045576"/>
      <w:bookmarkStart w:id="454" w:name="_Toc152042352"/>
      <w:bookmarkStart w:id="455" w:name="_Toc247085734"/>
      <w:bookmarkStart w:id="456" w:name="_Toc246996220"/>
      <w:bookmarkStart w:id="457" w:name="_Toc179632594"/>
      <w:bookmarkStart w:id="458" w:name="_Toc246996963"/>
      <w:r>
        <w:rPr>
          <w:rFonts w:hint="eastAsia" w:ascii="宋体" w:hAnsi="宋体" w:eastAsia="宋体" w:cs="宋体"/>
          <w:b/>
          <w:color w:val="auto"/>
        </w:rPr>
        <w:t>8.2对投标人的纪律要求</w:t>
      </w:r>
      <w:bookmarkEnd w:id="451"/>
      <w:bookmarkEnd w:id="452"/>
      <w:bookmarkEnd w:id="453"/>
      <w:bookmarkEnd w:id="454"/>
      <w:bookmarkEnd w:id="455"/>
      <w:bookmarkEnd w:id="456"/>
      <w:bookmarkEnd w:id="457"/>
      <w:bookmarkEnd w:id="458"/>
    </w:p>
    <w:p w14:paraId="515C237C">
      <w:pPr>
        <w:spacing w:line="360" w:lineRule="auto"/>
        <w:ind w:firstLine="420" w:firstLineChars="200"/>
        <w:rPr>
          <w:rFonts w:ascii="宋体" w:hAnsi="宋体" w:eastAsia="宋体" w:cs="宋体"/>
          <w:color w:val="auto"/>
        </w:rPr>
      </w:pPr>
      <w:r>
        <w:rPr>
          <w:rFonts w:hint="eastAsia" w:ascii="宋体" w:hAnsi="宋体" w:eastAsia="宋体" w:cs="宋体"/>
          <w:color w:val="auto"/>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AA8E2E6">
      <w:pPr>
        <w:spacing w:line="360" w:lineRule="auto"/>
        <w:rPr>
          <w:rFonts w:ascii="宋体" w:hAnsi="宋体" w:eastAsia="宋体" w:cs="宋体"/>
          <w:b/>
          <w:color w:val="auto"/>
        </w:rPr>
      </w:pPr>
      <w:bookmarkStart w:id="459" w:name="_Toc144974545"/>
      <w:bookmarkStart w:id="460" w:name="_Toc179632595"/>
      <w:bookmarkStart w:id="461" w:name="_Toc152045577"/>
      <w:bookmarkStart w:id="462" w:name="_Toc247085735"/>
      <w:bookmarkStart w:id="463" w:name="_Toc10454"/>
      <w:bookmarkStart w:id="464" w:name="_Toc246996221"/>
      <w:bookmarkStart w:id="465" w:name="_Toc246996964"/>
      <w:bookmarkStart w:id="466" w:name="_Toc152042353"/>
      <w:r>
        <w:rPr>
          <w:rFonts w:hint="eastAsia" w:ascii="宋体" w:hAnsi="宋体" w:eastAsia="宋体" w:cs="宋体"/>
          <w:b/>
          <w:color w:val="auto"/>
        </w:rPr>
        <w:t>8.3对评标委员会成员的纪律要求</w:t>
      </w:r>
      <w:bookmarkEnd w:id="459"/>
      <w:bookmarkEnd w:id="460"/>
      <w:bookmarkEnd w:id="461"/>
      <w:bookmarkEnd w:id="462"/>
      <w:bookmarkEnd w:id="463"/>
      <w:bookmarkEnd w:id="464"/>
      <w:bookmarkEnd w:id="465"/>
      <w:bookmarkEnd w:id="466"/>
    </w:p>
    <w:p w14:paraId="72302F6B">
      <w:pPr>
        <w:spacing w:line="360" w:lineRule="auto"/>
        <w:ind w:firstLine="420" w:firstLineChars="200"/>
        <w:rPr>
          <w:rFonts w:ascii="宋体" w:hAnsi="宋体" w:eastAsia="宋体" w:cs="宋体"/>
          <w:color w:val="auto"/>
        </w:rPr>
      </w:pPr>
      <w:r>
        <w:rPr>
          <w:rFonts w:hint="eastAsia" w:ascii="宋体" w:hAnsi="宋体" w:eastAsia="宋体" w:cs="宋体"/>
          <w:color w:val="auto"/>
        </w:rPr>
        <w:t>评标委员会成员不得收受他人的财物或者其他好处，不得向他人透漏对投标文件的评审和比较、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0594014">
      <w:pPr>
        <w:spacing w:line="360" w:lineRule="auto"/>
        <w:rPr>
          <w:rFonts w:ascii="宋体" w:hAnsi="宋体" w:eastAsia="宋体" w:cs="宋体"/>
          <w:b/>
          <w:color w:val="auto"/>
        </w:rPr>
      </w:pPr>
      <w:bookmarkStart w:id="467" w:name="_Toc152042354"/>
      <w:bookmarkStart w:id="468" w:name="_Toc152045578"/>
      <w:bookmarkStart w:id="469" w:name="_Toc246996222"/>
      <w:bookmarkStart w:id="470" w:name="_Toc2525"/>
      <w:bookmarkStart w:id="471" w:name="_Toc246996965"/>
      <w:bookmarkStart w:id="472" w:name="_Toc179632596"/>
      <w:bookmarkStart w:id="473" w:name="_Toc247085736"/>
      <w:bookmarkStart w:id="474" w:name="_Toc144974546"/>
      <w:r>
        <w:rPr>
          <w:rFonts w:hint="eastAsia" w:ascii="宋体" w:hAnsi="宋体" w:eastAsia="宋体" w:cs="宋体"/>
          <w:b/>
          <w:color w:val="auto"/>
        </w:rPr>
        <w:t>8.4对与评标活动有关的工作人员的纪律要求</w:t>
      </w:r>
      <w:bookmarkEnd w:id="467"/>
      <w:bookmarkEnd w:id="468"/>
      <w:bookmarkEnd w:id="469"/>
      <w:bookmarkEnd w:id="470"/>
      <w:bookmarkEnd w:id="471"/>
      <w:bookmarkEnd w:id="472"/>
      <w:bookmarkEnd w:id="473"/>
    </w:p>
    <w:p w14:paraId="1B41C489">
      <w:pPr>
        <w:spacing w:line="360" w:lineRule="auto"/>
        <w:ind w:firstLine="420" w:firstLineChars="200"/>
        <w:rPr>
          <w:rFonts w:ascii="宋体" w:hAnsi="宋体" w:eastAsia="宋体" w:cs="宋体"/>
          <w:color w:val="auto"/>
        </w:rPr>
      </w:pPr>
      <w:bookmarkStart w:id="475" w:name="_Toc152042355"/>
      <w:r>
        <w:rPr>
          <w:rFonts w:hint="eastAsia" w:ascii="宋体" w:hAnsi="宋体" w:eastAsia="宋体" w:cs="宋体"/>
          <w:color w:val="auto"/>
        </w:rPr>
        <w:t>与评标活动有关的工作人员不得收受他人的财物或者其他好处，不得向他人透漏对投标文件的评审和比较、候选人的推荐情况以及评标有关的其他情况。在评标活动中，与评标活动有关的工作人员不得擅离职守，影响评标程序正常进行。</w:t>
      </w:r>
      <w:bookmarkEnd w:id="475"/>
    </w:p>
    <w:p w14:paraId="6F48489B">
      <w:pPr>
        <w:spacing w:line="360" w:lineRule="auto"/>
        <w:rPr>
          <w:rFonts w:ascii="宋体" w:hAnsi="宋体" w:eastAsia="宋体" w:cs="宋体"/>
          <w:b/>
          <w:color w:val="auto"/>
        </w:rPr>
      </w:pPr>
      <w:bookmarkStart w:id="476" w:name="_Toc179632597"/>
      <w:bookmarkStart w:id="477" w:name="_Toc247085737"/>
      <w:bookmarkStart w:id="478" w:name="_Toc246996223"/>
      <w:bookmarkStart w:id="479" w:name="_Toc152045579"/>
      <w:bookmarkStart w:id="480" w:name="_Toc152042356"/>
      <w:bookmarkStart w:id="481" w:name="_Toc246996966"/>
      <w:bookmarkStart w:id="482" w:name="_Toc16936"/>
      <w:r>
        <w:rPr>
          <w:rFonts w:hint="eastAsia" w:ascii="宋体" w:hAnsi="宋体" w:eastAsia="宋体" w:cs="宋体"/>
          <w:b/>
          <w:color w:val="auto"/>
        </w:rPr>
        <w:t>8.5投诉</w:t>
      </w:r>
      <w:bookmarkEnd w:id="474"/>
      <w:bookmarkEnd w:id="476"/>
      <w:bookmarkEnd w:id="477"/>
      <w:bookmarkEnd w:id="478"/>
      <w:bookmarkEnd w:id="479"/>
      <w:bookmarkEnd w:id="480"/>
      <w:bookmarkEnd w:id="481"/>
      <w:bookmarkEnd w:id="482"/>
    </w:p>
    <w:p w14:paraId="09BC4691">
      <w:pPr>
        <w:spacing w:line="360" w:lineRule="auto"/>
        <w:ind w:firstLine="420" w:firstLineChars="200"/>
        <w:rPr>
          <w:rFonts w:ascii="宋体" w:hAnsi="宋体" w:eastAsia="宋体" w:cs="宋体"/>
          <w:color w:val="auto"/>
          <w:lang w:val="zh-CN"/>
        </w:rPr>
      </w:pPr>
      <w:bookmarkStart w:id="483" w:name="_Toc357177718"/>
      <w:bookmarkStart w:id="484" w:name="_Toc11841"/>
      <w:bookmarkStart w:id="485" w:name="_Toc420417630"/>
      <w:bookmarkStart w:id="486" w:name="_Toc67490891"/>
      <w:bookmarkStart w:id="487" w:name="_Toc77593392"/>
      <w:bookmarkStart w:id="488" w:name="_Toc32550"/>
      <w:bookmarkStart w:id="489" w:name="_Toc457839495"/>
      <w:bookmarkStart w:id="490" w:name="_Toc6159"/>
      <w:r>
        <w:rPr>
          <w:rFonts w:hint="eastAsia" w:ascii="宋体" w:hAnsi="宋体" w:eastAsia="宋体" w:cs="宋体"/>
          <w:color w:val="auto"/>
        </w:rPr>
        <w:t>8.5.1</w:t>
      </w:r>
      <w:r>
        <w:rPr>
          <w:rFonts w:hint="eastAsia" w:ascii="宋体" w:hAnsi="宋体" w:eastAsia="宋体" w:cs="宋体"/>
          <w:color w:val="auto"/>
          <w:lang w:val="zh-CN"/>
        </w:rPr>
        <w:t>投标人和其他利害关系人认为本次采购活动违反法律、法规和规章规定的，有权向有关行政监督部门投诉。投诉应当有明确的请求和必要的证明材料。</w:t>
      </w:r>
    </w:p>
    <w:p w14:paraId="6D362330">
      <w:pPr>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8.5.2投标人或者其他利害关系人对采购文件、开标和评标结果提出投诉的，应当按照投标人须知第2.4款、第5.3款和第7.2款的规定先向采购人提出异议。异议答复期间不计算在第8.5.1项规定的期限内。</w:t>
      </w:r>
    </w:p>
    <w:bookmarkEnd w:id="483"/>
    <w:bookmarkEnd w:id="484"/>
    <w:bookmarkEnd w:id="485"/>
    <w:p w14:paraId="70C0AE9A">
      <w:pPr>
        <w:pStyle w:val="3"/>
        <w:spacing w:line="360" w:lineRule="auto"/>
        <w:jc w:val="center"/>
        <w:rPr>
          <w:rFonts w:ascii="宋体" w:hAnsi="宋体" w:eastAsia="宋体" w:cs="宋体"/>
          <w:color w:val="auto"/>
          <w:sz w:val="21"/>
          <w:szCs w:val="21"/>
        </w:rPr>
      </w:pPr>
      <w:bookmarkStart w:id="491" w:name="_Toc3938"/>
      <w:bookmarkStart w:id="492" w:name="_Toc26337"/>
      <w:bookmarkStart w:id="493" w:name="_Toc152042357"/>
      <w:bookmarkStart w:id="494" w:name="_Toc152045580"/>
      <w:bookmarkStart w:id="495" w:name="_Toc246996224"/>
      <w:bookmarkStart w:id="496" w:name="_Toc144974547"/>
      <w:bookmarkStart w:id="497" w:name="_Toc357177719"/>
      <w:bookmarkStart w:id="498" w:name="_Toc247085738"/>
      <w:bookmarkStart w:id="499" w:name="_Toc179632598"/>
      <w:bookmarkStart w:id="500" w:name="_Toc420417631"/>
      <w:bookmarkStart w:id="501" w:name="_Toc246996967"/>
      <w:r>
        <w:rPr>
          <w:rFonts w:hint="eastAsia" w:ascii="宋体" w:hAnsi="宋体" w:eastAsia="宋体" w:cs="宋体"/>
          <w:color w:val="auto"/>
          <w:sz w:val="21"/>
          <w:szCs w:val="21"/>
        </w:rPr>
        <w:t>9.需要补充的其他内容</w:t>
      </w:r>
      <w:bookmarkEnd w:id="491"/>
      <w:bookmarkEnd w:id="492"/>
    </w:p>
    <w:bookmarkEnd w:id="486"/>
    <w:bookmarkEnd w:id="487"/>
    <w:bookmarkEnd w:id="488"/>
    <w:bookmarkEnd w:id="489"/>
    <w:bookmarkEnd w:id="490"/>
    <w:bookmarkEnd w:id="493"/>
    <w:bookmarkEnd w:id="494"/>
    <w:bookmarkEnd w:id="495"/>
    <w:bookmarkEnd w:id="496"/>
    <w:bookmarkEnd w:id="497"/>
    <w:bookmarkEnd w:id="498"/>
    <w:bookmarkEnd w:id="499"/>
    <w:bookmarkEnd w:id="500"/>
    <w:bookmarkEnd w:id="501"/>
    <w:p w14:paraId="5D0E7E12">
      <w:pPr>
        <w:autoSpaceDE w:val="0"/>
        <w:autoSpaceDN w:val="0"/>
        <w:adjustRightInd w:val="0"/>
        <w:spacing w:line="360" w:lineRule="auto"/>
        <w:ind w:firstLine="315" w:firstLineChars="150"/>
        <w:jc w:val="left"/>
        <w:rPr>
          <w:rFonts w:ascii="宋体" w:hAnsi="宋体" w:eastAsia="宋体" w:cs="宋体"/>
          <w:bCs/>
          <w:color w:val="auto"/>
          <w:szCs w:val="21"/>
        </w:rPr>
      </w:pPr>
      <w:r>
        <w:rPr>
          <w:rFonts w:hint="eastAsia" w:ascii="宋体" w:hAnsi="宋体" w:eastAsia="宋体" w:cs="宋体"/>
          <w:bCs/>
          <w:color w:val="auto"/>
          <w:szCs w:val="21"/>
        </w:rPr>
        <w:t>10.1投标人对中标结果提出质疑的，应当在质疑期间内将质疑事项一次性向采购人（采购代理公司）提出。质疑书须提供纸质，并应当经法定代表人或委托代理人签字并加盖公章。</w:t>
      </w:r>
    </w:p>
    <w:p w14:paraId="1287CFFB">
      <w:pPr>
        <w:autoSpaceDE w:val="0"/>
        <w:autoSpaceDN w:val="0"/>
        <w:adjustRightInd w:val="0"/>
        <w:spacing w:line="360" w:lineRule="auto"/>
        <w:ind w:firstLine="315" w:firstLineChars="150"/>
        <w:jc w:val="left"/>
        <w:rPr>
          <w:rFonts w:ascii="宋体" w:hAnsi="宋体" w:eastAsia="宋体" w:cs="宋体"/>
          <w:bCs/>
          <w:color w:val="auto"/>
          <w:szCs w:val="21"/>
        </w:rPr>
      </w:pPr>
      <w:r>
        <w:rPr>
          <w:rFonts w:hint="eastAsia" w:ascii="宋体" w:hAnsi="宋体" w:eastAsia="宋体" w:cs="宋体"/>
          <w:bCs/>
          <w:color w:val="auto"/>
          <w:szCs w:val="21"/>
        </w:rPr>
        <w:t>10.2见投标人须知前附表。</w:t>
      </w:r>
    </w:p>
    <w:p w14:paraId="1CDDB203">
      <w:pPr>
        <w:pStyle w:val="3"/>
        <w:spacing w:line="360" w:lineRule="auto"/>
        <w:jc w:val="center"/>
        <w:rPr>
          <w:rFonts w:ascii="宋体" w:hAnsi="宋体" w:eastAsia="宋体" w:cs="宋体"/>
          <w:color w:val="auto"/>
          <w:sz w:val="21"/>
          <w:szCs w:val="21"/>
        </w:rPr>
      </w:pPr>
      <w:bookmarkStart w:id="502" w:name="_Toc27751"/>
      <w:r>
        <w:rPr>
          <w:rFonts w:hint="eastAsia" w:ascii="宋体" w:hAnsi="宋体" w:eastAsia="宋体" w:cs="宋体"/>
          <w:color w:val="auto"/>
          <w:sz w:val="21"/>
          <w:szCs w:val="21"/>
        </w:rPr>
        <w:t>10.电子招标投标</w:t>
      </w:r>
      <w:bookmarkEnd w:id="502"/>
    </w:p>
    <w:p w14:paraId="698A982E">
      <w:pPr>
        <w:spacing w:line="360" w:lineRule="auto"/>
        <w:ind w:firstLine="420" w:firstLineChars="200"/>
        <w:rPr>
          <w:rFonts w:ascii="宋体" w:hAnsi="宋体" w:eastAsia="宋体" w:cs="宋体"/>
          <w:color w:val="auto"/>
          <w:lang w:val="zh-CN"/>
        </w:rPr>
      </w:pPr>
      <w:r>
        <w:rPr>
          <w:rFonts w:hint="eastAsia" w:ascii="宋体" w:hAnsi="宋体" w:eastAsia="宋体" w:cs="宋体"/>
          <w:color w:val="auto"/>
        </w:rPr>
        <w:t>采用电子招标投标，对投标文件的编制、密封和标记、递交、开标、评标等的具体要求，见投标人须知前附表。</w:t>
      </w:r>
    </w:p>
    <w:p w14:paraId="4F03BC46">
      <w:pPr>
        <w:spacing w:line="360" w:lineRule="auto"/>
        <w:rPr>
          <w:rFonts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附件一：开标记录表</w:t>
      </w:r>
    </w:p>
    <w:p w14:paraId="5AC6221F">
      <w:pPr>
        <w:spacing w:line="360" w:lineRule="auto"/>
        <w:rPr>
          <w:rFonts w:ascii="宋体" w:hAnsi="宋体" w:eastAsia="宋体" w:cs="宋体"/>
          <w:b/>
          <w:color w:val="auto"/>
          <w:sz w:val="24"/>
        </w:rPr>
      </w:pPr>
      <w:bookmarkStart w:id="503" w:name="_Toc152045585"/>
      <w:bookmarkStart w:id="504" w:name="_Toc246996228"/>
      <w:bookmarkStart w:id="505" w:name="_Toc152045584"/>
      <w:bookmarkStart w:id="506" w:name="_Toc144974552"/>
      <w:bookmarkStart w:id="507" w:name="_Toc179632603"/>
      <w:bookmarkStart w:id="508" w:name="_Toc179632602"/>
      <w:bookmarkStart w:id="509" w:name="_Toc152042361"/>
      <w:bookmarkStart w:id="510" w:name="_Toc144974551"/>
      <w:bookmarkStart w:id="511" w:name="_Toc247085743"/>
      <w:bookmarkStart w:id="512" w:name="_Toc246996227"/>
      <w:bookmarkStart w:id="513" w:name="_Toc247085742"/>
      <w:bookmarkStart w:id="514" w:name="_Toc246996970"/>
      <w:bookmarkStart w:id="515" w:name="_Toc152042362"/>
      <w:bookmarkStart w:id="516" w:name="_Toc246996971"/>
    </w:p>
    <w:p w14:paraId="2288E58A">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以“政采云”平台格式为准</w:t>
      </w:r>
    </w:p>
    <w:p w14:paraId="6ED0548B">
      <w:pPr>
        <w:pStyle w:val="10"/>
        <w:spacing w:line="360" w:lineRule="auto"/>
        <w:jc w:val="center"/>
        <w:rPr>
          <w:rFonts w:ascii="宋体" w:hAnsi="宋体" w:eastAsia="宋体" w:cs="宋体"/>
          <w:color w:val="auto"/>
        </w:rPr>
      </w:pPr>
    </w:p>
    <w:p w14:paraId="3EBF1EFB">
      <w:pPr>
        <w:spacing w:line="360" w:lineRule="auto"/>
        <w:rPr>
          <w:rFonts w:ascii="宋体" w:hAnsi="宋体" w:eastAsia="宋体" w:cs="宋体"/>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附件二：问题澄清通知</w:t>
      </w:r>
    </w:p>
    <w:p w14:paraId="66C325FC">
      <w:pPr>
        <w:spacing w:line="360" w:lineRule="auto"/>
        <w:jc w:val="center"/>
        <w:rPr>
          <w:rFonts w:ascii="宋体" w:hAnsi="宋体" w:eastAsia="宋体" w:cs="宋体"/>
          <w:color w:val="auto"/>
          <w:sz w:val="28"/>
          <w:szCs w:val="28"/>
        </w:rPr>
      </w:pPr>
    </w:p>
    <w:p w14:paraId="4B3205EE">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问题澄清通知</w:t>
      </w:r>
    </w:p>
    <w:p w14:paraId="008800BF">
      <w:pPr>
        <w:spacing w:line="360" w:lineRule="auto"/>
        <w:jc w:val="center"/>
        <w:rPr>
          <w:rFonts w:ascii="宋体" w:hAnsi="宋体" w:eastAsia="宋体" w:cs="宋体"/>
          <w:color w:val="auto"/>
          <w:szCs w:val="21"/>
        </w:rPr>
      </w:pPr>
      <w:r>
        <w:rPr>
          <w:rFonts w:hint="eastAsia" w:ascii="宋体" w:hAnsi="宋体" w:eastAsia="宋体" w:cs="宋体"/>
          <w:color w:val="auto"/>
          <w:szCs w:val="21"/>
        </w:rPr>
        <w:t>编号：</w:t>
      </w:r>
    </w:p>
    <w:p w14:paraId="5FF3245B">
      <w:pPr>
        <w:spacing w:line="360" w:lineRule="auto"/>
        <w:rPr>
          <w:rFonts w:ascii="宋体" w:hAnsi="宋体" w:eastAsia="宋体" w:cs="宋体"/>
          <w:color w:val="auto"/>
          <w:szCs w:val="21"/>
        </w:rPr>
      </w:pPr>
    </w:p>
    <w:p w14:paraId="19FF519F">
      <w:pPr>
        <w:spacing w:line="360" w:lineRule="auto"/>
        <w:rPr>
          <w:rFonts w:ascii="宋体" w:hAnsi="宋体" w:eastAsia="宋体" w:cs="宋体"/>
          <w:color w:val="auto"/>
          <w:szCs w:val="21"/>
        </w:rPr>
      </w:pPr>
      <w:r>
        <w:rPr>
          <w:rFonts w:hint="eastAsia" w:ascii="宋体" w:hAnsi="宋体" w:eastAsia="宋体" w:cs="宋体"/>
          <w:color w:val="auto"/>
          <w:szCs w:val="21"/>
        </w:rPr>
        <w:t>（投标人名称）：</w:t>
      </w:r>
    </w:p>
    <w:p w14:paraId="5A7879E4">
      <w:pPr>
        <w:spacing w:line="360" w:lineRule="auto"/>
        <w:rPr>
          <w:rFonts w:ascii="宋体" w:hAnsi="宋体" w:eastAsia="宋体" w:cs="宋体"/>
          <w:color w:val="auto"/>
          <w:szCs w:val="21"/>
        </w:rPr>
      </w:pPr>
    </w:p>
    <w:p w14:paraId="702CE27F">
      <w:pPr>
        <w:spacing w:line="360" w:lineRule="auto"/>
        <w:rPr>
          <w:rFonts w:ascii="宋体" w:hAnsi="宋体" w:eastAsia="宋体" w:cs="宋体"/>
          <w:color w:val="auto"/>
          <w:szCs w:val="21"/>
        </w:rPr>
      </w:pPr>
      <w:r>
        <w:rPr>
          <w:rFonts w:hint="eastAsia" w:ascii="宋体" w:hAnsi="宋体" w:eastAsia="宋体" w:cs="宋体"/>
          <w:color w:val="auto"/>
          <w:szCs w:val="21"/>
        </w:rPr>
        <w:t>　　</w:t>
      </w:r>
      <w:r>
        <w:rPr>
          <w:rFonts w:hint="eastAsia" w:ascii="宋体" w:hAnsi="宋体" w:eastAsia="宋体" w:cs="宋体"/>
          <w:color w:val="auto"/>
          <w:szCs w:val="21"/>
          <w:u w:val="single"/>
        </w:rPr>
        <w:t>　</w:t>
      </w:r>
      <w:r>
        <w:rPr>
          <w:rFonts w:hint="eastAsia" w:ascii="宋体" w:hAnsi="宋体" w:eastAsia="宋体" w:cs="宋体"/>
          <w:color w:val="auto"/>
          <w:szCs w:val="21"/>
        </w:rPr>
        <w:t>（项目名称）招标的评标委员会，对你方的投标文件进行了仔细的审查，现需你方对下列问题以书面形式予以澄清：</w:t>
      </w:r>
    </w:p>
    <w:p w14:paraId="6F41226C">
      <w:pPr>
        <w:spacing w:line="360" w:lineRule="auto"/>
        <w:rPr>
          <w:rFonts w:ascii="宋体" w:hAnsi="宋体" w:eastAsia="宋体" w:cs="宋体"/>
          <w:color w:val="auto"/>
          <w:szCs w:val="21"/>
        </w:rPr>
      </w:pPr>
      <w:r>
        <w:rPr>
          <w:rFonts w:hint="eastAsia" w:ascii="宋体" w:hAnsi="宋体" w:eastAsia="宋体" w:cs="宋体"/>
          <w:color w:val="auto"/>
          <w:szCs w:val="21"/>
        </w:rPr>
        <w:t>　　</w:t>
      </w:r>
    </w:p>
    <w:p w14:paraId="2E9C98C8">
      <w:pPr>
        <w:spacing w:line="360" w:lineRule="auto"/>
        <w:rPr>
          <w:rFonts w:ascii="宋体" w:hAnsi="宋体" w:eastAsia="宋体" w:cs="宋体"/>
          <w:color w:val="auto"/>
          <w:szCs w:val="21"/>
        </w:rPr>
      </w:pPr>
      <w:r>
        <w:rPr>
          <w:rFonts w:hint="eastAsia" w:ascii="宋体" w:hAnsi="宋体" w:eastAsia="宋体" w:cs="宋体"/>
          <w:color w:val="auto"/>
          <w:szCs w:val="21"/>
        </w:rPr>
        <w:t>1.</w:t>
      </w:r>
    </w:p>
    <w:p w14:paraId="098DD4F8">
      <w:pPr>
        <w:spacing w:line="360" w:lineRule="auto"/>
        <w:rPr>
          <w:rFonts w:ascii="宋体" w:hAnsi="宋体" w:eastAsia="宋体" w:cs="宋体"/>
          <w:color w:val="auto"/>
          <w:szCs w:val="21"/>
        </w:rPr>
      </w:pPr>
      <w:r>
        <w:rPr>
          <w:rFonts w:hint="eastAsia" w:ascii="宋体" w:hAnsi="宋体" w:eastAsia="宋体" w:cs="宋体"/>
          <w:color w:val="auto"/>
          <w:szCs w:val="21"/>
        </w:rPr>
        <w:t>2.</w:t>
      </w:r>
    </w:p>
    <w:p w14:paraId="3F276D95">
      <w:pPr>
        <w:spacing w:line="360" w:lineRule="auto"/>
        <w:rPr>
          <w:rFonts w:ascii="宋体" w:hAnsi="宋体" w:eastAsia="宋体" w:cs="宋体"/>
          <w:color w:val="auto"/>
          <w:szCs w:val="21"/>
        </w:rPr>
      </w:pPr>
      <w:r>
        <w:rPr>
          <w:rFonts w:hint="eastAsia" w:ascii="宋体" w:hAnsi="宋体" w:eastAsia="宋体" w:cs="宋体"/>
          <w:color w:val="auto"/>
          <w:szCs w:val="21"/>
        </w:rPr>
        <w:t>......</w:t>
      </w:r>
    </w:p>
    <w:p w14:paraId="22BB64EC">
      <w:pPr>
        <w:spacing w:line="360" w:lineRule="auto"/>
        <w:rPr>
          <w:rFonts w:ascii="宋体" w:hAnsi="宋体" w:eastAsia="宋体" w:cs="宋体"/>
          <w:color w:val="auto"/>
          <w:szCs w:val="21"/>
        </w:rPr>
      </w:pPr>
      <w:r>
        <w:rPr>
          <w:rFonts w:hint="eastAsia" w:ascii="宋体" w:hAnsi="宋体" w:eastAsia="宋体" w:cs="宋体"/>
          <w:color w:val="auto"/>
          <w:szCs w:val="21"/>
        </w:rPr>
        <w:t>　　　</w:t>
      </w:r>
    </w:p>
    <w:p w14:paraId="48E91BF7">
      <w:pPr>
        <w:spacing w:line="360" w:lineRule="auto"/>
        <w:rPr>
          <w:rFonts w:ascii="宋体" w:hAnsi="宋体" w:eastAsia="宋体" w:cs="宋体"/>
          <w:color w:val="auto"/>
          <w:szCs w:val="21"/>
        </w:rPr>
      </w:pPr>
      <w:r>
        <w:rPr>
          <w:rFonts w:hint="eastAsia" w:ascii="宋体" w:hAnsi="宋体" w:eastAsia="宋体" w:cs="宋体"/>
          <w:color w:val="auto"/>
          <w:szCs w:val="21"/>
        </w:rPr>
        <w:t>　　请将上述问题的澄清于年月日时前递交至（详细地址）或传真至（传真号码）。采用传真方式的，应在年月日时前将原件递交至（详细地址）。</w:t>
      </w:r>
    </w:p>
    <w:p w14:paraId="45633F15">
      <w:pPr>
        <w:spacing w:line="360" w:lineRule="auto"/>
        <w:rPr>
          <w:rFonts w:ascii="宋体" w:hAnsi="宋体" w:eastAsia="宋体" w:cs="宋体"/>
          <w:color w:val="auto"/>
          <w:szCs w:val="21"/>
        </w:rPr>
      </w:pPr>
    </w:p>
    <w:p w14:paraId="063E25E5">
      <w:pPr>
        <w:spacing w:line="360" w:lineRule="auto"/>
        <w:rPr>
          <w:rFonts w:ascii="宋体" w:hAnsi="宋体" w:eastAsia="宋体" w:cs="宋体"/>
          <w:color w:val="auto"/>
          <w:szCs w:val="21"/>
        </w:rPr>
      </w:pPr>
    </w:p>
    <w:p w14:paraId="481B7453">
      <w:pPr>
        <w:spacing w:line="360" w:lineRule="auto"/>
        <w:jc w:val="right"/>
        <w:rPr>
          <w:rFonts w:ascii="宋体" w:hAnsi="宋体" w:eastAsia="宋体" w:cs="宋体"/>
          <w:color w:val="auto"/>
          <w:szCs w:val="21"/>
        </w:rPr>
      </w:pPr>
      <w:r>
        <w:rPr>
          <w:rFonts w:hint="eastAsia" w:ascii="宋体" w:hAnsi="宋体" w:eastAsia="宋体" w:cs="宋体"/>
          <w:color w:val="auto"/>
          <w:szCs w:val="21"/>
        </w:rPr>
        <w:t>经评标委员会授权的采购人或采购代理机构：（签字或盖章）</w:t>
      </w:r>
    </w:p>
    <w:p w14:paraId="3148798F">
      <w:pPr>
        <w:spacing w:line="360" w:lineRule="auto"/>
        <w:jc w:val="right"/>
        <w:rPr>
          <w:rFonts w:ascii="宋体" w:hAnsi="宋体" w:eastAsia="宋体" w:cs="宋体"/>
          <w:color w:val="auto"/>
          <w:szCs w:val="21"/>
        </w:rPr>
      </w:pPr>
    </w:p>
    <w:p w14:paraId="3C9C27F1">
      <w:pPr>
        <w:spacing w:line="360" w:lineRule="auto"/>
        <w:jc w:val="right"/>
        <w:rPr>
          <w:rFonts w:ascii="宋体" w:hAnsi="宋体" w:eastAsia="宋体" w:cs="宋体"/>
          <w:color w:val="auto"/>
          <w:szCs w:val="21"/>
        </w:rPr>
      </w:pPr>
      <w:r>
        <w:rPr>
          <w:rFonts w:hint="eastAsia" w:ascii="宋体" w:hAnsi="宋体" w:eastAsia="宋体" w:cs="宋体"/>
          <w:color w:val="auto"/>
          <w:szCs w:val="21"/>
        </w:rPr>
        <w:t>年月日</w:t>
      </w:r>
    </w:p>
    <w:p w14:paraId="55F30584">
      <w:pPr>
        <w:spacing w:line="360" w:lineRule="auto"/>
        <w:rPr>
          <w:rFonts w:ascii="宋体" w:hAnsi="宋体" w:eastAsia="宋体" w:cs="宋体"/>
          <w:color w:val="auto"/>
          <w:sz w:val="24"/>
        </w:rPr>
      </w:pPr>
      <w:r>
        <w:rPr>
          <w:rFonts w:hint="eastAsia" w:ascii="宋体" w:hAnsi="宋体" w:eastAsia="宋体" w:cs="宋体"/>
          <w:color w:val="auto"/>
        </w:rPr>
        <w:br w:type="page"/>
      </w:r>
      <w:r>
        <w:rPr>
          <w:rFonts w:hint="eastAsia" w:ascii="宋体" w:hAnsi="宋体" w:eastAsia="宋体" w:cs="宋体"/>
          <w:b/>
          <w:color w:val="auto"/>
          <w:sz w:val="24"/>
        </w:rPr>
        <w:t>附件三：问题的澄清</w:t>
      </w:r>
    </w:p>
    <w:p w14:paraId="4B8D0F17">
      <w:pPr>
        <w:spacing w:before="240" w:beforeLines="100" w:after="240" w:afterLines="100"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问题的澄清、说明或补正</w:t>
      </w:r>
    </w:p>
    <w:p w14:paraId="0C415320">
      <w:pPr>
        <w:spacing w:line="360" w:lineRule="auto"/>
        <w:jc w:val="left"/>
        <w:rPr>
          <w:rFonts w:ascii="宋体" w:hAnsi="宋体" w:eastAsia="宋体" w:cs="宋体"/>
          <w:color w:val="auto"/>
          <w:u w:val="single"/>
        </w:rPr>
      </w:pPr>
      <w:r>
        <w:rPr>
          <w:rFonts w:hint="eastAsia" w:ascii="宋体" w:hAnsi="宋体" w:eastAsia="宋体" w:cs="宋体"/>
          <w:color w:val="auto"/>
        </w:rPr>
        <w:t>编号：</w:t>
      </w:r>
    </w:p>
    <w:p w14:paraId="2124B637">
      <w:pPr>
        <w:spacing w:line="360" w:lineRule="auto"/>
        <w:rPr>
          <w:rFonts w:ascii="宋体" w:hAnsi="宋体" w:eastAsia="宋体" w:cs="宋体"/>
          <w:color w:val="auto"/>
        </w:rPr>
      </w:pPr>
      <w:r>
        <w:rPr>
          <w:rFonts w:hint="eastAsia" w:ascii="宋体" w:hAnsi="宋体" w:eastAsia="宋体" w:cs="宋体"/>
          <w:color w:val="auto"/>
        </w:rPr>
        <w:t>（项目名称）招标评标委员会：</w:t>
      </w:r>
    </w:p>
    <w:p w14:paraId="69D269FD">
      <w:pPr>
        <w:spacing w:line="360" w:lineRule="auto"/>
        <w:ind w:firstLine="420" w:firstLineChars="200"/>
        <w:rPr>
          <w:rFonts w:ascii="宋体" w:hAnsi="宋体" w:eastAsia="宋体" w:cs="宋体"/>
          <w:color w:val="auto"/>
        </w:rPr>
      </w:pPr>
      <w:r>
        <w:rPr>
          <w:rFonts w:hint="eastAsia" w:ascii="宋体" w:hAnsi="宋体" w:eastAsia="宋体" w:cs="宋体"/>
          <w:color w:val="auto"/>
        </w:rPr>
        <w:t>问题澄清通知（编号：）已收悉，现澄清、说明或者补正如下：</w:t>
      </w:r>
    </w:p>
    <w:p w14:paraId="4F56470F">
      <w:pPr>
        <w:spacing w:line="360" w:lineRule="auto"/>
        <w:ind w:firstLine="420" w:firstLineChars="200"/>
        <w:rPr>
          <w:rFonts w:ascii="宋体" w:hAnsi="宋体" w:eastAsia="宋体" w:cs="宋体"/>
          <w:color w:val="auto"/>
        </w:rPr>
      </w:pPr>
      <w:r>
        <w:rPr>
          <w:rFonts w:hint="eastAsia" w:ascii="宋体" w:hAnsi="宋体" w:eastAsia="宋体" w:cs="宋体"/>
          <w:color w:val="auto"/>
        </w:rPr>
        <w:t>1.</w:t>
      </w:r>
    </w:p>
    <w:p w14:paraId="292323DD">
      <w:pPr>
        <w:spacing w:line="360" w:lineRule="auto"/>
        <w:ind w:firstLine="420" w:firstLineChars="200"/>
        <w:rPr>
          <w:rFonts w:ascii="宋体" w:hAnsi="宋体" w:eastAsia="宋体" w:cs="宋体"/>
          <w:color w:val="auto"/>
        </w:rPr>
      </w:pPr>
      <w:r>
        <w:rPr>
          <w:rFonts w:hint="eastAsia" w:ascii="宋体" w:hAnsi="宋体" w:eastAsia="宋体" w:cs="宋体"/>
          <w:color w:val="auto"/>
        </w:rPr>
        <w:t>2.</w:t>
      </w:r>
    </w:p>
    <w:p w14:paraId="095132E6">
      <w:pPr>
        <w:spacing w:line="360" w:lineRule="auto"/>
        <w:ind w:firstLine="420" w:firstLineChars="200"/>
        <w:rPr>
          <w:rFonts w:ascii="宋体" w:hAnsi="宋体" w:eastAsia="宋体" w:cs="宋体"/>
          <w:color w:val="auto"/>
        </w:rPr>
      </w:pPr>
    </w:p>
    <w:p w14:paraId="41827ED3">
      <w:pPr>
        <w:spacing w:line="360" w:lineRule="auto"/>
        <w:ind w:firstLine="420" w:firstLineChars="200"/>
        <w:rPr>
          <w:rFonts w:ascii="宋体" w:hAnsi="宋体" w:eastAsia="宋体" w:cs="宋体"/>
          <w:color w:val="auto"/>
        </w:rPr>
      </w:pPr>
      <w:r>
        <w:rPr>
          <w:rFonts w:hint="eastAsia" w:ascii="宋体" w:hAnsi="宋体" w:eastAsia="宋体" w:cs="宋体"/>
          <w:color w:val="auto"/>
        </w:rPr>
        <w:t>……</w:t>
      </w:r>
    </w:p>
    <w:p w14:paraId="4B42BA4B">
      <w:pPr>
        <w:spacing w:line="360" w:lineRule="auto"/>
        <w:ind w:firstLine="420" w:firstLineChars="200"/>
        <w:rPr>
          <w:rFonts w:ascii="宋体" w:hAnsi="宋体" w:eastAsia="宋体" w:cs="宋体"/>
          <w:color w:val="auto"/>
        </w:rPr>
      </w:pPr>
    </w:p>
    <w:p w14:paraId="0BE0D4DF">
      <w:pPr>
        <w:spacing w:line="360" w:lineRule="auto"/>
        <w:ind w:firstLine="420" w:firstLineChars="200"/>
        <w:rPr>
          <w:rFonts w:ascii="宋体" w:hAnsi="宋体" w:eastAsia="宋体" w:cs="宋体"/>
          <w:color w:val="auto"/>
        </w:rPr>
      </w:pPr>
    </w:p>
    <w:p w14:paraId="54530A0A">
      <w:pPr>
        <w:spacing w:line="360" w:lineRule="auto"/>
        <w:ind w:firstLine="420" w:firstLineChars="200"/>
        <w:rPr>
          <w:rFonts w:ascii="宋体" w:hAnsi="宋体" w:eastAsia="宋体" w:cs="宋体"/>
          <w:color w:val="auto"/>
        </w:rPr>
      </w:pPr>
    </w:p>
    <w:p w14:paraId="26D6C790">
      <w:pPr>
        <w:spacing w:line="360" w:lineRule="auto"/>
        <w:ind w:firstLine="420" w:firstLineChars="200"/>
        <w:rPr>
          <w:rFonts w:ascii="宋体" w:hAnsi="宋体" w:eastAsia="宋体" w:cs="宋体"/>
          <w:color w:val="auto"/>
        </w:rPr>
      </w:pPr>
    </w:p>
    <w:p w14:paraId="22A954C3">
      <w:pPr>
        <w:spacing w:line="360" w:lineRule="auto"/>
        <w:ind w:firstLine="420" w:firstLineChars="200"/>
        <w:rPr>
          <w:rFonts w:ascii="宋体" w:hAnsi="宋体" w:eastAsia="宋体" w:cs="宋体"/>
          <w:color w:val="auto"/>
        </w:rPr>
      </w:pPr>
    </w:p>
    <w:p w14:paraId="36B5C7C8">
      <w:pPr>
        <w:spacing w:line="360" w:lineRule="auto"/>
        <w:ind w:firstLine="420" w:firstLineChars="200"/>
        <w:rPr>
          <w:rFonts w:ascii="宋体" w:hAnsi="宋体" w:eastAsia="宋体" w:cs="宋体"/>
          <w:color w:val="auto"/>
        </w:rPr>
      </w:pPr>
    </w:p>
    <w:p w14:paraId="21A1D3F0">
      <w:pPr>
        <w:wordWrap w:val="0"/>
        <w:spacing w:line="360" w:lineRule="auto"/>
        <w:ind w:firstLine="420" w:firstLineChars="200"/>
        <w:jc w:val="right"/>
        <w:rPr>
          <w:rFonts w:ascii="宋体" w:hAnsi="宋体" w:eastAsia="宋体" w:cs="宋体"/>
          <w:color w:val="auto"/>
        </w:rPr>
      </w:pPr>
      <w:r>
        <w:rPr>
          <w:rFonts w:hint="eastAsia" w:ascii="宋体" w:hAnsi="宋体" w:eastAsia="宋体" w:cs="宋体"/>
          <w:color w:val="auto"/>
        </w:rPr>
        <w:t>投标人：（盖单位章）</w:t>
      </w:r>
    </w:p>
    <w:p w14:paraId="70F78F0A">
      <w:pPr>
        <w:wordWrap w:val="0"/>
        <w:spacing w:before="120" w:beforeLines="50" w:after="120" w:afterLines="50" w:line="360" w:lineRule="auto"/>
        <w:ind w:right="210"/>
        <w:jc w:val="center"/>
        <w:rPr>
          <w:rFonts w:ascii="宋体" w:hAnsi="宋体" w:eastAsia="宋体" w:cs="宋体"/>
          <w:color w:val="auto"/>
        </w:rPr>
      </w:pPr>
      <w:r>
        <w:rPr>
          <w:rFonts w:hint="eastAsia" w:ascii="宋体" w:hAnsi="宋体" w:eastAsia="宋体" w:cs="宋体"/>
          <w:color w:val="auto"/>
        </w:rPr>
        <w:t>法定代表人或其委托代理人：（签字）</w:t>
      </w:r>
    </w:p>
    <w:p w14:paraId="3E0BDA57">
      <w:pPr>
        <w:spacing w:line="360" w:lineRule="auto"/>
        <w:jc w:val="right"/>
        <w:rPr>
          <w:rFonts w:ascii="宋体" w:hAnsi="宋体" w:eastAsia="宋体" w:cs="宋体"/>
          <w:color w:val="auto"/>
        </w:rPr>
      </w:pPr>
      <w:r>
        <w:rPr>
          <w:rFonts w:hint="eastAsia" w:ascii="宋体" w:hAnsi="宋体" w:eastAsia="宋体" w:cs="宋体"/>
          <w:color w:val="auto"/>
        </w:rPr>
        <w:t>年月日</w:t>
      </w:r>
    </w:p>
    <w:p w14:paraId="08DD1864">
      <w:pPr>
        <w:pStyle w:val="7"/>
        <w:spacing w:line="360" w:lineRule="auto"/>
        <w:ind w:left="1680"/>
        <w:rPr>
          <w:rFonts w:ascii="宋体" w:hAnsi="宋体" w:eastAsia="宋体" w:cs="宋体"/>
          <w:color w:val="auto"/>
        </w:rPr>
      </w:pPr>
    </w:p>
    <w:p w14:paraId="2D9FD7EE">
      <w:pPr>
        <w:spacing w:line="360" w:lineRule="auto"/>
        <w:rPr>
          <w:rFonts w:ascii="宋体" w:hAnsi="宋体" w:eastAsia="宋体" w:cs="宋体"/>
          <w:b/>
          <w:color w:val="auto"/>
          <w:sz w:val="24"/>
        </w:rPr>
      </w:pPr>
      <w:r>
        <w:rPr>
          <w:rFonts w:hint="eastAsia" w:ascii="宋体" w:hAnsi="宋体" w:eastAsia="宋体" w:cs="宋体"/>
          <w:color w:val="auto"/>
        </w:rPr>
        <w:br w:type="page"/>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rFonts w:hint="eastAsia" w:ascii="宋体" w:hAnsi="宋体" w:eastAsia="宋体" w:cs="宋体"/>
          <w:b/>
          <w:color w:val="auto"/>
          <w:sz w:val="24"/>
        </w:rPr>
        <w:t>附件四：中标结果通知书</w:t>
      </w:r>
    </w:p>
    <w:p w14:paraId="2B6F5C7D">
      <w:pPr>
        <w:spacing w:line="360" w:lineRule="auto"/>
        <w:rPr>
          <w:rFonts w:ascii="宋体" w:hAnsi="宋体" w:eastAsia="宋体" w:cs="宋体"/>
          <w:color w:val="auto"/>
        </w:rPr>
      </w:pPr>
    </w:p>
    <w:p w14:paraId="3A4B3643">
      <w:pPr>
        <w:spacing w:before="240" w:beforeLines="100" w:after="240" w:afterLines="10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中标结果通知书</w:t>
      </w:r>
    </w:p>
    <w:p w14:paraId="34D50635">
      <w:pPr>
        <w:spacing w:line="360" w:lineRule="auto"/>
        <w:rPr>
          <w:rFonts w:ascii="宋体" w:hAnsi="宋体" w:eastAsia="宋体" w:cs="宋体"/>
          <w:color w:val="auto"/>
        </w:rPr>
      </w:pPr>
      <w:r>
        <w:rPr>
          <w:rFonts w:hint="eastAsia" w:ascii="宋体" w:hAnsi="宋体" w:eastAsia="宋体" w:cs="宋体"/>
          <w:color w:val="auto"/>
        </w:rPr>
        <w:t>（未中标人名称）：</w:t>
      </w:r>
    </w:p>
    <w:p w14:paraId="700F761D">
      <w:pPr>
        <w:spacing w:line="360" w:lineRule="auto"/>
        <w:rPr>
          <w:rFonts w:ascii="宋体" w:hAnsi="宋体" w:eastAsia="宋体" w:cs="宋体"/>
          <w:color w:val="auto"/>
        </w:rPr>
      </w:pPr>
    </w:p>
    <w:p w14:paraId="250A1911">
      <w:pPr>
        <w:spacing w:line="360" w:lineRule="auto"/>
        <w:ind w:firstLine="420" w:firstLineChars="200"/>
        <w:rPr>
          <w:rFonts w:ascii="宋体" w:hAnsi="宋体" w:eastAsia="宋体" w:cs="宋体"/>
          <w:color w:val="auto"/>
        </w:rPr>
      </w:pPr>
      <w:r>
        <w:rPr>
          <w:rFonts w:hint="eastAsia" w:ascii="宋体" w:hAnsi="宋体" w:eastAsia="宋体" w:cs="宋体"/>
          <w:color w:val="auto"/>
        </w:rPr>
        <w:t>我方已接受（中标人名称）于（投标日期）所递交的（项目名称）投标文件，确定（中标人名称）为中标人。</w:t>
      </w:r>
    </w:p>
    <w:p w14:paraId="34EE1573">
      <w:pPr>
        <w:spacing w:line="360" w:lineRule="auto"/>
        <w:ind w:firstLine="420" w:firstLineChars="200"/>
        <w:rPr>
          <w:rFonts w:ascii="宋体" w:hAnsi="宋体" w:eastAsia="宋体" w:cs="宋体"/>
          <w:color w:val="auto"/>
        </w:rPr>
      </w:pPr>
    </w:p>
    <w:p w14:paraId="244360AA">
      <w:pPr>
        <w:spacing w:line="360" w:lineRule="auto"/>
        <w:ind w:firstLine="420" w:firstLineChars="200"/>
        <w:rPr>
          <w:rFonts w:ascii="宋体" w:hAnsi="宋体" w:eastAsia="宋体" w:cs="宋体"/>
          <w:color w:val="auto"/>
        </w:rPr>
      </w:pPr>
      <w:r>
        <w:rPr>
          <w:rFonts w:hint="eastAsia" w:ascii="宋体" w:hAnsi="宋体" w:eastAsia="宋体" w:cs="宋体"/>
          <w:color w:val="auto"/>
        </w:rPr>
        <w:t>感谢你单位对我方工作的大力支持!</w:t>
      </w:r>
    </w:p>
    <w:p w14:paraId="071D5776">
      <w:pPr>
        <w:spacing w:line="360" w:lineRule="auto"/>
        <w:ind w:firstLine="420" w:firstLineChars="200"/>
        <w:rPr>
          <w:rFonts w:ascii="宋体" w:hAnsi="宋体" w:eastAsia="宋体" w:cs="宋体"/>
          <w:color w:val="auto"/>
        </w:rPr>
      </w:pPr>
    </w:p>
    <w:p w14:paraId="7B6FA06E">
      <w:pPr>
        <w:spacing w:line="360" w:lineRule="auto"/>
        <w:ind w:firstLine="420" w:firstLineChars="200"/>
        <w:rPr>
          <w:rFonts w:ascii="宋体" w:hAnsi="宋体" w:eastAsia="宋体" w:cs="宋体"/>
          <w:color w:val="auto"/>
        </w:rPr>
      </w:pPr>
    </w:p>
    <w:p w14:paraId="09B65B96">
      <w:pPr>
        <w:spacing w:line="360" w:lineRule="auto"/>
        <w:ind w:firstLine="420" w:firstLineChars="200"/>
        <w:rPr>
          <w:rFonts w:ascii="宋体" w:hAnsi="宋体" w:eastAsia="宋体" w:cs="宋体"/>
          <w:color w:val="auto"/>
        </w:rPr>
      </w:pPr>
    </w:p>
    <w:p w14:paraId="216FA629">
      <w:pPr>
        <w:spacing w:line="360" w:lineRule="auto"/>
        <w:ind w:firstLine="420" w:firstLineChars="200"/>
        <w:rPr>
          <w:rFonts w:ascii="宋体" w:hAnsi="宋体" w:eastAsia="宋体" w:cs="宋体"/>
          <w:color w:val="auto"/>
        </w:rPr>
      </w:pPr>
    </w:p>
    <w:p w14:paraId="323F4E25">
      <w:pPr>
        <w:wordWrap w:val="0"/>
        <w:spacing w:line="360" w:lineRule="auto"/>
        <w:ind w:firstLine="420" w:firstLineChars="200"/>
        <w:jc w:val="right"/>
        <w:rPr>
          <w:rFonts w:ascii="宋体" w:hAnsi="宋体" w:eastAsia="宋体" w:cs="宋体"/>
          <w:color w:val="auto"/>
        </w:rPr>
      </w:pPr>
      <w:r>
        <w:rPr>
          <w:rFonts w:hint="eastAsia" w:ascii="宋体" w:hAnsi="宋体" w:eastAsia="宋体" w:cs="宋体"/>
          <w:color w:val="auto"/>
        </w:rPr>
        <w:t>采购人：（盖单位章）</w:t>
      </w:r>
    </w:p>
    <w:p w14:paraId="04228BF6">
      <w:pPr>
        <w:wordWrap w:val="0"/>
        <w:spacing w:line="360" w:lineRule="auto"/>
        <w:ind w:firstLine="420" w:firstLineChars="200"/>
        <w:jc w:val="right"/>
        <w:rPr>
          <w:rFonts w:ascii="宋体" w:hAnsi="宋体" w:eastAsia="宋体" w:cs="宋体"/>
          <w:color w:val="auto"/>
        </w:rPr>
      </w:pPr>
      <w:r>
        <w:rPr>
          <w:rFonts w:hint="eastAsia" w:ascii="宋体" w:hAnsi="宋体" w:eastAsia="宋体" w:cs="宋体"/>
          <w:color w:val="auto"/>
        </w:rPr>
        <w:t>法定代表人：（签字）</w:t>
      </w:r>
    </w:p>
    <w:p w14:paraId="63749801">
      <w:pPr>
        <w:spacing w:line="360" w:lineRule="auto"/>
        <w:ind w:firstLine="4620" w:firstLineChars="2200"/>
        <w:jc w:val="right"/>
        <w:rPr>
          <w:rFonts w:ascii="宋体" w:hAnsi="宋体" w:eastAsia="宋体" w:cs="宋体"/>
          <w:color w:val="auto"/>
          <w:szCs w:val="21"/>
        </w:rPr>
      </w:pPr>
      <w:r>
        <w:rPr>
          <w:rFonts w:hint="eastAsia" w:ascii="宋体" w:hAnsi="宋体" w:eastAsia="宋体" w:cs="宋体"/>
          <w:color w:val="auto"/>
        </w:rPr>
        <w:t>年月日</w:t>
      </w:r>
    </w:p>
    <w:p w14:paraId="32810C44">
      <w:pPr>
        <w:spacing w:line="360" w:lineRule="auto"/>
        <w:rPr>
          <w:rFonts w:ascii="宋体" w:hAnsi="宋体" w:eastAsia="宋体" w:cs="宋体"/>
          <w:color w:val="auto"/>
        </w:rPr>
      </w:pPr>
    </w:p>
    <w:p w14:paraId="0F222F66">
      <w:pPr>
        <w:spacing w:line="360" w:lineRule="auto"/>
        <w:rPr>
          <w:rFonts w:ascii="宋体" w:hAnsi="宋体" w:eastAsia="宋体" w:cs="宋体"/>
          <w:color w:val="auto"/>
        </w:rPr>
      </w:pPr>
    </w:p>
    <w:p w14:paraId="6D6C1F69">
      <w:pPr>
        <w:spacing w:line="360" w:lineRule="auto"/>
        <w:rPr>
          <w:rFonts w:ascii="宋体" w:hAnsi="宋体" w:eastAsia="宋体" w:cs="宋体"/>
          <w:color w:val="auto"/>
        </w:rPr>
      </w:pPr>
    </w:p>
    <w:p w14:paraId="37EB6F9E">
      <w:pPr>
        <w:spacing w:line="360" w:lineRule="auto"/>
        <w:rPr>
          <w:rFonts w:ascii="宋体" w:hAnsi="宋体" w:eastAsia="宋体" w:cs="宋体"/>
          <w:color w:val="auto"/>
        </w:rPr>
      </w:pPr>
    </w:p>
    <w:p w14:paraId="01CF377B">
      <w:pPr>
        <w:spacing w:line="360" w:lineRule="auto"/>
        <w:rPr>
          <w:rFonts w:ascii="宋体" w:hAnsi="宋体" w:eastAsia="宋体" w:cs="宋体"/>
          <w:color w:val="auto"/>
        </w:rPr>
      </w:pPr>
    </w:p>
    <w:p w14:paraId="32F600E3">
      <w:pPr>
        <w:spacing w:line="360" w:lineRule="auto"/>
        <w:rPr>
          <w:rFonts w:ascii="宋体" w:hAnsi="宋体" w:eastAsia="宋体" w:cs="宋体"/>
          <w:color w:val="auto"/>
        </w:rPr>
      </w:pPr>
    </w:p>
    <w:p w14:paraId="274CDBDC">
      <w:pPr>
        <w:spacing w:line="360" w:lineRule="auto"/>
        <w:rPr>
          <w:rFonts w:ascii="宋体" w:hAnsi="宋体" w:eastAsia="宋体" w:cs="宋体"/>
          <w:color w:val="auto"/>
        </w:rPr>
      </w:pPr>
    </w:p>
    <w:p w14:paraId="7996FDE0">
      <w:pPr>
        <w:spacing w:line="360" w:lineRule="auto"/>
        <w:rPr>
          <w:rFonts w:ascii="宋体" w:hAnsi="宋体" w:eastAsia="宋体" w:cs="宋体"/>
          <w:color w:val="auto"/>
        </w:rPr>
      </w:pPr>
    </w:p>
    <w:p w14:paraId="10CF6CBE">
      <w:pPr>
        <w:spacing w:line="360" w:lineRule="auto"/>
        <w:rPr>
          <w:rFonts w:ascii="宋体" w:hAnsi="宋体" w:eastAsia="宋体" w:cs="宋体"/>
          <w:color w:val="auto"/>
        </w:rPr>
      </w:pPr>
    </w:p>
    <w:p w14:paraId="274CE0B1">
      <w:pPr>
        <w:pStyle w:val="7"/>
        <w:spacing w:line="360" w:lineRule="auto"/>
        <w:ind w:left="1680"/>
        <w:rPr>
          <w:rFonts w:ascii="宋体" w:hAnsi="宋体" w:eastAsia="宋体" w:cs="宋体"/>
          <w:color w:val="auto"/>
        </w:rPr>
      </w:pPr>
    </w:p>
    <w:p w14:paraId="6D2BDA22">
      <w:pPr>
        <w:spacing w:line="360" w:lineRule="auto"/>
        <w:rPr>
          <w:rFonts w:ascii="宋体" w:hAnsi="宋体" w:eastAsia="宋体" w:cs="宋体"/>
          <w:color w:val="auto"/>
        </w:rPr>
      </w:pPr>
    </w:p>
    <w:p w14:paraId="06022D26">
      <w:pPr>
        <w:spacing w:line="360" w:lineRule="auto"/>
        <w:rPr>
          <w:rFonts w:ascii="宋体" w:hAnsi="宋体" w:eastAsia="宋体" w:cs="宋体"/>
          <w:color w:val="auto"/>
        </w:rPr>
      </w:pPr>
    </w:p>
    <w:p w14:paraId="103F873B">
      <w:pPr>
        <w:spacing w:line="360" w:lineRule="auto"/>
        <w:rPr>
          <w:rFonts w:ascii="宋体" w:hAnsi="宋体" w:eastAsia="宋体" w:cs="宋体"/>
          <w:color w:val="auto"/>
        </w:rPr>
      </w:pPr>
      <w:r>
        <w:rPr>
          <w:rFonts w:hint="eastAsia" w:ascii="宋体" w:hAnsi="宋体" w:eastAsia="宋体" w:cs="宋体"/>
          <w:color w:val="auto"/>
        </w:rPr>
        <w:br w:type="page"/>
      </w:r>
    </w:p>
    <w:p w14:paraId="11CD3C0A">
      <w:pPr>
        <w:spacing w:line="360" w:lineRule="auto"/>
        <w:rPr>
          <w:rFonts w:ascii="宋体" w:hAnsi="宋体" w:eastAsia="宋体" w:cs="宋体"/>
          <w:b/>
          <w:color w:val="auto"/>
          <w:sz w:val="24"/>
        </w:rPr>
      </w:pPr>
      <w:bookmarkStart w:id="517" w:name="_Toc246996972"/>
      <w:bookmarkStart w:id="518" w:name="_Toc152045586"/>
      <w:bookmarkStart w:id="519" w:name="_Toc144974553"/>
      <w:bookmarkStart w:id="520" w:name="_Toc179632604"/>
      <w:bookmarkStart w:id="521" w:name="_Toc152042363"/>
      <w:bookmarkStart w:id="522" w:name="_Toc247085744"/>
      <w:bookmarkStart w:id="523" w:name="_Toc246996229"/>
      <w:r>
        <w:rPr>
          <w:rFonts w:hint="eastAsia" w:ascii="宋体" w:hAnsi="宋体" w:eastAsia="宋体" w:cs="宋体"/>
          <w:b/>
          <w:color w:val="auto"/>
          <w:sz w:val="24"/>
        </w:rPr>
        <w:t>附件五：确认通知</w:t>
      </w:r>
      <w:bookmarkEnd w:id="517"/>
      <w:bookmarkEnd w:id="518"/>
      <w:bookmarkEnd w:id="519"/>
      <w:bookmarkEnd w:id="520"/>
      <w:bookmarkEnd w:id="521"/>
      <w:bookmarkEnd w:id="522"/>
      <w:bookmarkEnd w:id="523"/>
    </w:p>
    <w:p w14:paraId="288C68E9">
      <w:pPr>
        <w:spacing w:line="360" w:lineRule="auto"/>
        <w:rPr>
          <w:rFonts w:ascii="宋体" w:hAnsi="宋体" w:eastAsia="宋体" w:cs="宋体"/>
          <w:color w:val="auto"/>
        </w:rPr>
      </w:pPr>
    </w:p>
    <w:p w14:paraId="39976A64">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确认通知</w:t>
      </w:r>
    </w:p>
    <w:p w14:paraId="7B5B17FD">
      <w:pPr>
        <w:spacing w:line="360" w:lineRule="auto"/>
        <w:rPr>
          <w:rFonts w:ascii="宋体" w:hAnsi="宋体" w:eastAsia="宋体" w:cs="宋体"/>
          <w:color w:val="auto"/>
        </w:rPr>
      </w:pPr>
    </w:p>
    <w:p w14:paraId="5CAF9E0B">
      <w:pPr>
        <w:spacing w:line="360" w:lineRule="auto"/>
        <w:rPr>
          <w:rFonts w:ascii="宋体" w:hAnsi="宋体" w:eastAsia="宋体" w:cs="宋体"/>
          <w:color w:val="auto"/>
          <w:szCs w:val="21"/>
        </w:rPr>
      </w:pPr>
      <w:r>
        <w:rPr>
          <w:rFonts w:hint="eastAsia" w:ascii="宋体" w:hAnsi="宋体" w:eastAsia="宋体" w:cs="宋体"/>
          <w:color w:val="auto"/>
          <w:szCs w:val="21"/>
        </w:rPr>
        <w:t>（采购人名称）：</w:t>
      </w:r>
    </w:p>
    <w:p w14:paraId="66433CBB">
      <w:pPr>
        <w:spacing w:line="360" w:lineRule="auto"/>
        <w:rPr>
          <w:rFonts w:ascii="宋体" w:hAnsi="宋体" w:eastAsia="宋体" w:cs="宋体"/>
          <w:color w:val="auto"/>
          <w:szCs w:val="21"/>
        </w:rPr>
      </w:pPr>
      <w:r>
        <w:rPr>
          <w:rFonts w:hint="eastAsia" w:ascii="宋体" w:hAnsi="宋体" w:eastAsia="宋体" w:cs="宋体"/>
          <w:color w:val="auto"/>
          <w:szCs w:val="21"/>
        </w:rPr>
        <w:t>　　</w:t>
      </w:r>
    </w:p>
    <w:p w14:paraId="2EB884F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你方于年月日发出的（项目名称）关于</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的通知，我方已于年月日收到。</w:t>
      </w:r>
    </w:p>
    <w:p w14:paraId="4A3CF43D">
      <w:pPr>
        <w:spacing w:line="360" w:lineRule="auto"/>
        <w:rPr>
          <w:rFonts w:ascii="宋体" w:hAnsi="宋体" w:eastAsia="宋体" w:cs="宋体"/>
          <w:color w:val="auto"/>
          <w:szCs w:val="21"/>
        </w:rPr>
      </w:pPr>
    </w:p>
    <w:p w14:paraId="07910425">
      <w:pPr>
        <w:spacing w:line="360" w:lineRule="auto"/>
        <w:rPr>
          <w:rFonts w:ascii="宋体" w:hAnsi="宋体" w:eastAsia="宋体" w:cs="宋体"/>
          <w:color w:val="auto"/>
          <w:szCs w:val="21"/>
        </w:rPr>
      </w:pPr>
      <w:r>
        <w:rPr>
          <w:rFonts w:hint="eastAsia" w:ascii="宋体" w:hAnsi="宋体" w:eastAsia="宋体" w:cs="宋体"/>
          <w:color w:val="auto"/>
          <w:szCs w:val="21"/>
        </w:rPr>
        <w:t>　　特此确认。</w:t>
      </w:r>
    </w:p>
    <w:p w14:paraId="630EB807">
      <w:pPr>
        <w:spacing w:line="360" w:lineRule="auto"/>
        <w:rPr>
          <w:rFonts w:ascii="宋体" w:hAnsi="宋体" w:eastAsia="宋体" w:cs="宋体"/>
          <w:color w:val="auto"/>
          <w:szCs w:val="21"/>
        </w:rPr>
      </w:pPr>
    </w:p>
    <w:p w14:paraId="1C57D986">
      <w:pPr>
        <w:spacing w:line="360" w:lineRule="auto"/>
        <w:rPr>
          <w:rFonts w:ascii="宋体" w:hAnsi="宋体" w:eastAsia="宋体" w:cs="宋体"/>
          <w:color w:val="auto"/>
          <w:szCs w:val="21"/>
        </w:rPr>
      </w:pPr>
    </w:p>
    <w:p w14:paraId="74EBC5B7">
      <w:pPr>
        <w:spacing w:line="360" w:lineRule="auto"/>
        <w:jc w:val="right"/>
        <w:rPr>
          <w:rFonts w:ascii="宋体" w:hAnsi="宋体" w:eastAsia="宋体" w:cs="宋体"/>
          <w:color w:val="auto"/>
          <w:szCs w:val="21"/>
        </w:rPr>
      </w:pPr>
      <w:r>
        <w:rPr>
          <w:rFonts w:hint="eastAsia" w:ascii="宋体" w:hAnsi="宋体" w:eastAsia="宋体" w:cs="宋体"/>
          <w:color w:val="auto"/>
          <w:szCs w:val="21"/>
        </w:rPr>
        <w:t>投标人：（盖单位章）</w:t>
      </w:r>
    </w:p>
    <w:p w14:paraId="0415DEB9">
      <w:pPr>
        <w:pStyle w:val="7"/>
        <w:spacing w:line="360" w:lineRule="auto"/>
        <w:ind w:left="1680"/>
        <w:rPr>
          <w:rFonts w:ascii="宋体" w:hAnsi="宋体" w:eastAsia="宋体" w:cs="宋体"/>
          <w:color w:val="auto"/>
        </w:rPr>
      </w:pPr>
    </w:p>
    <w:p w14:paraId="3EF27B90">
      <w:pPr>
        <w:spacing w:line="360" w:lineRule="auto"/>
        <w:jc w:val="right"/>
        <w:rPr>
          <w:rFonts w:ascii="宋体" w:hAnsi="宋体" w:eastAsia="宋体" w:cs="宋体"/>
          <w:color w:val="auto"/>
        </w:rPr>
      </w:pPr>
      <w:r>
        <w:rPr>
          <w:rFonts w:hint="eastAsia" w:ascii="宋体" w:hAnsi="宋体" w:eastAsia="宋体" w:cs="宋体"/>
          <w:color w:val="auto"/>
        </w:rPr>
        <w:t>法定代表人或委托代理人</w:t>
      </w:r>
      <w:r>
        <w:rPr>
          <w:rFonts w:hint="eastAsia" w:ascii="宋体" w:hAnsi="宋体" w:eastAsia="宋体" w:cs="宋体"/>
          <w:color w:val="auto"/>
          <w:szCs w:val="21"/>
        </w:rPr>
        <w:t>：（签字）</w:t>
      </w:r>
    </w:p>
    <w:p w14:paraId="3F9EC00F">
      <w:pPr>
        <w:spacing w:line="360" w:lineRule="auto"/>
        <w:rPr>
          <w:rFonts w:ascii="宋体" w:hAnsi="宋体" w:eastAsia="宋体" w:cs="宋体"/>
          <w:color w:val="auto"/>
          <w:szCs w:val="21"/>
        </w:rPr>
      </w:pPr>
    </w:p>
    <w:p w14:paraId="01723DFA">
      <w:pPr>
        <w:spacing w:line="360" w:lineRule="auto"/>
        <w:jc w:val="right"/>
        <w:rPr>
          <w:rFonts w:ascii="宋体" w:hAnsi="宋体" w:eastAsia="宋体" w:cs="宋体"/>
          <w:color w:val="auto"/>
          <w:szCs w:val="21"/>
        </w:rPr>
      </w:pPr>
      <w:r>
        <w:rPr>
          <w:rFonts w:hint="eastAsia" w:ascii="宋体" w:hAnsi="宋体" w:eastAsia="宋体" w:cs="宋体"/>
          <w:color w:val="auto"/>
          <w:szCs w:val="21"/>
        </w:rPr>
        <w:t>年月日</w:t>
      </w:r>
    </w:p>
    <w:p w14:paraId="189EE91C">
      <w:pPr>
        <w:spacing w:line="360" w:lineRule="auto"/>
        <w:rPr>
          <w:rFonts w:ascii="宋体" w:hAnsi="宋体" w:eastAsia="宋体" w:cs="宋体"/>
          <w:color w:val="auto"/>
        </w:rPr>
      </w:pPr>
    </w:p>
    <w:p w14:paraId="7A013843">
      <w:pPr>
        <w:spacing w:line="360" w:lineRule="auto"/>
        <w:ind w:right="527"/>
        <w:rPr>
          <w:rFonts w:ascii="宋体" w:hAnsi="宋体" w:eastAsia="宋体" w:cs="宋体"/>
          <w:b/>
          <w:color w:val="auto"/>
          <w:sz w:val="28"/>
          <w:szCs w:val="28"/>
        </w:rPr>
      </w:pPr>
    </w:p>
    <w:p w14:paraId="5EFF2675">
      <w:pPr>
        <w:spacing w:line="360" w:lineRule="auto"/>
        <w:rPr>
          <w:rFonts w:ascii="宋体" w:hAnsi="宋体" w:eastAsia="宋体" w:cs="宋体"/>
          <w:color w:val="auto"/>
          <w:sz w:val="28"/>
          <w:szCs w:val="28"/>
        </w:rPr>
      </w:pPr>
    </w:p>
    <w:p w14:paraId="171E6BDE">
      <w:pPr>
        <w:spacing w:line="360" w:lineRule="auto"/>
        <w:rPr>
          <w:rFonts w:ascii="宋体" w:hAnsi="宋体" w:eastAsia="宋体" w:cs="宋体"/>
          <w:b/>
          <w:color w:val="auto"/>
          <w:sz w:val="28"/>
          <w:szCs w:val="28"/>
        </w:rPr>
      </w:pPr>
    </w:p>
    <w:p w14:paraId="6BE88AF7">
      <w:pPr>
        <w:spacing w:line="360" w:lineRule="auto"/>
        <w:rPr>
          <w:rFonts w:ascii="宋体" w:hAnsi="宋体" w:eastAsia="宋体" w:cs="宋体"/>
          <w:color w:val="auto"/>
          <w:sz w:val="28"/>
          <w:szCs w:val="28"/>
        </w:rPr>
      </w:pPr>
    </w:p>
    <w:p w14:paraId="2CEE09C0">
      <w:pPr>
        <w:spacing w:line="360" w:lineRule="auto"/>
        <w:rPr>
          <w:rFonts w:ascii="宋体" w:hAnsi="宋体" w:eastAsia="宋体" w:cs="宋体"/>
          <w:b/>
          <w:color w:val="auto"/>
          <w:sz w:val="28"/>
          <w:szCs w:val="28"/>
        </w:rPr>
      </w:pPr>
    </w:p>
    <w:p w14:paraId="49C6A45F">
      <w:pPr>
        <w:pStyle w:val="7"/>
        <w:spacing w:line="360" w:lineRule="auto"/>
        <w:ind w:left="1680"/>
        <w:rPr>
          <w:rFonts w:ascii="宋体" w:hAnsi="宋体" w:eastAsia="宋体" w:cs="宋体"/>
          <w:color w:val="auto"/>
        </w:rPr>
      </w:pPr>
      <w:r>
        <w:rPr>
          <w:rFonts w:hint="eastAsia" w:ascii="宋体" w:hAnsi="宋体" w:eastAsia="宋体" w:cs="宋体"/>
          <w:color w:val="auto"/>
        </w:rPr>
        <w:t>、</w:t>
      </w:r>
    </w:p>
    <w:p w14:paraId="0C3B1A96">
      <w:pPr>
        <w:rPr>
          <w:color w:val="auto"/>
        </w:rPr>
      </w:pPr>
    </w:p>
    <w:p w14:paraId="2F842357">
      <w:pPr>
        <w:spacing w:line="360" w:lineRule="auto"/>
        <w:rPr>
          <w:rFonts w:ascii="宋体" w:hAnsi="宋体" w:eastAsia="宋体" w:cs="宋体"/>
          <w:b/>
          <w:bCs/>
          <w:color w:val="auto"/>
          <w:sz w:val="24"/>
          <w:szCs w:val="30"/>
        </w:rPr>
      </w:pPr>
    </w:p>
    <w:p w14:paraId="7BE24711">
      <w:pPr>
        <w:spacing w:line="360" w:lineRule="auto"/>
        <w:rPr>
          <w:rFonts w:ascii="宋体" w:hAnsi="宋体" w:eastAsia="宋体" w:cs="宋体"/>
          <w:b/>
          <w:bCs/>
          <w:color w:val="auto"/>
          <w:sz w:val="24"/>
          <w:szCs w:val="30"/>
        </w:rPr>
      </w:pPr>
    </w:p>
    <w:p w14:paraId="50236DA5">
      <w:pPr>
        <w:spacing w:line="360" w:lineRule="auto"/>
        <w:rPr>
          <w:rFonts w:ascii="宋体" w:hAnsi="宋体" w:eastAsia="宋体" w:cs="宋体"/>
          <w:b/>
          <w:bCs/>
          <w:color w:val="auto"/>
          <w:sz w:val="24"/>
          <w:szCs w:val="30"/>
        </w:rPr>
      </w:pPr>
    </w:p>
    <w:p w14:paraId="3D166ED4">
      <w:pPr>
        <w:spacing w:line="360" w:lineRule="auto"/>
        <w:rPr>
          <w:rFonts w:ascii="宋体" w:hAnsi="宋体" w:eastAsia="宋体" w:cs="宋体"/>
          <w:b/>
          <w:bCs/>
          <w:color w:val="auto"/>
          <w:sz w:val="24"/>
          <w:szCs w:val="30"/>
        </w:rPr>
      </w:pPr>
    </w:p>
    <w:p w14:paraId="6FE0B74B">
      <w:pPr>
        <w:rPr>
          <w:rFonts w:ascii="宋体" w:hAnsi="宋体" w:eastAsia="宋体" w:cs="宋体"/>
          <w:b/>
          <w:bCs/>
          <w:color w:val="auto"/>
          <w:sz w:val="24"/>
          <w:szCs w:val="30"/>
        </w:rPr>
      </w:pPr>
      <w:r>
        <w:rPr>
          <w:rFonts w:hint="eastAsia" w:ascii="宋体" w:hAnsi="宋体" w:eastAsia="宋体" w:cs="宋体"/>
          <w:b/>
          <w:bCs/>
          <w:color w:val="auto"/>
          <w:sz w:val="24"/>
          <w:szCs w:val="30"/>
        </w:rPr>
        <w:br w:type="page"/>
      </w:r>
    </w:p>
    <w:p w14:paraId="2F669712">
      <w:pPr>
        <w:spacing w:line="360" w:lineRule="auto"/>
        <w:rPr>
          <w:rFonts w:ascii="宋体" w:hAnsi="宋体" w:eastAsia="宋体" w:cs="宋体"/>
          <w:b/>
          <w:bCs/>
          <w:color w:val="auto"/>
          <w:sz w:val="24"/>
          <w:szCs w:val="30"/>
        </w:rPr>
      </w:pPr>
      <w:r>
        <w:rPr>
          <w:rFonts w:hint="eastAsia" w:ascii="宋体" w:hAnsi="宋体" w:eastAsia="宋体" w:cs="宋体"/>
          <w:b/>
          <w:bCs/>
          <w:color w:val="auto"/>
          <w:sz w:val="24"/>
          <w:szCs w:val="30"/>
        </w:rPr>
        <w:t>附件六：电子投标文件编制及报送要求</w:t>
      </w:r>
    </w:p>
    <w:p w14:paraId="653004DA">
      <w:pPr>
        <w:spacing w:line="360" w:lineRule="auto"/>
        <w:jc w:val="center"/>
        <w:rPr>
          <w:rFonts w:ascii="宋体" w:hAnsi="宋体" w:eastAsia="宋体" w:cs="宋体"/>
          <w:b/>
          <w:color w:val="auto"/>
          <w:sz w:val="24"/>
          <w:szCs w:val="30"/>
        </w:rPr>
      </w:pPr>
      <w:r>
        <w:rPr>
          <w:rFonts w:hint="eastAsia" w:ascii="宋体" w:hAnsi="宋体" w:eastAsia="宋体" w:cs="宋体"/>
          <w:b/>
          <w:color w:val="auto"/>
          <w:sz w:val="24"/>
          <w:szCs w:val="30"/>
        </w:rPr>
        <w:t>电子投标文件编制要求</w:t>
      </w:r>
    </w:p>
    <w:p w14:paraId="40751C54">
      <w:pPr>
        <w:spacing w:line="360" w:lineRule="auto"/>
        <w:rPr>
          <w:rFonts w:ascii="宋体" w:hAnsi="宋体" w:eastAsia="宋体" w:cs="宋体"/>
          <w:color w:val="auto"/>
          <w:szCs w:val="21"/>
        </w:rPr>
      </w:pPr>
      <w:r>
        <w:rPr>
          <w:rFonts w:hint="eastAsia" w:ascii="宋体" w:hAnsi="宋体" w:eastAsia="宋体" w:cs="宋体"/>
          <w:color w:val="auto"/>
          <w:szCs w:val="21"/>
        </w:rPr>
        <w:t>一、投标人应按采购文件要求编制投标文件，将所有投标文件内容上传至“政采云”平台，并使用制作投标文件时用来加密的有效数字证书（CA认证）对投标文件进行解密。</w:t>
      </w:r>
    </w:p>
    <w:p w14:paraId="0C17C8B1">
      <w:pPr>
        <w:spacing w:line="360" w:lineRule="auto"/>
        <w:rPr>
          <w:rFonts w:hint="eastAsia" w:ascii="宋体" w:hAnsi="宋体" w:eastAsia="宋体" w:cs="宋体"/>
          <w:color w:val="auto"/>
          <w:szCs w:val="21"/>
        </w:rPr>
      </w:pPr>
      <w:r>
        <w:rPr>
          <w:rFonts w:hint="eastAsia" w:ascii="宋体" w:hAnsi="宋体" w:eastAsia="宋体" w:cs="宋体"/>
          <w:color w:val="auto"/>
          <w:szCs w:val="21"/>
        </w:rPr>
        <w:t>二、电子投标文件中反应投标人资格审查的图片、扫描件、文字描述等，必须清晰可见。</w:t>
      </w:r>
    </w:p>
    <w:p w14:paraId="391E4B6F">
      <w:pPr>
        <w:spacing w:line="360" w:lineRule="auto"/>
        <w:rPr>
          <w:rFonts w:ascii="宋体" w:hAnsi="宋体" w:eastAsia="宋体" w:cs="宋体"/>
          <w:color w:val="auto"/>
          <w:szCs w:val="21"/>
        </w:rPr>
      </w:pPr>
      <w:r>
        <w:rPr>
          <w:rFonts w:hint="eastAsia" w:ascii="宋体" w:hAnsi="宋体" w:eastAsia="宋体" w:cs="宋体"/>
          <w:color w:val="auto"/>
          <w:szCs w:val="21"/>
        </w:rPr>
        <w:t>三、投标人应在采购文件要求提交投标文件的截止时间前，完成电子投标文件上传。</w:t>
      </w:r>
    </w:p>
    <w:p w14:paraId="08765B53">
      <w:pPr>
        <w:spacing w:line="360" w:lineRule="auto"/>
        <w:rPr>
          <w:rFonts w:ascii="宋体" w:hAnsi="宋体" w:eastAsia="宋体" w:cs="宋体"/>
          <w:color w:val="auto"/>
          <w:szCs w:val="21"/>
        </w:rPr>
      </w:pPr>
      <w:r>
        <w:rPr>
          <w:rFonts w:hint="eastAsia" w:ascii="宋体" w:hAnsi="宋体" w:eastAsia="宋体" w:cs="宋体"/>
          <w:color w:val="auto"/>
          <w:szCs w:val="21"/>
        </w:rPr>
        <w:t>四、若投标人上传的电子投标文件因无法解密而对投标文件无法进行评价的，采购人可以拒绝该投标人投标。</w:t>
      </w:r>
    </w:p>
    <w:p w14:paraId="432544FA">
      <w:pPr>
        <w:spacing w:line="360" w:lineRule="auto"/>
        <w:jc w:val="left"/>
        <w:rPr>
          <w:rFonts w:ascii="宋体" w:hAnsi="宋体" w:eastAsia="宋体" w:cs="宋体"/>
          <w:color w:val="auto"/>
        </w:rPr>
      </w:pPr>
    </w:p>
    <w:p w14:paraId="1907A888">
      <w:pPr>
        <w:rPr>
          <w:color w:val="auto"/>
        </w:rPr>
      </w:pPr>
    </w:p>
    <w:p w14:paraId="74920A36">
      <w:pPr>
        <w:rPr>
          <w:color w:val="auto"/>
        </w:rPr>
      </w:pPr>
      <w:r>
        <w:rPr>
          <w:rFonts w:hint="eastAsia"/>
          <w:color w:val="auto"/>
        </w:rPr>
        <w:br w:type="page"/>
      </w:r>
    </w:p>
    <w:p w14:paraId="22244D74">
      <w:pPr>
        <w:pStyle w:val="2"/>
        <w:rPr>
          <w:rFonts w:hint="eastAsia"/>
          <w:color w:val="auto"/>
        </w:rPr>
      </w:pPr>
      <w:bookmarkStart w:id="524" w:name="_Toc20346"/>
      <w:bookmarkStart w:id="525" w:name="_Toc8108"/>
      <w:r>
        <w:rPr>
          <w:rFonts w:hint="eastAsia"/>
          <w:color w:val="auto"/>
        </w:rPr>
        <w:t>第三章、评标办法</w:t>
      </w:r>
      <w:bookmarkEnd w:id="42"/>
      <w:bookmarkEnd w:id="43"/>
      <w:bookmarkEnd w:id="44"/>
      <w:bookmarkEnd w:id="45"/>
      <w:bookmarkEnd w:id="46"/>
      <w:bookmarkEnd w:id="47"/>
      <w:bookmarkEnd w:id="48"/>
      <w:bookmarkEnd w:id="49"/>
      <w:bookmarkEnd w:id="50"/>
      <w:bookmarkEnd w:id="51"/>
      <w:bookmarkEnd w:id="524"/>
      <w:bookmarkEnd w:id="525"/>
      <w:bookmarkStart w:id="526" w:name="_Toc20332"/>
      <w:bookmarkStart w:id="527" w:name="_Toc2807"/>
      <w:bookmarkStart w:id="528" w:name="_Toc32564"/>
      <w:bookmarkStart w:id="529" w:name="_Toc28446"/>
      <w:bookmarkStart w:id="530" w:name="_Toc12089"/>
    </w:p>
    <w:p w14:paraId="0EDCCF64">
      <w:r>
        <w:rPr>
          <w:rFonts w:hint="eastAsia" w:ascii="宋体" w:hAnsi="宋体" w:cs="宋体"/>
          <w:b/>
          <w:bCs/>
          <w:color w:val="auto"/>
          <w:sz w:val="24"/>
          <w:szCs w:val="24"/>
        </w:rPr>
        <w:t>资格性审查表</w:t>
      </w:r>
    </w:p>
    <w:bookmarkEnd w:id="526"/>
    <w:bookmarkEnd w:id="527"/>
    <w:tbl>
      <w:tblPr>
        <w:tblStyle w:val="24"/>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23"/>
        <w:gridCol w:w="1550"/>
        <w:gridCol w:w="6809"/>
      </w:tblGrid>
      <w:tr w14:paraId="7B2C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gridSpan w:val="2"/>
            <w:vAlign w:val="center"/>
          </w:tcPr>
          <w:p w14:paraId="0E469EDA">
            <w:pPr>
              <w:autoSpaceDE w:val="0"/>
              <w:autoSpaceDN w:val="0"/>
              <w:adjustRightInd w:val="0"/>
              <w:snapToGrid w:val="0"/>
              <w:spacing w:line="360" w:lineRule="auto"/>
              <w:jc w:val="center"/>
              <w:rPr>
                <w:rFonts w:ascii="宋体" w:hAnsi="宋体" w:eastAsia="宋体" w:cs="宋体"/>
                <w:color w:val="auto"/>
              </w:rPr>
            </w:pPr>
            <w:r>
              <w:rPr>
                <w:rFonts w:hint="eastAsia" w:ascii="宋体" w:hAnsi="宋体" w:eastAsia="宋体" w:cs="宋体"/>
                <w:color w:val="auto"/>
              </w:rPr>
              <w:t>条款号</w:t>
            </w:r>
          </w:p>
        </w:tc>
        <w:tc>
          <w:tcPr>
            <w:tcW w:w="1550" w:type="dxa"/>
            <w:vAlign w:val="center"/>
          </w:tcPr>
          <w:p w14:paraId="6675F735">
            <w:pPr>
              <w:autoSpaceDE w:val="0"/>
              <w:autoSpaceDN w:val="0"/>
              <w:adjustRightInd w:val="0"/>
              <w:snapToGrid w:val="0"/>
              <w:spacing w:line="360" w:lineRule="auto"/>
              <w:jc w:val="center"/>
              <w:rPr>
                <w:rFonts w:ascii="宋体" w:hAnsi="宋体" w:eastAsia="宋体" w:cs="宋体"/>
                <w:color w:val="auto"/>
              </w:rPr>
            </w:pPr>
            <w:r>
              <w:rPr>
                <w:rFonts w:hint="eastAsia" w:ascii="宋体" w:hAnsi="宋体" w:eastAsia="宋体" w:cs="宋体"/>
                <w:color w:val="auto"/>
              </w:rPr>
              <w:t>评审因素</w:t>
            </w:r>
          </w:p>
        </w:tc>
        <w:tc>
          <w:tcPr>
            <w:tcW w:w="6809" w:type="dxa"/>
            <w:vAlign w:val="center"/>
          </w:tcPr>
          <w:p w14:paraId="12DEE927">
            <w:pPr>
              <w:autoSpaceDE w:val="0"/>
              <w:autoSpaceDN w:val="0"/>
              <w:adjustRightInd w:val="0"/>
              <w:snapToGrid w:val="0"/>
              <w:spacing w:line="360" w:lineRule="auto"/>
              <w:jc w:val="center"/>
              <w:rPr>
                <w:rFonts w:ascii="宋体" w:hAnsi="宋体" w:eastAsia="宋体" w:cs="宋体"/>
                <w:color w:val="auto"/>
              </w:rPr>
            </w:pPr>
            <w:r>
              <w:rPr>
                <w:rFonts w:hint="eastAsia" w:ascii="宋体" w:hAnsi="宋体" w:eastAsia="宋体" w:cs="宋体"/>
                <w:color w:val="auto"/>
              </w:rPr>
              <w:t>评审标准</w:t>
            </w:r>
          </w:p>
        </w:tc>
      </w:tr>
      <w:tr w14:paraId="5E4A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69" w:type="dxa"/>
            <w:vMerge w:val="restart"/>
            <w:vAlign w:val="center"/>
          </w:tcPr>
          <w:p w14:paraId="3A612E65">
            <w:pPr>
              <w:autoSpaceDE w:val="0"/>
              <w:autoSpaceDN w:val="0"/>
              <w:adjustRightInd w:val="0"/>
              <w:snapToGrid w:val="0"/>
              <w:spacing w:line="360" w:lineRule="auto"/>
              <w:rPr>
                <w:rFonts w:ascii="宋体" w:hAnsi="宋体" w:eastAsia="宋体" w:cs="宋体"/>
                <w:color w:val="auto"/>
              </w:rPr>
            </w:pPr>
            <w:r>
              <w:rPr>
                <w:rFonts w:hint="eastAsia" w:ascii="宋体" w:hAnsi="宋体" w:eastAsia="宋体" w:cs="宋体"/>
                <w:color w:val="auto"/>
              </w:rPr>
              <w:t>2.1.2</w:t>
            </w:r>
          </w:p>
        </w:tc>
        <w:tc>
          <w:tcPr>
            <w:tcW w:w="723" w:type="dxa"/>
            <w:vMerge w:val="restart"/>
            <w:vAlign w:val="center"/>
          </w:tcPr>
          <w:p w14:paraId="20596F80">
            <w:pPr>
              <w:autoSpaceDE w:val="0"/>
              <w:autoSpaceDN w:val="0"/>
              <w:adjustRightInd w:val="0"/>
              <w:snapToGrid w:val="0"/>
              <w:spacing w:line="360" w:lineRule="auto"/>
              <w:jc w:val="center"/>
              <w:rPr>
                <w:rFonts w:ascii="宋体" w:hAnsi="宋体" w:eastAsia="宋体" w:cs="宋体"/>
                <w:color w:val="auto"/>
              </w:rPr>
            </w:pPr>
            <w:r>
              <w:rPr>
                <w:rFonts w:hint="eastAsia" w:ascii="宋体" w:hAnsi="宋体" w:eastAsia="宋体" w:cs="宋体"/>
                <w:color w:val="auto"/>
              </w:rPr>
              <w:t>资格评审标准</w:t>
            </w:r>
          </w:p>
        </w:tc>
        <w:tc>
          <w:tcPr>
            <w:tcW w:w="1550" w:type="dxa"/>
            <w:vAlign w:val="center"/>
          </w:tcPr>
          <w:p w14:paraId="33E90D17">
            <w:pPr>
              <w:autoSpaceDE w:val="0"/>
              <w:autoSpaceDN w:val="0"/>
              <w:adjustRightInd w:val="0"/>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营业执照</w:t>
            </w:r>
          </w:p>
        </w:tc>
        <w:tc>
          <w:tcPr>
            <w:tcW w:w="6809" w:type="dxa"/>
            <w:vAlign w:val="center"/>
          </w:tcPr>
          <w:p w14:paraId="72F804B5">
            <w:pPr>
              <w:autoSpaceDE w:val="0"/>
              <w:autoSpaceDN w:val="0"/>
              <w:adjustRightInd w:val="0"/>
              <w:snapToGrid w:val="0"/>
              <w:spacing w:line="360"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供应商须是在中华人民共和国境内登记注册具备独立法人资格或省级以上分公司资格</w:t>
            </w:r>
            <w:r>
              <w:rPr>
                <w:rFonts w:hint="eastAsia" w:ascii="宋体" w:hAnsi="宋体" w:eastAsia="宋体" w:cs="宋体"/>
                <w:color w:val="auto"/>
                <w:kern w:val="0"/>
                <w:szCs w:val="21"/>
                <w:highlight w:val="none"/>
                <w:lang w:eastAsia="zh-CN" w:bidi="ar"/>
              </w:rPr>
              <w:t>（分公司投标必须取得总公司授权，</w:t>
            </w:r>
            <w:r>
              <w:rPr>
                <w:rFonts w:hint="eastAsia" w:ascii="宋体" w:hAnsi="宋体" w:eastAsia="宋体" w:cs="宋体"/>
                <w:color w:val="auto"/>
                <w:kern w:val="0"/>
                <w:szCs w:val="21"/>
                <w:highlight w:val="none"/>
                <w:lang w:val="en-US" w:eastAsia="zh-CN" w:bidi="ar"/>
              </w:rPr>
              <w:t>只允许一家公司或分公司、分支机构参与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，具有有效的营业执照，且为国家银行保险监督管理机构批准的财产保险公司</w:t>
            </w:r>
          </w:p>
          <w:p w14:paraId="46AD2C10">
            <w:pPr>
              <w:autoSpaceDE w:val="0"/>
              <w:autoSpaceDN w:val="0"/>
              <w:adjustRightInd w:val="0"/>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（1、证明材料需加盖投标人公章，所列经营（业务）范围应包含投标标的；2、证明材料有效期应包含投标截止日。）</w:t>
            </w:r>
          </w:p>
        </w:tc>
      </w:tr>
      <w:tr w14:paraId="2071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69" w:type="dxa"/>
            <w:vMerge w:val="continue"/>
            <w:vAlign w:val="center"/>
          </w:tcPr>
          <w:p w14:paraId="59518B71">
            <w:pPr>
              <w:autoSpaceDE w:val="0"/>
              <w:autoSpaceDN w:val="0"/>
              <w:adjustRightInd w:val="0"/>
              <w:snapToGrid w:val="0"/>
              <w:spacing w:line="360" w:lineRule="auto"/>
              <w:rPr>
                <w:rFonts w:ascii="宋体" w:hAnsi="宋体" w:eastAsia="宋体" w:cs="宋体"/>
                <w:color w:val="auto"/>
              </w:rPr>
            </w:pPr>
          </w:p>
        </w:tc>
        <w:tc>
          <w:tcPr>
            <w:tcW w:w="723" w:type="dxa"/>
            <w:vMerge w:val="continue"/>
            <w:vAlign w:val="center"/>
          </w:tcPr>
          <w:p w14:paraId="1649A504">
            <w:pPr>
              <w:autoSpaceDE w:val="0"/>
              <w:autoSpaceDN w:val="0"/>
              <w:adjustRightInd w:val="0"/>
              <w:snapToGrid w:val="0"/>
              <w:spacing w:line="360" w:lineRule="auto"/>
              <w:jc w:val="center"/>
              <w:rPr>
                <w:rFonts w:ascii="宋体" w:hAnsi="宋体" w:eastAsia="宋体" w:cs="宋体"/>
                <w:color w:val="auto"/>
              </w:rPr>
            </w:pPr>
          </w:p>
        </w:tc>
        <w:tc>
          <w:tcPr>
            <w:tcW w:w="1550" w:type="dxa"/>
            <w:vAlign w:val="center"/>
          </w:tcPr>
          <w:p w14:paraId="40A2DBDF">
            <w:pPr>
              <w:autoSpaceDE w:val="0"/>
              <w:autoSpaceDN w:val="0"/>
              <w:adjustRightInd w:val="0"/>
              <w:snapToGrid w:val="0"/>
              <w:spacing w:line="360" w:lineRule="auto"/>
              <w:jc w:val="center"/>
              <w:rPr>
                <w:rFonts w:ascii="宋体" w:hAnsi="宋体" w:eastAsia="宋体" w:cs="宋体"/>
                <w:color w:val="auto"/>
              </w:rPr>
            </w:pPr>
            <w:r>
              <w:rPr>
                <w:rFonts w:hint="eastAsia" w:ascii="宋体" w:hAnsi="宋体" w:eastAsia="宋体" w:cs="宋体"/>
                <w:color w:val="auto"/>
              </w:rPr>
              <w:t>资质要求</w:t>
            </w:r>
          </w:p>
        </w:tc>
        <w:tc>
          <w:tcPr>
            <w:tcW w:w="6809" w:type="dxa"/>
            <w:vAlign w:val="center"/>
          </w:tcPr>
          <w:p w14:paraId="21881FD5">
            <w:pPr>
              <w:autoSpaceDE w:val="0"/>
              <w:autoSpaceDN w:val="0"/>
              <w:adjustRightInd w:val="0"/>
              <w:snapToGrid w:val="0"/>
              <w:spacing w:line="360" w:lineRule="auto"/>
              <w:rPr>
                <w:rFonts w:ascii="宋体" w:hAnsi="宋体" w:eastAsia="宋体" w:cs="宋体"/>
                <w:color w:val="auto"/>
                <w:szCs w:val="21"/>
              </w:rPr>
            </w:pPr>
            <w:r>
              <w:rPr>
                <w:rFonts w:ascii="宋体" w:hAnsi="宋体" w:eastAsia="宋体" w:cs="宋体"/>
                <w:color w:val="auto"/>
                <w:szCs w:val="21"/>
              </w:rPr>
              <w:t>投标人须具有有效的《经营保险业务许可证》</w:t>
            </w:r>
          </w:p>
        </w:tc>
      </w:tr>
      <w:tr w14:paraId="7399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469" w:type="dxa"/>
            <w:vMerge w:val="continue"/>
            <w:vAlign w:val="center"/>
          </w:tcPr>
          <w:p w14:paraId="32165E66">
            <w:pPr>
              <w:autoSpaceDE w:val="0"/>
              <w:autoSpaceDN w:val="0"/>
              <w:adjustRightInd w:val="0"/>
              <w:snapToGrid w:val="0"/>
              <w:spacing w:line="360" w:lineRule="auto"/>
              <w:rPr>
                <w:rFonts w:ascii="宋体" w:hAnsi="宋体" w:eastAsia="宋体" w:cs="宋体"/>
                <w:color w:val="auto"/>
              </w:rPr>
            </w:pPr>
          </w:p>
        </w:tc>
        <w:tc>
          <w:tcPr>
            <w:tcW w:w="723" w:type="dxa"/>
            <w:vMerge w:val="continue"/>
            <w:vAlign w:val="center"/>
          </w:tcPr>
          <w:p w14:paraId="60C675B2">
            <w:pPr>
              <w:autoSpaceDE w:val="0"/>
              <w:autoSpaceDN w:val="0"/>
              <w:adjustRightInd w:val="0"/>
              <w:snapToGrid w:val="0"/>
              <w:spacing w:line="360" w:lineRule="auto"/>
              <w:rPr>
                <w:rFonts w:ascii="宋体" w:hAnsi="宋体" w:eastAsia="宋体" w:cs="宋体"/>
                <w:color w:val="auto"/>
              </w:rPr>
            </w:pPr>
          </w:p>
        </w:tc>
        <w:tc>
          <w:tcPr>
            <w:tcW w:w="1550" w:type="dxa"/>
            <w:shd w:val="clear" w:color="auto" w:fill="auto"/>
            <w:vAlign w:val="center"/>
          </w:tcPr>
          <w:p w14:paraId="343E835D">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cs="宋体" w:eastAsiaTheme="minorEastAsia"/>
                <w:bCs/>
                <w:kern w:val="2"/>
                <w:sz w:val="21"/>
                <w:szCs w:val="24"/>
                <w:highlight w:val="none"/>
                <w:lang w:val="zh-CN" w:eastAsia="zh-CN" w:bidi="ar-SA"/>
              </w:rPr>
            </w:pPr>
            <w:r>
              <w:rPr>
                <w:rFonts w:hint="eastAsia" w:ascii="宋体" w:hAnsi="宋体" w:cs="宋体"/>
                <w:color w:val="000000"/>
                <w:kern w:val="0"/>
                <w:highlight w:val="none"/>
                <w:lang w:bidi="ar"/>
              </w:rPr>
              <w:t>财务状况</w:t>
            </w:r>
          </w:p>
        </w:tc>
        <w:tc>
          <w:tcPr>
            <w:tcW w:w="6809" w:type="dxa"/>
            <w:shd w:val="clear" w:color="auto" w:fill="auto"/>
            <w:vAlign w:val="center"/>
          </w:tcPr>
          <w:p w14:paraId="4EE6DB86">
            <w:pPr>
              <w:keepNext w:val="0"/>
              <w:keepLines w:val="0"/>
              <w:pageBreakBefore w:val="0"/>
              <w:widowControl w:val="0"/>
              <w:kinsoku/>
              <w:wordWrap/>
              <w:overflowPunct/>
              <w:topLinePunct w:val="0"/>
              <w:autoSpaceDE/>
              <w:autoSpaceDN/>
              <w:bidi w:val="0"/>
              <w:snapToGrid w:val="0"/>
              <w:spacing w:after="0" w:line="360" w:lineRule="auto"/>
              <w:jc w:val="left"/>
              <w:textAlignment w:val="auto"/>
              <w:rPr>
                <w:rFonts w:hint="eastAsia" w:ascii="宋体" w:hAnsi="宋体" w:cs="宋体"/>
                <w:highlight w:val="none"/>
              </w:rPr>
            </w:pPr>
            <w:r>
              <w:rPr>
                <w:rFonts w:hint="eastAsia" w:ascii="宋体" w:hAnsi="宋体" w:cs="宋体"/>
                <w:highlight w:val="none"/>
              </w:rPr>
              <w:t>供应商须具有良好的商业信誉和健全的财务会计制度，提供近三年（</w:t>
            </w:r>
            <w:r>
              <w:rPr>
                <w:rFonts w:hint="eastAsia" w:ascii="宋体" w:hAnsi="宋体" w:cs="宋体"/>
                <w:highlight w:val="none"/>
                <w:lang w:eastAsia="zh-CN"/>
              </w:rPr>
              <w:t>202</w:t>
            </w:r>
            <w:r>
              <w:rPr>
                <w:rFonts w:hint="eastAsia" w:ascii="宋体" w:hAnsi="宋体" w:cs="宋体"/>
                <w:highlight w:val="none"/>
                <w:lang w:val="en-US" w:eastAsia="zh-CN"/>
              </w:rPr>
              <w:t>3</w:t>
            </w:r>
            <w:r>
              <w:rPr>
                <w:rFonts w:hint="eastAsia" w:ascii="宋体" w:hAnsi="宋体" w:cs="宋体"/>
                <w:highlight w:val="none"/>
                <w:lang w:eastAsia="zh-CN"/>
              </w:rPr>
              <w:t>年、202</w:t>
            </w:r>
            <w:r>
              <w:rPr>
                <w:rFonts w:hint="eastAsia" w:ascii="宋体" w:hAnsi="宋体" w:cs="宋体"/>
                <w:highlight w:val="none"/>
                <w:lang w:val="en-US" w:eastAsia="zh-CN"/>
              </w:rPr>
              <w:t>4</w:t>
            </w:r>
            <w:r>
              <w:rPr>
                <w:rFonts w:hint="eastAsia" w:ascii="宋体" w:hAnsi="宋体" w:cs="宋体"/>
                <w:highlight w:val="none"/>
                <w:lang w:eastAsia="zh-CN"/>
              </w:rPr>
              <w:t>年、202</w:t>
            </w:r>
            <w:r>
              <w:rPr>
                <w:rFonts w:hint="eastAsia" w:ascii="宋体" w:hAnsi="宋体" w:cs="宋体"/>
                <w:highlight w:val="none"/>
                <w:lang w:val="en-US" w:eastAsia="zh-CN"/>
              </w:rPr>
              <w:t>5</w:t>
            </w:r>
            <w:r>
              <w:rPr>
                <w:rFonts w:hint="eastAsia" w:ascii="宋体" w:hAnsi="宋体" w:cs="宋体"/>
                <w:highlight w:val="none"/>
                <w:lang w:eastAsia="zh-CN"/>
              </w:rPr>
              <w:t>年</w:t>
            </w:r>
            <w:r>
              <w:rPr>
                <w:rFonts w:hint="eastAsia" w:ascii="宋体" w:hAnsi="宋体" w:cs="宋体"/>
                <w:highlight w:val="none"/>
              </w:rPr>
              <w:t>）经第三方会计师事务所审计的完整财务审计报告。(近年成立企业提供成立之日起至202</w:t>
            </w:r>
            <w:r>
              <w:rPr>
                <w:rFonts w:hint="eastAsia" w:ascii="宋体" w:hAnsi="宋体" w:cs="宋体"/>
                <w:highlight w:val="none"/>
                <w:lang w:val="en-US" w:eastAsia="zh-CN"/>
              </w:rPr>
              <w:t>5</w:t>
            </w:r>
            <w:r>
              <w:rPr>
                <w:rFonts w:hint="eastAsia" w:ascii="宋体" w:hAnsi="宋体" w:cs="宋体"/>
                <w:highlight w:val="none"/>
              </w:rPr>
              <w:t>年审计报告，如为202</w:t>
            </w:r>
            <w:r>
              <w:rPr>
                <w:rFonts w:hint="eastAsia" w:ascii="宋体" w:hAnsi="宋体" w:cs="宋体"/>
                <w:highlight w:val="none"/>
                <w:lang w:val="en-US" w:eastAsia="zh-CN"/>
              </w:rPr>
              <w:t>5</w:t>
            </w:r>
            <w:r>
              <w:rPr>
                <w:rFonts w:hint="eastAsia" w:ascii="宋体" w:hAnsi="宋体" w:cs="宋体"/>
                <w:highlight w:val="none"/>
              </w:rPr>
              <w:t>年12月31日以后成立的企业，则需要提供财务状况良好承诺</w:t>
            </w:r>
            <w:r>
              <w:rPr>
                <w:rFonts w:hint="eastAsia" w:ascii="宋体" w:hAnsi="宋体" w:cs="宋体"/>
                <w:highlight w:val="none"/>
                <w:lang w:val="en-US" w:eastAsia="zh-CN"/>
              </w:rPr>
              <w:t>书</w:t>
            </w:r>
            <w:r>
              <w:rPr>
                <w:rFonts w:hint="eastAsia" w:ascii="宋体" w:hAnsi="宋体" w:cs="宋体"/>
                <w:highlight w:val="none"/>
              </w:rPr>
              <w:t>)。</w:t>
            </w:r>
          </w:p>
          <w:p w14:paraId="0A0DAD05">
            <w:pPr>
              <w:keepNext w:val="0"/>
              <w:keepLines w:val="0"/>
              <w:pageBreakBefore w:val="0"/>
              <w:widowControl w:val="0"/>
              <w:kinsoku/>
              <w:wordWrap/>
              <w:overflowPunct/>
              <w:topLinePunct w:val="0"/>
              <w:autoSpaceDE/>
              <w:autoSpaceDN/>
              <w:bidi w:val="0"/>
              <w:snapToGrid w:val="0"/>
              <w:spacing w:after="0" w:line="360" w:lineRule="auto"/>
              <w:jc w:val="left"/>
              <w:textAlignment w:val="auto"/>
              <w:rPr>
                <w:rFonts w:hint="eastAsia" w:ascii="宋体" w:hAnsi="宋体" w:cs="宋体" w:eastAsiaTheme="minorEastAsia"/>
                <w:kern w:val="2"/>
                <w:sz w:val="21"/>
                <w:szCs w:val="24"/>
                <w:highlight w:val="none"/>
                <w:lang w:val="zh-CN" w:eastAsia="zh-CN" w:bidi="ar-SA"/>
              </w:rPr>
            </w:pPr>
            <w:r>
              <w:rPr>
                <w:rFonts w:hint="eastAsia" w:ascii="宋体" w:hAnsi="宋体" w:cs="宋体"/>
                <w:b/>
                <w:bCs/>
                <w:highlight w:val="none"/>
              </w:rPr>
              <w:t>响应文件内附复印件加盖公章。</w:t>
            </w:r>
          </w:p>
        </w:tc>
      </w:tr>
      <w:tr w14:paraId="3DE4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69" w:type="dxa"/>
            <w:vMerge w:val="continue"/>
            <w:vAlign w:val="center"/>
          </w:tcPr>
          <w:p w14:paraId="259A9FE2">
            <w:pPr>
              <w:autoSpaceDE w:val="0"/>
              <w:autoSpaceDN w:val="0"/>
              <w:adjustRightInd w:val="0"/>
              <w:snapToGrid w:val="0"/>
              <w:spacing w:line="360" w:lineRule="auto"/>
              <w:rPr>
                <w:rFonts w:ascii="宋体" w:hAnsi="宋体" w:eastAsia="宋体" w:cs="宋体"/>
                <w:color w:val="auto"/>
              </w:rPr>
            </w:pPr>
          </w:p>
        </w:tc>
        <w:tc>
          <w:tcPr>
            <w:tcW w:w="723" w:type="dxa"/>
            <w:vMerge w:val="continue"/>
            <w:vAlign w:val="center"/>
          </w:tcPr>
          <w:p w14:paraId="70AB2EF4">
            <w:pPr>
              <w:autoSpaceDE w:val="0"/>
              <w:autoSpaceDN w:val="0"/>
              <w:adjustRightInd w:val="0"/>
              <w:snapToGrid w:val="0"/>
              <w:spacing w:line="360" w:lineRule="auto"/>
              <w:rPr>
                <w:rFonts w:ascii="宋体" w:hAnsi="宋体" w:eastAsia="宋体" w:cs="宋体"/>
                <w:color w:val="auto"/>
              </w:rPr>
            </w:pPr>
          </w:p>
        </w:tc>
        <w:tc>
          <w:tcPr>
            <w:tcW w:w="1550" w:type="dxa"/>
            <w:shd w:val="clear" w:color="auto" w:fill="auto"/>
            <w:vAlign w:val="center"/>
          </w:tcPr>
          <w:p w14:paraId="6D358F3F">
            <w:pPr>
              <w:keepNext w:val="0"/>
              <w:keepLines w:val="0"/>
              <w:pageBreakBefore w:val="0"/>
              <w:widowControl w:val="0"/>
              <w:kinsoku/>
              <w:wordWrap/>
              <w:overflowPunct/>
              <w:topLinePunct w:val="0"/>
              <w:autoSpaceDE/>
              <w:autoSpaceDN/>
              <w:bidi w:val="0"/>
              <w:snapToGrid w:val="0"/>
              <w:spacing w:after="0" w:line="360" w:lineRule="auto"/>
              <w:jc w:val="center"/>
              <w:textAlignment w:val="auto"/>
              <w:rPr>
                <w:rFonts w:hint="eastAsia" w:ascii="宋体" w:hAnsi="宋体" w:cs="宋体" w:eastAsiaTheme="minorEastAsia"/>
                <w:bCs/>
                <w:kern w:val="2"/>
                <w:sz w:val="21"/>
                <w:szCs w:val="24"/>
                <w:highlight w:val="none"/>
                <w:lang w:val="zh-CN" w:eastAsia="zh-CN" w:bidi="ar-SA"/>
              </w:rPr>
            </w:pPr>
            <w:r>
              <w:rPr>
                <w:rFonts w:hint="eastAsia" w:ascii="宋体" w:hAnsi="宋体" w:cs="Calibri"/>
                <w:highlight w:val="none"/>
              </w:rPr>
              <w:t>依法缴纳税收和社会保障资金的良好记录</w:t>
            </w:r>
          </w:p>
        </w:tc>
        <w:tc>
          <w:tcPr>
            <w:tcW w:w="6809" w:type="dxa"/>
            <w:shd w:val="clear" w:color="auto" w:fill="auto"/>
            <w:vAlign w:val="center"/>
          </w:tcPr>
          <w:p w14:paraId="4C6CFF6A">
            <w:pPr>
              <w:keepNext w:val="0"/>
              <w:keepLines w:val="0"/>
              <w:pageBreakBefore w:val="0"/>
              <w:widowControl w:val="0"/>
              <w:kinsoku/>
              <w:wordWrap/>
              <w:overflowPunct/>
              <w:topLinePunct w:val="0"/>
              <w:autoSpaceDE/>
              <w:autoSpaceDN/>
              <w:bidi w:val="0"/>
              <w:snapToGrid w:val="0"/>
              <w:spacing w:after="0" w:line="360" w:lineRule="auto"/>
              <w:jc w:val="left"/>
              <w:textAlignment w:val="auto"/>
              <w:rPr>
                <w:rFonts w:hint="eastAsia" w:ascii="宋体" w:hAnsi="宋体" w:cs="宋体"/>
                <w:highlight w:val="none"/>
              </w:rPr>
            </w:pPr>
            <w:r>
              <w:rPr>
                <w:rFonts w:hint="eastAsia" w:ascii="宋体" w:hAnsi="宋体" w:cs="宋体"/>
                <w:highlight w:val="none"/>
              </w:rPr>
              <w:t>供应商须提供近半年内任意三个月的社会保险证明及企业近半年内任意三个月依法缴纳税收证明，依法免税和不需要缴纳社会保险的，应提供相应文件证明其依法免税及依法不需要缴纳社会保险。</w:t>
            </w:r>
          </w:p>
          <w:p w14:paraId="064E93B6">
            <w:pPr>
              <w:keepNext w:val="0"/>
              <w:keepLines w:val="0"/>
              <w:pageBreakBefore w:val="0"/>
              <w:widowControl w:val="0"/>
              <w:kinsoku/>
              <w:wordWrap/>
              <w:overflowPunct/>
              <w:topLinePunct w:val="0"/>
              <w:autoSpaceDE/>
              <w:autoSpaceDN/>
              <w:bidi w:val="0"/>
              <w:snapToGrid w:val="0"/>
              <w:spacing w:after="0" w:line="360" w:lineRule="auto"/>
              <w:jc w:val="left"/>
              <w:textAlignment w:val="auto"/>
              <w:rPr>
                <w:rFonts w:hint="eastAsia" w:ascii="宋体" w:hAnsi="宋体" w:cs="宋体" w:eastAsiaTheme="minorEastAsia"/>
                <w:kern w:val="2"/>
                <w:sz w:val="21"/>
                <w:szCs w:val="24"/>
                <w:highlight w:val="none"/>
                <w:lang w:val="zh-CN" w:eastAsia="zh-CN" w:bidi="ar-SA"/>
              </w:rPr>
            </w:pPr>
            <w:r>
              <w:rPr>
                <w:rFonts w:hint="eastAsia" w:ascii="宋体" w:hAnsi="宋体" w:cs="宋体"/>
                <w:b/>
                <w:bCs/>
                <w:highlight w:val="none"/>
              </w:rPr>
              <w:t>响应文件内附复印件加盖公章。</w:t>
            </w:r>
          </w:p>
        </w:tc>
      </w:tr>
      <w:tr w14:paraId="0C62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469" w:type="dxa"/>
            <w:vMerge w:val="continue"/>
            <w:vAlign w:val="center"/>
          </w:tcPr>
          <w:p w14:paraId="0759F798">
            <w:pPr>
              <w:autoSpaceDE w:val="0"/>
              <w:autoSpaceDN w:val="0"/>
              <w:adjustRightInd w:val="0"/>
              <w:snapToGrid w:val="0"/>
              <w:spacing w:line="360" w:lineRule="auto"/>
              <w:rPr>
                <w:rFonts w:ascii="宋体" w:hAnsi="宋体" w:eastAsia="宋体" w:cs="宋体"/>
                <w:color w:val="auto"/>
              </w:rPr>
            </w:pPr>
          </w:p>
        </w:tc>
        <w:tc>
          <w:tcPr>
            <w:tcW w:w="723" w:type="dxa"/>
            <w:vMerge w:val="continue"/>
            <w:vAlign w:val="center"/>
          </w:tcPr>
          <w:p w14:paraId="0A7EEB8B">
            <w:pPr>
              <w:autoSpaceDE w:val="0"/>
              <w:autoSpaceDN w:val="0"/>
              <w:adjustRightInd w:val="0"/>
              <w:snapToGrid w:val="0"/>
              <w:spacing w:line="360" w:lineRule="auto"/>
              <w:rPr>
                <w:rFonts w:ascii="宋体" w:hAnsi="宋体" w:eastAsia="宋体" w:cs="宋体"/>
                <w:color w:val="auto"/>
              </w:rPr>
            </w:pPr>
          </w:p>
        </w:tc>
        <w:tc>
          <w:tcPr>
            <w:tcW w:w="1550" w:type="dxa"/>
            <w:vAlign w:val="center"/>
          </w:tcPr>
          <w:p w14:paraId="21BD0654">
            <w:pPr>
              <w:autoSpaceDE w:val="0"/>
              <w:autoSpaceDN w:val="0"/>
              <w:adjustRightInd w:val="0"/>
              <w:snapToGrid w:val="0"/>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信誉要求</w:t>
            </w:r>
          </w:p>
        </w:tc>
        <w:tc>
          <w:tcPr>
            <w:tcW w:w="6809" w:type="dxa"/>
            <w:shd w:val="clear" w:color="auto" w:fill="auto"/>
            <w:vAlign w:val="center"/>
          </w:tcPr>
          <w:p w14:paraId="66C137E6">
            <w:pPr>
              <w:pStyle w:val="59"/>
              <w:keepNext w:val="0"/>
              <w:keepLines w:val="0"/>
              <w:pageBreakBefore w:val="0"/>
              <w:widowControl w:val="0"/>
              <w:kinsoku/>
              <w:wordWrap/>
              <w:overflowPunct/>
              <w:topLinePunct w:val="0"/>
              <w:autoSpaceDE/>
              <w:autoSpaceDN/>
              <w:bidi w:val="0"/>
              <w:spacing w:before="32" w:after="0" w:line="360" w:lineRule="auto"/>
              <w:jc w:val="left"/>
              <w:textAlignment w:val="auto"/>
              <w:rPr>
                <w:rFonts w:hint="eastAsia"/>
                <w:sz w:val="21"/>
                <w:szCs w:val="21"/>
                <w:highlight w:val="none"/>
                <w:lang w:eastAsia="zh-CN"/>
              </w:rPr>
            </w:pPr>
            <w:r>
              <w:rPr>
                <w:rFonts w:hint="eastAsia"/>
                <w:spacing w:val="9"/>
                <w:sz w:val="21"/>
                <w:szCs w:val="21"/>
                <w:highlight w:val="none"/>
                <w:lang w:eastAsia="zh-CN"/>
              </w:rPr>
              <w:t>（1）拒绝列入政府取消投标资格记录期间</w:t>
            </w:r>
            <w:r>
              <w:rPr>
                <w:rFonts w:hint="eastAsia"/>
                <w:spacing w:val="8"/>
                <w:sz w:val="21"/>
                <w:szCs w:val="21"/>
                <w:highlight w:val="none"/>
                <w:lang w:eastAsia="zh-CN"/>
              </w:rPr>
              <w:t>的企业或个人投标；</w:t>
            </w:r>
          </w:p>
          <w:p w14:paraId="6E07CB4A">
            <w:pPr>
              <w:pStyle w:val="59"/>
              <w:keepNext w:val="0"/>
              <w:keepLines w:val="0"/>
              <w:pageBreakBefore w:val="0"/>
              <w:widowControl w:val="0"/>
              <w:kinsoku/>
              <w:wordWrap/>
              <w:overflowPunct/>
              <w:topLinePunct w:val="0"/>
              <w:autoSpaceDE/>
              <w:autoSpaceDN/>
              <w:bidi w:val="0"/>
              <w:spacing w:before="27" w:after="0" w:line="360" w:lineRule="auto"/>
              <w:ind w:right="108"/>
              <w:jc w:val="left"/>
              <w:textAlignment w:val="auto"/>
              <w:rPr>
                <w:rFonts w:hint="eastAsia"/>
                <w:sz w:val="21"/>
                <w:szCs w:val="21"/>
                <w:highlight w:val="none"/>
                <w:lang w:eastAsia="zh-CN"/>
              </w:rPr>
            </w:pPr>
            <w:r>
              <w:rPr>
                <w:rFonts w:hint="eastAsia"/>
                <w:spacing w:val="10"/>
                <w:sz w:val="21"/>
                <w:szCs w:val="21"/>
                <w:highlight w:val="none"/>
                <w:lang w:eastAsia="zh-CN"/>
              </w:rPr>
              <w:t>（2）近三年内（本项目投标截止期前）在经营活动中没有重大违</w:t>
            </w:r>
            <w:r>
              <w:rPr>
                <w:rFonts w:hint="eastAsia"/>
                <w:spacing w:val="4"/>
                <w:sz w:val="21"/>
                <w:szCs w:val="21"/>
                <w:highlight w:val="none"/>
                <w:lang w:eastAsia="zh-CN"/>
              </w:rPr>
              <w:t>法记录；</w:t>
            </w:r>
          </w:p>
          <w:p w14:paraId="0594D904">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ascii="Calibri" w:hAnsi="Calibri" w:cs="Calibri"/>
                <w:spacing w:val="1"/>
                <w:highlight w:val="none"/>
              </w:rPr>
            </w:pPr>
            <w:r>
              <w:rPr>
                <w:rFonts w:hint="eastAsia" w:ascii="Calibri" w:hAnsi="Calibri" w:cs="Calibri"/>
                <w:spacing w:val="7"/>
                <w:highlight w:val="none"/>
              </w:rPr>
              <w:t>（3）</w:t>
            </w:r>
            <w:r>
              <w:rPr>
                <w:rFonts w:hint="eastAsia" w:ascii="宋体" w:hAnsi="宋体" w:cs="宋体"/>
                <w:color w:val="000000"/>
                <w:highlight w:val="none"/>
                <w:lang w:bidi="ar"/>
              </w:rPr>
              <w:t>供应商不得为“信用中国 ”网站（www.creditchina.gov.cn）中列入重大税收违法失信主体</w:t>
            </w:r>
            <w:r>
              <w:rPr>
                <w:rFonts w:hint="eastAsia" w:ascii="宋体" w:hAnsi="宋体" w:cs="宋体"/>
                <w:color w:val="000000"/>
                <w:highlight w:val="none"/>
                <w:lang w:eastAsia="zh-CN" w:bidi="ar"/>
              </w:rPr>
              <w:t>；</w:t>
            </w:r>
            <w:r>
              <w:rPr>
                <w:rFonts w:hint="eastAsia" w:ascii="宋体" w:hAnsi="宋体" w:cs="宋体"/>
                <w:color w:val="000000"/>
                <w:highlight w:val="none"/>
                <w:lang w:bidi="ar"/>
              </w:rPr>
              <w:t>供应商不得为“中国执行信息公开网</w:t>
            </w:r>
            <w:r>
              <w:rPr>
                <w:rFonts w:hint="eastAsia" w:ascii="宋体" w:hAnsi="宋体" w:cs="宋体"/>
                <w:color w:val="000000"/>
                <w:highlight w:val="none"/>
                <w:lang w:eastAsia="zh-CN" w:bidi="ar"/>
              </w:rPr>
              <w:t>”网站（https://zxgk.court.gov.cn/）</w:t>
            </w:r>
            <w:r>
              <w:rPr>
                <w:rFonts w:hint="eastAsia" w:ascii="宋体" w:hAnsi="宋体" w:cs="宋体"/>
                <w:color w:val="000000"/>
                <w:highlight w:val="none"/>
                <w:lang w:bidi="ar"/>
              </w:rPr>
              <w:t>中列入失信被执行人；不得为中国政府采购网（www.ccpg.gov.cn）政府采购严重违法失信行为记录名单中被财政部门禁止参加政府采购活动的供应商（在处罚决定规定的时间和地域范围内）（详见财库[2016]125 号）；不得为被“国家企业信用信息公示系统”网站（www.gsxt.gov.cn）列入行政处罚信息、经营异常名录信息和严重违法失信企业名单（黑名单）的供应商。</w:t>
            </w:r>
          </w:p>
          <w:p w14:paraId="4840F197">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cs="宋体" w:eastAsiaTheme="minorEastAsia"/>
                <w:kern w:val="2"/>
                <w:sz w:val="21"/>
                <w:szCs w:val="24"/>
                <w:highlight w:val="none"/>
                <w:lang w:val="en-US" w:eastAsia="zh-CN" w:bidi="ar-SA"/>
              </w:rPr>
            </w:pPr>
            <w:r>
              <w:rPr>
                <w:rFonts w:hint="eastAsia" w:ascii="Calibri" w:hAnsi="Calibri" w:cs="Calibri"/>
                <w:b/>
                <w:bCs/>
                <w:spacing w:val="7"/>
                <w:highlight w:val="none"/>
              </w:rPr>
              <w:t>投标文件内（1）、（2）项附由法定代表人或其</w:t>
            </w:r>
            <w:r>
              <w:rPr>
                <w:rFonts w:hint="eastAsia" w:ascii="Calibri" w:hAnsi="Calibri" w:cs="Calibri"/>
                <w:b/>
                <w:bCs/>
                <w:spacing w:val="6"/>
                <w:highlight w:val="none"/>
              </w:rPr>
              <w:t>授权委托人签字并</w:t>
            </w:r>
            <w:r>
              <w:rPr>
                <w:rFonts w:hint="eastAsia" w:ascii="Calibri" w:hAnsi="Calibri" w:cs="Calibri"/>
                <w:b/>
                <w:bCs/>
                <w:highlight w:val="none"/>
              </w:rPr>
              <w:t xml:space="preserve"> </w:t>
            </w:r>
            <w:r>
              <w:rPr>
                <w:rFonts w:hint="eastAsia" w:ascii="Calibri" w:hAnsi="Calibri" w:cs="Calibri"/>
                <w:b/>
                <w:bCs/>
                <w:spacing w:val="11"/>
                <w:highlight w:val="none"/>
              </w:rPr>
              <w:t>加盖公章的承诺书</w:t>
            </w:r>
            <w:r>
              <w:rPr>
                <w:rFonts w:hint="eastAsia" w:ascii="Calibri" w:hAnsi="Calibri" w:cs="Calibri"/>
                <w:b/>
                <w:bCs/>
                <w:spacing w:val="-4"/>
                <w:highlight w:val="none"/>
              </w:rPr>
              <w:t>；（</w:t>
            </w:r>
            <w:r>
              <w:rPr>
                <w:rFonts w:hint="eastAsia" w:ascii="Calibri" w:hAnsi="Calibri" w:cs="Calibri"/>
                <w:b/>
                <w:bCs/>
                <w:spacing w:val="11"/>
                <w:highlight w:val="none"/>
              </w:rPr>
              <w:t>3）项附相关网站截图加盖</w:t>
            </w:r>
            <w:r>
              <w:rPr>
                <w:rFonts w:hint="eastAsia" w:ascii="Calibri" w:hAnsi="Calibri" w:cs="Calibri"/>
                <w:b/>
                <w:bCs/>
                <w:spacing w:val="10"/>
                <w:highlight w:val="none"/>
              </w:rPr>
              <w:t>公章。</w:t>
            </w:r>
          </w:p>
        </w:tc>
      </w:tr>
      <w:tr w14:paraId="7EC2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69" w:type="dxa"/>
            <w:vMerge w:val="continue"/>
            <w:vAlign w:val="center"/>
          </w:tcPr>
          <w:p w14:paraId="5FC05FE7">
            <w:pPr>
              <w:autoSpaceDE w:val="0"/>
              <w:autoSpaceDN w:val="0"/>
              <w:adjustRightInd w:val="0"/>
              <w:snapToGrid w:val="0"/>
              <w:spacing w:line="360" w:lineRule="auto"/>
              <w:rPr>
                <w:rFonts w:ascii="宋体" w:hAnsi="宋体" w:eastAsia="宋体" w:cs="宋体"/>
                <w:color w:val="auto"/>
              </w:rPr>
            </w:pPr>
          </w:p>
        </w:tc>
        <w:tc>
          <w:tcPr>
            <w:tcW w:w="723" w:type="dxa"/>
            <w:vMerge w:val="continue"/>
            <w:vAlign w:val="center"/>
          </w:tcPr>
          <w:p w14:paraId="502B0001">
            <w:pPr>
              <w:autoSpaceDE w:val="0"/>
              <w:autoSpaceDN w:val="0"/>
              <w:adjustRightInd w:val="0"/>
              <w:snapToGrid w:val="0"/>
              <w:spacing w:line="360" w:lineRule="auto"/>
              <w:rPr>
                <w:rFonts w:ascii="宋体" w:hAnsi="宋体" w:eastAsia="宋体" w:cs="宋体"/>
                <w:color w:val="auto"/>
              </w:rPr>
            </w:pPr>
          </w:p>
        </w:tc>
        <w:tc>
          <w:tcPr>
            <w:tcW w:w="1550" w:type="dxa"/>
            <w:vMerge w:val="restart"/>
            <w:vAlign w:val="center"/>
          </w:tcPr>
          <w:p w14:paraId="2A7AFF99">
            <w:pPr>
              <w:autoSpaceDE w:val="0"/>
              <w:autoSpaceDN w:val="0"/>
              <w:adjustRightInd w:val="0"/>
              <w:snapToGrid w:val="0"/>
              <w:spacing w:line="360" w:lineRule="auto"/>
              <w:jc w:val="center"/>
              <w:rPr>
                <w:rFonts w:hint="eastAsia" w:ascii="宋体" w:hAnsi="宋体" w:eastAsia="宋体" w:cs="宋体"/>
                <w:color w:val="auto"/>
              </w:rPr>
            </w:pPr>
            <w:r>
              <w:rPr>
                <w:rFonts w:hint="eastAsia" w:ascii="宋体" w:hAnsi="宋体" w:eastAsia="宋体" w:cs="宋体"/>
                <w:color w:val="auto"/>
              </w:rPr>
              <w:t>其他要求</w:t>
            </w:r>
          </w:p>
        </w:tc>
        <w:tc>
          <w:tcPr>
            <w:tcW w:w="6809" w:type="dxa"/>
            <w:vAlign w:val="center"/>
          </w:tcPr>
          <w:p w14:paraId="23F22040">
            <w:pPr>
              <w:autoSpaceDE w:val="0"/>
              <w:autoSpaceDN w:val="0"/>
              <w:adjustRightInd w:val="0"/>
              <w:snapToGrid w:val="0"/>
              <w:spacing w:line="36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505CBDF">
            <w:pPr>
              <w:pStyle w:val="41"/>
              <w:spacing w:line="360" w:lineRule="auto"/>
              <w:ind w:left="0" w:leftChars="0" w:firstLine="0" w:firstLineChars="0"/>
              <w:rPr>
                <w:rFonts w:hint="eastAsia"/>
              </w:rPr>
            </w:pPr>
            <w:r>
              <w:rPr>
                <w:rFonts w:hint="eastAsia" w:ascii="宋体" w:hAnsi="宋体" w:eastAsia="宋体" w:cs="宋体"/>
                <w:b/>
                <w:bCs/>
                <w:color w:val="auto"/>
                <w:kern w:val="0"/>
                <w:sz w:val="21"/>
                <w:szCs w:val="21"/>
                <w:lang w:val="en-US" w:eastAsia="zh-CN" w:bidi="ar"/>
              </w:rPr>
              <w:t>标书内提供由法定代表人或其委托代理人签字或盖章并加盖公章的承诺书。</w:t>
            </w:r>
          </w:p>
        </w:tc>
      </w:tr>
      <w:tr w14:paraId="0ACC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69" w:type="dxa"/>
            <w:vMerge w:val="continue"/>
            <w:vAlign w:val="center"/>
          </w:tcPr>
          <w:p w14:paraId="1119B4DE">
            <w:pPr>
              <w:autoSpaceDE w:val="0"/>
              <w:autoSpaceDN w:val="0"/>
              <w:adjustRightInd w:val="0"/>
              <w:snapToGrid w:val="0"/>
              <w:spacing w:line="360" w:lineRule="auto"/>
              <w:rPr>
                <w:rFonts w:ascii="宋体" w:hAnsi="宋体" w:eastAsia="宋体" w:cs="宋体"/>
                <w:color w:val="auto"/>
              </w:rPr>
            </w:pPr>
          </w:p>
        </w:tc>
        <w:tc>
          <w:tcPr>
            <w:tcW w:w="723" w:type="dxa"/>
            <w:vMerge w:val="continue"/>
            <w:vAlign w:val="center"/>
          </w:tcPr>
          <w:p w14:paraId="50A6734F">
            <w:pPr>
              <w:autoSpaceDE w:val="0"/>
              <w:autoSpaceDN w:val="0"/>
              <w:adjustRightInd w:val="0"/>
              <w:snapToGrid w:val="0"/>
              <w:spacing w:line="360" w:lineRule="auto"/>
              <w:rPr>
                <w:rFonts w:ascii="宋体" w:hAnsi="宋体" w:eastAsia="宋体" w:cs="宋体"/>
                <w:color w:val="auto"/>
              </w:rPr>
            </w:pPr>
          </w:p>
        </w:tc>
        <w:tc>
          <w:tcPr>
            <w:tcW w:w="1550" w:type="dxa"/>
            <w:vMerge w:val="continue"/>
            <w:vAlign w:val="center"/>
          </w:tcPr>
          <w:p w14:paraId="1C67BF30">
            <w:pPr>
              <w:autoSpaceDE w:val="0"/>
              <w:autoSpaceDN w:val="0"/>
              <w:adjustRightInd w:val="0"/>
              <w:snapToGrid w:val="0"/>
              <w:spacing w:line="360" w:lineRule="auto"/>
              <w:jc w:val="center"/>
              <w:rPr>
                <w:rFonts w:hint="eastAsia" w:ascii="宋体" w:hAnsi="宋体" w:eastAsia="宋体" w:cs="宋体"/>
                <w:color w:val="auto"/>
              </w:rPr>
            </w:pPr>
          </w:p>
        </w:tc>
        <w:tc>
          <w:tcPr>
            <w:tcW w:w="6809" w:type="dxa"/>
            <w:vAlign w:val="center"/>
          </w:tcPr>
          <w:p w14:paraId="405A6DFF">
            <w:pPr>
              <w:autoSpaceDE w:val="0"/>
              <w:autoSpaceDN w:val="0"/>
              <w:adjustRightInd w:val="0"/>
              <w:snapToGrid w:val="0"/>
              <w:spacing w:line="36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供应商不得存在投标人须知1.4.</w:t>
            </w:r>
            <w:r>
              <w:rPr>
                <w:rFonts w:hint="eastAsia" w:ascii="宋体" w:hAnsi="宋体" w:eastAsia="宋体" w:cs="宋体"/>
                <w:color w:val="auto"/>
                <w:kern w:val="0"/>
                <w:szCs w:val="21"/>
                <w:lang w:val="en-US" w:eastAsia="zh-CN" w:bidi="ar"/>
              </w:rPr>
              <w:t>2</w:t>
            </w:r>
            <w:r>
              <w:rPr>
                <w:rFonts w:hint="eastAsia" w:ascii="宋体" w:hAnsi="宋体" w:eastAsia="宋体" w:cs="宋体"/>
                <w:color w:val="auto"/>
                <w:kern w:val="0"/>
                <w:szCs w:val="21"/>
                <w:lang w:bidi="ar"/>
              </w:rPr>
              <w:t>规定情形。</w:t>
            </w:r>
          </w:p>
          <w:p w14:paraId="117A1CBD">
            <w:pPr>
              <w:autoSpaceDE w:val="0"/>
              <w:autoSpaceDN w:val="0"/>
              <w:adjustRightInd w:val="0"/>
              <w:snapToGrid w:val="0"/>
              <w:spacing w:line="360" w:lineRule="auto"/>
              <w:rPr>
                <w:rFonts w:hint="eastAsia" w:ascii="宋体" w:hAnsi="宋体" w:eastAsia="宋体" w:cs="宋体"/>
                <w:color w:val="auto"/>
                <w:kern w:val="0"/>
                <w:szCs w:val="21"/>
                <w:lang w:bidi="ar"/>
              </w:rPr>
            </w:pPr>
            <w:r>
              <w:rPr>
                <w:rFonts w:hint="eastAsia" w:ascii="宋体" w:hAnsi="宋体" w:eastAsia="宋体" w:cs="宋体"/>
                <w:b/>
                <w:bCs/>
                <w:color w:val="auto"/>
                <w:kern w:val="0"/>
                <w:sz w:val="21"/>
                <w:szCs w:val="21"/>
                <w:lang w:val="en-US" w:eastAsia="zh-CN" w:bidi="ar"/>
              </w:rPr>
              <w:t>标书内提供由法定代表人或其委托代理人签字或盖章并加盖公章的承诺书。</w:t>
            </w:r>
          </w:p>
        </w:tc>
      </w:tr>
      <w:tr w14:paraId="79A4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69" w:type="dxa"/>
            <w:vMerge w:val="continue"/>
            <w:vAlign w:val="center"/>
          </w:tcPr>
          <w:p w14:paraId="58EA88DC">
            <w:pPr>
              <w:autoSpaceDE w:val="0"/>
              <w:autoSpaceDN w:val="0"/>
              <w:adjustRightInd w:val="0"/>
              <w:snapToGrid w:val="0"/>
              <w:spacing w:line="360" w:lineRule="auto"/>
              <w:rPr>
                <w:rFonts w:ascii="宋体" w:hAnsi="宋体" w:eastAsia="宋体" w:cs="宋体"/>
                <w:color w:val="auto"/>
              </w:rPr>
            </w:pPr>
          </w:p>
        </w:tc>
        <w:tc>
          <w:tcPr>
            <w:tcW w:w="723" w:type="dxa"/>
            <w:vMerge w:val="continue"/>
            <w:vAlign w:val="center"/>
          </w:tcPr>
          <w:p w14:paraId="5FE5F81F">
            <w:pPr>
              <w:autoSpaceDE w:val="0"/>
              <w:autoSpaceDN w:val="0"/>
              <w:adjustRightInd w:val="0"/>
              <w:snapToGrid w:val="0"/>
              <w:spacing w:line="360" w:lineRule="auto"/>
              <w:rPr>
                <w:rFonts w:ascii="宋体" w:hAnsi="宋体" w:eastAsia="宋体" w:cs="宋体"/>
                <w:color w:val="auto"/>
              </w:rPr>
            </w:pPr>
          </w:p>
        </w:tc>
        <w:tc>
          <w:tcPr>
            <w:tcW w:w="1550" w:type="dxa"/>
            <w:vAlign w:val="center"/>
          </w:tcPr>
          <w:p w14:paraId="09899BD0">
            <w:pPr>
              <w:keepNext w:val="0"/>
              <w:keepLines w:val="0"/>
              <w:pageBreakBefore w:val="0"/>
              <w:widowControl w:val="0"/>
              <w:kinsoku/>
              <w:wordWrap/>
              <w:overflowPunct/>
              <w:topLinePunct w:val="0"/>
              <w:autoSpaceDE/>
              <w:autoSpaceDN/>
              <w:bidi w:val="0"/>
              <w:snapToGrid w:val="0"/>
              <w:spacing w:after="0" w:line="360" w:lineRule="auto"/>
              <w:jc w:val="center"/>
              <w:textAlignment w:val="auto"/>
              <w:rPr>
                <w:rFonts w:hint="eastAsia" w:ascii="宋体" w:hAnsi="宋体" w:eastAsia="宋体" w:cs="宋体"/>
                <w:color w:val="auto"/>
              </w:rPr>
            </w:pPr>
            <w:r>
              <w:rPr>
                <w:rFonts w:hint="eastAsia" w:ascii="宋体" w:hAnsi="宋体" w:cs="宋体"/>
                <w:highlight w:val="none"/>
              </w:rPr>
              <w:t>法律、行政法规规定的其他条件</w:t>
            </w:r>
          </w:p>
        </w:tc>
        <w:tc>
          <w:tcPr>
            <w:tcW w:w="6809" w:type="dxa"/>
            <w:vAlign w:val="center"/>
          </w:tcPr>
          <w:p w14:paraId="2C7F823C">
            <w:pPr>
              <w:keepNext w:val="0"/>
              <w:keepLines w:val="0"/>
              <w:pageBreakBefore w:val="0"/>
              <w:widowControl w:val="0"/>
              <w:kinsoku/>
              <w:wordWrap/>
              <w:overflowPunct/>
              <w:topLinePunct w:val="0"/>
              <w:autoSpaceDE/>
              <w:autoSpaceDN/>
              <w:bidi w:val="0"/>
              <w:snapToGrid w:val="0"/>
              <w:spacing w:after="0" w:line="360" w:lineRule="auto"/>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cs="宋体"/>
                <w:highlight w:val="none"/>
              </w:rPr>
              <w:t>不存在违反法律、法规的情况</w:t>
            </w:r>
          </w:p>
        </w:tc>
      </w:tr>
      <w:tr w14:paraId="4F3E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551" w:type="dxa"/>
            <w:gridSpan w:val="4"/>
            <w:vAlign w:val="center"/>
          </w:tcPr>
          <w:p w14:paraId="6DC1798F">
            <w:pPr>
              <w:autoSpaceDE w:val="0"/>
              <w:autoSpaceDN w:val="0"/>
              <w:adjustRightInd w:val="0"/>
              <w:snapToGrid w:val="0"/>
              <w:spacing w:line="360" w:lineRule="auto"/>
              <w:jc w:val="center"/>
              <w:rPr>
                <w:rFonts w:ascii="宋体" w:hAnsi="宋体" w:eastAsia="宋体" w:cs="宋体"/>
                <w:color w:val="auto"/>
              </w:rPr>
            </w:pPr>
            <w:r>
              <w:rPr>
                <w:rFonts w:hint="eastAsia" w:ascii="宋体" w:hAnsi="宋体" w:eastAsia="宋体" w:cs="宋体"/>
                <w:color w:val="auto"/>
              </w:rPr>
              <w:t>评审结果（合格/不合格）</w:t>
            </w:r>
          </w:p>
        </w:tc>
      </w:tr>
    </w:tbl>
    <w:p w14:paraId="0706640C">
      <w:pPr>
        <w:autoSpaceDE w:val="0"/>
        <w:autoSpaceDN w:val="0"/>
        <w:adjustRightInd w:val="0"/>
        <w:spacing w:line="360" w:lineRule="auto"/>
        <w:jc w:val="center"/>
        <w:rPr>
          <w:rFonts w:ascii="宋体" w:hAnsi="宋体" w:eastAsia="宋体" w:cs="宋体"/>
          <w:b/>
          <w:bCs/>
          <w:color w:val="auto"/>
          <w:sz w:val="21"/>
          <w:szCs w:val="21"/>
          <w:highlight w:val="yellow"/>
        </w:rPr>
      </w:pPr>
    </w:p>
    <w:p w14:paraId="0DE00E87">
      <w:pPr>
        <w:spacing w:line="360" w:lineRule="auto"/>
        <w:rPr>
          <w:rFonts w:hint="eastAsia" w:ascii="宋体" w:hAnsi="宋体" w:eastAsia="宋体" w:cs="宋体"/>
          <w:color w:val="auto"/>
          <w:szCs w:val="21"/>
        </w:rPr>
      </w:pPr>
      <w:r>
        <w:rPr>
          <w:rFonts w:hint="eastAsia" w:ascii="宋体" w:hAnsi="宋体" w:eastAsia="宋体" w:cs="宋体"/>
          <w:color w:val="auto"/>
          <w:szCs w:val="21"/>
        </w:rPr>
        <w:t>注：（1）上述内容中有一项不合格，则资格审查不合格，不进入符合性审查、详细评审；</w:t>
      </w:r>
    </w:p>
    <w:p w14:paraId="02A88D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（2）每项审查内容合格打“ √ ”, 不合格打“ × ”。评审结论写“合格 ”或“不合格 ”。不合格须注明原因；</w:t>
      </w:r>
    </w:p>
    <w:p w14:paraId="377052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（3）资格审查结束后，合格的供应商进入符合性审查。</w:t>
      </w:r>
    </w:p>
    <w:p w14:paraId="0E39B0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（4）投标人所提供的所有证件均需在有效期内且注册单位名称与投标人的名称一致，如企业名称发生变更，需提供主管部门出具的变更证明材料。</w:t>
      </w:r>
    </w:p>
    <w:p w14:paraId="705A675A">
      <w:pPr>
        <w:spacing w:line="360" w:lineRule="auto"/>
        <w:ind w:firstLine="420" w:firstLineChars="200"/>
        <w:rPr>
          <w:color w:val="auto"/>
        </w:rPr>
      </w:pPr>
      <w:r>
        <w:rPr>
          <w:rFonts w:hint="eastAsia" w:ascii="宋体" w:hAnsi="宋体" w:eastAsia="宋体" w:cs="宋体"/>
          <w:color w:val="auto"/>
          <w:szCs w:val="21"/>
        </w:rPr>
        <w:t>（5）上述内容中如某一证件正在年检或换证，需年检或换证部门出具有效证明方可确认。</w:t>
      </w:r>
    </w:p>
    <w:p w14:paraId="6D859F0F">
      <w:pPr>
        <w:widowControl/>
        <w:tabs>
          <w:tab w:val="left" w:pos="9900"/>
        </w:tabs>
        <w:spacing w:line="360" w:lineRule="auto"/>
        <w:jc w:val="left"/>
        <w:outlineLvl w:val="0"/>
        <w:rPr>
          <w:rFonts w:ascii="宋体" w:hAnsi="宋体"/>
          <w:b/>
          <w:color w:val="auto"/>
          <w:kern w:val="0"/>
          <w:sz w:val="28"/>
          <w:szCs w:val="28"/>
        </w:rPr>
        <w:sectPr>
          <w:headerReference r:id="rId7" w:type="first"/>
          <w:footerReference r:id="rId9" w:type="first"/>
          <w:headerReference r:id="rId6" w:type="default"/>
          <w:footerReference r:id="rId8" w:type="default"/>
          <w:pgSz w:w="11907" w:h="16840"/>
          <w:pgMar w:top="1440" w:right="1800" w:bottom="1440" w:left="1800" w:header="567" w:footer="567" w:gutter="0"/>
          <w:pgNumType w:fmt="decimal"/>
          <w:cols w:space="720" w:num="1"/>
          <w:titlePg/>
          <w:docGrid w:linePitch="312" w:charSpace="0"/>
        </w:sectPr>
      </w:pPr>
    </w:p>
    <w:p w14:paraId="3BE3E21D">
      <w:pPr>
        <w:autoSpaceDE w:val="0"/>
        <w:autoSpaceDN w:val="0"/>
        <w:adjustRightIn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符合性审查表</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88"/>
        <w:gridCol w:w="1812"/>
        <w:gridCol w:w="5802"/>
      </w:tblGrid>
      <w:tr w14:paraId="08D3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jc w:val="center"/>
        </w:trPr>
        <w:tc>
          <w:tcPr>
            <w:tcW w:w="1564" w:type="dxa"/>
            <w:gridSpan w:val="2"/>
            <w:tcBorders>
              <w:top w:val="single" w:color="auto" w:sz="4" w:space="0"/>
              <w:left w:val="single" w:color="auto" w:sz="4" w:space="0"/>
              <w:bottom w:val="single" w:color="auto" w:sz="4" w:space="0"/>
              <w:right w:val="single" w:color="auto" w:sz="4" w:space="0"/>
            </w:tcBorders>
            <w:vAlign w:val="center"/>
          </w:tcPr>
          <w:p w14:paraId="30663A3E">
            <w:pPr>
              <w:keepNext w:val="0"/>
              <w:keepLines w:val="0"/>
              <w:pageBreakBefore w:val="0"/>
              <w:widowControl w:val="0"/>
              <w:kinsoku/>
              <w:wordWrap/>
              <w:overflowPunct/>
              <w:topLinePunct w:val="0"/>
              <w:bidi w:val="0"/>
              <w:spacing w:after="0" w:line="240" w:lineRule="auto"/>
              <w:jc w:val="center"/>
              <w:textAlignment w:val="auto"/>
              <w:rPr>
                <w:rFonts w:hint="eastAsia" w:ascii="宋体" w:hAnsi="宋体" w:cs="宋体"/>
                <w:b/>
                <w:bCs/>
                <w:highlight w:val="none"/>
              </w:rPr>
            </w:pPr>
            <w:r>
              <w:rPr>
                <w:rFonts w:hint="eastAsia" w:ascii="宋体" w:hAnsi="宋体" w:cs="宋体"/>
                <w:b/>
                <w:bCs/>
                <w:highlight w:val="none"/>
              </w:rPr>
              <w:t>条款号</w:t>
            </w:r>
          </w:p>
        </w:tc>
        <w:tc>
          <w:tcPr>
            <w:tcW w:w="1812" w:type="dxa"/>
            <w:tcBorders>
              <w:top w:val="single" w:color="auto" w:sz="4" w:space="0"/>
              <w:left w:val="single" w:color="auto" w:sz="4" w:space="0"/>
              <w:bottom w:val="single" w:color="auto" w:sz="4" w:space="0"/>
              <w:right w:val="single" w:color="auto" w:sz="4" w:space="0"/>
            </w:tcBorders>
            <w:vAlign w:val="center"/>
          </w:tcPr>
          <w:p w14:paraId="5CD52FD8">
            <w:pPr>
              <w:keepNext w:val="0"/>
              <w:keepLines w:val="0"/>
              <w:pageBreakBefore w:val="0"/>
              <w:widowControl w:val="0"/>
              <w:kinsoku/>
              <w:wordWrap/>
              <w:overflowPunct/>
              <w:topLinePunct w:val="0"/>
              <w:bidi w:val="0"/>
              <w:spacing w:after="0" w:line="240" w:lineRule="auto"/>
              <w:jc w:val="center"/>
              <w:textAlignment w:val="auto"/>
              <w:rPr>
                <w:rFonts w:hint="eastAsia" w:ascii="宋体" w:hAnsi="宋体" w:cs="宋体"/>
                <w:b/>
                <w:bCs/>
                <w:highlight w:val="none"/>
              </w:rPr>
            </w:pPr>
            <w:r>
              <w:rPr>
                <w:rFonts w:hint="eastAsia" w:ascii="宋体" w:hAnsi="宋体" w:cs="宋体"/>
                <w:b/>
                <w:bCs/>
                <w:highlight w:val="none"/>
              </w:rPr>
              <w:t>评审因素</w:t>
            </w:r>
          </w:p>
        </w:tc>
        <w:tc>
          <w:tcPr>
            <w:tcW w:w="5802" w:type="dxa"/>
            <w:tcBorders>
              <w:top w:val="single" w:color="auto" w:sz="4" w:space="0"/>
              <w:left w:val="single" w:color="auto" w:sz="4" w:space="0"/>
              <w:bottom w:val="single" w:color="auto" w:sz="4" w:space="0"/>
              <w:right w:val="single" w:color="auto" w:sz="4" w:space="0"/>
            </w:tcBorders>
            <w:vAlign w:val="center"/>
          </w:tcPr>
          <w:p w14:paraId="79994AB5">
            <w:pPr>
              <w:keepNext w:val="0"/>
              <w:keepLines w:val="0"/>
              <w:pageBreakBefore w:val="0"/>
              <w:widowControl w:val="0"/>
              <w:kinsoku/>
              <w:wordWrap/>
              <w:overflowPunct/>
              <w:topLinePunct w:val="0"/>
              <w:bidi w:val="0"/>
              <w:spacing w:after="0" w:line="240" w:lineRule="auto"/>
              <w:jc w:val="center"/>
              <w:textAlignment w:val="auto"/>
              <w:rPr>
                <w:rFonts w:hint="eastAsia" w:ascii="宋体" w:hAnsi="宋体" w:cs="宋体"/>
                <w:b/>
                <w:bCs/>
                <w:highlight w:val="none"/>
              </w:rPr>
            </w:pPr>
            <w:r>
              <w:rPr>
                <w:rFonts w:hint="eastAsia" w:ascii="宋体" w:hAnsi="宋体" w:cs="宋体"/>
                <w:b/>
                <w:bCs/>
                <w:highlight w:val="none"/>
              </w:rPr>
              <w:t>评审标准</w:t>
            </w:r>
          </w:p>
        </w:tc>
      </w:tr>
      <w:tr w14:paraId="097F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restart"/>
            <w:tcBorders>
              <w:top w:val="single" w:color="auto" w:sz="4" w:space="0"/>
              <w:left w:val="single" w:color="auto" w:sz="4" w:space="0"/>
              <w:right w:val="single" w:color="auto" w:sz="4" w:space="0"/>
            </w:tcBorders>
            <w:vAlign w:val="center"/>
          </w:tcPr>
          <w:p w14:paraId="4429EB8C">
            <w:pPr>
              <w:keepNext w:val="0"/>
              <w:keepLines w:val="0"/>
              <w:pageBreakBefore w:val="0"/>
              <w:widowControl w:val="0"/>
              <w:kinsoku/>
              <w:wordWrap/>
              <w:overflowPunct/>
              <w:topLinePunct w:val="0"/>
              <w:bidi w:val="0"/>
              <w:spacing w:after="0" w:line="240" w:lineRule="auto"/>
              <w:jc w:val="center"/>
              <w:textAlignment w:val="auto"/>
              <w:rPr>
                <w:rFonts w:hint="eastAsia" w:ascii="宋体" w:hAnsi="宋体" w:cs="宋体"/>
                <w:highlight w:val="none"/>
              </w:rPr>
            </w:pPr>
            <w:r>
              <w:rPr>
                <w:rFonts w:hint="eastAsia" w:ascii="宋体" w:hAnsi="宋体" w:cs="宋体"/>
                <w:highlight w:val="none"/>
              </w:rPr>
              <w:t>2.1.2</w:t>
            </w:r>
          </w:p>
        </w:tc>
        <w:tc>
          <w:tcPr>
            <w:tcW w:w="888" w:type="dxa"/>
            <w:vMerge w:val="restart"/>
            <w:tcBorders>
              <w:top w:val="single" w:color="auto" w:sz="4" w:space="0"/>
              <w:left w:val="single" w:color="auto" w:sz="4" w:space="0"/>
              <w:right w:val="single" w:color="auto" w:sz="4" w:space="0"/>
            </w:tcBorders>
            <w:vAlign w:val="center"/>
          </w:tcPr>
          <w:p w14:paraId="46236608">
            <w:pPr>
              <w:keepNext w:val="0"/>
              <w:keepLines w:val="0"/>
              <w:pageBreakBefore w:val="0"/>
              <w:widowControl w:val="0"/>
              <w:kinsoku/>
              <w:wordWrap/>
              <w:overflowPunct/>
              <w:topLinePunct w:val="0"/>
              <w:bidi w:val="0"/>
              <w:spacing w:after="0" w:line="240" w:lineRule="auto"/>
              <w:jc w:val="center"/>
              <w:textAlignment w:val="auto"/>
              <w:rPr>
                <w:rFonts w:hint="eastAsia" w:ascii="宋体" w:hAnsi="宋体" w:cs="宋体"/>
                <w:highlight w:val="none"/>
              </w:rPr>
            </w:pPr>
            <w:r>
              <w:rPr>
                <w:rFonts w:hint="eastAsia" w:ascii="宋体" w:hAnsi="宋体" w:cs="宋体"/>
                <w:highlight w:val="none"/>
              </w:rPr>
              <w:t>符合性评审标准</w:t>
            </w:r>
          </w:p>
        </w:tc>
        <w:tc>
          <w:tcPr>
            <w:tcW w:w="1812" w:type="dxa"/>
            <w:tcBorders>
              <w:top w:val="single" w:color="auto" w:sz="4" w:space="0"/>
              <w:left w:val="single" w:color="auto" w:sz="4" w:space="0"/>
              <w:right w:val="single" w:color="auto" w:sz="4" w:space="0"/>
            </w:tcBorders>
            <w:shd w:val="clear" w:color="auto" w:fill="auto"/>
            <w:vAlign w:val="center"/>
          </w:tcPr>
          <w:p w14:paraId="54250F20">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投标人名称</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10D10A38">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与营业执照等相关证书一致</w:t>
            </w:r>
          </w:p>
        </w:tc>
      </w:tr>
      <w:tr w14:paraId="16C5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77014CDD">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6A48F02E">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49B71A31">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投标函签字盖章</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65893B34">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有法定代表人或其委托代理人签字或加盖单位章</w:t>
            </w:r>
          </w:p>
        </w:tc>
      </w:tr>
      <w:tr w14:paraId="3542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155E089B">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46124301">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777C4469">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投标文件格式</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2592C9E7">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cs="宋体"/>
                <w:highlight w:val="none"/>
              </w:rPr>
              <w:t>符合第六章“投标文件格式”的要求</w:t>
            </w:r>
          </w:p>
        </w:tc>
      </w:tr>
      <w:tr w14:paraId="5B56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46EEE53B">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2D81535C">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4203571A">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投标内容</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2A962357">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符合招标文件规定</w:t>
            </w:r>
          </w:p>
        </w:tc>
      </w:tr>
      <w:tr w14:paraId="5E42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3AFACCE4">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69FF9B95">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00405190">
            <w:pPr>
              <w:autoSpaceDE w:val="0"/>
              <w:autoSpaceDN w:val="0"/>
              <w:adjustRightInd w:val="0"/>
              <w:snapToGrid w:val="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合同履行期限</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0CFD28E6">
            <w:pPr>
              <w:autoSpaceDE w:val="0"/>
              <w:autoSpaceDN w:val="0"/>
              <w:adjustRightInd w:val="0"/>
              <w:snapToGrid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自签订合同之日起一年</w:t>
            </w:r>
          </w:p>
        </w:tc>
      </w:tr>
      <w:tr w14:paraId="7457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588B0426">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440993D9">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5FB8DECC">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投标保证金</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61A58C8F">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符合招标文件规定</w:t>
            </w:r>
          </w:p>
        </w:tc>
      </w:tr>
      <w:tr w14:paraId="2BA1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2D2ED0D2">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22D4F93A">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33EF03AC">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质量标准</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4EB21111">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优质服务、符合采购人及行业部门质量要求标准</w:t>
            </w:r>
            <w:r>
              <w:rPr>
                <w:rFonts w:hint="eastAsia" w:ascii="宋体" w:hAnsi="宋体" w:eastAsia="宋体" w:cs="宋体"/>
                <w:color w:val="auto"/>
                <w:kern w:val="0"/>
                <w:szCs w:val="21"/>
                <w:lang w:bidi="ar"/>
              </w:rPr>
              <w:t>；</w:t>
            </w:r>
          </w:p>
        </w:tc>
      </w:tr>
      <w:tr w14:paraId="16FE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57B6C679">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0C266621">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49B3DA4C">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投标有效期</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1C02444C">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cs="宋体"/>
                <w:highlight w:val="none"/>
              </w:rPr>
              <w:t>投标截止之日起90天（日历天）</w:t>
            </w:r>
          </w:p>
        </w:tc>
      </w:tr>
      <w:tr w14:paraId="077C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0B82D1F7">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2951CF79">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458EE2A0">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zh-CN"/>
              </w:rPr>
              <w:t>采购需求</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3E89C2E0">
            <w:pPr>
              <w:autoSpaceDE w:val="0"/>
              <w:autoSpaceDN w:val="0"/>
              <w:adjustRightInd w:val="0"/>
              <w:snapToGrid w:val="0"/>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满足</w:t>
            </w:r>
            <w:r>
              <w:rPr>
                <w:rFonts w:hint="eastAsia" w:ascii="宋体" w:hAnsi="宋体" w:eastAsia="宋体" w:cs="宋体"/>
                <w:color w:val="auto"/>
                <w:lang w:val="zh-CN"/>
              </w:rPr>
              <w:t>采购需求中全部内容</w:t>
            </w:r>
          </w:p>
        </w:tc>
      </w:tr>
      <w:tr w14:paraId="7905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6" w:type="dxa"/>
            <w:vMerge w:val="continue"/>
            <w:tcBorders>
              <w:left w:val="single" w:color="auto" w:sz="4" w:space="0"/>
              <w:right w:val="single" w:color="auto" w:sz="4" w:space="0"/>
            </w:tcBorders>
            <w:vAlign w:val="center"/>
          </w:tcPr>
          <w:p w14:paraId="2CC6CCF3">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17B03B6E">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4804294C">
            <w:pPr>
              <w:autoSpaceDE w:val="0"/>
              <w:autoSpaceDN w:val="0"/>
              <w:adjustRightInd w:val="0"/>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其他内容</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64E87215">
            <w:pPr>
              <w:autoSpaceDE w:val="0"/>
              <w:autoSpaceDN w:val="0"/>
              <w:adjustRightInd w:val="0"/>
              <w:snapToGrid w:val="0"/>
              <w:rPr>
                <w:rFonts w:hint="eastAsia" w:ascii="宋体" w:hAnsi="宋体" w:eastAsia="宋体" w:cs="宋体"/>
                <w:color w:val="auto"/>
                <w:kern w:val="2"/>
                <w:sz w:val="21"/>
                <w:szCs w:val="24"/>
                <w:lang w:val="en-US" w:eastAsia="zh-CN" w:bidi="ar-SA"/>
              </w:rPr>
            </w:pPr>
            <w:r>
              <w:rPr>
                <w:rFonts w:hint="eastAsia" w:ascii="宋体" w:hAnsi="宋体" w:cs="宋体"/>
                <w:highlight w:val="none"/>
              </w:rPr>
              <w:t>符合招标文件其它实质性要求。</w:t>
            </w:r>
          </w:p>
        </w:tc>
      </w:tr>
      <w:tr w14:paraId="175B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76" w:type="dxa"/>
            <w:vMerge w:val="continue"/>
            <w:tcBorders>
              <w:left w:val="single" w:color="auto" w:sz="4" w:space="0"/>
              <w:right w:val="single" w:color="auto" w:sz="4" w:space="0"/>
            </w:tcBorders>
            <w:vAlign w:val="center"/>
          </w:tcPr>
          <w:p w14:paraId="50C64FF7">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888" w:type="dxa"/>
            <w:vMerge w:val="continue"/>
            <w:tcBorders>
              <w:left w:val="single" w:color="auto" w:sz="4" w:space="0"/>
              <w:right w:val="single" w:color="auto" w:sz="4" w:space="0"/>
            </w:tcBorders>
            <w:vAlign w:val="center"/>
          </w:tcPr>
          <w:p w14:paraId="1B50040D">
            <w:pPr>
              <w:keepNext w:val="0"/>
              <w:keepLines w:val="0"/>
              <w:pageBreakBefore w:val="0"/>
              <w:widowControl w:val="0"/>
              <w:kinsoku/>
              <w:wordWrap/>
              <w:overflowPunct/>
              <w:topLinePunct w:val="0"/>
              <w:bidi w:val="0"/>
              <w:spacing w:after="0" w:line="240" w:lineRule="auto"/>
              <w:jc w:val="left"/>
              <w:textAlignment w:val="auto"/>
              <w:rPr>
                <w:rFonts w:hint="eastAsia" w:ascii="宋体" w:hAnsi="宋体" w:cs="宋体"/>
                <w:highlight w:val="none"/>
              </w:rPr>
            </w:pPr>
          </w:p>
        </w:tc>
        <w:tc>
          <w:tcPr>
            <w:tcW w:w="1812" w:type="dxa"/>
            <w:tcBorders>
              <w:top w:val="single" w:color="auto" w:sz="4" w:space="0"/>
              <w:left w:val="single" w:color="auto" w:sz="4" w:space="0"/>
              <w:right w:val="single" w:color="auto" w:sz="4" w:space="0"/>
            </w:tcBorders>
            <w:shd w:val="clear" w:color="auto" w:fill="auto"/>
            <w:vAlign w:val="center"/>
          </w:tcPr>
          <w:p w14:paraId="67B82D4E">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highlight w:val="none"/>
                <w:lang w:val="en-US" w:eastAsia="zh-CN"/>
              </w:rPr>
              <w:t>技术暗标</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73551E7E">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s="宋体"/>
                <w:highlight w:val="none"/>
                <w:lang w:eastAsia="zh-CN"/>
              </w:rPr>
            </w:pPr>
            <w:r>
              <w:rPr>
                <w:rFonts w:hint="eastAsia" w:ascii="宋体" w:hAnsi="宋体" w:cs="宋体"/>
                <w:highlight w:val="none"/>
                <w:lang w:eastAsia="zh-CN"/>
              </w:rPr>
              <w:t>投标文件技术标必须遵守的统一格式和规范。</w:t>
            </w:r>
          </w:p>
          <w:p w14:paraId="669A352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s="宋体"/>
                <w:highlight w:val="none"/>
                <w:lang w:eastAsia="zh-CN"/>
              </w:rPr>
            </w:pPr>
            <w:r>
              <w:rPr>
                <w:rFonts w:hint="eastAsia" w:ascii="宋体" w:hAnsi="宋体" w:cs="宋体"/>
                <w:highlight w:val="none"/>
                <w:lang w:eastAsia="zh-CN"/>
              </w:rPr>
              <w:t xml:space="preserve"> 技术标文件（暗标）未按以下“盲评”要求制作的，为无效投标，除下述要求外，不得因暗标格式问题认定为无效投标：</w:t>
            </w:r>
          </w:p>
          <w:p w14:paraId="0E6B03D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s="宋体"/>
                <w:highlight w:val="none"/>
                <w:lang w:eastAsia="zh-CN"/>
              </w:rPr>
            </w:pPr>
            <w:r>
              <w:rPr>
                <w:rFonts w:hint="eastAsia" w:ascii="宋体" w:hAnsi="宋体" w:cs="宋体"/>
                <w:highlight w:val="none"/>
                <w:lang w:eastAsia="zh-CN"/>
              </w:rPr>
              <w:t xml:space="preserve"> 1.版面要求：A4纸张大小；</w:t>
            </w:r>
          </w:p>
          <w:p w14:paraId="520E131D">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s="宋体"/>
                <w:highlight w:val="none"/>
                <w:lang w:eastAsia="zh-CN"/>
              </w:rPr>
            </w:pPr>
            <w:r>
              <w:rPr>
                <w:rFonts w:hint="eastAsia" w:ascii="宋体" w:hAnsi="宋体" w:cs="宋体"/>
                <w:highlight w:val="none"/>
                <w:lang w:eastAsia="zh-CN"/>
              </w:rPr>
              <w:t xml:space="preserve"> 2.颜色要求：所有文字、图表均为黑色；</w:t>
            </w:r>
          </w:p>
          <w:p w14:paraId="7F49140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s="宋体"/>
                <w:highlight w:val="none"/>
                <w:lang w:eastAsia="zh-CN"/>
              </w:rPr>
            </w:pPr>
            <w:r>
              <w:rPr>
                <w:rFonts w:hint="eastAsia" w:ascii="宋体" w:hAnsi="宋体" w:cs="宋体"/>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14:paraId="3831EE5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s="宋体"/>
                <w:highlight w:val="none"/>
                <w:lang w:eastAsia="zh-CN"/>
              </w:rPr>
            </w:pPr>
            <w:r>
              <w:rPr>
                <w:rFonts w:hint="eastAsia" w:ascii="宋体" w:hAnsi="宋体" w:cs="宋体"/>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4D3AA593">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kern w:val="2"/>
                <w:sz w:val="21"/>
                <w:szCs w:val="21"/>
                <w:highlight w:val="none"/>
                <w:lang w:val="zh-CN" w:eastAsia="zh-CN" w:bidi="ar-SA"/>
              </w:rPr>
            </w:pPr>
            <w:r>
              <w:rPr>
                <w:rFonts w:hint="eastAsia" w:ascii="宋体" w:hAnsi="宋体" w:cs="宋体"/>
                <w:highlight w:val="none"/>
                <w:lang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bl>
    <w:p w14:paraId="77FACD07">
      <w:pPr>
        <w:jc w:val="left"/>
        <w:rPr>
          <w:highlight w:val="none"/>
        </w:rPr>
      </w:pPr>
    </w:p>
    <w:p w14:paraId="16C6ECAE">
      <w:pPr>
        <w:spacing w:before="31" w:line="228" w:lineRule="auto"/>
        <w:ind w:right="16"/>
        <w:jc w:val="left"/>
        <w:rPr>
          <w:rFonts w:hint="eastAsia" w:ascii="宋体" w:hAnsi="宋体" w:cs="宋体"/>
          <w:spacing w:val="8"/>
          <w:highlight w:val="none"/>
        </w:rPr>
      </w:pPr>
      <w:r>
        <w:rPr>
          <w:rFonts w:ascii="宋体" w:hAnsi="宋体" w:cs="宋体"/>
          <w:spacing w:val="8"/>
          <w:highlight w:val="none"/>
        </w:rPr>
        <w:t>注：（1）供应商或其投标文件不符合上述情况之一的，则符合性审查不合格，不进入详细评审；</w:t>
      </w:r>
    </w:p>
    <w:p w14:paraId="687295A4">
      <w:pPr>
        <w:spacing w:before="31" w:line="228" w:lineRule="auto"/>
        <w:ind w:right="16"/>
        <w:jc w:val="left"/>
        <w:rPr>
          <w:rFonts w:hint="eastAsia" w:ascii="宋体" w:hAnsi="宋体" w:cs="宋体"/>
          <w:spacing w:val="8"/>
          <w:highlight w:val="none"/>
        </w:rPr>
      </w:pPr>
      <w:r>
        <w:rPr>
          <w:rFonts w:ascii="宋体" w:hAnsi="宋体" w:cs="宋体"/>
          <w:spacing w:val="8"/>
          <w:highlight w:val="none"/>
        </w:rPr>
        <w:t>（2）每个评审项目合格打“ √ ”, 不合格打“ × ”。评审结论写“合格 ”或“不合格 ”。不合格须注明原因；</w:t>
      </w:r>
    </w:p>
    <w:p w14:paraId="0EE3AAE5">
      <w:pPr>
        <w:spacing w:before="31" w:line="228" w:lineRule="auto"/>
        <w:ind w:right="16"/>
        <w:jc w:val="left"/>
        <w:rPr>
          <w:rFonts w:hint="eastAsia" w:ascii="宋体" w:hAnsi="宋体" w:cs="宋体"/>
          <w:spacing w:val="8"/>
          <w:highlight w:val="none"/>
        </w:rPr>
      </w:pPr>
      <w:r>
        <w:rPr>
          <w:rFonts w:ascii="宋体" w:hAnsi="宋体" w:cs="宋体"/>
          <w:spacing w:val="8"/>
          <w:highlight w:val="none"/>
        </w:rPr>
        <w:t>（3）符合性审查结束后，合格的供应商进入详细评审。</w:t>
      </w:r>
    </w:p>
    <w:p w14:paraId="4F1FBF66">
      <w:pPr>
        <w:spacing w:before="31" w:line="228" w:lineRule="auto"/>
        <w:ind w:right="16"/>
        <w:jc w:val="left"/>
        <w:rPr>
          <w:rFonts w:hint="eastAsia" w:ascii="宋体" w:hAnsi="宋体" w:cs="宋体"/>
          <w:spacing w:val="8"/>
          <w:highlight w:val="none"/>
        </w:rPr>
      </w:pPr>
      <w:r>
        <w:rPr>
          <w:rFonts w:ascii="宋体" w:hAnsi="宋体" w:cs="宋体"/>
          <w:spacing w:val="8"/>
          <w:highlight w:val="none"/>
        </w:rPr>
        <w:t>（4）投标人所提供的所有证件均需在有效期内且注册单位名称与投标人的名称一致，如企业名称发生变更，需提供主管部门出具的变更证明材料。</w:t>
      </w:r>
    </w:p>
    <w:p w14:paraId="0FFE8C57">
      <w:pPr>
        <w:spacing w:before="31" w:line="228" w:lineRule="auto"/>
        <w:ind w:right="16"/>
        <w:jc w:val="left"/>
        <w:rPr>
          <w:rFonts w:hint="eastAsia" w:ascii="宋体" w:hAnsi="宋体" w:cs="宋体"/>
          <w:spacing w:val="8"/>
          <w:highlight w:val="none"/>
        </w:rPr>
        <w:sectPr>
          <w:pgSz w:w="11906" w:h="16839"/>
          <w:pgMar w:top="1487" w:right="1136" w:bottom="1156" w:left="1477" w:header="851" w:footer="994" w:gutter="0"/>
          <w:pgNumType w:fmt="decimal"/>
          <w:cols w:space="720" w:num="1"/>
        </w:sectPr>
      </w:pPr>
      <w:r>
        <w:rPr>
          <w:rFonts w:ascii="宋体" w:hAnsi="宋体" w:cs="宋体"/>
          <w:spacing w:val="8"/>
          <w:highlight w:val="none"/>
        </w:rPr>
        <w:t>（5）上述内容中如某一证件正在年检或换证，需年检或换证部门出具有效证明方可确认</w:t>
      </w:r>
      <w:r>
        <w:rPr>
          <w:rFonts w:hint="eastAsia" w:ascii="宋体" w:hAnsi="宋体" w:cs="宋体"/>
          <w:spacing w:val="8"/>
          <w:highlight w:val="none"/>
        </w:rPr>
        <w:t>。</w:t>
      </w:r>
    </w:p>
    <w:p w14:paraId="03FAA0AF">
      <w:pPr>
        <w:autoSpaceDE w:val="0"/>
        <w:autoSpaceDN w:val="0"/>
        <w:adjustRightInd w:val="0"/>
        <w:rPr>
          <w:rFonts w:ascii="宋体" w:hAnsi="宋体" w:eastAsia="宋体" w:cs="宋体"/>
          <w:b/>
          <w:bCs/>
          <w:color w:val="auto"/>
          <w:sz w:val="20"/>
          <w:szCs w:val="20"/>
          <w:highlight w:val="yellow"/>
        </w:rPr>
      </w:pPr>
      <w:r>
        <w:rPr>
          <w:rFonts w:hint="eastAsia" w:ascii="宋体" w:hAnsi="宋体" w:cs="宋体"/>
          <w:b/>
          <w:bCs/>
          <w:color w:val="auto"/>
          <w:sz w:val="22"/>
          <w:szCs w:val="22"/>
        </w:rPr>
        <w:t>评标办法前附表(二)</w:t>
      </w:r>
    </w:p>
    <w:p w14:paraId="2A55C8A6">
      <w:pPr>
        <w:pStyle w:val="4"/>
        <w:spacing w:before="0"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详细评审表（计算结果精确到小数点后两位）</w:t>
      </w:r>
    </w:p>
    <w:tbl>
      <w:tblPr>
        <w:tblStyle w:val="5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1120"/>
        <w:gridCol w:w="5946"/>
        <w:gridCol w:w="632"/>
        <w:gridCol w:w="995"/>
      </w:tblGrid>
      <w:tr w14:paraId="55F0D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jc w:val="center"/>
        </w:trPr>
        <w:tc>
          <w:tcPr>
            <w:tcW w:w="786" w:type="dxa"/>
            <w:vAlign w:val="center"/>
          </w:tcPr>
          <w:p w14:paraId="44BE44AB">
            <w:pPr>
              <w:spacing w:line="360" w:lineRule="auto"/>
              <w:jc w:val="center"/>
              <w:rPr>
                <w:rFonts w:ascii="宋体" w:hAnsi="宋体" w:eastAsia="宋体" w:cs="宋体"/>
                <w:b/>
                <w:bCs/>
                <w:color w:val="auto"/>
                <w:spacing w:val="-10"/>
                <w:szCs w:val="21"/>
                <w:lang w:val="zh-CN"/>
              </w:rPr>
            </w:pPr>
            <w:r>
              <w:rPr>
                <w:rFonts w:hint="eastAsia" w:ascii="宋体" w:hAnsi="宋体" w:eastAsia="宋体" w:cs="宋体"/>
                <w:b/>
                <w:bCs/>
                <w:color w:val="auto"/>
                <w:spacing w:val="-10"/>
                <w:szCs w:val="21"/>
                <w:lang w:val="zh-CN"/>
              </w:rPr>
              <w:t>序号</w:t>
            </w:r>
          </w:p>
        </w:tc>
        <w:tc>
          <w:tcPr>
            <w:tcW w:w="1120" w:type="dxa"/>
            <w:vAlign w:val="center"/>
          </w:tcPr>
          <w:p w14:paraId="6DEC8F66">
            <w:pPr>
              <w:spacing w:line="360" w:lineRule="auto"/>
              <w:jc w:val="center"/>
              <w:rPr>
                <w:rFonts w:ascii="宋体" w:hAnsi="宋体" w:eastAsia="宋体" w:cs="宋体"/>
                <w:b/>
                <w:bCs/>
                <w:color w:val="auto"/>
                <w:spacing w:val="-10"/>
                <w:szCs w:val="21"/>
                <w:lang w:val="zh-CN"/>
              </w:rPr>
            </w:pPr>
            <w:r>
              <w:rPr>
                <w:rFonts w:hint="eastAsia" w:ascii="宋体" w:hAnsi="宋体" w:eastAsia="宋体" w:cs="宋体"/>
                <w:b/>
                <w:bCs/>
                <w:color w:val="auto"/>
                <w:spacing w:val="-10"/>
                <w:szCs w:val="21"/>
                <w:lang w:val="zh-CN"/>
              </w:rPr>
              <w:t>评审因素</w:t>
            </w:r>
          </w:p>
        </w:tc>
        <w:tc>
          <w:tcPr>
            <w:tcW w:w="5946" w:type="dxa"/>
            <w:vAlign w:val="center"/>
          </w:tcPr>
          <w:p w14:paraId="52179E75">
            <w:pPr>
              <w:spacing w:line="360" w:lineRule="auto"/>
              <w:jc w:val="center"/>
              <w:rPr>
                <w:rFonts w:ascii="宋体" w:hAnsi="宋体" w:eastAsia="宋体" w:cs="宋体"/>
                <w:b/>
                <w:bCs/>
                <w:color w:val="auto"/>
                <w:spacing w:val="-10"/>
                <w:szCs w:val="21"/>
                <w:lang w:val="zh-CN"/>
              </w:rPr>
            </w:pPr>
            <w:r>
              <w:rPr>
                <w:rFonts w:hint="eastAsia" w:ascii="宋体" w:hAnsi="宋体" w:eastAsia="宋体" w:cs="宋体"/>
                <w:b/>
                <w:bCs/>
                <w:color w:val="auto"/>
                <w:spacing w:val="-10"/>
                <w:szCs w:val="21"/>
                <w:lang w:val="zh-CN"/>
              </w:rPr>
              <w:t>评分标准</w:t>
            </w:r>
          </w:p>
        </w:tc>
        <w:tc>
          <w:tcPr>
            <w:tcW w:w="632" w:type="dxa"/>
            <w:vAlign w:val="center"/>
          </w:tcPr>
          <w:p w14:paraId="19E03D67">
            <w:pPr>
              <w:spacing w:line="360" w:lineRule="auto"/>
              <w:jc w:val="center"/>
              <w:rPr>
                <w:rFonts w:ascii="宋体" w:hAnsi="宋体" w:eastAsia="宋体" w:cs="宋体"/>
                <w:b/>
                <w:bCs/>
                <w:color w:val="auto"/>
                <w:spacing w:val="-10"/>
                <w:szCs w:val="21"/>
                <w:lang w:val="zh-CN"/>
              </w:rPr>
            </w:pPr>
            <w:r>
              <w:rPr>
                <w:rFonts w:hint="eastAsia" w:ascii="宋体" w:hAnsi="宋体" w:eastAsia="宋体" w:cs="宋体"/>
                <w:b/>
                <w:bCs/>
                <w:color w:val="auto"/>
                <w:spacing w:val="-10"/>
                <w:szCs w:val="21"/>
                <w:lang w:val="zh-CN"/>
              </w:rPr>
              <w:t>分值</w:t>
            </w:r>
          </w:p>
        </w:tc>
        <w:tc>
          <w:tcPr>
            <w:tcW w:w="995" w:type="dxa"/>
            <w:vAlign w:val="center"/>
          </w:tcPr>
          <w:p w14:paraId="3424D7E3">
            <w:pPr>
              <w:spacing w:line="360" w:lineRule="auto"/>
              <w:jc w:val="center"/>
              <w:rPr>
                <w:rFonts w:ascii="宋体" w:hAnsi="宋体" w:eastAsia="宋体" w:cs="宋体"/>
                <w:b/>
                <w:bCs/>
                <w:color w:val="auto"/>
                <w:spacing w:val="-10"/>
                <w:szCs w:val="21"/>
                <w:lang w:val="zh-CN"/>
              </w:rPr>
            </w:pPr>
            <w:r>
              <w:rPr>
                <w:rFonts w:hint="eastAsia" w:ascii="宋体" w:hAnsi="宋体" w:eastAsia="宋体" w:cs="宋体"/>
                <w:b/>
                <w:bCs/>
                <w:color w:val="auto"/>
                <w:spacing w:val="-10"/>
                <w:szCs w:val="21"/>
                <w:lang w:val="zh-CN"/>
              </w:rPr>
              <w:t>主、客项</w:t>
            </w:r>
          </w:p>
        </w:tc>
      </w:tr>
      <w:tr w14:paraId="3A38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479" w:type="dxa"/>
            <w:gridSpan w:val="5"/>
            <w:vAlign w:val="center"/>
          </w:tcPr>
          <w:p w14:paraId="4E4364F1">
            <w:pPr>
              <w:spacing w:line="360" w:lineRule="auto"/>
              <w:rPr>
                <w:rFonts w:ascii="宋体" w:hAnsi="宋体" w:eastAsia="宋体" w:cs="宋体"/>
                <w:color w:val="auto"/>
                <w:spacing w:val="-10"/>
                <w:szCs w:val="21"/>
                <w:lang w:val="zh-CN"/>
              </w:rPr>
            </w:pPr>
            <w:r>
              <w:rPr>
                <w:rFonts w:hint="eastAsia" w:ascii="宋体" w:hAnsi="宋体" w:eastAsia="宋体" w:cs="宋体"/>
                <w:b/>
                <w:bCs/>
                <w:color w:val="auto"/>
                <w:spacing w:val="-10"/>
                <w:szCs w:val="21"/>
                <w:lang w:val="zh-CN"/>
              </w:rPr>
              <w:t>（一） 价格评分（0分）</w:t>
            </w:r>
          </w:p>
        </w:tc>
      </w:tr>
      <w:tr w14:paraId="4ECD8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vAlign w:val="center"/>
          </w:tcPr>
          <w:p w14:paraId="2E6B9D68">
            <w:pPr>
              <w:spacing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lang w:val="zh-CN"/>
              </w:rPr>
              <w:t>1</w:t>
            </w:r>
          </w:p>
        </w:tc>
        <w:tc>
          <w:tcPr>
            <w:tcW w:w="1120" w:type="dxa"/>
            <w:vAlign w:val="center"/>
          </w:tcPr>
          <w:p w14:paraId="2FBCA1E7">
            <w:pPr>
              <w:spacing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lang w:val="zh-CN"/>
              </w:rPr>
              <w:t>价格评分</w:t>
            </w:r>
          </w:p>
        </w:tc>
        <w:tc>
          <w:tcPr>
            <w:tcW w:w="5946" w:type="dxa"/>
            <w:vAlign w:val="center"/>
          </w:tcPr>
          <w:p w14:paraId="6C443A5D">
            <w:pPr>
              <w:spacing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rPr>
              <w:t>无</w:t>
            </w:r>
          </w:p>
        </w:tc>
        <w:tc>
          <w:tcPr>
            <w:tcW w:w="632" w:type="dxa"/>
            <w:vAlign w:val="center"/>
          </w:tcPr>
          <w:p w14:paraId="2ECA9B4E">
            <w:pPr>
              <w:spacing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lang w:val="zh-CN"/>
              </w:rPr>
              <w:t>0</w:t>
            </w:r>
          </w:p>
        </w:tc>
        <w:tc>
          <w:tcPr>
            <w:tcW w:w="995" w:type="dxa"/>
            <w:vAlign w:val="center"/>
          </w:tcPr>
          <w:p w14:paraId="3688895B">
            <w:pPr>
              <w:spacing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lang w:val="zh-CN"/>
              </w:rPr>
              <w:t>客观项</w:t>
            </w:r>
          </w:p>
        </w:tc>
      </w:tr>
      <w:tr w14:paraId="49D1E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479" w:type="dxa"/>
            <w:gridSpan w:val="5"/>
            <w:vAlign w:val="center"/>
          </w:tcPr>
          <w:p w14:paraId="1670A755">
            <w:pPr>
              <w:spacing w:line="360" w:lineRule="auto"/>
              <w:rPr>
                <w:rFonts w:ascii="宋体" w:hAnsi="宋体" w:eastAsia="宋体" w:cs="宋体"/>
                <w:color w:val="auto"/>
                <w:spacing w:val="-10"/>
                <w:szCs w:val="21"/>
                <w:lang w:val="zh-CN"/>
              </w:rPr>
            </w:pPr>
            <w:r>
              <w:rPr>
                <w:rFonts w:hint="eastAsia" w:ascii="宋体" w:hAnsi="宋体" w:eastAsia="宋体" w:cs="宋体"/>
                <w:b/>
                <w:bCs/>
                <w:color w:val="auto"/>
                <w:spacing w:val="-10"/>
                <w:szCs w:val="21"/>
                <w:lang w:val="zh-CN"/>
              </w:rPr>
              <w:t>（二） 技术服务评分（</w:t>
            </w:r>
            <w:r>
              <w:rPr>
                <w:rFonts w:hint="eastAsia" w:ascii="宋体" w:hAnsi="宋体" w:eastAsia="宋体" w:cs="宋体"/>
                <w:b/>
                <w:bCs/>
                <w:color w:val="auto"/>
                <w:spacing w:val="-10"/>
                <w:szCs w:val="21"/>
              </w:rPr>
              <w:t>55</w:t>
            </w:r>
            <w:r>
              <w:rPr>
                <w:rFonts w:hint="eastAsia" w:ascii="宋体" w:hAnsi="宋体" w:eastAsia="宋体" w:cs="宋体"/>
                <w:b/>
                <w:bCs/>
                <w:color w:val="auto"/>
                <w:spacing w:val="-10"/>
                <w:szCs w:val="21"/>
                <w:lang w:val="zh-CN"/>
              </w:rPr>
              <w:t>分）</w:t>
            </w:r>
          </w:p>
        </w:tc>
      </w:tr>
      <w:tr w14:paraId="01FD8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vAlign w:val="center"/>
          </w:tcPr>
          <w:p w14:paraId="7BF27A57">
            <w:pPr>
              <w:pStyle w:val="46"/>
              <w:spacing w:line="360" w:lineRule="auto"/>
              <w:jc w:val="center"/>
              <w:rPr>
                <w:rFonts w:ascii="宋体" w:hAnsi="宋体" w:cs="宋体"/>
                <w:snapToGrid w:val="0"/>
                <w:color w:val="auto"/>
                <w:spacing w:val="-10"/>
                <w:kern w:val="0"/>
                <w:szCs w:val="21"/>
              </w:rPr>
            </w:pPr>
            <w:r>
              <w:rPr>
                <w:rFonts w:hint="eastAsia" w:ascii="宋体" w:hAnsi="宋体" w:cs="宋体"/>
                <w:snapToGrid w:val="0"/>
                <w:color w:val="auto"/>
                <w:spacing w:val="-10"/>
                <w:kern w:val="0"/>
                <w:szCs w:val="21"/>
              </w:rPr>
              <w:t>1</w:t>
            </w:r>
          </w:p>
        </w:tc>
        <w:tc>
          <w:tcPr>
            <w:tcW w:w="1120" w:type="dxa"/>
            <w:vAlign w:val="center"/>
          </w:tcPr>
          <w:p w14:paraId="78CF2ECA">
            <w:pPr>
              <w:spacing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服务方案</w:t>
            </w:r>
          </w:p>
        </w:tc>
        <w:tc>
          <w:tcPr>
            <w:tcW w:w="5946" w:type="dxa"/>
            <w:vAlign w:val="center"/>
          </w:tcPr>
          <w:p w14:paraId="0375F1FF">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服务方案展示了保险人的独特作用，而且清晰地阐述了其对项目成功的关键贡献。承保方案设计科学合理，流程透明，确保快速响应和高效执行。理赔机制快速、高效，确保受害者能迅速获得补偿，流程简便，客户满意度高。方案严格遵守《重点保护陆生野生动物造成人身财产损害补偿保险》的规定，展示了深入理解和应用的能力，能够表现出对政策深刻理解和严格执行得</w:t>
            </w:r>
            <w:r>
              <w:rPr>
                <w:rFonts w:hint="eastAsia" w:ascii="宋体" w:hAnsi="宋体" w:eastAsia="宋体" w:cs="宋体"/>
                <w:color w:val="auto"/>
              </w:rPr>
              <w:t>15</w:t>
            </w:r>
            <w:r>
              <w:rPr>
                <w:rFonts w:hint="eastAsia" w:ascii="宋体" w:hAnsi="宋体" w:eastAsia="宋体" w:cs="宋体"/>
                <w:color w:val="auto"/>
                <w:lang w:val="zh-CN"/>
              </w:rPr>
              <w:t>分。</w:t>
            </w:r>
          </w:p>
          <w:p w14:paraId="4A066E67">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服务方案有效地展示了保险人的独特作用，并对项目的成功做出了积极的贡献。承保方案合理，流程较为透明，响应速度和执行效率良好。理赔机制处理效率较高，能较快地为受害者提供补偿，客户满意度较好。整体方案能够显示出对《重点保护陆生野生动物造成人身财产损害补偿保险》规定的良好理解得</w:t>
            </w:r>
            <w:r>
              <w:rPr>
                <w:rFonts w:hint="eastAsia" w:ascii="宋体" w:hAnsi="宋体" w:eastAsia="宋体" w:cs="宋体"/>
                <w:color w:val="auto"/>
              </w:rPr>
              <w:t>12</w:t>
            </w:r>
            <w:r>
              <w:rPr>
                <w:rFonts w:hint="eastAsia" w:ascii="宋体" w:hAnsi="宋体" w:eastAsia="宋体" w:cs="宋体"/>
                <w:color w:val="auto"/>
                <w:lang w:val="zh-CN"/>
              </w:rPr>
              <w:t>分。</w:t>
            </w:r>
          </w:p>
          <w:p w14:paraId="35B942BB">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服务方案描述了保险人的作用，对项目的贡献基本明确。承保方案设计流程略显不够透明，响应速度和执行效率一般。理赔机制效率中等，能在合理时间内处理理赔，客户满意度一般。方案基本遵守了相关政策，但在深入理解和应用政策方面有待加强得</w:t>
            </w:r>
            <w:r>
              <w:rPr>
                <w:rFonts w:hint="eastAsia" w:ascii="宋体" w:hAnsi="宋体" w:eastAsia="宋体" w:cs="宋体"/>
                <w:color w:val="auto"/>
              </w:rPr>
              <w:t>9</w:t>
            </w:r>
            <w:r>
              <w:rPr>
                <w:rFonts w:hint="eastAsia" w:ascii="宋体" w:hAnsi="宋体" w:eastAsia="宋体" w:cs="宋体"/>
                <w:color w:val="auto"/>
                <w:lang w:val="zh-CN"/>
              </w:rPr>
              <w:t>分。</w:t>
            </w:r>
          </w:p>
          <w:p w14:paraId="56727C6C">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服务方案简单地介绍了保险人在本项目中的角色定位，对项目的贡献较为表面。承保方案的设计尚能满足最基本的要求，但流程不够透明，响应和执行的效率较低。理赔机制处理较慢，复杂度较高，客户满意度低。方案仅在一定程度上遵守了《重点保护陆生野生动物造成人身财产损害补偿保险》的规定，对政策的理解和执行较为浅显得</w:t>
            </w:r>
            <w:r>
              <w:rPr>
                <w:rFonts w:hint="eastAsia" w:ascii="宋体" w:hAnsi="宋体" w:eastAsia="宋体" w:cs="宋体"/>
                <w:color w:val="auto"/>
              </w:rPr>
              <w:t>6</w:t>
            </w:r>
            <w:r>
              <w:rPr>
                <w:rFonts w:hint="eastAsia" w:ascii="宋体" w:hAnsi="宋体" w:eastAsia="宋体" w:cs="宋体"/>
                <w:color w:val="auto"/>
                <w:lang w:val="zh-CN"/>
              </w:rPr>
              <w:t>分。</w:t>
            </w:r>
          </w:p>
          <w:p w14:paraId="321BB781">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服务方案未能充分展示保险人的独特作用，对项目的贡献非常有限。承保方案设计不当，流程混乱，响应和执行效率非常低。理赔机制效率低下，处理过程复杂，延迟严重，导致客户满意度非常低。方案在遵守《重点保护陆生野生动物造成人身财产损害补偿保险》的规定方面存在严重问题，几乎没有显示出对政策的理解或正确应用得</w:t>
            </w:r>
            <w:r>
              <w:rPr>
                <w:rFonts w:hint="eastAsia" w:ascii="宋体" w:hAnsi="宋体" w:eastAsia="宋体" w:cs="宋体"/>
                <w:color w:val="auto"/>
              </w:rPr>
              <w:t>3</w:t>
            </w:r>
            <w:r>
              <w:rPr>
                <w:rFonts w:hint="eastAsia" w:ascii="宋体" w:hAnsi="宋体" w:eastAsia="宋体" w:cs="宋体"/>
                <w:color w:val="auto"/>
                <w:lang w:val="zh-CN"/>
              </w:rPr>
              <w:t>分。</w:t>
            </w:r>
          </w:p>
          <w:p w14:paraId="26CE71E6">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lang w:val="zh-CN"/>
              </w:rPr>
              <w:t>无不得分。</w:t>
            </w:r>
          </w:p>
        </w:tc>
        <w:tc>
          <w:tcPr>
            <w:tcW w:w="632" w:type="dxa"/>
            <w:vAlign w:val="center"/>
          </w:tcPr>
          <w:p w14:paraId="7D853704">
            <w:pPr>
              <w:pStyle w:val="11"/>
              <w:tabs>
                <w:tab w:val="left" w:pos="600"/>
              </w:tabs>
              <w:spacing w:line="360" w:lineRule="auto"/>
              <w:ind w:left="0" w:leftChars="0"/>
              <w:jc w:val="center"/>
              <w:rPr>
                <w:rFonts w:ascii="宋体" w:hAnsi="宋体" w:eastAsia="宋体" w:cs="宋体"/>
                <w:color w:val="auto"/>
                <w:spacing w:val="-10"/>
                <w:szCs w:val="21"/>
              </w:rPr>
            </w:pPr>
            <w:r>
              <w:rPr>
                <w:rFonts w:hint="eastAsia" w:ascii="宋体" w:hAnsi="宋体" w:eastAsia="宋体" w:cs="宋体"/>
                <w:color w:val="auto"/>
                <w:spacing w:val="-10"/>
                <w:szCs w:val="21"/>
              </w:rPr>
              <w:t>15</w:t>
            </w:r>
          </w:p>
        </w:tc>
        <w:tc>
          <w:tcPr>
            <w:tcW w:w="995" w:type="dxa"/>
            <w:vAlign w:val="center"/>
          </w:tcPr>
          <w:p w14:paraId="2E75C749">
            <w:pPr>
              <w:spacing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主观项</w:t>
            </w:r>
          </w:p>
        </w:tc>
      </w:tr>
      <w:tr w14:paraId="4735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vAlign w:val="center"/>
          </w:tcPr>
          <w:p w14:paraId="5C87818F">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2</w:t>
            </w:r>
          </w:p>
        </w:tc>
        <w:tc>
          <w:tcPr>
            <w:tcW w:w="1120" w:type="dxa"/>
            <w:vAlign w:val="center"/>
          </w:tcPr>
          <w:p w14:paraId="3C3ADB49">
            <w:pPr>
              <w:spacing w:before="150"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rPr>
              <w:t>项目风险认知及分析能力</w:t>
            </w:r>
          </w:p>
        </w:tc>
        <w:tc>
          <w:tcPr>
            <w:tcW w:w="5946" w:type="dxa"/>
            <w:vAlign w:val="center"/>
          </w:tcPr>
          <w:p w14:paraId="2D70ECE1">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充分体现保险人在风险认知上的专业能力，能准确的把握项目风险，项目风险分析客观、准确、完整；提出的风险管理方案全面、详尽，并包含创新性措施，完美符合项目的风险特性，能有效减少潜在风险得</w:t>
            </w:r>
            <w:r>
              <w:rPr>
                <w:rFonts w:hint="eastAsia" w:ascii="宋体" w:hAnsi="宋体" w:eastAsia="宋体" w:cs="宋体"/>
                <w:color w:val="auto"/>
              </w:rPr>
              <w:t>15</w:t>
            </w:r>
            <w:r>
              <w:rPr>
                <w:rFonts w:hint="eastAsia" w:ascii="宋体" w:hAnsi="宋体" w:eastAsia="宋体" w:cs="宋体"/>
                <w:color w:val="auto"/>
                <w:lang w:val="zh-CN"/>
              </w:rPr>
              <w:t>分。</w:t>
            </w:r>
          </w:p>
          <w:p w14:paraId="5A88B58A">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展现出较强的风险认知能力，能较准确地把握项目风险。项目风险分析较为客观、准确，尽管存在少量遗漏。提出的风险管理方案较为全面，包含了一些创新性措施，较好地符合项目的风险特性，能在大多数情况下有效地减少潜在风险。得</w:t>
            </w:r>
            <w:r>
              <w:rPr>
                <w:rFonts w:hint="eastAsia" w:ascii="宋体" w:hAnsi="宋体" w:eastAsia="宋体" w:cs="宋体"/>
                <w:color w:val="auto"/>
              </w:rPr>
              <w:t>12</w:t>
            </w:r>
            <w:r>
              <w:rPr>
                <w:rFonts w:hint="eastAsia" w:ascii="宋体" w:hAnsi="宋体" w:eastAsia="宋体" w:cs="宋体"/>
                <w:color w:val="auto"/>
                <w:lang w:val="zh-CN"/>
              </w:rPr>
              <w:t>分。</w:t>
            </w:r>
          </w:p>
          <w:p w14:paraId="631D3078">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展示了一定的风险认知能力，但在把握项目风险的准确性上有所不足。项目风险分析基本客观和准确，但不够完整，缺乏深度。提出的风险管理方案能满足基本需求，包含少数创新措施，但只在一定程度上符合项目的风险特性，减少潜在风险的能力有限得</w:t>
            </w:r>
            <w:r>
              <w:rPr>
                <w:rFonts w:hint="eastAsia" w:ascii="宋体" w:hAnsi="宋体" w:eastAsia="宋体" w:cs="宋体"/>
                <w:color w:val="auto"/>
              </w:rPr>
              <w:t>9</w:t>
            </w:r>
            <w:r>
              <w:rPr>
                <w:rFonts w:hint="eastAsia" w:ascii="宋体" w:hAnsi="宋体" w:eastAsia="宋体" w:cs="宋体"/>
                <w:color w:val="auto"/>
                <w:lang w:val="zh-CN"/>
              </w:rPr>
              <w:t>分。</w:t>
            </w:r>
          </w:p>
          <w:p w14:paraId="408D12DA">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在风险认知上展现了基本能力，但未能全面准确把握项目风险。项目风险分析部分客观和准确，但存在明显的不足和误解。提出的风险管理方案虽然尝试应对项目需求，但缺乏创新性措施，仅部分符合项目的风险特性，对减少潜在风险的效果不明显得</w:t>
            </w:r>
            <w:r>
              <w:rPr>
                <w:rFonts w:hint="eastAsia" w:ascii="宋体" w:hAnsi="宋体" w:eastAsia="宋体" w:cs="宋体"/>
                <w:color w:val="auto"/>
              </w:rPr>
              <w:t>6</w:t>
            </w:r>
            <w:r>
              <w:rPr>
                <w:rFonts w:hint="eastAsia" w:ascii="宋体" w:hAnsi="宋体" w:eastAsia="宋体" w:cs="宋体"/>
                <w:color w:val="auto"/>
                <w:lang w:val="zh-CN"/>
              </w:rPr>
              <w:t>分。</w:t>
            </w:r>
          </w:p>
          <w:p w14:paraId="45077AAD">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在风险认知上的能力不足，未能有效把握项目风险。项目风险分析缺乏客观性和准确性，且信息不完整，分析浅薄。提出的风险管理方案不全面，缺乏创新和针对性，与项目的风险特性不符，无法有效减少潜在风险得</w:t>
            </w:r>
            <w:r>
              <w:rPr>
                <w:rFonts w:hint="eastAsia" w:ascii="宋体" w:hAnsi="宋体" w:eastAsia="宋体" w:cs="宋体"/>
                <w:color w:val="auto"/>
              </w:rPr>
              <w:t>3</w:t>
            </w:r>
            <w:r>
              <w:rPr>
                <w:rFonts w:hint="eastAsia" w:ascii="宋体" w:hAnsi="宋体" w:eastAsia="宋体" w:cs="宋体"/>
                <w:color w:val="auto"/>
                <w:lang w:val="zh-CN"/>
              </w:rPr>
              <w:t>分。</w:t>
            </w:r>
          </w:p>
          <w:p w14:paraId="55A4B8D3">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无不得分。</w:t>
            </w:r>
          </w:p>
        </w:tc>
        <w:tc>
          <w:tcPr>
            <w:tcW w:w="632" w:type="dxa"/>
            <w:vAlign w:val="center"/>
          </w:tcPr>
          <w:p w14:paraId="737C5C88">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15</w:t>
            </w:r>
          </w:p>
        </w:tc>
        <w:tc>
          <w:tcPr>
            <w:tcW w:w="995" w:type="dxa"/>
            <w:vAlign w:val="center"/>
          </w:tcPr>
          <w:p w14:paraId="1A7CEDFE">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主观项</w:t>
            </w:r>
          </w:p>
        </w:tc>
      </w:tr>
      <w:tr w14:paraId="0B28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vAlign w:val="center"/>
          </w:tcPr>
          <w:p w14:paraId="531B6E3E">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3</w:t>
            </w:r>
          </w:p>
        </w:tc>
        <w:tc>
          <w:tcPr>
            <w:tcW w:w="1120" w:type="dxa"/>
            <w:vAlign w:val="center"/>
          </w:tcPr>
          <w:p w14:paraId="0649E58F">
            <w:pPr>
              <w:spacing w:before="150"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rPr>
              <w:t>项目实施能力</w:t>
            </w:r>
          </w:p>
        </w:tc>
        <w:tc>
          <w:tcPr>
            <w:tcW w:w="5946" w:type="dxa"/>
            <w:vAlign w:val="center"/>
          </w:tcPr>
          <w:p w14:paraId="4DB4B462">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投标人充分体现了此项目实施能力，在承保、理赔及所属分支机构工作安排、项目宣传等方面提出的方案科学合理，具有可操作性得</w:t>
            </w:r>
            <w:r>
              <w:rPr>
                <w:rFonts w:hint="eastAsia" w:ascii="宋体" w:hAnsi="宋体" w:eastAsia="宋体" w:cs="宋体"/>
                <w:color w:val="auto"/>
              </w:rPr>
              <w:t>10</w:t>
            </w:r>
            <w:r>
              <w:rPr>
                <w:rFonts w:hint="eastAsia" w:ascii="宋体" w:hAnsi="宋体" w:eastAsia="宋体" w:cs="宋体"/>
                <w:color w:val="auto"/>
                <w:lang w:val="zh-CN"/>
              </w:rPr>
              <w:t>分。</w:t>
            </w:r>
          </w:p>
          <w:p w14:paraId="29F47298">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展示了较强的项目实施能力，在承保、理赔及分支机构工作安排方面的方案大体科学合理。虽然在项目宣传方面略显一般，但总体上具有可操作性。方案能有效地被执行，尽管在某些细节上可能需要进一步的优化以提高效率和覆盖面得</w:t>
            </w:r>
            <w:r>
              <w:rPr>
                <w:rFonts w:hint="eastAsia" w:ascii="宋体" w:hAnsi="宋体" w:eastAsia="宋体" w:cs="宋体"/>
                <w:color w:val="auto"/>
              </w:rPr>
              <w:t>8</w:t>
            </w:r>
            <w:r>
              <w:rPr>
                <w:rFonts w:hint="eastAsia" w:ascii="宋体" w:hAnsi="宋体" w:eastAsia="宋体" w:cs="宋体"/>
                <w:color w:val="auto"/>
                <w:lang w:val="zh-CN"/>
              </w:rPr>
              <w:t>分。</w:t>
            </w:r>
          </w:p>
          <w:p w14:paraId="4C3B09EB">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的项目实施能力表现一般，提出的承保和理赔方案基本符合要求，但在分支机构的工作安排和项目宣传方面存在不足，方案在某些方面显得不够科学或缺乏创新。方案的可操作性尚可，但在实际执行中可能遇到一些障碍和效率问题得</w:t>
            </w:r>
            <w:r>
              <w:rPr>
                <w:rFonts w:hint="eastAsia" w:ascii="宋体" w:hAnsi="宋体" w:eastAsia="宋体" w:cs="宋体"/>
                <w:color w:val="auto"/>
              </w:rPr>
              <w:t>6</w:t>
            </w:r>
            <w:r>
              <w:rPr>
                <w:rFonts w:hint="eastAsia" w:ascii="宋体" w:hAnsi="宋体" w:eastAsia="宋体" w:cs="宋体"/>
                <w:color w:val="auto"/>
                <w:lang w:val="zh-CN"/>
              </w:rPr>
              <w:t>分。</w:t>
            </w:r>
          </w:p>
          <w:p w14:paraId="45FD4A21">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的项目实施能力尚能满足最基本的要求，但在承保、理赔及分支机构的工作安排方面的方案不够科学合理，缺乏细致考虑。项目宣传方案的可操作性较低，执行中可能面临较多的挑战和困难。整体上，方案需要进一步调整和改进以确保有效实施得</w:t>
            </w:r>
            <w:r>
              <w:rPr>
                <w:rFonts w:hint="eastAsia" w:ascii="宋体" w:hAnsi="宋体" w:eastAsia="宋体" w:cs="宋体"/>
                <w:color w:val="auto"/>
              </w:rPr>
              <w:t>4</w:t>
            </w:r>
            <w:r>
              <w:rPr>
                <w:rFonts w:hint="eastAsia" w:ascii="宋体" w:hAnsi="宋体" w:eastAsia="宋体" w:cs="宋体"/>
                <w:color w:val="auto"/>
                <w:lang w:val="zh-CN"/>
              </w:rPr>
              <w:t>分。</w:t>
            </w:r>
          </w:p>
          <w:p w14:paraId="150F083A">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投标人的项目实施能力未能展示出满足项目需求的水平。在承保、理赔及分支机构的工作安排和项目宣传方面的方案不科学、不合理，且缺乏可操作性。方案执行难度大，可能无法达到预期的效果，需要全面的重新设计和优化得</w:t>
            </w:r>
            <w:r>
              <w:rPr>
                <w:rFonts w:hint="eastAsia" w:ascii="宋体" w:hAnsi="宋体" w:eastAsia="宋体" w:cs="宋体"/>
                <w:color w:val="auto"/>
              </w:rPr>
              <w:t>2</w:t>
            </w:r>
            <w:r>
              <w:rPr>
                <w:rFonts w:hint="eastAsia" w:ascii="宋体" w:hAnsi="宋体" w:eastAsia="宋体" w:cs="宋体"/>
                <w:color w:val="auto"/>
                <w:lang w:val="zh-CN"/>
              </w:rPr>
              <w:t>分。</w:t>
            </w:r>
          </w:p>
          <w:p w14:paraId="757D3D69">
            <w:pPr>
              <w:autoSpaceDE w:val="0"/>
              <w:autoSpaceDN w:val="0"/>
              <w:adjustRightInd w:val="0"/>
              <w:snapToGrid w:val="0"/>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无不得分。</w:t>
            </w:r>
          </w:p>
        </w:tc>
        <w:tc>
          <w:tcPr>
            <w:tcW w:w="632" w:type="dxa"/>
            <w:vAlign w:val="center"/>
          </w:tcPr>
          <w:p w14:paraId="701A0148">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10</w:t>
            </w:r>
          </w:p>
        </w:tc>
        <w:tc>
          <w:tcPr>
            <w:tcW w:w="995" w:type="dxa"/>
            <w:vAlign w:val="center"/>
          </w:tcPr>
          <w:p w14:paraId="7A558AF3">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主观项</w:t>
            </w:r>
          </w:p>
        </w:tc>
      </w:tr>
      <w:tr w14:paraId="03479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vAlign w:val="center"/>
          </w:tcPr>
          <w:p w14:paraId="7C0C7EE2">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4</w:t>
            </w:r>
          </w:p>
        </w:tc>
        <w:tc>
          <w:tcPr>
            <w:tcW w:w="1120" w:type="dxa"/>
            <w:vAlign w:val="center"/>
          </w:tcPr>
          <w:p w14:paraId="0D6FBC3A">
            <w:pPr>
              <w:spacing w:before="150"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rPr>
              <w:t>管理制度</w:t>
            </w:r>
          </w:p>
        </w:tc>
        <w:tc>
          <w:tcPr>
            <w:tcW w:w="5946" w:type="dxa"/>
            <w:vAlign w:val="center"/>
          </w:tcPr>
          <w:p w14:paraId="79D0F179">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工作流程科学、时间安排合理、工作计划详细、完整的管理制度以及保障措施，切实可行、描述全面、详细，具有可操作性得5分。</w:t>
            </w:r>
          </w:p>
          <w:p w14:paraId="73D43336">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项目的工作流程较为科学，时间安排基本合理，工作计划详尽。管理制度完整，保障措施相对充分。虽然在某些方面的描述可能不够全面，整体上方案仍然具有较高的可操作性，能够有效实施，但可能需要小幅调整以优化效果得4分。</w:t>
            </w:r>
          </w:p>
          <w:p w14:paraId="584D5849">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项目的工作流程具有一定的科学性，时间安排尚合理，工作计划较为详细。管理制度较为完整。方案的描述在细节上有所欠缺，影响了全面性和精确性，有一定可操作性但在实际操作中可能需要较多的调整和补充得3分。</w:t>
            </w:r>
          </w:p>
          <w:p w14:paraId="73164171">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项目的工作流程基本科学，但时间安排和工作计划的合理性及详细程度有待提高。管理制度不够完整，保障措施仅满足最基本的需求。方案的描述不够全面和详细，仅具备有限的可操作性，实施时可能面临较大的挑战，需要进一步的完善和调整得2分。</w:t>
            </w:r>
          </w:p>
          <w:p w14:paraId="62F69BB5">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项目的工作流程缺乏科学性，时间安排不合理，工作计划缺乏详尽性。管理制度不完整，保障措施不足，方案的描述浅显、不详细，缺乏必要的可操作性。方案的实施难度高，效果存疑，难以达到基本的项目要求得1分。</w:t>
            </w:r>
          </w:p>
          <w:p w14:paraId="32C0B838">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rPr>
              <w:t>无不得分。</w:t>
            </w:r>
          </w:p>
        </w:tc>
        <w:tc>
          <w:tcPr>
            <w:tcW w:w="632" w:type="dxa"/>
            <w:vAlign w:val="center"/>
          </w:tcPr>
          <w:p w14:paraId="4FADD13D">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5</w:t>
            </w:r>
          </w:p>
        </w:tc>
        <w:tc>
          <w:tcPr>
            <w:tcW w:w="995" w:type="dxa"/>
            <w:vAlign w:val="center"/>
          </w:tcPr>
          <w:p w14:paraId="5F4F864C">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主观项</w:t>
            </w:r>
          </w:p>
        </w:tc>
      </w:tr>
      <w:tr w14:paraId="70247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shd w:val="clear" w:color="auto" w:fill="auto"/>
            <w:vAlign w:val="center"/>
          </w:tcPr>
          <w:p w14:paraId="6F7302C3">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5</w:t>
            </w:r>
          </w:p>
        </w:tc>
        <w:tc>
          <w:tcPr>
            <w:tcW w:w="1120" w:type="dxa"/>
            <w:shd w:val="clear" w:color="auto" w:fill="auto"/>
            <w:vAlign w:val="center"/>
          </w:tcPr>
          <w:p w14:paraId="74397762">
            <w:pPr>
              <w:autoSpaceDE w:val="0"/>
              <w:autoSpaceDN w:val="0"/>
              <w:adjustRightInd w:val="0"/>
              <w:snapToGrid w:val="0"/>
              <w:spacing w:line="360" w:lineRule="auto"/>
              <w:jc w:val="center"/>
              <w:rPr>
                <w:rFonts w:ascii="宋体" w:hAnsi="宋体" w:eastAsia="宋体" w:cs="宋体"/>
                <w:color w:val="auto"/>
              </w:rPr>
            </w:pPr>
            <w:r>
              <w:rPr>
                <w:rFonts w:hint="eastAsia" w:ascii="宋体" w:hAnsi="宋体" w:eastAsia="宋体" w:cs="宋体"/>
                <w:color w:val="auto"/>
              </w:rPr>
              <w:t>履约能力</w:t>
            </w:r>
          </w:p>
        </w:tc>
        <w:tc>
          <w:tcPr>
            <w:tcW w:w="5946" w:type="dxa"/>
            <w:shd w:val="clear" w:color="auto" w:fill="auto"/>
            <w:vAlign w:val="center"/>
          </w:tcPr>
          <w:p w14:paraId="4EC8DB51">
            <w:pPr>
              <w:autoSpaceDE w:val="0"/>
              <w:autoSpaceDN w:val="0"/>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highlight w:val="none"/>
              </w:rPr>
              <w:t>偿付能力、保险科技应用、技</w:t>
            </w:r>
            <w:r>
              <w:rPr>
                <w:rFonts w:hint="eastAsia" w:ascii="宋体" w:hAnsi="宋体" w:eastAsia="宋体" w:cs="宋体"/>
                <w:color w:val="auto"/>
              </w:rPr>
              <w:t>术储备、风控制度、具有同类项目的成功案例，可提供相关佐证材料证明其具备实际操作经验和问题解决能力，横向对比优得10分，良得7分，一般得4分，差的1分，未提供材料不得分。</w:t>
            </w:r>
          </w:p>
        </w:tc>
        <w:tc>
          <w:tcPr>
            <w:tcW w:w="632" w:type="dxa"/>
            <w:shd w:val="clear" w:color="auto" w:fill="auto"/>
            <w:vAlign w:val="center"/>
          </w:tcPr>
          <w:p w14:paraId="11E2033D">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10</w:t>
            </w:r>
          </w:p>
        </w:tc>
        <w:tc>
          <w:tcPr>
            <w:tcW w:w="995" w:type="dxa"/>
            <w:shd w:val="clear" w:color="auto" w:fill="auto"/>
            <w:vAlign w:val="center"/>
          </w:tcPr>
          <w:p w14:paraId="216133E4">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主观项</w:t>
            </w:r>
          </w:p>
        </w:tc>
      </w:tr>
      <w:tr w14:paraId="22E63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9479" w:type="dxa"/>
            <w:gridSpan w:val="5"/>
            <w:vAlign w:val="center"/>
          </w:tcPr>
          <w:p w14:paraId="2A5DDA3B">
            <w:pPr>
              <w:autoSpaceDE w:val="0"/>
              <w:autoSpaceDN w:val="0"/>
              <w:adjustRightInd w:val="0"/>
              <w:snapToGrid w:val="0"/>
              <w:spacing w:line="360" w:lineRule="auto"/>
              <w:rPr>
                <w:rFonts w:ascii="宋体" w:hAnsi="宋体" w:eastAsia="宋体" w:cs="宋体"/>
                <w:color w:val="auto"/>
              </w:rPr>
            </w:pPr>
            <w:r>
              <w:rPr>
                <w:rFonts w:hint="eastAsia" w:ascii="宋体" w:hAnsi="宋体" w:eastAsia="宋体" w:cs="宋体"/>
                <w:b/>
                <w:bCs/>
                <w:color w:val="auto"/>
              </w:rPr>
              <w:t>（三） 商务评分（45分）</w:t>
            </w:r>
          </w:p>
        </w:tc>
      </w:tr>
      <w:tr w14:paraId="221EB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shd w:val="clear" w:color="auto" w:fill="auto"/>
            <w:vAlign w:val="center"/>
          </w:tcPr>
          <w:p w14:paraId="2E294D85">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1</w:t>
            </w:r>
          </w:p>
        </w:tc>
        <w:tc>
          <w:tcPr>
            <w:tcW w:w="1120" w:type="dxa"/>
            <w:vAlign w:val="center"/>
          </w:tcPr>
          <w:p w14:paraId="58AB159E">
            <w:pPr>
              <w:spacing w:before="150" w:line="360" w:lineRule="auto"/>
              <w:jc w:val="center"/>
              <w:rPr>
                <w:rFonts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企业业绩</w:t>
            </w:r>
          </w:p>
        </w:tc>
        <w:tc>
          <w:tcPr>
            <w:tcW w:w="5946" w:type="dxa"/>
            <w:vAlign w:val="center"/>
          </w:tcPr>
          <w:p w14:paraId="045C2878">
            <w:pPr>
              <w:autoSpaceDE w:val="0"/>
              <w:autoSpaceDN w:val="0"/>
              <w:adjustRightInd w:val="0"/>
              <w:snapToGrid w:val="0"/>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近三年内（202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年至今）正在服务或已完成的民生类服务业绩，每提供一项业绩得1分，最高得10分。（中标通知书及合同协议书扫描件附于投标文件中）</w:t>
            </w:r>
          </w:p>
        </w:tc>
        <w:tc>
          <w:tcPr>
            <w:tcW w:w="632" w:type="dxa"/>
            <w:vAlign w:val="center"/>
          </w:tcPr>
          <w:p w14:paraId="4C940F07">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10</w:t>
            </w:r>
          </w:p>
        </w:tc>
        <w:tc>
          <w:tcPr>
            <w:tcW w:w="995" w:type="dxa"/>
            <w:vAlign w:val="center"/>
          </w:tcPr>
          <w:p w14:paraId="43367557">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客观项</w:t>
            </w:r>
          </w:p>
        </w:tc>
      </w:tr>
      <w:tr w14:paraId="2B863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shd w:val="clear" w:color="auto" w:fill="auto"/>
            <w:vAlign w:val="center"/>
          </w:tcPr>
          <w:p w14:paraId="792597E4">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2</w:t>
            </w:r>
          </w:p>
        </w:tc>
        <w:tc>
          <w:tcPr>
            <w:tcW w:w="1120" w:type="dxa"/>
            <w:vAlign w:val="center"/>
          </w:tcPr>
          <w:p w14:paraId="03DE3764">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项目管理团队人员</w:t>
            </w:r>
          </w:p>
        </w:tc>
        <w:tc>
          <w:tcPr>
            <w:tcW w:w="5946" w:type="dxa"/>
            <w:vAlign w:val="center"/>
          </w:tcPr>
          <w:p w14:paraId="0A278882">
            <w:pPr>
              <w:autoSpaceDE w:val="0"/>
              <w:autoSpaceDN w:val="0"/>
              <w:adjustRightInd w:val="0"/>
              <w:snapToGrid w:val="0"/>
              <w:spacing w:line="360" w:lineRule="auto"/>
              <w:ind w:firstLine="420" w:firstLineChars="200"/>
              <w:jc w:val="left"/>
              <w:rPr>
                <w:rFonts w:ascii="宋体" w:hAnsi="宋体" w:eastAsia="宋体" w:cs="宋体"/>
                <w:color w:val="auto"/>
              </w:rPr>
            </w:pPr>
            <w:r>
              <w:rPr>
                <w:rFonts w:hint="eastAsia" w:ascii="宋体" w:hAnsi="宋体" w:eastAsia="宋体" w:cs="宋体"/>
                <w:color w:val="auto"/>
                <w:highlight w:val="none"/>
              </w:rPr>
              <w:t>省级分公司成立此项目专业服务团队，配备齐全的承保、理赔专业管理人员，统一负责全省及所属分支机构的管理、调度、指挥，每提供一份社保证明（投标截止日半年内任意一月）得0.5分，额外能提供相关职业资格证书或职称证书再得0.5分，最多得10分。（限10人）</w:t>
            </w:r>
          </w:p>
        </w:tc>
        <w:tc>
          <w:tcPr>
            <w:tcW w:w="632" w:type="dxa"/>
            <w:vAlign w:val="center"/>
          </w:tcPr>
          <w:p w14:paraId="2705057B">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10</w:t>
            </w:r>
          </w:p>
        </w:tc>
        <w:tc>
          <w:tcPr>
            <w:tcW w:w="995" w:type="dxa"/>
            <w:vAlign w:val="center"/>
          </w:tcPr>
          <w:p w14:paraId="73554B81">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客观项</w:t>
            </w:r>
          </w:p>
        </w:tc>
      </w:tr>
      <w:tr w14:paraId="02968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shd w:val="clear" w:color="auto" w:fill="auto"/>
            <w:vAlign w:val="center"/>
          </w:tcPr>
          <w:p w14:paraId="096DE5B1">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3</w:t>
            </w:r>
          </w:p>
        </w:tc>
        <w:tc>
          <w:tcPr>
            <w:tcW w:w="1120" w:type="dxa"/>
            <w:vAlign w:val="center"/>
          </w:tcPr>
          <w:p w14:paraId="5907BC03">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服务承诺</w:t>
            </w:r>
          </w:p>
        </w:tc>
        <w:tc>
          <w:tcPr>
            <w:tcW w:w="5946" w:type="dxa"/>
            <w:vAlign w:val="center"/>
          </w:tcPr>
          <w:p w14:paraId="726172B9">
            <w:pPr>
              <w:autoSpaceDE w:val="0"/>
              <w:autoSpaceDN w:val="0"/>
              <w:adjustRightInd w:val="0"/>
              <w:snapToGrid w:val="0"/>
              <w:spacing w:line="360" w:lineRule="auto"/>
              <w:ind w:firstLine="420" w:firstLineChars="200"/>
              <w:jc w:val="left"/>
              <w:rPr>
                <w:rFonts w:ascii="宋体" w:hAnsi="宋体" w:eastAsia="宋体" w:cs="宋体"/>
                <w:color w:val="auto"/>
              </w:rPr>
            </w:pPr>
            <w:r>
              <w:rPr>
                <w:rFonts w:hint="eastAsia" w:ascii="宋体" w:hAnsi="宋体" w:eastAsia="宋体" w:cs="宋体"/>
                <w:color w:val="auto"/>
              </w:rPr>
              <w:t>有实质性承诺条款，</w:t>
            </w:r>
            <w:r>
              <w:rPr>
                <w:rFonts w:hint="eastAsia" w:ascii="宋体" w:hAnsi="宋体" w:eastAsia="宋体" w:cs="宋体"/>
                <w:color w:val="auto"/>
                <w:lang w:val="zh-CN"/>
              </w:rPr>
              <w:t>每增加</w:t>
            </w:r>
            <w:r>
              <w:rPr>
                <w:rFonts w:hint="eastAsia" w:ascii="宋体" w:hAnsi="宋体" w:eastAsia="宋体" w:cs="宋体"/>
                <w:color w:val="auto"/>
              </w:rPr>
              <w:t>1条</w:t>
            </w:r>
            <w:r>
              <w:rPr>
                <w:rFonts w:hint="eastAsia" w:ascii="宋体" w:hAnsi="宋体" w:eastAsia="宋体" w:cs="宋体"/>
                <w:color w:val="auto"/>
                <w:lang w:val="zh-CN"/>
              </w:rPr>
              <w:t>得1分，最多得</w:t>
            </w:r>
            <w:r>
              <w:rPr>
                <w:rFonts w:hint="eastAsia" w:ascii="宋体" w:hAnsi="宋体" w:eastAsia="宋体" w:cs="宋体"/>
                <w:color w:val="auto"/>
              </w:rPr>
              <w:t>5分，如评委认定条款非实质性承诺或难以接受则不得分</w:t>
            </w:r>
            <w:r>
              <w:rPr>
                <w:rFonts w:hint="eastAsia" w:ascii="宋体" w:hAnsi="宋体" w:eastAsia="宋体" w:cs="宋体"/>
                <w:color w:val="auto"/>
                <w:lang w:val="zh-CN"/>
              </w:rPr>
              <w:t>。</w:t>
            </w:r>
          </w:p>
        </w:tc>
        <w:tc>
          <w:tcPr>
            <w:tcW w:w="632" w:type="dxa"/>
            <w:vAlign w:val="center"/>
          </w:tcPr>
          <w:p w14:paraId="4A358315">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5</w:t>
            </w:r>
          </w:p>
        </w:tc>
        <w:tc>
          <w:tcPr>
            <w:tcW w:w="995" w:type="dxa"/>
            <w:vAlign w:val="center"/>
          </w:tcPr>
          <w:p w14:paraId="3E349163">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客观项</w:t>
            </w:r>
          </w:p>
        </w:tc>
      </w:tr>
      <w:tr w14:paraId="515C1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shd w:val="clear" w:color="auto" w:fill="auto"/>
            <w:vAlign w:val="center"/>
          </w:tcPr>
          <w:p w14:paraId="33343369">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4</w:t>
            </w:r>
          </w:p>
        </w:tc>
        <w:tc>
          <w:tcPr>
            <w:tcW w:w="1120" w:type="dxa"/>
            <w:vAlign w:val="center"/>
          </w:tcPr>
          <w:p w14:paraId="69DDF63F">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优惠条件</w:t>
            </w:r>
          </w:p>
        </w:tc>
        <w:tc>
          <w:tcPr>
            <w:tcW w:w="5946" w:type="dxa"/>
            <w:vAlign w:val="center"/>
          </w:tcPr>
          <w:p w14:paraId="33207EF0">
            <w:pPr>
              <w:autoSpaceDE w:val="0"/>
              <w:autoSpaceDN w:val="0"/>
              <w:adjustRightInd w:val="0"/>
              <w:snapToGrid w:val="0"/>
              <w:spacing w:line="360" w:lineRule="auto"/>
              <w:ind w:firstLine="420" w:firstLineChars="200"/>
              <w:jc w:val="left"/>
              <w:rPr>
                <w:rFonts w:ascii="宋体" w:hAnsi="宋体" w:eastAsia="宋体" w:cs="宋体"/>
                <w:color w:val="auto"/>
              </w:rPr>
            </w:pPr>
            <w:r>
              <w:rPr>
                <w:rFonts w:hint="eastAsia" w:ascii="宋体" w:hAnsi="宋体" w:eastAsia="宋体" w:cs="宋体"/>
                <w:color w:val="auto"/>
                <w:lang w:val="zh-CN"/>
              </w:rPr>
              <w:t>有实质性优惠条件，每增加1条得1分，最多得</w:t>
            </w:r>
            <w:r>
              <w:rPr>
                <w:rFonts w:hint="eastAsia" w:ascii="宋体" w:hAnsi="宋体" w:eastAsia="宋体" w:cs="宋体"/>
                <w:color w:val="auto"/>
              </w:rPr>
              <w:t>5</w:t>
            </w:r>
            <w:r>
              <w:rPr>
                <w:rFonts w:hint="eastAsia" w:ascii="宋体" w:hAnsi="宋体" w:eastAsia="宋体" w:cs="宋体"/>
                <w:color w:val="auto"/>
                <w:lang w:val="zh-CN"/>
              </w:rPr>
              <w:t>分，如评委认定条款非实质性</w:t>
            </w:r>
            <w:r>
              <w:rPr>
                <w:rFonts w:hint="eastAsia" w:ascii="宋体" w:hAnsi="宋体" w:eastAsia="宋体" w:cs="宋体"/>
                <w:color w:val="auto"/>
              </w:rPr>
              <w:t>优惠</w:t>
            </w:r>
            <w:r>
              <w:rPr>
                <w:rFonts w:hint="eastAsia" w:ascii="宋体" w:hAnsi="宋体" w:eastAsia="宋体" w:cs="宋体"/>
                <w:color w:val="auto"/>
                <w:lang w:val="zh-CN"/>
              </w:rPr>
              <w:t>或难以接受则不得分。</w:t>
            </w:r>
          </w:p>
        </w:tc>
        <w:tc>
          <w:tcPr>
            <w:tcW w:w="632" w:type="dxa"/>
            <w:vAlign w:val="center"/>
          </w:tcPr>
          <w:p w14:paraId="3B670BC8">
            <w:pPr>
              <w:spacing w:before="150" w:line="360" w:lineRule="auto"/>
              <w:rPr>
                <w:rFonts w:ascii="宋体" w:hAnsi="宋体" w:eastAsia="宋体" w:cs="宋体"/>
                <w:color w:val="auto"/>
                <w:spacing w:val="-10"/>
                <w:szCs w:val="21"/>
              </w:rPr>
            </w:pPr>
            <w:r>
              <w:rPr>
                <w:rFonts w:hint="eastAsia" w:ascii="宋体" w:hAnsi="宋体" w:eastAsia="宋体" w:cs="宋体"/>
                <w:color w:val="auto"/>
                <w:spacing w:val="-10"/>
                <w:szCs w:val="21"/>
              </w:rPr>
              <w:t xml:space="preserve">   5</w:t>
            </w:r>
          </w:p>
        </w:tc>
        <w:tc>
          <w:tcPr>
            <w:tcW w:w="995" w:type="dxa"/>
            <w:vAlign w:val="center"/>
          </w:tcPr>
          <w:p w14:paraId="00CB20B1">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客观项</w:t>
            </w:r>
          </w:p>
        </w:tc>
      </w:tr>
      <w:tr w14:paraId="52BE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shd w:val="clear" w:color="auto" w:fill="auto"/>
            <w:vAlign w:val="center"/>
          </w:tcPr>
          <w:p w14:paraId="6DA088F9">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5</w:t>
            </w:r>
          </w:p>
        </w:tc>
        <w:tc>
          <w:tcPr>
            <w:tcW w:w="1120" w:type="dxa"/>
            <w:vAlign w:val="center"/>
          </w:tcPr>
          <w:p w14:paraId="3B183EC4">
            <w:pPr>
              <w:spacing w:before="150" w:line="360" w:lineRule="auto"/>
              <w:ind w:firstLine="190" w:firstLineChars="100"/>
              <w:rPr>
                <w:rFonts w:ascii="宋体" w:hAnsi="宋体" w:eastAsia="宋体" w:cs="宋体"/>
                <w:color w:val="auto"/>
                <w:spacing w:val="-10"/>
                <w:szCs w:val="21"/>
                <w:lang w:val="zh-CN"/>
              </w:rPr>
            </w:pPr>
            <w:r>
              <w:rPr>
                <w:rFonts w:hint="eastAsia" w:ascii="宋体" w:hAnsi="宋体" w:eastAsia="宋体" w:cs="宋体"/>
                <w:color w:val="auto"/>
                <w:spacing w:val="-10"/>
                <w:szCs w:val="21"/>
              </w:rPr>
              <w:t>售后服务</w:t>
            </w:r>
          </w:p>
        </w:tc>
        <w:tc>
          <w:tcPr>
            <w:tcW w:w="5946" w:type="dxa"/>
            <w:vAlign w:val="center"/>
          </w:tcPr>
          <w:p w14:paraId="3C4EBD46">
            <w:pPr>
              <w:autoSpaceDE w:val="0"/>
              <w:autoSpaceDN w:val="0"/>
              <w:adjustRightInd w:val="0"/>
              <w:snapToGrid w:val="0"/>
              <w:spacing w:line="360" w:lineRule="auto"/>
              <w:ind w:firstLine="420" w:firstLineChars="200"/>
              <w:jc w:val="left"/>
              <w:rPr>
                <w:rFonts w:ascii="宋体" w:hAnsi="宋体" w:eastAsia="宋体" w:cs="宋体"/>
                <w:color w:val="auto"/>
                <w:lang w:val="zh-CN"/>
              </w:rPr>
            </w:pPr>
            <w:r>
              <w:rPr>
                <w:rFonts w:hint="eastAsia" w:ascii="宋体" w:hAnsi="宋体" w:eastAsia="宋体" w:cs="宋体"/>
                <w:color w:val="auto"/>
              </w:rPr>
              <w:t>售后服务承诺、服务团队资质、历史业绩、培训、宣传、风险防控方案、优化售后、提供增值服务等。</w:t>
            </w:r>
            <w:r>
              <w:rPr>
                <w:rFonts w:hint="eastAsia" w:ascii="宋体" w:hAnsi="宋体" w:eastAsia="宋体" w:cs="宋体"/>
                <w:color w:val="auto"/>
                <w:lang w:val="zh-CN"/>
              </w:rPr>
              <w:t>每增加1条得1分，最多得</w:t>
            </w:r>
            <w:r>
              <w:rPr>
                <w:rFonts w:hint="eastAsia" w:ascii="宋体" w:hAnsi="宋体" w:eastAsia="宋体" w:cs="宋体"/>
                <w:color w:val="auto"/>
              </w:rPr>
              <w:t>10</w:t>
            </w:r>
            <w:r>
              <w:rPr>
                <w:rFonts w:hint="eastAsia" w:ascii="宋体" w:hAnsi="宋体" w:eastAsia="宋体" w:cs="宋体"/>
                <w:color w:val="auto"/>
                <w:lang w:val="zh-CN"/>
              </w:rPr>
              <w:t>分，如评委认定条款非实质性</w:t>
            </w:r>
            <w:r>
              <w:rPr>
                <w:rFonts w:hint="eastAsia" w:ascii="宋体" w:hAnsi="宋体" w:eastAsia="宋体" w:cs="宋体"/>
                <w:color w:val="auto"/>
              </w:rPr>
              <w:t>优惠</w:t>
            </w:r>
            <w:r>
              <w:rPr>
                <w:rFonts w:hint="eastAsia" w:ascii="宋体" w:hAnsi="宋体" w:eastAsia="宋体" w:cs="宋体"/>
                <w:color w:val="auto"/>
                <w:lang w:val="zh-CN"/>
              </w:rPr>
              <w:t>或难以接受则不得分</w:t>
            </w:r>
          </w:p>
        </w:tc>
        <w:tc>
          <w:tcPr>
            <w:tcW w:w="632" w:type="dxa"/>
            <w:vAlign w:val="center"/>
          </w:tcPr>
          <w:p w14:paraId="5D087798">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10</w:t>
            </w:r>
          </w:p>
        </w:tc>
        <w:tc>
          <w:tcPr>
            <w:tcW w:w="995" w:type="dxa"/>
            <w:vAlign w:val="center"/>
          </w:tcPr>
          <w:p w14:paraId="2ECAA15C">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客观项</w:t>
            </w:r>
          </w:p>
        </w:tc>
      </w:tr>
      <w:tr w14:paraId="580D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86" w:type="dxa"/>
            <w:shd w:val="clear" w:color="auto" w:fill="auto"/>
            <w:vAlign w:val="center"/>
          </w:tcPr>
          <w:p w14:paraId="0CC9E496">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6</w:t>
            </w:r>
          </w:p>
        </w:tc>
        <w:tc>
          <w:tcPr>
            <w:tcW w:w="1120" w:type="dxa"/>
            <w:vAlign w:val="center"/>
          </w:tcPr>
          <w:p w14:paraId="3C2A83FF">
            <w:pPr>
              <w:spacing w:before="150" w:line="360" w:lineRule="auto"/>
              <w:jc w:val="center"/>
              <w:rPr>
                <w:rFonts w:ascii="宋体" w:hAnsi="宋体" w:eastAsia="宋体" w:cs="宋体"/>
                <w:color w:val="auto"/>
                <w:spacing w:val="-10"/>
                <w:szCs w:val="21"/>
                <w:lang w:val="zh-CN"/>
              </w:rPr>
            </w:pPr>
            <w:r>
              <w:rPr>
                <w:rFonts w:hint="eastAsia" w:ascii="宋体" w:hAnsi="宋体" w:eastAsia="宋体" w:cs="宋体"/>
                <w:color w:val="auto"/>
                <w:spacing w:val="-10"/>
                <w:szCs w:val="21"/>
              </w:rPr>
              <w:t>保密协议</w:t>
            </w:r>
          </w:p>
        </w:tc>
        <w:tc>
          <w:tcPr>
            <w:tcW w:w="5946" w:type="dxa"/>
            <w:vAlign w:val="center"/>
          </w:tcPr>
          <w:p w14:paraId="2A574609">
            <w:pPr>
              <w:autoSpaceDE w:val="0"/>
              <w:autoSpaceDN w:val="0"/>
              <w:adjustRightInd w:val="0"/>
              <w:snapToGrid w:val="0"/>
              <w:spacing w:line="360" w:lineRule="auto"/>
              <w:ind w:firstLine="420" w:firstLineChars="200"/>
              <w:jc w:val="left"/>
              <w:rPr>
                <w:rFonts w:ascii="宋体" w:hAnsi="宋体" w:eastAsia="宋体" w:cs="宋体"/>
                <w:color w:val="auto"/>
              </w:rPr>
            </w:pPr>
            <w:r>
              <w:rPr>
                <w:rFonts w:hint="eastAsia" w:ascii="宋体" w:hAnsi="宋体" w:eastAsia="宋体" w:cs="宋体"/>
                <w:color w:val="auto"/>
              </w:rPr>
              <w:t>保密承诺、违约责任（是否签署保密协议）、是否承诺不泄露该项目数据、资料（包括不泄露该项目历史数据、资料、协议等）、是否明确数据泄露的赔偿责任等），</w:t>
            </w:r>
            <w:r>
              <w:rPr>
                <w:rFonts w:hint="eastAsia" w:ascii="宋体" w:hAnsi="宋体" w:eastAsia="宋体" w:cs="宋体"/>
                <w:color w:val="auto"/>
                <w:lang w:val="zh-CN"/>
              </w:rPr>
              <w:t>每增加1条得1分，最多得5分，如评委认定条款非实质性</w:t>
            </w:r>
            <w:r>
              <w:rPr>
                <w:rFonts w:hint="eastAsia" w:ascii="宋体" w:hAnsi="宋体" w:eastAsia="宋体" w:cs="宋体"/>
                <w:color w:val="auto"/>
              </w:rPr>
              <w:t>优惠</w:t>
            </w:r>
            <w:r>
              <w:rPr>
                <w:rFonts w:hint="eastAsia" w:ascii="宋体" w:hAnsi="宋体" w:eastAsia="宋体" w:cs="宋体"/>
                <w:color w:val="auto"/>
                <w:lang w:val="zh-CN"/>
              </w:rPr>
              <w:t>或难以接受则不得分</w:t>
            </w:r>
          </w:p>
        </w:tc>
        <w:tc>
          <w:tcPr>
            <w:tcW w:w="632" w:type="dxa"/>
            <w:vAlign w:val="center"/>
          </w:tcPr>
          <w:p w14:paraId="0E249D51">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5</w:t>
            </w:r>
          </w:p>
        </w:tc>
        <w:tc>
          <w:tcPr>
            <w:tcW w:w="995" w:type="dxa"/>
            <w:vAlign w:val="center"/>
          </w:tcPr>
          <w:p w14:paraId="79B64EB2">
            <w:pPr>
              <w:spacing w:before="150"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客观项</w:t>
            </w:r>
          </w:p>
        </w:tc>
      </w:tr>
      <w:tr w14:paraId="79DF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479" w:type="dxa"/>
            <w:gridSpan w:val="5"/>
          </w:tcPr>
          <w:p w14:paraId="2FAA3579">
            <w:pPr>
              <w:autoSpaceDE w:val="0"/>
              <w:autoSpaceDN w:val="0"/>
              <w:adjustRightInd w:val="0"/>
              <w:snapToGrid w:val="0"/>
              <w:spacing w:line="360" w:lineRule="auto"/>
              <w:jc w:val="left"/>
              <w:rPr>
                <w:rFonts w:ascii="宋体" w:hAnsi="宋体" w:eastAsia="宋体" w:cs="宋体"/>
                <w:color w:val="auto"/>
              </w:rPr>
            </w:pPr>
            <w:r>
              <w:rPr>
                <w:rFonts w:hint="eastAsia" w:ascii="宋体" w:hAnsi="宋体" w:eastAsia="宋体" w:cs="宋体"/>
                <w:color w:val="auto"/>
              </w:rPr>
              <w:t>说明：</w:t>
            </w:r>
          </w:p>
          <w:p w14:paraId="22CD1259">
            <w:pPr>
              <w:autoSpaceDE w:val="0"/>
              <w:autoSpaceDN w:val="0"/>
              <w:adjustRightInd w:val="0"/>
              <w:snapToGrid w:val="0"/>
              <w:spacing w:line="360" w:lineRule="auto"/>
              <w:jc w:val="left"/>
              <w:rPr>
                <w:rFonts w:ascii="宋体" w:hAnsi="宋体" w:eastAsia="宋体" w:cs="宋体"/>
                <w:color w:val="auto"/>
                <w:szCs w:val="21"/>
              </w:rPr>
            </w:pPr>
            <w:r>
              <w:rPr>
                <w:rFonts w:hint="eastAsia" w:ascii="宋体" w:hAnsi="宋体" w:eastAsia="宋体" w:cs="宋体"/>
                <w:color w:val="auto"/>
              </w:rPr>
              <w:t>1、评分因素有时间限制（如投标或递交响应文件截止日前三年内）的，所提供的合同、证书、证明等材料的时间，以签署日期、颁发日期或出具日期为准。</w:t>
            </w:r>
          </w:p>
        </w:tc>
      </w:tr>
    </w:tbl>
    <w:p w14:paraId="703BC3A1">
      <w:pPr>
        <w:spacing w:line="360" w:lineRule="auto"/>
        <w:rPr>
          <w:rFonts w:ascii="宋体" w:hAnsi="宋体" w:eastAsia="宋体" w:cs="宋体"/>
          <w:b/>
          <w:bCs/>
          <w:color w:val="auto"/>
          <w:sz w:val="24"/>
        </w:rPr>
      </w:pPr>
    </w:p>
    <w:p w14:paraId="6D8AE2FC">
      <w:pPr>
        <w:rPr>
          <w:color w:val="auto"/>
        </w:rPr>
      </w:pPr>
      <w:r>
        <w:rPr>
          <w:rFonts w:hint="eastAsia"/>
          <w:color w:val="auto"/>
        </w:rPr>
        <w:br w:type="page"/>
      </w:r>
    </w:p>
    <w:p w14:paraId="13D036FE">
      <w:pPr>
        <w:pStyle w:val="2"/>
        <w:rPr>
          <w:color w:val="auto"/>
        </w:rPr>
        <w:sectPr>
          <w:headerReference r:id="rId10" w:type="default"/>
          <w:footerReference r:id="rId11" w:type="default"/>
          <w:pgSz w:w="11906" w:h="16838"/>
          <w:pgMar w:top="1440" w:right="1196" w:bottom="1440" w:left="1196" w:header="142" w:footer="329" w:gutter="0"/>
          <w:pgNumType w:fmt="decimal"/>
          <w:cols w:space="720" w:num="1"/>
          <w:titlePg/>
          <w:docGrid w:type="lines" w:linePitch="490" w:charSpace="0"/>
        </w:sectPr>
      </w:pPr>
    </w:p>
    <w:p w14:paraId="2AAD8302">
      <w:pPr>
        <w:autoSpaceDE w:val="0"/>
        <w:autoSpaceDN w:val="0"/>
        <w:adjustRightInd w:val="0"/>
        <w:jc w:val="left"/>
        <w:rPr>
          <w:rFonts w:ascii="宋体" w:hAnsi="宋体" w:eastAsia="宋体" w:cs="宋体"/>
          <w:b/>
          <w:color w:val="auto"/>
          <w:szCs w:val="21"/>
        </w:rPr>
      </w:pPr>
      <w:r>
        <w:rPr>
          <w:rFonts w:hint="eastAsia" w:ascii="宋体" w:hAnsi="宋体" w:eastAsia="宋体" w:cs="宋体"/>
          <w:b/>
          <w:color w:val="auto"/>
          <w:szCs w:val="21"/>
        </w:rPr>
        <w:t xml:space="preserve">1.评标方法 </w:t>
      </w:r>
    </w:p>
    <w:p w14:paraId="27F98D2B">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 xml:space="preserve">本次评标采用综合评分法。评标委员会对满足采购文件实质性要求的投标文件，按照本章第2.2 款规定的评分标准进行打分，并按得分由高到低顺序推荐中标候选人，或根据采购人授权直接确定中标人，但投标报价低于其成本的除外。综合评分相等时，以投标报价低的优先；投标报价也相等的，以技术部分得分高的优先；如果技术部分得分也相等，按照评标办法前附表的规定确定中标候选人顺序。 </w:t>
      </w:r>
    </w:p>
    <w:p w14:paraId="3D803660">
      <w:pPr>
        <w:autoSpaceDE w:val="0"/>
        <w:autoSpaceDN w:val="0"/>
        <w:adjustRightInd w:val="0"/>
        <w:jc w:val="left"/>
        <w:rPr>
          <w:rFonts w:ascii="宋体" w:hAnsi="宋体" w:eastAsia="宋体" w:cs="宋体"/>
          <w:b/>
          <w:color w:val="auto"/>
          <w:szCs w:val="21"/>
        </w:rPr>
      </w:pPr>
      <w:r>
        <w:rPr>
          <w:rFonts w:hint="eastAsia" w:ascii="宋体" w:hAnsi="宋体" w:eastAsia="宋体" w:cs="宋体"/>
          <w:b/>
          <w:color w:val="auto"/>
          <w:szCs w:val="21"/>
        </w:rPr>
        <w:t xml:space="preserve">2.评审标准 </w:t>
      </w:r>
    </w:p>
    <w:p w14:paraId="1DE1EAAD">
      <w:pPr>
        <w:autoSpaceDE w:val="0"/>
        <w:autoSpaceDN w:val="0"/>
        <w:adjustRightInd w:val="0"/>
        <w:jc w:val="left"/>
        <w:rPr>
          <w:rFonts w:ascii="宋体" w:hAnsi="宋体" w:eastAsia="宋体" w:cs="宋体"/>
          <w:b/>
          <w:color w:val="auto"/>
          <w:szCs w:val="21"/>
        </w:rPr>
      </w:pPr>
      <w:r>
        <w:rPr>
          <w:rFonts w:hint="eastAsia" w:ascii="宋体" w:hAnsi="宋体" w:eastAsia="宋体" w:cs="宋体"/>
          <w:b/>
          <w:color w:val="auto"/>
          <w:szCs w:val="21"/>
        </w:rPr>
        <w:t xml:space="preserve">2.1  初步评审标准 </w:t>
      </w:r>
    </w:p>
    <w:p w14:paraId="69CD53B9">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 xml:space="preserve">2.1.1 形式评审标准：见评标办法前附表。 </w:t>
      </w:r>
    </w:p>
    <w:p w14:paraId="1B6DD9F5">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2.1.2 资格评审标准：见评标办法前附表。 </w:t>
      </w:r>
    </w:p>
    <w:p w14:paraId="47455EF8">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2.1.3 响应性评审标准：见评标办法前附表。 </w:t>
      </w:r>
    </w:p>
    <w:p w14:paraId="7C7711C8">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b/>
          <w:color w:val="auto"/>
          <w:szCs w:val="21"/>
        </w:rPr>
        <w:t xml:space="preserve">2.2  分值构成与评分标准 </w:t>
      </w:r>
    </w:p>
    <w:p w14:paraId="2A57ADD3">
      <w:pPr>
        <w:autoSpaceDE w:val="0"/>
        <w:autoSpaceDN w:val="0"/>
        <w:adjustRightInd w:val="0"/>
        <w:ind w:firstLine="420"/>
        <w:jc w:val="left"/>
        <w:rPr>
          <w:rFonts w:ascii="宋体" w:hAnsi="宋体" w:eastAsia="宋体" w:cs="宋体"/>
          <w:color w:val="auto"/>
          <w:szCs w:val="21"/>
        </w:rPr>
      </w:pPr>
      <w:r>
        <w:rPr>
          <w:rFonts w:hint="eastAsia" w:ascii="宋体" w:hAnsi="宋体" w:eastAsia="宋体" w:cs="宋体"/>
          <w:color w:val="auto"/>
          <w:szCs w:val="21"/>
        </w:rPr>
        <w:t xml:space="preserve">2.2.1 分值构成 </w:t>
      </w:r>
    </w:p>
    <w:p w14:paraId="099D887C">
      <w:pPr>
        <w:autoSpaceDE w:val="0"/>
        <w:autoSpaceDN w:val="0"/>
        <w:adjustRightInd w:val="0"/>
        <w:ind w:firstLine="420"/>
        <w:jc w:val="left"/>
        <w:rPr>
          <w:rFonts w:ascii="宋体" w:hAnsi="宋体" w:eastAsia="宋体" w:cs="宋体"/>
          <w:color w:val="auto"/>
          <w:szCs w:val="21"/>
        </w:rPr>
      </w:pPr>
      <w:r>
        <w:rPr>
          <w:rFonts w:hint="eastAsia" w:ascii="宋体" w:hAnsi="宋体" w:eastAsia="宋体" w:cs="宋体"/>
          <w:color w:val="auto"/>
          <w:szCs w:val="21"/>
        </w:rPr>
        <w:t xml:space="preserve">（1）技术部分：见评标办法前附表； </w:t>
      </w:r>
    </w:p>
    <w:p w14:paraId="5878D13D">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（2）投标报价：见评标办法前附表； </w:t>
      </w:r>
    </w:p>
    <w:p w14:paraId="6ACB2A4A">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（3）其他评分因素：见评标办法前附表。 </w:t>
      </w:r>
    </w:p>
    <w:p w14:paraId="10FCCFD5">
      <w:pPr>
        <w:autoSpaceDE w:val="0"/>
        <w:autoSpaceDN w:val="0"/>
        <w:adjustRightInd w:val="0"/>
        <w:ind w:firstLine="420"/>
        <w:jc w:val="left"/>
        <w:rPr>
          <w:rFonts w:ascii="宋体" w:hAnsi="宋体" w:eastAsia="宋体" w:cs="宋体"/>
          <w:color w:val="auto"/>
          <w:szCs w:val="21"/>
        </w:rPr>
      </w:pPr>
      <w:r>
        <w:rPr>
          <w:rFonts w:hint="eastAsia" w:ascii="宋体" w:hAnsi="宋体" w:eastAsia="宋体" w:cs="宋体"/>
          <w:color w:val="auto"/>
          <w:szCs w:val="21"/>
        </w:rPr>
        <w:t xml:space="preserve">2.2.2 评标基准价计算 </w:t>
      </w:r>
    </w:p>
    <w:p w14:paraId="2CF95320">
      <w:pPr>
        <w:autoSpaceDE w:val="0"/>
        <w:autoSpaceDN w:val="0"/>
        <w:adjustRightInd w:val="0"/>
        <w:ind w:firstLine="420"/>
        <w:jc w:val="left"/>
        <w:rPr>
          <w:rFonts w:ascii="宋体" w:hAnsi="宋体" w:eastAsia="宋体" w:cs="宋体"/>
          <w:color w:val="auto"/>
          <w:szCs w:val="21"/>
        </w:rPr>
      </w:pPr>
      <w:r>
        <w:rPr>
          <w:rFonts w:hint="eastAsia" w:ascii="宋体" w:hAnsi="宋体" w:eastAsia="宋体" w:cs="宋体"/>
          <w:color w:val="auto"/>
          <w:szCs w:val="21"/>
        </w:rPr>
        <w:t xml:space="preserve">见评标办法前附表。 </w:t>
      </w:r>
    </w:p>
    <w:p w14:paraId="3303CE21">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2.2.3 投标报价得分计算 </w:t>
      </w:r>
    </w:p>
    <w:p w14:paraId="114C957B">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见评标办法前附表。 </w:t>
      </w:r>
    </w:p>
    <w:p w14:paraId="793D6095">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2.2.4 评分标准 </w:t>
      </w:r>
    </w:p>
    <w:p w14:paraId="5DF21015">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（1）技术部分评分标准：见评标办法前附表； </w:t>
      </w:r>
    </w:p>
    <w:p w14:paraId="21EB6F93">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（2）投标报价评分标准：见评标办法前附表； </w:t>
      </w:r>
    </w:p>
    <w:p w14:paraId="5728A6D7">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（3）其他因素评分标准：见评标办法前附表。 </w:t>
      </w:r>
    </w:p>
    <w:p w14:paraId="0E384798">
      <w:pPr>
        <w:autoSpaceDE w:val="0"/>
        <w:autoSpaceDN w:val="0"/>
        <w:adjustRightInd w:val="0"/>
        <w:jc w:val="left"/>
        <w:rPr>
          <w:rFonts w:ascii="宋体" w:hAnsi="宋体" w:eastAsia="宋体" w:cs="宋体"/>
          <w:color w:val="auto"/>
          <w:szCs w:val="21"/>
        </w:rPr>
      </w:pPr>
      <w:r>
        <w:rPr>
          <w:rFonts w:hint="eastAsia" w:ascii="宋体" w:hAnsi="宋体" w:eastAsia="宋体" w:cs="宋体"/>
          <w:b/>
          <w:color w:val="auto"/>
          <w:szCs w:val="21"/>
        </w:rPr>
        <w:t xml:space="preserve">3.评标程序 </w:t>
      </w:r>
    </w:p>
    <w:p w14:paraId="6764BDA4">
      <w:pPr>
        <w:autoSpaceDE w:val="0"/>
        <w:autoSpaceDN w:val="0"/>
        <w:adjustRightInd w:val="0"/>
        <w:jc w:val="left"/>
        <w:rPr>
          <w:rFonts w:ascii="宋体" w:hAnsi="宋体" w:eastAsia="宋体" w:cs="宋体"/>
          <w:b/>
          <w:color w:val="auto"/>
          <w:szCs w:val="21"/>
        </w:rPr>
      </w:pPr>
      <w:r>
        <w:rPr>
          <w:rFonts w:hint="eastAsia" w:ascii="宋体" w:hAnsi="宋体" w:eastAsia="宋体" w:cs="宋体"/>
          <w:b/>
          <w:color w:val="auto"/>
          <w:szCs w:val="21"/>
        </w:rPr>
        <w:t xml:space="preserve">3.1  初步评审 </w:t>
      </w:r>
    </w:p>
    <w:p w14:paraId="68EF5254">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只有当通过初步评审的投标单位超过3家（包含3家），此次招标才能进入详细评审，否则视为具有竞争性的投标单位不足3家，应重新组织招标。</w:t>
      </w:r>
    </w:p>
    <w:p w14:paraId="11C13AD4">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初步评审阶段，采购人或者采购代理机构首先应当依法对投标人的资格进行审查，并将审查结果提交给评标委员会；评标委员会依据本章初步评审记录表规定的标准对投标文件进行初步评审。</w:t>
      </w:r>
    </w:p>
    <w:p w14:paraId="36A74CDA">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 xml:space="preserve">3.1.2 投标人有以下情形之一的，评标委员会应当否决其投标： </w:t>
      </w:r>
    </w:p>
    <w:p w14:paraId="5B289776">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（1）投标文件没有对采购文件的实质性要求和条件作出响应，或者对采购文件的偏差超出采购文件规定的偏差范围或最高项数； </w:t>
      </w:r>
    </w:p>
    <w:p w14:paraId="77B1EBB0">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（2）有串通投标、弄虚作假、行贿等违法行为。 </w:t>
      </w:r>
    </w:p>
    <w:p w14:paraId="101BBCD9">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 xml:space="preserve">3.1.3 投标报价有算术错误及其他错误的，评标委员会按以下原则要求投标人对投标报价进行修正，并要求投标人书面澄清确认。投标人拒不澄清确认的，评标委员会应当否决其投标： </w:t>
      </w:r>
    </w:p>
    <w:p w14:paraId="3890C07B">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（1）投标文件中开标一览表（报价表）内容与投标文件中相应内容不一致的，以开标一览表（报价表）为准； </w:t>
      </w:r>
    </w:p>
    <w:p w14:paraId="7EB5890A">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（2）投标文件中的大写金额与小写金额不一致的，以大写金额为准；</w:t>
      </w:r>
    </w:p>
    <w:p w14:paraId="0CF5758F">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（3）总价金额与单价金额不一致的，以单价金额为准，但单价金额小数点有明显错误的除外；</w:t>
      </w:r>
    </w:p>
    <w:p w14:paraId="26A11E8F">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（4）单价金额小数点或者百分比有明显错位的，以开标一览表的总价为准，并修改单价。</w:t>
      </w:r>
    </w:p>
    <w:p w14:paraId="50C618CE">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3.1.4 投标人存在下列情形之一的，投标无效：</w:t>
      </w:r>
    </w:p>
    <w:p w14:paraId="6272E69C">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（1）投标文件未按采购文件要求签署、盖章的；</w:t>
      </w:r>
    </w:p>
    <w:p w14:paraId="5748FE38">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（2）不具备采购文件中规定的资格要求的；</w:t>
      </w:r>
    </w:p>
    <w:p w14:paraId="6FE117B1">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（3）报价超过采购文件中规定的预算金额或者最高限价的；</w:t>
      </w:r>
    </w:p>
    <w:p w14:paraId="50A21F46">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（4）投标文件含有采购人不能接受的附加条件的;</w:t>
      </w:r>
    </w:p>
    <w:p w14:paraId="2880773D">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（5）法律、法规和采购文件规定的其他无效情形。</w:t>
      </w:r>
    </w:p>
    <w:p w14:paraId="750F1512">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3.1.5 有下列情形之一的，视为投标人串通投标，其投标无效：</w:t>
      </w:r>
    </w:p>
    <w:p w14:paraId="19B944B3">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（1）不同投标人的投标文件由同一单位或者个人编制；</w:t>
      </w:r>
    </w:p>
    <w:p w14:paraId="0B660BAA">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（2）不同投标人委托同一单位或者个人办理投标事宜；</w:t>
      </w:r>
    </w:p>
    <w:p w14:paraId="53C68719">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（3）不同投标人的投标文件载明的项目管理成员或者联系人员为同一人；</w:t>
      </w:r>
    </w:p>
    <w:p w14:paraId="5B65DF92">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（4）不同投标人的投标文件异常一致或者投标报价呈规律性差异；</w:t>
      </w:r>
    </w:p>
    <w:p w14:paraId="399C06D3">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（5）不同投标人的投标文件相互混装。</w:t>
      </w:r>
    </w:p>
    <w:p w14:paraId="56014461">
      <w:pPr>
        <w:autoSpaceDE w:val="0"/>
        <w:autoSpaceDN w:val="0"/>
        <w:adjustRightInd w:val="0"/>
        <w:jc w:val="left"/>
        <w:rPr>
          <w:rFonts w:ascii="宋体" w:hAnsi="宋体" w:eastAsia="宋体" w:cs="宋体"/>
          <w:color w:val="auto"/>
          <w:szCs w:val="21"/>
        </w:rPr>
      </w:pPr>
      <w:r>
        <w:rPr>
          <w:rFonts w:hint="eastAsia" w:ascii="宋体" w:hAnsi="宋体" w:eastAsia="宋体" w:cs="宋体"/>
          <w:b/>
          <w:color w:val="auto"/>
          <w:szCs w:val="21"/>
        </w:rPr>
        <w:t xml:space="preserve">3.2  详细评审 </w:t>
      </w:r>
    </w:p>
    <w:p w14:paraId="09CD0CFE">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3.2.1只有通过初步评审的投标人才能进入后续评审。评标委员会按本章第2.2 款规定的量化因素和分值进行打分，并计算出综合评估得分：</w:t>
      </w:r>
    </w:p>
    <w:p w14:paraId="2E8F8039">
      <w:pPr>
        <w:autoSpaceDE w:val="0"/>
        <w:autoSpaceDN w:val="0"/>
        <w:adjustRightInd w:val="0"/>
        <w:jc w:val="left"/>
        <w:rPr>
          <w:rFonts w:ascii="宋体" w:hAnsi="宋体" w:eastAsia="宋体" w:cs="宋体"/>
          <w:b/>
          <w:color w:val="auto"/>
          <w:szCs w:val="21"/>
        </w:rPr>
      </w:pPr>
      <w:r>
        <w:rPr>
          <w:rFonts w:hint="eastAsia" w:ascii="宋体" w:hAnsi="宋体" w:eastAsia="宋体" w:cs="宋体"/>
          <w:b/>
          <w:color w:val="auto"/>
          <w:szCs w:val="21"/>
        </w:rPr>
        <w:t xml:space="preserve">3.3  投标文件的澄清 </w:t>
      </w:r>
    </w:p>
    <w:p w14:paraId="0D2ABD06">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14:paraId="1E359BAD">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3.3.2 澄清、说明或补正不得超出投标文件的范围且不得改变投标文件的实质性内容，并构成投标文件的组成部分。 </w:t>
      </w:r>
    </w:p>
    <w:p w14:paraId="3D62AA9C">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3.3.3 评标委员会对投标人提交的澄清、说明或补正有疑问的，可以要求投标人进一步澄清、说明或补正，直至满足评标委员会的要求。 </w:t>
      </w:r>
    </w:p>
    <w:p w14:paraId="48774569">
      <w:pPr>
        <w:autoSpaceDE w:val="0"/>
        <w:autoSpaceDN w:val="0"/>
        <w:adjustRightInd w:val="0"/>
        <w:jc w:val="left"/>
        <w:rPr>
          <w:rFonts w:ascii="宋体" w:hAnsi="宋体" w:eastAsia="宋体" w:cs="宋体"/>
          <w:b/>
          <w:color w:val="auto"/>
          <w:szCs w:val="21"/>
        </w:rPr>
      </w:pPr>
      <w:r>
        <w:rPr>
          <w:rFonts w:hint="eastAsia" w:ascii="宋体" w:hAnsi="宋体" w:eastAsia="宋体" w:cs="宋体"/>
          <w:b/>
          <w:color w:val="auto"/>
          <w:szCs w:val="21"/>
        </w:rPr>
        <w:t xml:space="preserve">3.4  评标结果 </w:t>
      </w:r>
    </w:p>
    <w:p w14:paraId="73969D84">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rPr>
        <w:t xml:space="preserve">    3.4.1 除第二章“投标人须知”前附表授权直接确定中标人外，评标委员会按照得分由高到低的顺序推荐中标候选人，并标明排序。 </w:t>
      </w:r>
    </w:p>
    <w:p w14:paraId="1FA92EAD">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3.4.2 评标委员会完成评标后，应当向采购人提交书面评标报告和中标候选人名单。排名第一的中标候选人放弃中标、因不可抗力提出不能履行合同或者被查实存在影响中标结果的违法行为等情形，不符合中标条件的，采购人可以按照评标委员会提出的中标候选人名单排序依次确定其他中标候选人为中标人，也可以重新招标。</w:t>
      </w:r>
    </w:p>
    <w:p w14:paraId="49AC3CCC">
      <w:pPr>
        <w:autoSpaceDE w:val="0"/>
        <w:autoSpaceDN w:val="0"/>
        <w:adjustRightIn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要求确定多个中标人的，应当按照中标候选人排名顺序确定相应数量的中标人；通过资格审查和符合性审查的投标人数量少于或等于招标文件中要求确定中标人数量的，通过资格审查和符合性审查的投标人直接确定为中标人。</w:t>
      </w:r>
    </w:p>
    <w:p w14:paraId="4E774B43">
      <w:pPr>
        <w:rPr>
          <w:rFonts w:ascii="宋体" w:hAnsi="宋体" w:eastAsia="宋体" w:cs="宋体"/>
          <w:b/>
          <w:bCs/>
          <w:color w:val="auto"/>
          <w:kern w:val="0"/>
          <w:sz w:val="24"/>
          <w:lang w:val="zh-CN"/>
        </w:rPr>
      </w:pPr>
      <w:r>
        <w:rPr>
          <w:rFonts w:hint="eastAsia" w:ascii="宋体" w:hAnsi="宋体" w:eastAsia="宋体" w:cs="宋体"/>
          <w:b/>
          <w:bCs/>
          <w:color w:val="auto"/>
          <w:kern w:val="0"/>
          <w:sz w:val="24"/>
          <w:lang w:val="zh-CN"/>
        </w:rPr>
        <w:br w:type="page"/>
      </w:r>
    </w:p>
    <w:p w14:paraId="14604746">
      <w:pPr>
        <w:autoSpaceDE w:val="0"/>
        <w:autoSpaceDN w:val="0"/>
        <w:adjustRightInd w:val="0"/>
        <w:ind w:firstLine="482" w:firstLineChars="200"/>
        <w:jc w:val="left"/>
        <w:rPr>
          <w:rFonts w:ascii="宋体" w:hAnsi="宋体" w:eastAsia="宋体" w:cs="宋体"/>
          <w:b/>
          <w:bCs/>
          <w:color w:val="auto"/>
          <w:kern w:val="0"/>
          <w:sz w:val="24"/>
          <w:lang w:val="zh-CN"/>
        </w:rPr>
      </w:pPr>
      <w:r>
        <w:rPr>
          <w:rFonts w:hint="eastAsia" w:ascii="宋体" w:hAnsi="宋体" w:eastAsia="宋体" w:cs="宋体"/>
          <w:b/>
          <w:bCs/>
          <w:color w:val="auto"/>
          <w:kern w:val="0"/>
          <w:sz w:val="24"/>
          <w:lang w:val="zh-CN"/>
        </w:rPr>
        <w:t>附件A：评标详细程序</w:t>
      </w:r>
    </w:p>
    <w:p w14:paraId="1EE53CF2">
      <w:pPr>
        <w:adjustRightInd w:val="0"/>
        <w:snapToGrid w:val="0"/>
        <w:jc w:val="center"/>
        <w:rPr>
          <w:rFonts w:ascii="宋体" w:hAnsi="宋体" w:eastAsia="宋体" w:cs="宋体"/>
          <w:color w:val="auto"/>
          <w:sz w:val="28"/>
          <w:szCs w:val="28"/>
        </w:rPr>
      </w:pPr>
      <w:r>
        <w:rPr>
          <w:rFonts w:hint="eastAsia" w:ascii="宋体" w:hAnsi="宋体" w:eastAsia="宋体" w:cs="宋体"/>
          <w:color w:val="auto"/>
          <w:sz w:val="28"/>
          <w:szCs w:val="28"/>
        </w:rPr>
        <w:t>评标详细程序</w:t>
      </w:r>
    </w:p>
    <w:p w14:paraId="6944144A">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A0.总则</w:t>
      </w:r>
    </w:p>
    <w:p w14:paraId="2E41B3EC">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本附件是本章“评标办法”的组成部分，是对本章第3条所规定的评标程序的进一步细化，评标委员会应当按照本附件所规定的详细程序开展并完成评标工作。</w:t>
      </w:r>
    </w:p>
    <w:p w14:paraId="75093F93">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A1.基本程序</w:t>
      </w:r>
    </w:p>
    <w:p w14:paraId="4ACBDFE8">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评标活动将按以下五个步骤进行：</w:t>
      </w:r>
    </w:p>
    <w:p w14:paraId="62ADB340">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（1）评标准备；</w:t>
      </w:r>
    </w:p>
    <w:p w14:paraId="008AC716">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（2）初步评审；</w:t>
      </w:r>
    </w:p>
    <w:p w14:paraId="078C47F3">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（3）详细评审；</w:t>
      </w:r>
    </w:p>
    <w:p w14:paraId="083F91EA">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（4）澄清、说明或补正；</w:t>
      </w:r>
    </w:p>
    <w:p w14:paraId="2E8F5A4E">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（5）推荐中标候选人或者直接确定中标人及提交评标报告。</w:t>
      </w:r>
    </w:p>
    <w:p w14:paraId="5253B20F">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A2.评标准备</w:t>
      </w:r>
    </w:p>
    <w:p w14:paraId="1DC83750">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A2.1评标委员会成员签到</w:t>
      </w:r>
    </w:p>
    <w:p w14:paraId="0A8F80A4">
      <w:pPr>
        <w:adjustRightInd w:val="0"/>
        <w:snapToGrid w:val="0"/>
        <w:spacing w:line="360" w:lineRule="auto"/>
        <w:ind w:firstLine="420" w:firstLineChars="200"/>
        <w:rPr>
          <w:rFonts w:ascii="宋体" w:hAnsi="宋体" w:eastAsia="宋体" w:cs="宋体"/>
          <w:b/>
          <w:color w:val="auto"/>
          <w:szCs w:val="21"/>
          <w:u w:val="single"/>
        </w:rPr>
      </w:pPr>
      <w:r>
        <w:rPr>
          <w:rFonts w:hint="eastAsia" w:ascii="宋体" w:hAnsi="宋体" w:eastAsia="宋体" w:cs="宋体"/>
          <w:color w:val="auto"/>
          <w:szCs w:val="21"/>
        </w:rPr>
        <w:t>评标委员会成员到达评标现场时应在签到表上签到以证明其出席。</w:t>
      </w:r>
    </w:p>
    <w:p w14:paraId="31170E14">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A2.2评标委员会的分工</w:t>
      </w:r>
    </w:p>
    <w:p w14:paraId="37A27FB1">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评标委员会首先推选一名评标委员会主任。评标委员会主任负责评标活动的组织领导工作。</w:t>
      </w:r>
    </w:p>
    <w:p w14:paraId="6F3F33E5">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A2.3熟悉文件资料</w:t>
      </w:r>
    </w:p>
    <w:p w14:paraId="7392C55E">
      <w:pPr>
        <w:adjustRightInd w:val="0"/>
        <w:snapToGrid w:val="0"/>
        <w:spacing w:line="360" w:lineRule="auto"/>
        <w:ind w:firstLine="411" w:firstLineChars="196"/>
        <w:rPr>
          <w:rFonts w:ascii="宋体" w:hAnsi="宋体" w:eastAsia="宋体" w:cs="宋体"/>
          <w:color w:val="auto"/>
          <w:szCs w:val="21"/>
        </w:rPr>
      </w:pPr>
      <w:r>
        <w:rPr>
          <w:rFonts w:hint="eastAsia" w:ascii="宋体" w:hAnsi="宋体" w:eastAsia="宋体" w:cs="宋体"/>
          <w:color w:val="auto"/>
          <w:szCs w:val="21"/>
        </w:rPr>
        <w:t>A2.3.1评标委员会主任应组织评标委员会成员认真研究采购文件，了解和熟悉招标目的、采购范围、主要合同条件、技术标准和要求、质量标准和合同履行期限要求，掌握评标标准和方法，熟悉本章及附件中包括的评标表格的使用，如果本章及附件所附的表格不能满足评标所需时，评标委员会应补充编制评标所需的表格，尤其是用于详细分析计算的表格。未在采购文件中规定的标准和方法不得作为评标的依据。</w:t>
      </w:r>
    </w:p>
    <w:p w14:paraId="3A608932">
      <w:pPr>
        <w:adjustRightInd w:val="0"/>
        <w:snapToGrid w:val="0"/>
        <w:spacing w:line="360" w:lineRule="auto"/>
        <w:ind w:firstLine="411" w:firstLineChars="196"/>
        <w:rPr>
          <w:rFonts w:ascii="宋体" w:hAnsi="宋体" w:eastAsia="宋体" w:cs="宋体"/>
          <w:color w:val="auto"/>
          <w:szCs w:val="21"/>
        </w:rPr>
      </w:pPr>
      <w:r>
        <w:rPr>
          <w:rFonts w:hint="eastAsia" w:ascii="宋体" w:hAnsi="宋体" w:eastAsia="宋体" w:cs="宋体"/>
          <w:color w:val="auto"/>
          <w:szCs w:val="21"/>
        </w:rPr>
        <w:t>A2.3.2采购人或采购代理机构应向评标委员会提供评标所需的信息和数据，包括采购文件、未在开标会上当场拒绝的各投标文件、开标会记录、资格预审文件及各投标人在资格预审阶段递交的资格预审申请文件(适用于已进行资格预审的)、标底(如有)、工程所在地工程造价管理部门颁布的工程造价信息、定额(如作为计价依据时)、有关的法律、法规、规章、国家标准以及采购人或评标委员会认为必要的其他信息和数据。</w:t>
      </w:r>
    </w:p>
    <w:p w14:paraId="0A924732">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A2.4暗标编号</w:t>
      </w:r>
    </w:p>
    <w:p w14:paraId="1B7E219B">
      <w:pPr>
        <w:adjustRightInd w:val="0"/>
        <w:snapToGrid w:val="0"/>
        <w:spacing w:line="360" w:lineRule="auto"/>
        <w:ind w:firstLine="411" w:firstLineChars="196"/>
        <w:rPr>
          <w:rFonts w:ascii="宋体" w:hAnsi="宋体" w:eastAsia="宋体" w:cs="宋体"/>
          <w:color w:val="auto"/>
          <w:szCs w:val="21"/>
        </w:rPr>
      </w:pPr>
      <w:r>
        <w:rPr>
          <w:rFonts w:hint="eastAsia" w:ascii="宋体" w:hAnsi="宋体" w:eastAsia="宋体" w:cs="宋体"/>
          <w:color w:val="auto"/>
          <w:szCs w:val="21"/>
        </w:rPr>
        <w:t>本工程采用计算机辅助评标，暗标编号由评标系统随机自动生成。</w:t>
      </w:r>
    </w:p>
    <w:p w14:paraId="78C882F0">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A2.5对投标文件进行基础性数据分析和整理工作(清标)</w:t>
      </w:r>
    </w:p>
    <w:p w14:paraId="5CB4FF9A">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2.5.1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370242B9">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2.5.2在不影响评标委员会成员的法定权利的前提下，评标委员会可委托由采购人专门成立的清标工作小组完成清标工作。在这种情况下，清标工作可以在评标工作开始之前完成，也可以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14:paraId="3EB909D3">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A2.5.3投标人接到评标委员会发出的问题澄清通知后，应按评标委员会的要求提供书面澄清资料并按要求进行密封，在规定的时间递交到指定地点。投标人递交的书面澄清资料由评标委员会开启。</w:t>
      </w:r>
    </w:p>
    <w:p w14:paraId="611F45F9">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A3初步评审</w:t>
      </w:r>
    </w:p>
    <w:p w14:paraId="65F89F25">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A3.1形式评审</w:t>
      </w:r>
    </w:p>
    <w:p w14:paraId="5BED74EE">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评标委员会根据评标办法前附表中规定的评审因素和评审标准，对投标人的投标文件进行形式评审，并记录评审结果。</w:t>
      </w:r>
    </w:p>
    <w:p w14:paraId="529F4FCE">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A3.2资格评审</w:t>
      </w:r>
    </w:p>
    <w:p w14:paraId="45995C5E">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A3.2.1根据评标办法前附表中规定的评审因素和评审标准，对投标人的投标文件进行资格评审，并记录评审结果。</w:t>
      </w:r>
    </w:p>
    <w:p w14:paraId="2A767992">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A3．3 响应性评审</w:t>
      </w:r>
    </w:p>
    <w:p w14:paraId="0937D902">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A3.3.1评标委员会根据评标办法前附表中规定的评审因素和评审标准，对投标人的投标文件进行响应性评审，并记录评审结果。</w:t>
      </w:r>
    </w:p>
    <w:p w14:paraId="1DEC87A9">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A3.3.2投标人投标价格不得超出(不含等于)按照采购文件规定的最高投标限价，凡投标人的投标价格超出“最高投标限价”，该投标人的投标文件不能通过响应性评审。</w:t>
      </w:r>
    </w:p>
    <w:p w14:paraId="2EB54E03">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A3.4  算术错误修正</w:t>
      </w:r>
    </w:p>
    <w:p w14:paraId="064B1B16">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评标委员会依据本章中规定的相关原则对投标报价中存在的算术错误进行修正，并根据算术错误修正结果计算评标价。</w:t>
      </w:r>
    </w:p>
    <w:p w14:paraId="28E081DD">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A3.5 澄清、说明或补正</w:t>
      </w:r>
    </w:p>
    <w:p w14:paraId="445D9FA4">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在初步评审过程中，评标委员会应当就投标文件中不明确的内容要求投标人进行澄清、说明或者补正。投标人对此以书面形式予以澄清、说明或者补正。澄清、说明或补正根据本章第3.3款的规定执行。</w:t>
      </w:r>
    </w:p>
    <w:p w14:paraId="77D97D27">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A4．详细评审</w:t>
      </w:r>
    </w:p>
    <w:p w14:paraId="22F0A775">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只有通过了初步评审、被判定为合格的投标方可进入详细评审。</w:t>
      </w:r>
    </w:p>
    <w:p w14:paraId="2539CF9B">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A4.1详细评审的程序</w:t>
      </w:r>
    </w:p>
    <w:p w14:paraId="38103306">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A4.1.1  评标委员会按照本章规定的程序进行详细评审：</w:t>
      </w:r>
    </w:p>
    <w:p w14:paraId="49B335D5">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(1)技术部分评审和评分；</w:t>
      </w:r>
    </w:p>
    <w:p w14:paraId="3EB83A1F">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(2)投标报价评审和评分；并对明显低于其他投标报价的投标报价，或者在设有标底时明显低于标底的投标报价，判断是否低于其个别成本；</w:t>
      </w:r>
    </w:p>
    <w:p w14:paraId="2FBCD7C5">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(3)其他因素评审和评分；</w:t>
      </w:r>
    </w:p>
    <w:p w14:paraId="5D72C29F">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(4)汇总评分结果。</w:t>
      </w:r>
    </w:p>
    <w:p w14:paraId="46FB6AE9">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A4.2判断投标报价是否低于成本</w:t>
      </w:r>
    </w:p>
    <w:p w14:paraId="68D049CC">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根据本章规定，评标委员会根据评标办法正文第3.3.5条规定的方法对投标人提交的投标文件进行评审，判断其投标报价是否低于其成本。由评标委员会认定投标人以低于成本竞标的，其投标将被否决。</w:t>
      </w:r>
    </w:p>
    <w:p w14:paraId="23F17934">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A4.3  澄清、说明或补正</w:t>
      </w:r>
    </w:p>
    <w:p w14:paraId="28A82ECC">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在详细评审过程中，评标委员会应当就投标文件中不明确的内容要求投标人进行澄清、说明或者补正。投标人对此以书面形式予以澄清、说明或者补正。澄清、说明或补正根据本章第3.3款的规定执行。</w:t>
      </w:r>
    </w:p>
    <w:p w14:paraId="5E22E1C3">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A5.  推荐中标候选人或者直接确定中标人</w:t>
      </w:r>
    </w:p>
    <w:p w14:paraId="15D30C21">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A5.1  推荐中标候选人</w:t>
      </w:r>
    </w:p>
    <w:p w14:paraId="514A57C8">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A5.1.1  除第二章“投标人须知”前附表第7．1款授权直接确定中标人外，评标委员会在推荐中标候选人时，应遵照以下原则:</w:t>
      </w:r>
    </w:p>
    <w:p w14:paraId="0A048BEF">
      <w:pPr>
        <w:adjustRightInd w:val="0"/>
        <w:snapToGrid w:val="0"/>
        <w:spacing w:line="360" w:lineRule="auto"/>
        <w:ind w:left="951" w:leftChars="187" w:hanging="558" w:hangingChars="266"/>
        <w:rPr>
          <w:rFonts w:ascii="宋体" w:hAnsi="宋体" w:eastAsia="宋体" w:cs="宋体"/>
          <w:color w:val="auto"/>
          <w:szCs w:val="21"/>
        </w:rPr>
      </w:pPr>
      <w:r>
        <w:rPr>
          <w:rFonts w:hint="eastAsia" w:ascii="宋体" w:hAnsi="宋体" w:eastAsia="宋体" w:cs="宋体"/>
          <w:color w:val="auto"/>
          <w:szCs w:val="21"/>
        </w:rPr>
        <w:t>(1)  评标委员会按照最终得分由高至低的次序排列，并根据第二章“投标人须知”前附表第7.1款规定的中标候选人数量，将排序在前的投标人推荐为中标候选人。</w:t>
      </w:r>
    </w:p>
    <w:p w14:paraId="13CA274A">
      <w:pPr>
        <w:adjustRightInd w:val="0"/>
        <w:snapToGrid w:val="0"/>
        <w:spacing w:line="360" w:lineRule="auto"/>
        <w:ind w:left="936" w:leftChars="200" w:hanging="516" w:hangingChars="246"/>
        <w:rPr>
          <w:rFonts w:ascii="宋体" w:hAnsi="宋体" w:eastAsia="宋体" w:cs="宋体"/>
          <w:color w:val="auto"/>
          <w:szCs w:val="21"/>
        </w:rPr>
      </w:pPr>
      <w:r>
        <w:rPr>
          <w:rFonts w:hint="eastAsia" w:ascii="宋体" w:hAnsi="宋体" w:eastAsia="宋体" w:cs="宋体"/>
          <w:color w:val="auto"/>
          <w:szCs w:val="21"/>
        </w:rPr>
        <w:t>(2)  如果评标委员会根据本章的规定作否决投标处理后，有效投标不足三个，且少于第二章“投标人须知”前附表第7.1款规定的中标候选人数量的，则评标委员会可以将所有有效投标按最终得分由高至低的次序作为中标候选人向采购人推荐。如果因有效投标不足三个使得投标明显缺乏竞争的，评标委员会可以建议采购人重新招标。</w:t>
      </w:r>
    </w:p>
    <w:p w14:paraId="1F6C6A6A">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A5.2.2  投标人数量少于三个或者所有投标被否决的，采购人应当依法重新招标。</w:t>
      </w:r>
    </w:p>
    <w:p w14:paraId="0580CA86">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A6．特殊情况的处置程序</w:t>
      </w:r>
    </w:p>
    <w:p w14:paraId="07BC24F0">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A6.1 关于评标活动暂停</w:t>
      </w:r>
    </w:p>
    <w:p w14:paraId="491C0448">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A6.1.1评标委员会应当执行连续评标的原则，按评标办法中规定的程序、内容、方法、标准完成全部评标工作。只有发生不可抗力导致评标工作无法继续时，评标活动方可暂停。</w:t>
      </w:r>
    </w:p>
    <w:p w14:paraId="4A292690">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A6.1.2发生评标暂停情况时，评标委员会应当封存全部投标文件和评标记录，待不可抗力的影响结束且具备继续评标的条件时，由原评标委员会继续评标。</w:t>
      </w:r>
    </w:p>
    <w:p w14:paraId="6AD8A10F">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A6.2  关于评标中途更换评委</w:t>
      </w:r>
    </w:p>
    <w:p w14:paraId="700C35EC">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A6.2.1除非发生下列情况之一，评标委员会成员不得在评标中途更换：</w:t>
      </w:r>
    </w:p>
    <w:p w14:paraId="6ABFD42E">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 因不可抗拒的客观原因，不能到场或需在评标中途退出评标活动。</w:t>
      </w:r>
    </w:p>
    <w:p w14:paraId="595CC3D0">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 根据法律法规规定，某个或某几个评标委员会成员需要回避。</w:t>
      </w:r>
    </w:p>
    <w:p w14:paraId="35FC9314">
      <w:pPr>
        <w:adjustRightInd w:val="0"/>
        <w:snapToGrid w:val="0"/>
        <w:spacing w:line="360" w:lineRule="auto"/>
        <w:ind w:firstLine="420" w:firstLineChars="200"/>
        <w:rPr>
          <w:rFonts w:ascii="宋体" w:hAnsi="宋体" w:eastAsia="宋体" w:cs="宋体"/>
          <w:b/>
          <w:color w:val="auto"/>
          <w:szCs w:val="21"/>
        </w:rPr>
      </w:pPr>
      <w:r>
        <w:rPr>
          <w:rFonts w:hint="eastAsia" w:ascii="宋体" w:hAnsi="宋体" w:eastAsia="宋体" w:cs="宋体"/>
          <w:color w:val="auto"/>
          <w:szCs w:val="21"/>
        </w:rPr>
        <w:t>A6.2.2退出评标的评标委员会成员，其已完成的评标行为无效。由采购人根据本采购文件规定的评标委员会成员生产方式另行确定替代者进行评标。</w:t>
      </w:r>
    </w:p>
    <w:p w14:paraId="37DC5457">
      <w:pPr>
        <w:adjustRightInd w:val="0"/>
        <w:snapToGrid w:val="0"/>
        <w:spacing w:line="360" w:lineRule="auto"/>
        <w:rPr>
          <w:rFonts w:ascii="宋体" w:hAnsi="宋体" w:eastAsia="宋体" w:cs="宋体"/>
          <w:b/>
          <w:color w:val="auto"/>
          <w:szCs w:val="21"/>
        </w:rPr>
      </w:pPr>
      <w:r>
        <w:rPr>
          <w:rFonts w:hint="eastAsia" w:ascii="宋体" w:hAnsi="宋体" w:eastAsia="宋体" w:cs="宋体"/>
          <w:b/>
          <w:color w:val="auto"/>
          <w:szCs w:val="21"/>
        </w:rPr>
        <w:t>A6.3 记名投票</w:t>
      </w:r>
    </w:p>
    <w:p w14:paraId="05D2B9C0">
      <w:pPr>
        <w:adjustRightInd w:val="0"/>
        <w:snapToGrid w:val="0"/>
        <w:spacing w:line="360" w:lineRule="auto"/>
        <w:ind w:firstLine="420" w:firstLineChars="200"/>
        <w:rPr>
          <w:rFonts w:ascii="宋体" w:hAnsi="宋体" w:eastAsia="宋体" w:cs="宋体"/>
          <w:color w:val="auto"/>
        </w:rPr>
      </w:pPr>
      <w:r>
        <w:rPr>
          <w:rFonts w:hint="eastAsia" w:ascii="宋体" w:hAnsi="宋体" w:eastAsia="宋体" w:cs="宋体"/>
          <w:color w:val="auto"/>
          <w:szCs w:val="21"/>
        </w:rPr>
        <w:t>在任何评标环节中，需评标委员会就某项定性的评审结论做出表决的，由评标委员会全体成员按照少数服从多数的原则，以记名投票方式表决。</w:t>
      </w:r>
      <w:r>
        <w:rPr>
          <w:rFonts w:hint="eastAsia" w:ascii="宋体" w:hAnsi="宋体" w:eastAsia="宋体" w:cs="宋体"/>
          <w:color w:val="auto"/>
        </w:rPr>
        <w:br w:type="page"/>
      </w:r>
    </w:p>
    <w:p w14:paraId="6F33EBC0">
      <w:pPr>
        <w:pStyle w:val="7"/>
        <w:ind w:left="0" w:leftChars="0"/>
        <w:rPr>
          <w:rFonts w:ascii="宋体" w:hAnsi="宋体" w:eastAsia="宋体" w:cs="宋体"/>
          <w:color w:val="auto"/>
        </w:rPr>
      </w:pPr>
      <w:r>
        <w:rPr>
          <w:rFonts w:hint="eastAsia" w:ascii="宋体" w:hAnsi="宋体" w:eastAsia="宋体" w:cs="宋体"/>
          <w:color w:val="auto"/>
        </w:rPr>
        <w:t>附件：</w:t>
      </w:r>
    </w:p>
    <w:p w14:paraId="44092D7B">
      <w:pPr>
        <w:jc w:val="center"/>
        <w:rPr>
          <w:rFonts w:ascii="宋体" w:hAnsi="宋体" w:eastAsia="宋体" w:cs="宋体"/>
          <w:b/>
          <w:color w:val="auto"/>
          <w:sz w:val="28"/>
          <w:szCs w:val="28"/>
        </w:rPr>
      </w:pPr>
      <w:r>
        <w:rPr>
          <w:rFonts w:hint="eastAsia" w:ascii="宋体" w:hAnsi="宋体" w:eastAsia="宋体" w:cs="宋体"/>
          <w:b/>
          <w:color w:val="auto"/>
          <w:sz w:val="28"/>
          <w:szCs w:val="28"/>
        </w:rPr>
        <w:t>政府采购促进中小企业发展管理办法</w:t>
      </w:r>
    </w:p>
    <w:p w14:paraId="46242D63">
      <w:pPr>
        <w:jc w:val="center"/>
        <w:rPr>
          <w:rFonts w:ascii="宋体" w:hAnsi="宋体" w:eastAsia="宋体" w:cs="宋体"/>
          <w:b/>
          <w:color w:val="auto"/>
          <w:szCs w:val="21"/>
        </w:rPr>
      </w:pPr>
      <w:r>
        <w:rPr>
          <w:rFonts w:hint="eastAsia" w:ascii="宋体" w:hAnsi="宋体" w:eastAsia="宋体" w:cs="宋体"/>
          <w:b/>
          <w:color w:val="auto"/>
          <w:szCs w:val="21"/>
        </w:rPr>
        <w:t>财库〔2020〕46号</w:t>
      </w:r>
    </w:p>
    <w:p w14:paraId="04876E7C">
      <w:pPr>
        <w:rPr>
          <w:rFonts w:ascii="宋体" w:hAnsi="宋体" w:eastAsia="宋体" w:cs="宋体"/>
          <w:color w:val="auto"/>
          <w:szCs w:val="21"/>
        </w:rPr>
      </w:pPr>
      <w:r>
        <w:rPr>
          <w:rFonts w:hint="eastAsia" w:ascii="宋体" w:hAnsi="宋体" w:eastAsia="宋体" w:cs="宋体"/>
          <w:color w:val="auto"/>
          <w:szCs w:val="21"/>
        </w:rPr>
        <w:t>　　第一条 为了发挥政府采购的政策功能，促进中小企业健康发展，根据《中华人民共和国政府采购法》、《中华人民共和国中小企业促进法》等有关法律法规，制定本办法。</w:t>
      </w:r>
    </w:p>
    <w:p w14:paraId="14412F6B">
      <w:pPr>
        <w:rPr>
          <w:rFonts w:ascii="宋体" w:hAnsi="宋体" w:eastAsia="宋体" w:cs="宋体"/>
          <w:color w:val="auto"/>
          <w:szCs w:val="21"/>
        </w:rPr>
      </w:pPr>
      <w:r>
        <w:rPr>
          <w:rFonts w:hint="eastAsia" w:ascii="宋体" w:hAnsi="宋体" w:eastAsia="宋体" w:cs="宋体"/>
          <w:color w:val="auto"/>
          <w:szCs w:val="21"/>
        </w:rPr>
        <w:t>　  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723DC2E">
      <w:pPr>
        <w:ind w:firstLine="420" w:firstLineChars="200"/>
        <w:rPr>
          <w:rFonts w:ascii="宋体" w:hAnsi="宋体" w:eastAsia="宋体" w:cs="宋体"/>
          <w:color w:val="auto"/>
          <w:szCs w:val="21"/>
        </w:rPr>
      </w:pPr>
      <w:r>
        <w:rPr>
          <w:rFonts w:hint="eastAsia" w:ascii="宋体" w:hAnsi="宋体" w:eastAsia="宋体" w:cs="宋体"/>
          <w:color w:val="auto"/>
          <w:szCs w:val="21"/>
        </w:rPr>
        <w:t>符合中小企业划分标准的个体工商户，在政府采购活动中视同中小企业。</w:t>
      </w:r>
    </w:p>
    <w:p w14:paraId="45F69B24">
      <w:pPr>
        <w:rPr>
          <w:rFonts w:ascii="宋体" w:hAnsi="宋体" w:eastAsia="宋体" w:cs="宋体"/>
          <w:color w:val="auto"/>
          <w:szCs w:val="21"/>
        </w:rPr>
      </w:pPr>
      <w:r>
        <w:rPr>
          <w:rFonts w:hint="eastAsia" w:ascii="宋体" w:hAnsi="宋体" w:eastAsia="宋体" w:cs="宋体"/>
          <w:color w:val="auto"/>
          <w:szCs w:val="21"/>
        </w:rPr>
        <w:t>　  第三条 采购人在政府采购活动中应当通过加强采购需求管理，落实预留采购份额、价格评审优惠、优先采购等措施，提高中小企业在政府采购中的份额，支持中小企业发展。</w:t>
      </w:r>
    </w:p>
    <w:p w14:paraId="24B33E52">
      <w:pPr>
        <w:rPr>
          <w:rFonts w:ascii="宋体" w:hAnsi="宋体" w:eastAsia="宋体" w:cs="宋体"/>
          <w:color w:val="auto"/>
          <w:szCs w:val="21"/>
        </w:rPr>
      </w:pPr>
      <w:r>
        <w:rPr>
          <w:rFonts w:hint="eastAsia" w:ascii="宋体" w:hAnsi="宋体" w:eastAsia="宋体" w:cs="宋体"/>
          <w:color w:val="auto"/>
          <w:szCs w:val="21"/>
        </w:rPr>
        <w:t>　　第四条 在政府采购活动中，供应商提供的货物、工程或者服务符合下列情形的，享受本办法规定的中小企业扶持政策：</w:t>
      </w:r>
    </w:p>
    <w:p w14:paraId="4DE9C48F">
      <w:pPr>
        <w:ind w:firstLine="420" w:firstLineChars="200"/>
        <w:rPr>
          <w:rFonts w:ascii="宋体" w:hAnsi="宋体" w:eastAsia="宋体" w:cs="宋体"/>
          <w:color w:val="auto"/>
          <w:szCs w:val="21"/>
        </w:rPr>
      </w:pPr>
      <w:r>
        <w:rPr>
          <w:rFonts w:hint="eastAsia" w:ascii="宋体" w:hAnsi="宋体" w:eastAsia="宋体" w:cs="宋体"/>
          <w:color w:val="auto"/>
          <w:szCs w:val="21"/>
        </w:rPr>
        <w:t>（一）在货物采购项目中，货物由中小企业制造，即货物由中小企业生产且使用该中小企业商号或者注册商标；</w:t>
      </w:r>
    </w:p>
    <w:p w14:paraId="04348994">
      <w:pPr>
        <w:ind w:firstLine="420" w:firstLineChars="200"/>
        <w:rPr>
          <w:rFonts w:ascii="宋体" w:hAnsi="宋体" w:eastAsia="宋体" w:cs="宋体"/>
          <w:color w:val="auto"/>
          <w:szCs w:val="21"/>
        </w:rPr>
      </w:pPr>
      <w:r>
        <w:rPr>
          <w:rFonts w:hint="eastAsia" w:ascii="宋体" w:hAnsi="宋体" w:eastAsia="宋体" w:cs="宋体"/>
          <w:color w:val="auto"/>
          <w:szCs w:val="21"/>
        </w:rPr>
        <w:t>（二）在工程采购项目中，工程由中小企业承建，即工程施工单位为中小企业；</w:t>
      </w:r>
    </w:p>
    <w:p w14:paraId="5BC5F2FC">
      <w:pPr>
        <w:ind w:firstLine="420" w:firstLineChars="200"/>
        <w:rPr>
          <w:rFonts w:ascii="宋体" w:hAnsi="宋体" w:eastAsia="宋体" w:cs="宋体"/>
          <w:color w:val="auto"/>
          <w:szCs w:val="21"/>
        </w:rPr>
      </w:pPr>
      <w:r>
        <w:rPr>
          <w:rFonts w:hint="eastAsia" w:ascii="宋体" w:hAnsi="宋体" w:eastAsia="宋体" w:cs="宋体"/>
          <w:color w:val="auto"/>
          <w:szCs w:val="21"/>
        </w:rPr>
        <w:t>（三）在服务采购项目中，服务由中小企业承接，即提供服务的人员为中小企业依照《中华人民共和国劳动合同法》订立劳动合同的从业人员。</w:t>
      </w:r>
    </w:p>
    <w:p w14:paraId="5EB1B5D2">
      <w:pPr>
        <w:ind w:firstLine="420" w:firstLineChars="200"/>
        <w:rPr>
          <w:rFonts w:ascii="宋体" w:hAnsi="宋体" w:eastAsia="宋体" w:cs="宋体"/>
          <w:color w:val="auto"/>
        </w:rPr>
      </w:pPr>
      <w:r>
        <w:rPr>
          <w:rFonts w:hint="eastAsia" w:ascii="宋体" w:hAnsi="宋体" w:eastAsia="宋体" w:cs="宋体"/>
          <w:color w:val="auto"/>
        </w:rPr>
        <w:t>在货物采购项目中，供应商提供的货物既有中小企业制造货物，也有大型企业制造货物的，不享受本办法规定的中小企业扶持政策。</w:t>
      </w:r>
    </w:p>
    <w:p w14:paraId="3A198C1A">
      <w:pPr>
        <w:ind w:firstLine="420" w:firstLineChars="200"/>
        <w:rPr>
          <w:rFonts w:ascii="宋体" w:hAnsi="宋体" w:eastAsia="宋体" w:cs="宋体"/>
          <w:color w:val="auto"/>
        </w:rPr>
      </w:pPr>
      <w:r>
        <w:rPr>
          <w:rFonts w:hint="eastAsia" w:ascii="宋体" w:hAnsi="宋体" w:eastAsia="宋体" w:cs="宋体"/>
          <w:color w:val="auto"/>
        </w:rPr>
        <w:t>以联合体形式参加政府采购活动，联合体各方均为中小企业的，联合体视同中小企业。其中，联合体各方均为小微企业的，联合体视同小微企业。</w:t>
      </w:r>
    </w:p>
    <w:p w14:paraId="08E8B7F2">
      <w:pPr>
        <w:ind w:firstLine="420" w:firstLineChars="200"/>
        <w:rPr>
          <w:rFonts w:ascii="宋体" w:hAnsi="宋体" w:eastAsia="宋体" w:cs="宋体"/>
          <w:color w:val="auto"/>
        </w:rPr>
      </w:pPr>
      <w:r>
        <w:rPr>
          <w:rFonts w:hint="eastAsia" w:ascii="宋体" w:hAnsi="宋体" w:eastAsia="宋体" w:cs="宋体"/>
          <w:color w:val="auto"/>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2B3B0AC4">
      <w:pPr>
        <w:ind w:firstLine="420" w:firstLineChars="200"/>
        <w:rPr>
          <w:rFonts w:ascii="宋体" w:hAnsi="宋体" w:eastAsia="宋体" w:cs="宋体"/>
          <w:color w:val="auto"/>
        </w:rPr>
      </w:pPr>
      <w:r>
        <w:rPr>
          <w:rFonts w:hint="eastAsia" w:ascii="宋体" w:hAnsi="宋体" w:eastAsia="宋体" w:cs="宋体"/>
          <w:color w:val="auto"/>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A306B42">
      <w:pPr>
        <w:ind w:firstLine="420" w:firstLineChars="200"/>
        <w:rPr>
          <w:rFonts w:ascii="宋体" w:hAnsi="宋体" w:eastAsia="宋体" w:cs="宋体"/>
          <w:color w:val="auto"/>
        </w:rPr>
      </w:pPr>
      <w:r>
        <w:rPr>
          <w:rFonts w:hint="eastAsia" w:ascii="宋体" w:hAnsi="宋体" w:eastAsia="宋体" w:cs="宋体"/>
          <w:color w:val="auto"/>
        </w:rPr>
        <w:t>符合下列情形之一的，可不专门面向中小企业预留采购份额：</w:t>
      </w:r>
    </w:p>
    <w:p w14:paraId="13F4030D">
      <w:pPr>
        <w:ind w:firstLine="420" w:firstLineChars="200"/>
        <w:rPr>
          <w:rFonts w:ascii="宋体" w:hAnsi="宋体" w:eastAsia="宋体" w:cs="宋体"/>
          <w:color w:val="auto"/>
        </w:rPr>
      </w:pPr>
      <w:r>
        <w:rPr>
          <w:rFonts w:hint="eastAsia" w:ascii="宋体" w:hAnsi="宋体" w:eastAsia="宋体" w:cs="宋体"/>
          <w:color w:val="auto"/>
        </w:rPr>
        <w:t>（一）法律法规和国家有关政策明确规定优先或者应当面向事业单位、社会组织等非企业主体采购的；</w:t>
      </w:r>
    </w:p>
    <w:p w14:paraId="3B94E9CB">
      <w:pPr>
        <w:ind w:firstLine="420" w:firstLineChars="200"/>
        <w:rPr>
          <w:rFonts w:ascii="宋体" w:hAnsi="宋体" w:eastAsia="宋体" w:cs="宋体"/>
          <w:color w:val="auto"/>
        </w:rPr>
      </w:pPr>
      <w:r>
        <w:rPr>
          <w:rFonts w:hint="eastAsia" w:ascii="宋体" w:hAnsi="宋体" w:eastAsia="宋体" w:cs="宋体"/>
          <w:color w:val="auto"/>
        </w:rPr>
        <w:t>（二）因确需使用不可替代的专利、专有技术，基础设施限制，或者提供特定公共服务等原因，只能从中小企业之外的供应商处采购的；</w:t>
      </w:r>
    </w:p>
    <w:p w14:paraId="3BF092F5">
      <w:pPr>
        <w:rPr>
          <w:rFonts w:ascii="宋体" w:hAnsi="宋体" w:eastAsia="宋体" w:cs="宋体"/>
          <w:color w:val="auto"/>
          <w:szCs w:val="21"/>
        </w:rPr>
      </w:pPr>
      <w:r>
        <w:rPr>
          <w:rFonts w:hint="eastAsia" w:ascii="宋体" w:hAnsi="宋体" w:eastAsia="宋体" w:cs="宋体"/>
          <w:color w:val="auto"/>
          <w:szCs w:val="21"/>
        </w:rPr>
        <w:t>　  （三）按照本办法规定预留采购份额无法确保充分供应、充分竞争，或者存在可能影响政府采购目标实现的情形；</w:t>
      </w:r>
    </w:p>
    <w:p w14:paraId="3DB8C0CD">
      <w:pPr>
        <w:ind w:firstLine="420" w:firstLineChars="200"/>
        <w:rPr>
          <w:rFonts w:ascii="宋体" w:hAnsi="宋体" w:eastAsia="宋体" w:cs="宋体"/>
          <w:color w:val="auto"/>
          <w:szCs w:val="21"/>
        </w:rPr>
      </w:pPr>
      <w:r>
        <w:rPr>
          <w:rFonts w:hint="eastAsia" w:ascii="宋体" w:hAnsi="宋体" w:eastAsia="宋体" w:cs="宋体"/>
          <w:color w:val="auto"/>
          <w:szCs w:val="21"/>
        </w:rPr>
        <w:t>（四）框架协议采购项目；</w:t>
      </w:r>
    </w:p>
    <w:p w14:paraId="1AD8B1AD">
      <w:pPr>
        <w:ind w:firstLine="420" w:firstLineChars="200"/>
        <w:rPr>
          <w:rFonts w:ascii="宋体" w:hAnsi="宋体" w:eastAsia="宋体" w:cs="宋体"/>
          <w:color w:val="auto"/>
          <w:szCs w:val="21"/>
        </w:rPr>
      </w:pPr>
      <w:r>
        <w:rPr>
          <w:rFonts w:hint="eastAsia" w:ascii="宋体" w:hAnsi="宋体" w:eastAsia="宋体" w:cs="宋体"/>
          <w:color w:val="auto"/>
          <w:szCs w:val="21"/>
        </w:rPr>
        <w:t>（五）省级以上人民政府财政部门规定的其他情形。</w:t>
      </w:r>
    </w:p>
    <w:p w14:paraId="547458F5">
      <w:pPr>
        <w:ind w:firstLine="420" w:firstLineChars="200"/>
        <w:rPr>
          <w:rFonts w:ascii="宋体" w:hAnsi="宋体" w:eastAsia="宋体" w:cs="宋体"/>
          <w:color w:val="auto"/>
          <w:szCs w:val="21"/>
        </w:rPr>
      </w:pPr>
      <w:r>
        <w:rPr>
          <w:rFonts w:hint="eastAsia" w:ascii="宋体" w:hAnsi="宋体" w:eastAsia="宋体" w:cs="宋体"/>
          <w:color w:val="auto"/>
          <w:szCs w:val="21"/>
        </w:rPr>
        <w:t>除上述情形外，其他均为适宜由中小企业提供的情形。</w:t>
      </w:r>
    </w:p>
    <w:p w14:paraId="12856570">
      <w:pPr>
        <w:ind w:firstLine="420" w:firstLineChars="200"/>
        <w:rPr>
          <w:rFonts w:ascii="宋体" w:hAnsi="宋体" w:eastAsia="宋体" w:cs="宋体"/>
          <w:color w:val="auto"/>
          <w:szCs w:val="21"/>
        </w:rPr>
      </w:pPr>
      <w:r>
        <w:rPr>
          <w:rFonts w:hint="eastAsia" w:ascii="宋体" w:hAnsi="宋体" w:eastAsia="宋体" w:cs="宋体"/>
          <w:color w:val="auto"/>
          <w:szCs w:val="21"/>
        </w:rPr>
        <w:t>第七条 采购限额标准以上，200万元以下的货物和服务采购项目、400万元以下的工程采购项目，适宜由中小企业提供的，采购人应当专门面向中小企业采购。</w:t>
      </w:r>
    </w:p>
    <w:p w14:paraId="3B084F24">
      <w:pPr>
        <w:ind w:firstLine="420" w:firstLineChars="200"/>
        <w:rPr>
          <w:rFonts w:ascii="宋体" w:hAnsi="宋体" w:eastAsia="宋体" w:cs="宋体"/>
          <w:color w:val="auto"/>
          <w:szCs w:val="21"/>
        </w:rPr>
      </w:pPr>
      <w:r>
        <w:rPr>
          <w:rFonts w:hint="eastAsia" w:ascii="宋体" w:hAnsi="宋体" w:eastAsia="宋体" w:cs="宋体"/>
          <w:color w:val="auto"/>
          <w:szCs w:val="21"/>
        </w:rPr>
        <w:t>第八条 超过 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33FB9C71">
      <w:pPr>
        <w:ind w:firstLine="420" w:firstLineChars="200"/>
        <w:rPr>
          <w:rFonts w:ascii="宋体" w:hAnsi="宋体" w:eastAsia="宋体" w:cs="宋体"/>
          <w:color w:val="auto"/>
          <w:szCs w:val="21"/>
        </w:rPr>
      </w:pPr>
      <w:r>
        <w:rPr>
          <w:rFonts w:hint="eastAsia" w:ascii="宋体" w:hAnsi="宋体" w:eastAsia="宋体" w:cs="宋体"/>
          <w:color w:val="auto"/>
          <w:szCs w:val="21"/>
        </w:rPr>
        <w:t>（一）将采购项目整体或者设置采购包专门面向中小企业采购；</w:t>
      </w:r>
    </w:p>
    <w:p w14:paraId="0D55B2D7">
      <w:pPr>
        <w:ind w:firstLine="420" w:firstLineChars="200"/>
        <w:rPr>
          <w:rFonts w:ascii="宋体" w:hAnsi="宋体" w:eastAsia="宋体" w:cs="宋体"/>
          <w:color w:val="auto"/>
          <w:szCs w:val="21"/>
        </w:rPr>
      </w:pPr>
      <w:r>
        <w:rPr>
          <w:rFonts w:hint="eastAsia" w:ascii="宋体" w:hAnsi="宋体" w:eastAsia="宋体" w:cs="宋体"/>
          <w:color w:val="auto"/>
          <w:szCs w:val="21"/>
        </w:rPr>
        <w:t>（二）要求供应商以联合体形式参加采购活动，且联合体中中小企业承担的部分达到一定比例；</w:t>
      </w:r>
    </w:p>
    <w:p w14:paraId="44458D45">
      <w:pPr>
        <w:ind w:firstLine="420" w:firstLineChars="200"/>
        <w:rPr>
          <w:rFonts w:ascii="宋体" w:hAnsi="宋体" w:eastAsia="宋体" w:cs="宋体"/>
          <w:color w:val="auto"/>
          <w:szCs w:val="21"/>
        </w:rPr>
      </w:pPr>
      <w:r>
        <w:rPr>
          <w:rFonts w:hint="eastAsia" w:ascii="宋体" w:hAnsi="宋体" w:eastAsia="宋体" w:cs="宋体"/>
          <w:color w:val="auto"/>
          <w:szCs w:val="21"/>
        </w:rPr>
        <w:t>（三）要求获得采购合同的供应商将采购项目中的一定比例分包给一家或者多家中小企业。</w:t>
      </w:r>
    </w:p>
    <w:p w14:paraId="2837BB30">
      <w:pPr>
        <w:ind w:firstLine="420" w:firstLineChars="200"/>
        <w:rPr>
          <w:rFonts w:ascii="宋体" w:hAnsi="宋体" w:eastAsia="宋体" w:cs="宋体"/>
          <w:color w:val="auto"/>
          <w:szCs w:val="21"/>
        </w:rPr>
      </w:pPr>
      <w:r>
        <w:rPr>
          <w:rFonts w:hint="eastAsia" w:ascii="宋体" w:hAnsi="宋体" w:eastAsia="宋体" w:cs="宋体"/>
          <w:color w:val="auto"/>
          <w:szCs w:val="21"/>
        </w:rPr>
        <w:t>组成联合体或者接受分包合同的中小企业与联合体内其他企业、分包企业之间不得存在直接控股、管理关系。</w:t>
      </w:r>
    </w:p>
    <w:p w14:paraId="301CECE9">
      <w:pPr>
        <w:ind w:firstLine="420" w:firstLineChars="200"/>
        <w:rPr>
          <w:rFonts w:ascii="宋体" w:hAnsi="宋体" w:eastAsia="宋体" w:cs="宋体"/>
          <w:color w:val="auto"/>
          <w:szCs w:val="21"/>
        </w:rPr>
      </w:pPr>
      <w:r>
        <w:rPr>
          <w:rFonts w:hint="eastAsia" w:ascii="宋体" w:hAnsi="宋体" w:eastAsia="宋体" w:cs="宋体"/>
          <w:color w:val="auto"/>
          <w:szCs w:val="21"/>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CFAFE24">
      <w:pPr>
        <w:ind w:firstLine="420" w:firstLineChars="200"/>
        <w:rPr>
          <w:rFonts w:ascii="宋体" w:hAnsi="宋体" w:eastAsia="宋体" w:cs="宋体"/>
          <w:color w:val="auto"/>
          <w:szCs w:val="21"/>
        </w:rPr>
      </w:pPr>
      <w:r>
        <w:rPr>
          <w:rFonts w:hint="eastAsia" w:ascii="宋体" w:hAnsi="宋体" w:eastAsia="宋体" w:cs="宋体"/>
          <w:color w:val="auto"/>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28C705D">
      <w:pPr>
        <w:ind w:firstLine="420" w:firstLineChars="200"/>
        <w:rPr>
          <w:rFonts w:ascii="宋体" w:hAnsi="宋体" w:eastAsia="宋体" w:cs="宋体"/>
          <w:color w:val="auto"/>
          <w:szCs w:val="21"/>
        </w:rPr>
      </w:pPr>
      <w:r>
        <w:rPr>
          <w:rFonts w:hint="eastAsia" w:ascii="宋体" w:hAnsi="宋体" w:eastAsia="宋体" w:cs="宋体"/>
          <w:color w:val="auto"/>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3E87B64">
      <w:pPr>
        <w:ind w:firstLine="420" w:firstLineChars="200"/>
        <w:rPr>
          <w:rFonts w:ascii="宋体" w:hAnsi="宋体" w:eastAsia="宋体" w:cs="宋体"/>
          <w:color w:val="auto"/>
          <w:szCs w:val="21"/>
        </w:rPr>
      </w:pPr>
      <w:r>
        <w:rPr>
          <w:rFonts w:hint="eastAsia" w:ascii="宋体" w:hAnsi="宋体" w:eastAsia="宋体" w:cs="宋体"/>
          <w:color w:val="auto"/>
          <w:szCs w:val="21"/>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25789F3">
      <w:pPr>
        <w:ind w:firstLine="420" w:firstLineChars="200"/>
        <w:rPr>
          <w:rFonts w:ascii="宋体" w:hAnsi="宋体" w:eastAsia="宋体" w:cs="宋体"/>
          <w:color w:val="auto"/>
          <w:szCs w:val="21"/>
        </w:rPr>
      </w:pPr>
      <w:r>
        <w:rPr>
          <w:rFonts w:hint="eastAsia" w:ascii="宋体" w:hAnsi="宋体" w:eastAsia="宋体" w:cs="宋体"/>
          <w:color w:val="auto"/>
          <w:szCs w:val="21"/>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3CA3573B">
      <w:pPr>
        <w:ind w:firstLine="420" w:firstLineChars="200"/>
        <w:rPr>
          <w:rFonts w:ascii="宋体" w:hAnsi="宋体" w:eastAsia="宋体" w:cs="宋体"/>
          <w:color w:val="auto"/>
          <w:szCs w:val="21"/>
        </w:rPr>
      </w:pPr>
      <w:r>
        <w:rPr>
          <w:rFonts w:hint="eastAsia" w:ascii="宋体" w:hAnsi="宋体" w:eastAsia="宋体" w:cs="宋体"/>
          <w:color w:val="auto"/>
          <w:szCs w:val="21"/>
        </w:rPr>
        <w:t>第十二条 采购项目涉及中小企业采购的，采购文件应当明确以下内容：</w:t>
      </w:r>
    </w:p>
    <w:p w14:paraId="6F31C0AF">
      <w:pPr>
        <w:ind w:firstLine="420" w:firstLineChars="200"/>
        <w:rPr>
          <w:rFonts w:ascii="宋体" w:hAnsi="宋体" w:eastAsia="宋体" w:cs="宋体"/>
          <w:color w:val="auto"/>
          <w:szCs w:val="21"/>
        </w:rPr>
      </w:pPr>
      <w:r>
        <w:rPr>
          <w:rFonts w:hint="eastAsia" w:ascii="宋体" w:hAnsi="宋体" w:eastAsia="宋体" w:cs="宋体"/>
          <w:color w:val="auto"/>
          <w:szCs w:val="21"/>
        </w:rPr>
        <w:t>（一）预留份额的采购项目或者采购包，明确该项目或相关采购包专门面向中小企业采购，以及相关标的及预算金额；</w:t>
      </w:r>
    </w:p>
    <w:p w14:paraId="7277B066">
      <w:pPr>
        <w:ind w:firstLine="420" w:firstLineChars="200"/>
        <w:rPr>
          <w:rFonts w:ascii="宋体" w:hAnsi="宋体" w:eastAsia="宋体" w:cs="宋体"/>
          <w:color w:val="auto"/>
          <w:szCs w:val="21"/>
        </w:rPr>
      </w:pPr>
      <w:r>
        <w:rPr>
          <w:rFonts w:hint="eastAsia" w:ascii="宋体" w:hAnsi="宋体" w:eastAsia="宋体" w:cs="宋体"/>
          <w:color w:val="auto"/>
          <w:szCs w:val="21"/>
        </w:rPr>
        <w:t>（二）要求以联合体形式参加或者合同分包的，明确联合协议或者分包意向协议中中小企业合同金额应当达到的比例，并作为供应商资格条件；</w:t>
      </w:r>
    </w:p>
    <w:p w14:paraId="2B42401F">
      <w:pPr>
        <w:ind w:firstLine="420" w:firstLineChars="200"/>
        <w:rPr>
          <w:rFonts w:ascii="宋体" w:hAnsi="宋体" w:eastAsia="宋体" w:cs="宋体"/>
          <w:color w:val="auto"/>
          <w:szCs w:val="21"/>
        </w:rPr>
      </w:pPr>
      <w:r>
        <w:rPr>
          <w:rFonts w:hint="eastAsia" w:ascii="宋体" w:hAnsi="宋体" w:eastAsia="宋体" w:cs="宋体"/>
          <w:color w:val="auto"/>
          <w:szCs w:val="21"/>
        </w:rPr>
        <w:t>（三）非预留份额的采购项目或者采购包，明确有关价格扣除比例或者价格分加分比例；</w:t>
      </w:r>
    </w:p>
    <w:p w14:paraId="730B76C1">
      <w:pPr>
        <w:ind w:firstLine="420" w:firstLineChars="200"/>
        <w:rPr>
          <w:rFonts w:ascii="宋体" w:hAnsi="宋体" w:eastAsia="宋体" w:cs="宋体"/>
          <w:color w:val="auto"/>
          <w:szCs w:val="21"/>
        </w:rPr>
      </w:pPr>
      <w:r>
        <w:rPr>
          <w:rFonts w:hint="eastAsia" w:ascii="宋体" w:hAnsi="宋体" w:eastAsia="宋体" w:cs="宋体"/>
          <w:color w:val="auto"/>
          <w:szCs w:val="21"/>
        </w:rPr>
        <w:t>（四）规定依据本办法规定享受扶持政策获得政府采购合同的，小微企业不得将合同分包给大中型企业，中型企业不得将合同分包给大型企业；</w:t>
      </w:r>
    </w:p>
    <w:p w14:paraId="10532EEB">
      <w:pPr>
        <w:ind w:firstLine="420" w:firstLineChars="200"/>
        <w:rPr>
          <w:rFonts w:ascii="宋体" w:hAnsi="宋体" w:eastAsia="宋体" w:cs="宋体"/>
          <w:color w:val="auto"/>
          <w:szCs w:val="21"/>
        </w:rPr>
      </w:pPr>
      <w:r>
        <w:rPr>
          <w:rFonts w:hint="eastAsia" w:ascii="宋体" w:hAnsi="宋体" w:eastAsia="宋体" w:cs="宋体"/>
          <w:color w:val="auto"/>
          <w:szCs w:val="21"/>
        </w:rPr>
        <w:t>（五）采购人认为具备相关条件的，明确对中小企业在资金支付期限、预付款比例等方面的优惠措施；</w:t>
      </w:r>
    </w:p>
    <w:p w14:paraId="0D8E70AB">
      <w:pPr>
        <w:ind w:firstLine="420" w:firstLineChars="200"/>
        <w:rPr>
          <w:rFonts w:ascii="宋体" w:hAnsi="宋体" w:eastAsia="宋体" w:cs="宋体"/>
          <w:color w:val="auto"/>
          <w:szCs w:val="21"/>
        </w:rPr>
      </w:pPr>
      <w:r>
        <w:rPr>
          <w:rFonts w:hint="eastAsia" w:ascii="宋体" w:hAnsi="宋体" w:eastAsia="宋体" w:cs="宋体"/>
          <w:color w:val="auto"/>
          <w:szCs w:val="21"/>
        </w:rPr>
        <w:t>（六）明确采购标的对应的中小企业划分标准所属行业；</w:t>
      </w:r>
    </w:p>
    <w:p w14:paraId="0993CEC2">
      <w:pPr>
        <w:ind w:firstLine="420" w:firstLineChars="200"/>
        <w:rPr>
          <w:rFonts w:ascii="宋体" w:hAnsi="宋体" w:eastAsia="宋体" w:cs="宋体"/>
          <w:color w:val="auto"/>
          <w:szCs w:val="21"/>
        </w:rPr>
      </w:pPr>
      <w:r>
        <w:rPr>
          <w:rFonts w:hint="eastAsia" w:ascii="宋体" w:hAnsi="宋体" w:eastAsia="宋体" w:cs="宋体"/>
          <w:color w:val="auto"/>
          <w:szCs w:val="21"/>
        </w:rPr>
        <w:t>（七）法律法规和省级以上人民政府财政部门规定的其他事项。</w:t>
      </w:r>
    </w:p>
    <w:p w14:paraId="076540CA">
      <w:pPr>
        <w:ind w:firstLine="420" w:firstLineChars="200"/>
        <w:rPr>
          <w:rFonts w:ascii="宋体" w:hAnsi="宋体" w:eastAsia="宋体" w:cs="宋体"/>
          <w:color w:val="auto"/>
          <w:szCs w:val="21"/>
        </w:rPr>
      </w:pPr>
      <w:r>
        <w:rPr>
          <w:rFonts w:hint="eastAsia" w:ascii="宋体" w:hAnsi="宋体" w:eastAsia="宋体" w:cs="宋体"/>
          <w:color w:val="auto"/>
          <w:szCs w:val="21"/>
        </w:rPr>
        <w:t>第十三条 中标、成交供应商享受本办法规定的中小企业扶持政策的，采购人、采购代理机构应当随中标、成交结果公开中标、成交供应商的《中小企业声明函》。</w:t>
      </w:r>
    </w:p>
    <w:p w14:paraId="165105F7">
      <w:pPr>
        <w:ind w:firstLine="420" w:firstLineChars="200"/>
        <w:rPr>
          <w:rFonts w:ascii="宋体" w:hAnsi="宋体" w:eastAsia="宋体" w:cs="宋体"/>
          <w:color w:val="auto"/>
          <w:szCs w:val="21"/>
        </w:rPr>
      </w:pPr>
      <w:r>
        <w:rPr>
          <w:rFonts w:hint="eastAsia" w:ascii="宋体" w:hAnsi="宋体" w:eastAsia="宋体" w:cs="宋体"/>
          <w:color w:val="auto"/>
          <w:szCs w:val="21"/>
        </w:rPr>
        <w:t>适用招标投标法的政府采购工程建设项目，应当在公示中标候选人时公开中标候选人的《中小企业声明函》。</w:t>
      </w:r>
    </w:p>
    <w:p w14:paraId="643C6AC9">
      <w:pPr>
        <w:ind w:firstLine="420" w:firstLineChars="200"/>
        <w:rPr>
          <w:rFonts w:ascii="宋体" w:hAnsi="宋体" w:eastAsia="宋体" w:cs="宋体"/>
          <w:color w:val="auto"/>
          <w:szCs w:val="21"/>
        </w:rPr>
      </w:pPr>
      <w:r>
        <w:rPr>
          <w:rFonts w:hint="eastAsia" w:ascii="宋体" w:hAnsi="宋体" w:eastAsia="宋体" w:cs="宋体"/>
          <w:color w:val="auto"/>
          <w:szCs w:val="21"/>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4C2A763">
      <w:pPr>
        <w:ind w:firstLine="420" w:firstLineChars="200"/>
        <w:rPr>
          <w:rFonts w:ascii="宋体" w:hAnsi="宋体" w:eastAsia="宋体" w:cs="宋体"/>
          <w:color w:val="auto"/>
          <w:szCs w:val="21"/>
        </w:rPr>
      </w:pPr>
      <w:r>
        <w:rPr>
          <w:rFonts w:hint="eastAsia" w:ascii="宋体" w:hAnsi="宋体" w:eastAsia="宋体" w:cs="宋体"/>
          <w:color w:val="auto"/>
          <w:szCs w:val="21"/>
        </w:rPr>
        <w:t>第十五条 鼓励各地区、各部门在采购活动中允许中小企业引入信用担保手段，为中小企业在投标（响应）保证、履约保证等方面提供专业化服务。鼓励中小企业依法合规通过政府采购合同融资。</w:t>
      </w:r>
    </w:p>
    <w:p w14:paraId="270F4848">
      <w:pPr>
        <w:ind w:firstLine="420" w:firstLineChars="200"/>
        <w:rPr>
          <w:rFonts w:ascii="宋体" w:hAnsi="宋体" w:eastAsia="宋体" w:cs="宋体"/>
          <w:color w:val="auto"/>
          <w:szCs w:val="21"/>
        </w:rPr>
      </w:pPr>
      <w:r>
        <w:rPr>
          <w:rFonts w:hint="eastAsia" w:ascii="宋体" w:hAnsi="宋体" w:eastAsia="宋体" w:cs="宋体"/>
          <w:color w:val="auto"/>
          <w:szCs w:val="21"/>
        </w:rPr>
        <w:t>第十六条 政府采购监督检查、投诉处理及政府采购行政处罚中对中小企业的认定，由货物制造商或者工程、服务供应商注册登记所在地的县级以上人民政府中小企业主管部门负责。</w:t>
      </w:r>
    </w:p>
    <w:p w14:paraId="13676D63">
      <w:pPr>
        <w:ind w:firstLine="420" w:firstLineChars="200"/>
        <w:rPr>
          <w:rFonts w:ascii="宋体" w:hAnsi="宋体" w:eastAsia="宋体" w:cs="宋体"/>
          <w:color w:val="auto"/>
          <w:szCs w:val="21"/>
        </w:rPr>
      </w:pPr>
      <w:r>
        <w:rPr>
          <w:rFonts w:hint="eastAsia" w:ascii="宋体" w:hAnsi="宋体" w:eastAsia="宋体" w:cs="宋体"/>
          <w:color w:val="auto"/>
          <w:szCs w:val="21"/>
        </w:rPr>
        <w:t>中小企业主管部门应当在收到财政部门或者有关招标投标行政监督部门关于协助开展中小企业认定函后 10 个工作日内作出书面答复。</w:t>
      </w:r>
    </w:p>
    <w:p w14:paraId="70C4EAE0">
      <w:pPr>
        <w:numPr>
          <w:ilvl w:val="0"/>
          <w:numId w:val="5"/>
        </w:numPr>
        <w:ind w:firstLine="420" w:firstLineChars="200"/>
        <w:rPr>
          <w:rFonts w:ascii="宋体" w:hAnsi="宋体" w:eastAsia="宋体" w:cs="宋体"/>
          <w:color w:val="auto"/>
          <w:szCs w:val="21"/>
        </w:rPr>
      </w:pPr>
      <w:r>
        <w:rPr>
          <w:rFonts w:hint="eastAsia" w:ascii="宋体" w:hAnsi="宋体" w:eastAsia="宋体" w:cs="宋体"/>
          <w:color w:val="auto"/>
          <w:szCs w:val="21"/>
        </w:rPr>
        <w:t>各地区、各部门应当对涉及中小企业采购的预算项目实施全过程绩效管理，合理设置绩效目标和指标，落实扶持中小企业有关政策要求，定期开展绩效监控和评价，强化绩效评价结果应用。</w:t>
      </w:r>
    </w:p>
    <w:p w14:paraId="2AD27F20">
      <w:pPr>
        <w:rPr>
          <w:rFonts w:ascii="宋体" w:hAnsi="宋体" w:eastAsia="宋体" w:cs="宋体"/>
          <w:color w:val="auto"/>
        </w:rPr>
      </w:pPr>
      <w:r>
        <w:rPr>
          <w:rFonts w:hint="eastAsia" w:ascii="宋体" w:hAnsi="宋体" w:eastAsia="宋体" w:cs="宋体"/>
          <w:color w:val="auto"/>
        </w:rPr>
        <w:t xml:space="preserve">    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DD99B48">
      <w:pPr>
        <w:ind w:firstLine="420" w:firstLineChars="200"/>
        <w:rPr>
          <w:rFonts w:ascii="宋体" w:hAnsi="宋体" w:eastAsia="宋体" w:cs="宋体"/>
          <w:color w:val="auto"/>
        </w:rPr>
      </w:pPr>
      <w:r>
        <w:rPr>
          <w:rFonts w:hint="eastAsia" w:ascii="宋体" w:hAnsi="宋体" w:eastAsia="宋体" w:cs="宋体"/>
          <w:color w:val="auto"/>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DB872EF">
      <w:pPr>
        <w:ind w:firstLine="420" w:firstLineChars="200"/>
        <w:rPr>
          <w:rFonts w:ascii="宋体" w:hAnsi="宋体" w:eastAsia="宋体" w:cs="宋体"/>
          <w:color w:val="auto"/>
        </w:rPr>
      </w:pPr>
      <w:r>
        <w:rPr>
          <w:rFonts w:hint="eastAsia" w:ascii="宋体" w:hAnsi="宋体" w:eastAsia="宋体" w:cs="宋体"/>
          <w:color w:val="auto"/>
        </w:rPr>
        <w:t>第二十条 供应商按照本办法规定提供声明函内容不实的，属于提供虚假材料谋取中标、成交，依照《中华人民共和国政府采购法》等国家有关规定追究相应责任。</w:t>
      </w:r>
    </w:p>
    <w:p w14:paraId="21796B1B">
      <w:pPr>
        <w:ind w:firstLine="420" w:firstLineChars="200"/>
        <w:rPr>
          <w:rFonts w:ascii="宋体" w:hAnsi="宋体" w:eastAsia="宋体" w:cs="宋体"/>
          <w:color w:val="auto"/>
        </w:rPr>
      </w:pPr>
      <w:r>
        <w:rPr>
          <w:rFonts w:hint="eastAsia" w:ascii="宋体" w:hAnsi="宋体" w:eastAsia="宋体" w:cs="宋体"/>
          <w:color w:val="auto"/>
        </w:rPr>
        <w:t>适用招标投标法的政府采购工程建设项目，投标人按照本办法规定提供声明函内容不实的，属于弄虚作假骗取中标，依照《中华人民共和国招标投标法》等国家有关规定追究相应责任。</w:t>
      </w:r>
    </w:p>
    <w:p w14:paraId="38C0E90B">
      <w:pPr>
        <w:ind w:firstLine="420" w:firstLineChars="200"/>
        <w:rPr>
          <w:rFonts w:ascii="宋体" w:hAnsi="宋体" w:eastAsia="宋体" w:cs="宋体"/>
          <w:color w:val="auto"/>
        </w:rPr>
      </w:pPr>
      <w:r>
        <w:rPr>
          <w:rFonts w:hint="eastAsia" w:ascii="宋体" w:hAnsi="宋体" w:eastAsia="宋体" w:cs="宋体"/>
          <w:color w:val="auto"/>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w:t>
      </w:r>
      <w:r>
        <w:rPr>
          <w:color w:val="auto"/>
        </w:rPr>
        <w:fldChar w:fldCharType="begin"/>
      </w:r>
      <w:r>
        <w:rPr>
          <w:color w:val="auto"/>
        </w:rPr>
        <w:instrText xml:space="preserve"> HYPERLINK "http://10.162.100.18:168/golaw?dbnm=gjfg&amp;flid=1129012015130679" </w:instrText>
      </w:r>
      <w:r>
        <w:rPr>
          <w:color w:val="auto"/>
        </w:rPr>
        <w:fldChar w:fldCharType="separate"/>
      </w:r>
      <w:r>
        <w:rPr>
          <w:rFonts w:hint="eastAsia" w:ascii="宋体" w:hAnsi="宋体" w:eastAsia="宋体" w:cs="宋体"/>
          <w:color w:val="auto"/>
        </w:rPr>
        <w:t>国监察法》、《中华人民共和国政府采购法实施条例》等国家</w:t>
      </w:r>
      <w:r>
        <w:rPr>
          <w:rFonts w:hint="eastAsia" w:ascii="宋体" w:hAnsi="宋体" w:eastAsia="宋体" w:cs="宋体"/>
          <w:color w:val="auto"/>
        </w:rPr>
        <w:fldChar w:fldCharType="end"/>
      </w:r>
      <w:r>
        <w:rPr>
          <w:rFonts w:hint="eastAsia" w:ascii="宋体" w:hAnsi="宋体" w:eastAsia="宋体" w:cs="宋体"/>
          <w:color w:val="auto"/>
        </w:rPr>
        <w:t>有关规定追究相应责任；涉嫌犯罪的，依法移送有关国家机关处理。</w:t>
      </w:r>
    </w:p>
    <w:p w14:paraId="719F3393">
      <w:pPr>
        <w:ind w:firstLine="420" w:firstLineChars="200"/>
        <w:rPr>
          <w:rFonts w:ascii="宋体" w:hAnsi="宋体" w:eastAsia="宋体" w:cs="宋体"/>
          <w:color w:val="auto"/>
        </w:rPr>
      </w:pPr>
      <w:r>
        <w:rPr>
          <w:rFonts w:hint="eastAsia" w:ascii="宋体" w:hAnsi="宋体" w:eastAsia="宋体" w:cs="宋体"/>
          <w:color w:val="auto"/>
        </w:rPr>
        <w:t>第二十二条 对外援助项目、国家相关资格或者资质管理制度另有规定的项目，不适用本办法。</w:t>
      </w:r>
    </w:p>
    <w:p w14:paraId="6DD93CA8">
      <w:pPr>
        <w:ind w:firstLine="420" w:firstLineChars="200"/>
        <w:rPr>
          <w:rFonts w:ascii="宋体" w:hAnsi="宋体" w:eastAsia="宋体" w:cs="宋体"/>
          <w:color w:val="auto"/>
        </w:rPr>
      </w:pPr>
      <w:r>
        <w:rPr>
          <w:rFonts w:hint="eastAsia" w:ascii="宋体" w:hAnsi="宋体" w:eastAsia="宋体" w:cs="宋体"/>
          <w:color w:val="auto"/>
        </w:rPr>
        <w:t>第二十三条</w:t>
      </w:r>
      <w:r>
        <w:rPr>
          <w:rFonts w:hint="eastAsia" w:ascii="宋体" w:hAnsi="宋体" w:eastAsia="宋体" w:cs="宋体"/>
          <w:color w:val="auto"/>
        </w:rPr>
        <w:tab/>
      </w:r>
      <w:r>
        <w:rPr>
          <w:rFonts w:hint="eastAsia" w:ascii="宋体" w:hAnsi="宋体" w:eastAsia="宋体" w:cs="宋体"/>
          <w:color w:val="auto"/>
        </w:rPr>
        <w:t>关于视同中小企业的其他主体的政府采购扶持政策，由财政部会同有关部门另行规定。</w:t>
      </w:r>
    </w:p>
    <w:p w14:paraId="0E70A0E3">
      <w:pPr>
        <w:ind w:firstLine="420" w:firstLineChars="200"/>
        <w:rPr>
          <w:rFonts w:ascii="宋体" w:hAnsi="宋体" w:eastAsia="宋体" w:cs="宋体"/>
          <w:color w:val="auto"/>
        </w:rPr>
      </w:pPr>
      <w:r>
        <w:rPr>
          <w:rFonts w:hint="eastAsia" w:ascii="宋体" w:hAnsi="宋体" w:eastAsia="宋体" w:cs="宋体"/>
          <w:color w:val="auto"/>
        </w:rPr>
        <w:t>第二十四条</w:t>
      </w:r>
      <w:r>
        <w:rPr>
          <w:rFonts w:hint="eastAsia" w:ascii="宋体" w:hAnsi="宋体" w:eastAsia="宋体" w:cs="宋体"/>
          <w:color w:val="auto"/>
        </w:rPr>
        <w:tab/>
      </w:r>
      <w:r>
        <w:rPr>
          <w:rFonts w:hint="eastAsia" w:ascii="宋体" w:hAnsi="宋体" w:eastAsia="宋体" w:cs="宋体"/>
          <w:color w:val="auto"/>
        </w:rPr>
        <w:t>省级财政部门可以会同中小企业主管部门根据本办法的规定制定具体实施办法。</w:t>
      </w:r>
    </w:p>
    <w:p w14:paraId="49EF39F3">
      <w:pPr>
        <w:rPr>
          <w:rFonts w:ascii="宋体" w:hAnsi="宋体" w:eastAsia="宋体" w:cs="宋体"/>
          <w:color w:val="auto"/>
          <w:szCs w:val="21"/>
        </w:rPr>
      </w:pPr>
      <w:r>
        <w:rPr>
          <w:rFonts w:hint="eastAsia" w:ascii="宋体" w:hAnsi="宋体" w:eastAsia="宋体" w:cs="宋体"/>
          <w:color w:val="auto"/>
        </w:rPr>
        <w:t>第二十五条 本办法自2021年1月1日起施行。《财政部 工业和信息化部关于印发〈政府采购促进中小企业发展暂行办法〉的通知》（财库﹝2011﹞181 号）同时废止。</w:t>
      </w:r>
    </w:p>
    <w:p w14:paraId="4860C065">
      <w:pPr>
        <w:spacing w:line="360" w:lineRule="auto"/>
        <w:rPr>
          <w:rFonts w:ascii="宋体" w:hAnsi="宋体" w:eastAsia="宋体" w:cs="宋体"/>
          <w:color w:val="auto"/>
          <w:szCs w:val="21"/>
        </w:rPr>
      </w:pPr>
      <w:r>
        <w:rPr>
          <w:rFonts w:hint="eastAsia" w:ascii="宋体" w:hAnsi="宋体" w:eastAsia="宋体" w:cs="宋体"/>
          <w:color w:val="auto"/>
          <w:szCs w:val="21"/>
        </w:rPr>
        <w:t>　</w:t>
      </w:r>
    </w:p>
    <w:p w14:paraId="49DAEA60">
      <w:pPr>
        <w:spacing w:line="360" w:lineRule="auto"/>
        <w:rPr>
          <w:rFonts w:ascii="宋体" w:hAnsi="宋体" w:eastAsia="宋体" w:cs="宋体"/>
          <w:color w:val="auto"/>
          <w:szCs w:val="21"/>
        </w:rPr>
      </w:pPr>
    </w:p>
    <w:p w14:paraId="4B766BA1">
      <w:pPr>
        <w:jc w:val="center"/>
        <w:rPr>
          <w:rFonts w:ascii="宋体" w:hAnsi="宋体" w:eastAsia="宋体" w:cs="宋体"/>
          <w:b/>
          <w:color w:val="auto"/>
          <w:kern w:val="0"/>
          <w:sz w:val="28"/>
          <w:szCs w:val="28"/>
          <w:lang w:bidi="ar"/>
        </w:rPr>
      </w:pPr>
      <w:r>
        <w:rPr>
          <w:rFonts w:hint="eastAsia" w:ascii="宋体" w:hAnsi="宋体" w:eastAsia="宋体" w:cs="宋体"/>
          <w:b/>
          <w:color w:val="auto"/>
          <w:kern w:val="0"/>
          <w:sz w:val="28"/>
          <w:szCs w:val="28"/>
          <w:lang w:bidi="ar"/>
        </w:rPr>
        <w:br w:type="page"/>
      </w:r>
      <w:r>
        <w:rPr>
          <w:rFonts w:hint="eastAsia" w:ascii="宋体" w:hAnsi="宋体" w:eastAsia="宋体" w:cs="宋体"/>
          <w:b/>
          <w:color w:val="auto"/>
          <w:kern w:val="0"/>
          <w:sz w:val="28"/>
          <w:szCs w:val="28"/>
          <w:lang w:bidi="ar"/>
        </w:rPr>
        <w:t>财政部司法部关于政府采购支持监狱企业发展有关问题的通知</w:t>
      </w:r>
    </w:p>
    <w:p w14:paraId="33E0F80A">
      <w:pPr>
        <w:jc w:val="center"/>
        <w:rPr>
          <w:rFonts w:ascii="宋体" w:hAnsi="宋体" w:eastAsia="宋体" w:cs="宋体"/>
          <w:color w:val="auto"/>
          <w:sz w:val="28"/>
          <w:szCs w:val="28"/>
        </w:rPr>
      </w:pPr>
      <w:r>
        <w:rPr>
          <w:rFonts w:hint="eastAsia" w:ascii="宋体" w:hAnsi="宋体" w:eastAsia="宋体" w:cs="宋体"/>
          <w:b/>
          <w:color w:val="auto"/>
          <w:kern w:val="0"/>
          <w:sz w:val="28"/>
          <w:szCs w:val="28"/>
          <w:lang w:bidi="ar"/>
        </w:rPr>
        <w:t>(财库〔2014〕68号)</w:t>
      </w:r>
    </w:p>
    <w:p w14:paraId="6C569C33">
      <w:pPr>
        <w:rPr>
          <w:rFonts w:ascii="宋体" w:hAnsi="宋体" w:eastAsia="宋体" w:cs="宋体"/>
          <w:color w:val="auto"/>
          <w:szCs w:val="21"/>
        </w:rPr>
      </w:pPr>
      <w:r>
        <w:rPr>
          <w:rFonts w:hint="eastAsia" w:ascii="宋体" w:hAnsi="宋体" w:eastAsia="宋体" w:cs="宋体"/>
          <w:color w:val="auto"/>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62CED37">
      <w:pPr>
        <w:rPr>
          <w:rFonts w:ascii="宋体" w:hAnsi="宋体" w:eastAsia="宋体" w:cs="宋体"/>
          <w:color w:val="auto"/>
          <w:szCs w:val="21"/>
        </w:rPr>
      </w:pPr>
      <w:r>
        <w:rPr>
          <w:rFonts w:hint="eastAsia" w:ascii="宋体" w:hAnsi="宋体" w:eastAsia="宋体" w:cs="宋体"/>
          <w:color w:val="auto"/>
          <w:szCs w:val="21"/>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3A3F5B59">
      <w:pPr>
        <w:rPr>
          <w:rFonts w:ascii="宋体" w:hAnsi="宋体" w:eastAsia="宋体" w:cs="宋体"/>
          <w:color w:val="auto"/>
          <w:szCs w:val="21"/>
        </w:rPr>
      </w:pPr>
      <w:r>
        <w:rPr>
          <w:rFonts w:hint="eastAsia" w:ascii="宋体" w:hAnsi="宋体" w:eastAsia="宋体" w:cs="宋体"/>
          <w:color w:val="auto"/>
          <w:szCs w:val="21"/>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DE5E5BC">
      <w:pPr>
        <w:rPr>
          <w:rFonts w:ascii="宋体" w:hAnsi="宋体" w:eastAsia="宋体" w:cs="宋体"/>
          <w:color w:val="auto"/>
          <w:szCs w:val="21"/>
        </w:rPr>
      </w:pPr>
      <w:r>
        <w:rPr>
          <w:rFonts w:hint="eastAsia" w:ascii="宋体" w:hAnsi="宋体" w:eastAsia="宋体" w:cs="宋体"/>
          <w:color w:val="auto"/>
          <w:szCs w:val="21"/>
        </w:rPr>
        <w:t>　　二、在政府采购活动中，监狱企业视同小型、微型企业，享受预留份额、评审中价格扣除等政府采购促进中小企业发展的政府采购政策。向监狱企业采购的金额，计入面向中小企业采购的统计数据。</w:t>
      </w:r>
    </w:p>
    <w:p w14:paraId="6B82F2B2">
      <w:pPr>
        <w:rPr>
          <w:rFonts w:ascii="宋体" w:hAnsi="宋体" w:eastAsia="宋体" w:cs="宋体"/>
          <w:color w:val="auto"/>
          <w:szCs w:val="21"/>
        </w:rPr>
      </w:pPr>
      <w:r>
        <w:rPr>
          <w:rFonts w:hint="eastAsia" w:ascii="宋体" w:hAnsi="宋体" w:eastAsia="宋体" w:cs="宋体"/>
          <w:color w:val="auto"/>
          <w:szCs w:val="21"/>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7E0684A">
      <w:pPr>
        <w:rPr>
          <w:rFonts w:ascii="宋体" w:hAnsi="宋体" w:eastAsia="宋体" w:cs="宋体"/>
          <w:color w:val="auto"/>
          <w:szCs w:val="21"/>
        </w:rPr>
      </w:pPr>
      <w:r>
        <w:rPr>
          <w:rFonts w:hint="eastAsia" w:ascii="宋体" w:hAnsi="宋体" w:eastAsia="宋体" w:cs="宋体"/>
          <w:color w:val="auto"/>
          <w:szCs w:val="21"/>
        </w:rPr>
        <w:t>　　四、各地区可以结合本地区实际，对监狱企业生产的办公用品、家具用具、车辆维修和提供的保养服务、消防设备等，提出预留份额等政府采购支持措施，加大对监狱企业产品的采购力度。</w:t>
      </w:r>
    </w:p>
    <w:p w14:paraId="20528A08">
      <w:pPr>
        <w:rPr>
          <w:rFonts w:ascii="宋体" w:hAnsi="宋体" w:eastAsia="宋体" w:cs="宋体"/>
          <w:color w:val="auto"/>
          <w:szCs w:val="21"/>
        </w:rPr>
      </w:pPr>
      <w:r>
        <w:rPr>
          <w:rFonts w:hint="eastAsia" w:ascii="宋体" w:hAnsi="宋体" w:eastAsia="宋体" w:cs="宋体"/>
          <w:color w:val="auto"/>
          <w:szCs w:val="21"/>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C7ED2CD">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2CC233BC">
      <w:pPr>
        <w:jc w:val="center"/>
        <w:rPr>
          <w:rFonts w:ascii="宋体" w:hAnsi="宋体" w:eastAsia="宋体" w:cs="宋体"/>
          <w:b/>
          <w:color w:val="auto"/>
          <w:sz w:val="28"/>
          <w:szCs w:val="28"/>
        </w:rPr>
      </w:pPr>
      <w:r>
        <w:rPr>
          <w:rFonts w:hint="eastAsia" w:ascii="宋体" w:hAnsi="宋体" w:eastAsia="宋体" w:cs="宋体"/>
          <w:b/>
          <w:color w:val="auto"/>
          <w:sz w:val="28"/>
          <w:szCs w:val="28"/>
        </w:rPr>
        <w:t>中小企业划型标准规定</w:t>
      </w:r>
    </w:p>
    <w:p w14:paraId="0B6FDC31">
      <w:pPr>
        <w:rPr>
          <w:rFonts w:ascii="宋体" w:hAnsi="宋体" w:eastAsia="宋体" w:cs="宋体"/>
          <w:color w:val="auto"/>
          <w:szCs w:val="21"/>
        </w:rPr>
      </w:pPr>
      <w:r>
        <w:rPr>
          <w:rFonts w:hint="eastAsia" w:ascii="宋体" w:hAnsi="宋体" w:eastAsia="宋体" w:cs="宋体"/>
          <w:color w:val="auto"/>
          <w:szCs w:val="21"/>
        </w:rPr>
        <w:t>　　</w:t>
      </w:r>
    </w:p>
    <w:p w14:paraId="460DDCCA">
      <w:pPr>
        <w:rPr>
          <w:rFonts w:ascii="宋体" w:hAnsi="宋体" w:eastAsia="宋体" w:cs="宋体"/>
          <w:color w:val="auto"/>
          <w:szCs w:val="21"/>
        </w:rPr>
      </w:pPr>
      <w:r>
        <w:rPr>
          <w:rFonts w:hint="eastAsia" w:ascii="宋体" w:hAnsi="宋体" w:eastAsia="宋体" w:cs="宋体"/>
          <w:color w:val="auto"/>
          <w:szCs w:val="21"/>
        </w:rPr>
        <w:t>一、根据《中华人民共和国中小企业促进法》和《国务院关于进一步促进中小企业发展的若干意见》(国发〔2009〕36号)，制定本规定。</w:t>
      </w:r>
    </w:p>
    <w:p w14:paraId="28513525">
      <w:pPr>
        <w:rPr>
          <w:rFonts w:ascii="宋体" w:hAnsi="宋体" w:eastAsia="宋体" w:cs="宋体"/>
          <w:color w:val="auto"/>
          <w:szCs w:val="21"/>
        </w:rPr>
      </w:pPr>
      <w:r>
        <w:rPr>
          <w:rFonts w:hint="eastAsia" w:ascii="宋体" w:hAnsi="宋体" w:eastAsia="宋体" w:cs="宋体"/>
          <w:color w:val="auto"/>
          <w:szCs w:val="21"/>
        </w:rPr>
        <w:t>　　二、中小企业划分为中型、小型、微型三种类型，具体标准根据企业从业人员、营业收入、资产总额等指标，结合行业特点制定。</w:t>
      </w:r>
    </w:p>
    <w:p w14:paraId="5C285FA8">
      <w:pPr>
        <w:rPr>
          <w:rFonts w:ascii="宋体" w:hAnsi="宋体" w:eastAsia="宋体" w:cs="宋体"/>
          <w:color w:val="auto"/>
          <w:szCs w:val="21"/>
        </w:rPr>
      </w:pPr>
      <w:r>
        <w:rPr>
          <w:rFonts w:hint="eastAsia" w:ascii="宋体" w:hAnsi="宋体" w:eastAsia="宋体" w:cs="宋体"/>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21546E">
      <w:pPr>
        <w:rPr>
          <w:rFonts w:ascii="宋体" w:hAnsi="宋体" w:eastAsia="宋体" w:cs="宋体"/>
          <w:color w:val="auto"/>
          <w:szCs w:val="21"/>
        </w:rPr>
      </w:pPr>
      <w:r>
        <w:rPr>
          <w:rFonts w:hint="eastAsia" w:ascii="宋体" w:hAnsi="宋体" w:eastAsia="宋体" w:cs="宋体"/>
          <w:color w:val="auto"/>
          <w:szCs w:val="21"/>
        </w:rPr>
        <w:t>　　四、各行业划型标准为：</w:t>
      </w:r>
    </w:p>
    <w:p w14:paraId="1D26E192">
      <w:pPr>
        <w:rPr>
          <w:rFonts w:ascii="宋体" w:hAnsi="宋体" w:eastAsia="宋体" w:cs="宋体"/>
          <w:color w:val="auto"/>
          <w:szCs w:val="21"/>
        </w:rPr>
      </w:pPr>
      <w:r>
        <w:rPr>
          <w:rFonts w:hint="eastAsia" w:ascii="宋体" w:hAnsi="宋体" w:eastAsia="宋体" w:cs="宋体"/>
          <w:color w:val="auto"/>
          <w:szCs w:val="21"/>
        </w:rPr>
        <w:t>　　（一）农、林、牧、渔业。营业收入20000万元以下的为中小微型企业。其中，营业收入500万元及以上的为中型企业，营业收入50万元及以上的为小型企业，营业收入50万元以下的为微型企业。</w:t>
      </w:r>
    </w:p>
    <w:p w14:paraId="0F602BCD">
      <w:pPr>
        <w:rPr>
          <w:rFonts w:ascii="宋体" w:hAnsi="宋体" w:eastAsia="宋体" w:cs="宋体"/>
          <w:color w:val="auto"/>
          <w:szCs w:val="21"/>
        </w:rPr>
      </w:pPr>
      <w:r>
        <w:rPr>
          <w:rFonts w:hint="eastAsia" w:ascii="宋体" w:hAnsi="宋体" w:eastAsia="宋体" w:cs="宋体"/>
          <w:color w:val="auto"/>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BB274B">
      <w:pPr>
        <w:rPr>
          <w:rFonts w:ascii="宋体" w:hAnsi="宋体" w:eastAsia="宋体" w:cs="宋体"/>
          <w:color w:val="auto"/>
          <w:szCs w:val="21"/>
        </w:rPr>
      </w:pPr>
      <w:r>
        <w:rPr>
          <w:rFonts w:hint="eastAsia" w:ascii="宋体" w:hAnsi="宋体" w:eastAsia="宋体" w:cs="宋体"/>
          <w:color w:val="auto"/>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EF1A93">
      <w:pPr>
        <w:rPr>
          <w:rFonts w:ascii="宋体" w:hAnsi="宋体" w:eastAsia="宋体" w:cs="宋体"/>
          <w:color w:val="auto"/>
          <w:szCs w:val="21"/>
        </w:rPr>
      </w:pPr>
      <w:r>
        <w:rPr>
          <w:rFonts w:hint="eastAsia" w:ascii="宋体" w:hAnsi="宋体" w:eastAsia="宋体" w:cs="宋体"/>
          <w:color w:val="auto"/>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6D2488">
      <w:pPr>
        <w:rPr>
          <w:rFonts w:ascii="宋体" w:hAnsi="宋体" w:eastAsia="宋体" w:cs="宋体"/>
          <w:color w:val="auto"/>
          <w:szCs w:val="21"/>
        </w:rPr>
      </w:pPr>
      <w:r>
        <w:rPr>
          <w:rFonts w:hint="eastAsia" w:ascii="宋体" w:hAnsi="宋体" w:eastAsia="宋体" w:cs="宋体"/>
          <w:color w:val="auto"/>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4212E32">
      <w:pPr>
        <w:rPr>
          <w:rFonts w:ascii="宋体" w:hAnsi="宋体" w:eastAsia="宋体" w:cs="宋体"/>
          <w:color w:val="auto"/>
          <w:szCs w:val="21"/>
        </w:rPr>
      </w:pPr>
      <w:r>
        <w:rPr>
          <w:rFonts w:hint="eastAsia" w:ascii="宋体" w:hAnsi="宋体" w:eastAsia="宋体" w:cs="宋体"/>
          <w:color w:val="auto"/>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4D0107">
      <w:pPr>
        <w:rPr>
          <w:rFonts w:ascii="宋体" w:hAnsi="宋体" w:eastAsia="宋体" w:cs="宋体"/>
          <w:color w:val="auto"/>
          <w:szCs w:val="21"/>
        </w:rPr>
      </w:pPr>
      <w:r>
        <w:rPr>
          <w:rFonts w:hint="eastAsia" w:ascii="宋体" w:hAnsi="宋体" w:eastAsia="宋体" w:cs="宋体"/>
          <w:color w:val="auto"/>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3364DE">
      <w:pPr>
        <w:rPr>
          <w:rFonts w:ascii="宋体" w:hAnsi="宋体" w:eastAsia="宋体" w:cs="宋体"/>
          <w:color w:val="auto"/>
          <w:szCs w:val="21"/>
        </w:rPr>
      </w:pPr>
      <w:r>
        <w:rPr>
          <w:rFonts w:hint="eastAsia" w:ascii="宋体" w:hAnsi="宋体" w:eastAsia="宋体" w:cs="宋体"/>
          <w:color w:val="auto"/>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CE8909">
      <w:pPr>
        <w:rPr>
          <w:rFonts w:ascii="宋体" w:hAnsi="宋体" w:eastAsia="宋体" w:cs="宋体"/>
          <w:color w:val="auto"/>
          <w:szCs w:val="21"/>
        </w:rPr>
      </w:pPr>
      <w:r>
        <w:rPr>
          <w:rFonts w:hint="eastAsia" w:ascii="宋体" w:hAnsi="宋体" w:eastAsia="宋体" w:cs="宋体"/>
          <w:color w:val="auto"/>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19740C">
      <w:pPr>
        <w:rPr>
          <w:rFonts w:ascii="宋体" w:hAnsi="宋体" w:eastAsia="宋体" w:cs="宋体"/>
          <w:color w:val="auto"/>
          <w:szCs w:val="21"/>
        </w:rPr>
      </w:pPr>
      <w:r>
        <w:rPr>
          <w:rFonts w:hint="eastAsia" w:ascii="宋体" w:hAnsi="宋体" w:eastAsia="宋体" w:cs="宋体"/>
          <w:color w:val="auto"/>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23335C">
      <w:pPr>
        <w:rPr>
          <w:rFonts w:ascii="宋体" w:hAnsi="宋体" w:eastAsia="宋体" w:cs="宋体"/>
          <w:color w:val="auto"/>
          <w:szCs w:val="21"/>
        </w:rPr>
      </w:pPr>
      <w:r>
        <w:rPr>
          <w:rFonts w:hint="eastAsia" w:ascii="宋体" w:hAnsi="宋体" w:eastAsia="宋体" w:cs="宋体"/>
          <w:color w:val="auto"/>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7ADA1D">
      <w:pPr>
        <w:rPr>
          <w:rFonts w:ascii="宋体" w:hAnsi="宋体" w:eastAsia="宋体" w:cs="宋体"/>
          <w:color w:val="auto"/>
          <w:szCs w:val="21"/>
        </w:rPr>
      </w:pPr>
      <w:r>
        <w:rPr>
          <w:rFonts w:hint="eastAsia" w:ascii="宋体" w:hAnsi="宋体" w:eastAsia="宋体" w:cs="宋体"/>
          <w:color w:val="auto"/>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CEA399A">
      <w:pPr>
        <w:rPr>
          <w:rFonts w:ascii="宋体" w:hAnsi="宋体" w:eastAsia="宋体" w:cs="宋体"/>
          <w:color w:val="auto"/>
          <w:szCs w:val="21"/>
        </w:rPr>
      </w:pPr>
      <w:r>
        <w:rPr>
          <w:rFonts w:hint="eastAsia" w:ascii="宋体" w:hAnsi="宋体" w:eastAsia="宋体" w:cs="宋体"/>
          <w:color w:val="auto"/>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9FC277">
      <w:pPr>
        <w:rPr>
          <w:rFonts w:ascii="宋体" w:hAnsi="宋体" w:eastAsia="宋体" w:cs="宋体"/>
          <w:color w:val="auto"/>
          <w:szCs w:val="21"/>
        </w:rPr>
      </w:pPr>
      <w:r>
        <w:rPr>
          <w:rFonts w:hint="eastAsia" w:ascii="宋体" w:hAnsi="宋体" w:eastAsia="宋体" w:cs="宋体"/>
          <w:color w:val="auto"/>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4EC0C5C">
      <w:pPr>
        <w:rPr>
          <w:rFonts w:ascii="宋体" w:hAnsi="宋体" w:eastAsia="宋体" w:cs="宋体"/>
          <w:color w:val="auto"/>
          <w:szCs w:val="21"/>
        </w:rPr>
      </w:pPr>
      <w:r>
        <w:rPr>
          <w:rFonts w:hint="eastAsia" w:ascii="宋体" w:hAnsi="宋体" w:eastAsia="宋体" w:cs="宋体"/>
          <w:color w:val="auto"/>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D73489">
      <w:pPr>
        <w:rPr>
          <w:rFonts w:ascii="宋体" w:hAnsi="宋体" w:eastAsia="宋体" w:cs="宋体"/>
          <w:color w:val="auto"/>
          <w:szCs w:val="21"/>
        </w:rPr>
      </w:pPr>
      <w:r>
        <w:rPr>
          <w:rFonts w:hint="eastAsia" w:ascii="宋体" w:hAnsi="宋体" w:eastAsia="宋体" w:cs="宋体"/>
          <w:color w:val="auto"/>
          <w:szCs w:val="21"/>
        </w:rPr>
        <w:t>　　（十六）其他未列明行业。从业人员300人以下的为中小微型企业。其中，从业人员100人及以上的为中型企业；从业人员10人及以上的为小型企业；从业人员10人以下的为微型企业。</w:t>
      </w:r>
    </w:p>
    <w:p w14:paraId="460F1906">
      <w:pPr>
        <w:rPr>
          <w:rFonts w:ascii="宋体" w:hAnsi="宋体" w:eastAsia="宋体" w:cs="宋体"/>
          <w:color w:val="auto"/>
          <w:szCs w:val="21"/>
        </w:rPr>
      </w:pPr>
      <w:r>
        <w:rPr>
          <w:rFonts w:hint="eastAsia" w:ascii="宋体" w:hAnsi="宋体" w:eastAsia="宋体" w:cs="宋体"/>
          <w:color w:val="auto"/>
          <w:szCs w:val="21"/>
        </w:rPr>
        <w:t>　　五、企业类型的划分以统计部门的统计数据为依据。</w:t>
      </w:r>
    </w:p>
    <w:p w14:paraId="49A553B6">
      <w:pPr>
        <w:rPr>
          <w:rFonts w:ascii="宋体" w:hAnsi="宋体" w:eastAsia="宋体" w:cs="宋体"/>
          <w:color w:val="auto"/>
          <w:szCs w:val="21"/>
        </w:rPr>
      </w:pPr>
      <w:r>
        <w:rPr>
          <w:rFonts w:hint="eastAsia" w:ascii="宋体" w:hAnsi="宋体" w:eastAsia="宋体" w:cs="宋体"/>
          <w:color w:val="auto"/>
          <w:szCs w:val="21"/>
        </w:rPr>
        <w:t>　　六、本规定适用于在中华人民共和国境内依法设立的各类所有制和各种组织形式的企业。个体工商户和本规定以外的行业，参照本规定进行划型。</w:t>
      </w:r>
    </w:p>
    <w:p w14:paraId="26BD4EB4">
      <w:pPr>
        <w:rPr>
          <w:rFonts w:ascii="宋体" w:hAnsi="宋体" w:eastAsia="宋体" w:cs="宋体"/>
          <w:color w:val="auto"/>
          <w:szCs w:val="21"/>
        </w:rPr>
      </w:pPr>
      <w:r>
        <w:rPr>
          <w:rFonts w:hint="eastAsia" w:ascii="宋体" w:hAnsi="宋体" w:eastAsia="宋体" w:cs="宋体"/>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D865826">
      <w:pPr>
        <w:rPr>
          <w:rFonts w:ascii="宋体" w:hAnsi="宋体" w:eastAsia="宋体" w:cs="宋体"/>
          <w:color w:val="auto"/>
          <w:szCs w:val="21"/>
        </w:rPr>
      </w:pPr>
      <w:r>
        <w:rPr>
          <w:rFonts w:hint="eastAsia" w:ascii="宋体" w:hAnsi="宋体" w:eastAsia="宋体" w:cs="宋体"/>
          <w:color w:val="auto"/>
          <w:szCs w:val="21"/>
        </w:rPr>
        <w:t>　　八、本规定由工业和信息化部、国家统计局会同有关部门根据《国民经济行业分类》修订情况和企业发展变化情况适时修订。</w:t>
      </w:r>
    </w:p>
    <w:p w14:paraId="4E0D3831">
      <w:pPr>
        <w:rPr>
          <w:rFonts w:ascii="宋体" w:hAnsi="宋体" w:eastAsia="宋体" w:cs="宋体"/>
          <w:color w:val="auto"/>
          <w:szCs w:val="21"/>
        </w:rPr>
      </w:pPr>
      <w:r>
        <w:rPr>
          <w:rFonts w:hint="eastAsia" w:ascii="宋体" w:hAnsi="宋体" w:eastAsia="宋体" w:cs="宋体"/>
          <w:color w:val="auto"/>
          <w:szCs w:val="21"/>
        </w:rPr>
        <w:t>　　九、本规定由工业和信息化部、国家统计局会同有关部门负责解释。</w:t>
      </w:r>
    </w:p>
    <w:p w14:paraId="3C5553A5">
      <w:pPr>
        <w:rPr>
          <w:rFonts w:ascii="宋体" w:hAnsi="宋体" w:eastAsia="宋体" w:cs="宋体"/>
          <w:color w:val="auto"/>
          <w:szCs w:val="21"/>
        </w:rPr>
      </w:pPr>
      <w:r>
        <w:rPr>
          <w:rFonts w:hint="eastAsia" w:ascii="宋体" w:hAnsi="宋体" w:eastAsia="宋体" w:cs="宋体"/>
          <w:color w:val="auto"/>
          <w:szCs w:val="21"/>
        </w:rPr>
        <w:t>　　十、本规定自发布之日起执行，原国家经贸委、原国家计委、财政部和国家统计局2003年颁布的《中小企业标准暂行规定》同时废止。</w:t>
      </w:r>
    </w:p>
    <w:p w14:paraId="486D22FB">
      <w:pPr>
        <w:jc w:val="center"/>
        <w:rPr>
          <w:rFonts w:ascii="宋体" w:hAnsi="宋体" w:eastAsia="宋体" w:cs="宋体"/>
          <w:b/>
          <w:bCs/>
          <w:color w:val="auto"/>
          <w:sz w:val="28"/>
          <w:szCs w:val="28"/>
        </w:rPr>
      </w:pPr>
      <w:r>
        <w:rPr>
          <w:rFonts w:hint="eastAsia" w:ascii="宋体" w:hAnsi="宋体" w:eastAsia="宋体" w:cs="宋体"/>
          <w:color w:val="auto"/>
          <w:sz w:val="28"/>
          <w:szCs w:val="28"/>
          <w:shd w:val="clear" w:color="auto" w:fill="FFFFFF"/>
        </w:rPr>
        <w:br w:type="page"/>
      </w:r>
      <w:r>
        <w:rPr>
          <w:rFonts w:hint="eastAsia" w:ascii="宋体" w:hAnsi="宋体" w:eastAsia="宋体" w:cs="宋体"/>
          <w:b/>
          <w:bCs/>
          <w:color w:val="auto"/>
          <w:sz w:val="28"/>
          <w:szCs w:val="28"/>
        </w:rPr>
        <w:t>关于进一步加大政府采购支持中小企业力度的通知</w:t>
      </w:r>
    </w:p>
    <w:p w14:paraId="6B813321">
      <w:pPr>
        <w:jc w:val="center"/>
        <w:rPr>
          <w:rFonts w:ascii="宋体" w:hAnsi="宋体" w:eastAsia="宋体" w:cs="宋体"/>
          <w:color w:val="auto"/>
          <w:szCs w:val="21"/>
        </w:rPr>
      </w:pPr>
      <w:r>
        <w:rPr>
          <w:rFonts w:hint="eastAsia" w:ascii="宋体" w:hAnsi="宋体" w:eastAsia="宋体" w:cs="宋体"/>
          <w:b/>
          <w:bCs/>
          <w:color w:val="auto"/>
          <w:sz w:val="28"/>
          <w:szCs w:val="28"/>
        </w:rPr>
        <w:t>财库〔2022〕19号</w:t>
      </w:r>
    </w:p>
    <w:p w14:paraId="14ADD09B">
      <w:pPr>
        <w:rPr>
          <w:rFonts w:ascii="宋体" w:hAnsi="宋体" w:eastAsia="宋体" w:cs="宋体"/>
          <w:color w:val="auto"/>
          <w:szCs w:val="21"/>
        </w:rPr>
      </w:pPr>
      <w:r>
        <w:rPr>
          <w:rFonts w:hint="eastAsia" w:ascii="宋体" w:hAnsi="宋体" w:eastAsia="宋体" w:cs="宋体"/>
          <w:color w:val="auto"/>
          <w:szCs w:val="21"/>
        </w:rPr>
        <w:t>各中央预算单位，各省、自治区、直辖市、计划单列市财政厅（局），新疆生产建设兵团财政局：</w:t>
      </w:r>
    </w:p>
    <w:p w14:paraId="0162B790">
      <w:pPr>
        <w:rPr>
          <w:rFonts w:ascii="宋体" w:hAnsi="宋体" w:eastAsia="宋体" w:cs="宋体"/>
          <w:color w:val="auto"/>
          <w:szCs w:val="21"/>
        </w:rPr>
      </w:pPr>
      <w:r>
        <w:rPr>
          <w:rFonts w:hint="eastAsia" w:ascii="宋体" w:hAnsi="宋体" w:eastAsia="宋体" w:cs="宋体"/>
          <w:color w:val="auto"/>
          <w:szCs w:val="21"/>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460A360">
      <w:pPr>
        <w:rPr>
          <w:rFonts w:ascii="宋体" w:hAnsi="宋体" w:eastAsia="宋体" w:cs="宋体"/>
          <w:color w:val="auto"/>
          <w:szCs w:val="21"/>
        </w:rPr>
      </w:pPr>
      <w:r>
        <w:rPr>
          <w:rFonts w:hint="eastAsia" w:ascii="宋体" w:hAnsi="宋体" w:eastAsia="宋体" w:cs="宋体"/>
          <w:color w:val="auto"/>
          <w:szCs w:val="21"/>
        </w:rPr>
        <w:t>　　</w:t>
      </w:r>
      <w:r>
        <w:rPr>
          <w:rFonts w:hint="eastAsia" w:ascii="宋体" w:hAnsi="宋体" w:eastAsia="宋体" w:cs="宋体"/>
          <w:b/>
          <w:bCs/>
          <w:color w:val="auto"/>
          <w:szCs w:val="21"/>
        </w:rPr>
        <w:t>一、严格落实支持中小企业政府采购政策</w:t>
      </w:r>
      <w:r>
        <w:rPr>
          <w:rFonts w:hint="eastAsia" w:ascii="宋体" w:hAnsi="宋体" w:eastAsia="宋体" w:cs="宋体"/>
          <w:color w:val="auto"/>
          <w:szCs w:val="21"/>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19470E4">
      <w:pPr>
        <w:rPr>
          <w:rFonts w:ascii="宋体" w:hAnsi="宋体" w:eastAsia="宋体" w:cs="宋体"/>
          <w:color w:val="auto"/>
          <w:szCs w:val="21"/>
        </w:rPr>
      </w:pPr>
      <w:r>
        <w:rPr>
          <w:rFonts w:hint="eastAsia" w:ascii="宋体" w:hAnsi="宋体" w:eastAsia="宋体" w:cs="宋体"/>
          <w:color w:val="auto"/>
          <w:szCs w:val="21"/>
        </w:rPr>
        <w:t>　</w:t>
      </w:r>
      <w:r>
        <w:rPr>
          <w:rFonts w:hint="eastAsia" w:ascii="宋体" w:hAnsi="宋体" w:eastAsia="宋体" w:cs="宋体"/>
          <w:b/>
          <w:bCs/>
          <w:color w:val="auto"/>
          <w:szCs w:val="21"/>
        </w:rPr>
        <w:t>　二、调整对小微企业的价格评审优惠幅度。</w:t>
      </w:r>
      <w:r>
        <w:rPr>
          <w:rFonts w:hint="eastAsia" w:ascii="宋体" w:hAnsi="宋体" w:eastAsia="宋体" w:cs="宋体"/>
          <w:color w:val="auto"/>
          <w:szCs w:val="21"/>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30FC0965">
      <w:pPr>
        <w:rPr>
          <w:rFonts w:ascii="宋体" w:hAnsi="宋体" w:eastAsia="宋体" w:cs="宋体"/>
          <w:color w:val="auto"/>
          <w:szCs w:val="21"/>
        </w:rPr>
      </w:pPr>
      <w:r>
        <w:rPr>
          <w:rFonts w:hint="eastAsia" w:ascii="宋体" w:hAnsi="宋体" w:eastAsia="宋体" w:cs="宋体"/>
          <w:color w:val="auto"/>
          <w:szCs w:val="21"/>
        </w:rPr>
        <w:t>　　</w:t>
      </w:r>
      <w:r>
        <w:rPr>
          <w:rFonts w:hint="eastAsia" w:ascii="宋体" w:hAnsi="宋体" w:eastAsia="宋体" w:cs="宋体"/>
          <w:b/>
          <w:bCs/>
          <w:color w:val="auto"/>
          <w:szCs w:val="21"/>
        </w:rPr>
        <w:t>三、提高政府采购工程面向中小企业预留份额。</w:t>
      </w:r>
      <w:r>
        <w:rPr>
          <w:rFonts w:hint="eastAsia" w:ascii="宋体" w:hAnsi="宋体" w:eastAsia="宋体" w:cs="宋体"/>
          <w:color w:val="auto"/>
          <w:szCs w:val="21"/>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0247F8A2">
      <w:pPr>
        <w:rPr>
          <w:rFonts w:ascii="宋体" w:hAnsi="宋体" w:eastAsia="宋体" w:cs="宋体"/>
          <w:color w:val="auto"/>
          <w:szCs w:val="21"/>
        </w:rPr>
      </w:pPr>
      <w:r>
        <w:rPr>
          <w:rFonts w:hint="eastAsia" w:ascii="宋体" w:hAnsi="宋体" w:eastAsia="宋体" w:cs="宋体"/>
          <w:color w:val="auto"/>
          <w:szCs w:val="21"/>
        </w:rPr>
        <w:t>　　</w:t>
      </w:r>
      <w:r>
        <w:rPr>
          <w:rFonts w:hint="eastAsia" w:ascii="宋体" w:hAnsi="宋体" w:eastAsia="宋体" w:cs="宋体"/>
          <w:b/>
          <w:bCs/>
          <w:color w:val="auto"/>
          <w:szCs w:val="21"/>
        </w:rPr>
        <w:t>四、认真做好组织实施</w:t>
      </w:r>
      <w:r>
        <w:rPr>
          <w:rFonts w:hint="eastAsia" w:ascii="宋体" w:hAnsi="宋体" w:eastAsia="宋体" w:cs="宋体"/>
          <w:color w:val="auto"/>
          <w:szCs w:val="21"/>
        </w:rPr>
        <w:t>。各地区、各部门应当加强组织领导，明确工作责任，细化执行要求，强化监督检查，确保国务院部署落实到位，对通知执行中出现的问题要及时向财政部报告。</w:t>
      </w:r>
    </w:p>
    <w:p w14:paraId="5F5E24FE">
      <w:pPr>
        <w:ind w:firstLine="421"/>
        <w:rPr>
          <w:rFonts w:ascii="宋体" w:hAnsi="宋体" w:eastAsia="宋体" w:cs="宋体"/>
          <w:color w:val="auto"/>
          <w:szCs w:val="21"/>
        </w:rPr>
      </w:pPr>
      <w:r>
        <w:rPr>
          <w:rFonts w:hint="eastAsia" w:ascii="宋体" w:hAnsi="宋体" w:eastAsia="宋体" w:cs="宋体"/>
          <w:color w:val="auto"/>
          <w:szCs w:val="21"/>
        </w:rPr>
        <w:t>本通知自2022年7月1日起执行</w:t>
      </w:r>
    </w:p>
    <w:p w14:paraId="1B020930">
      <w:pPr>
        <w:spacing w:line="360" w:lineRule="auto"/>
        <w:ind w:firstLine="421"/>
        <w:rPr>
          <w:rFonts w:ascii="宋体" w:hAnsi="宋体" w:eastAsia="宋体" w:cs="宋体"/>
          <w:color w:val="auto"/>
          <w:szCs w:val="21"/>
        </w:rPr>
      </w:pPr>
    </w:p>
    <w:p w14:paraId="2A134440">
      <w:pPr>
        <w:pStyle w:val="2"/>
        <w:rPr>
          <w:color w:val="auto"/>
        </w:rPr>
        <w:sectPr>
          <w:headerReference r:id="rId13" w:type="first"/>
          <w:footerReference r:id="rId15" w:type="first"/>
          <w:headerReference r:id="rId12" w:type="default"/>
          <w:footerReference r:id="rId14" w:type="default"/>
          <w:pgSz w:w="11906" w:h="16838"/>
          <w:pgMar w:top="1440" w:right="1196" w:bottom="1440" w:left="1196" w:header="794" w:footer="329" w:gutter="0"/>
          <w:pgNumType w:fmt="decimal"/>
          <w:cols w:space="720" w:num="1"/>
          <w:titlePg/>
          <w:docGrid w:type="lines" w:linePitch="490" w:charSpace="0"/>
        </w:sectPr>
      </w:pPr>
    </w:p>
    <w:p w14:paraId="47DA0961">
      <w:pPr>
        <w:pStyle w:val="2"/>
        <w:rPr>
          <w:color w:val="auto"/>
        </w:rPr>
      </w:pPr>
      <w:bookmarkStart w:id="531" w:name="_Toc16577"/>
      <w:bookmarkStart w:id="532" w:name="_Toc3265"/>
      <w:r>
        <w:rPr>
          <w:rFonts w:hint="eastAsia"/>
          <w:color w:val="auto"/>
        </w:rPr>
        <w:t>第四章、合同条款</w:t>
      </w:r>
      <w:bookmarkEnd w:id="528"/>
      <w:bookmarkEnd w:id="529"/>
      <w:bookmarkEnd w:id="530"/>
      <w:bookmarkEnd w:id="531"/>
      <w:bookmarkEnd w:id="532"/>
    </w:p>
    <w:p w14:paraId="67D173BC">
      <w:pPr>
        <w:pStyle w:val="18"/>
        <w:keepNext w:val="0"/>
        <w:keepLines w:val="0"/>
        <w:pageBreakBefore w:val="0"/>
        <w:widowControl w:val="0"/>
        <w:tabs>
          <w:tab w:val="left" w:pos="573"/>
        </w:tabs>
        <w:kinsoku/>
        <w:wordWrap/>
        <w:overflowPunct/>
        <w:topLinePunct w:val="0"/>
        <w:bidi w:val="0"/>
        <w:ind w:firstLine="0"/>
        <w:jc w:val="center"/>
        <w:textAlignment w:val="auto"/>
        <w:outlineLvl w:val="9"/>
        <w:rPr>
          <w:rFonts w:cs="宋体" w:asciiTheme="minorEastAsia" w:hAnsiTheme="minorEastAsia"/>
          <w:color w:val="auto"/>
          <w:sz w:val="22"/>
          <w:szCs w:val="22"/>
        </w:rPr>
      </w:pPr>
      <w:r>
        <w:rPr>
          <w:rFonts w:hint="eastAsia" w:cs="宋体" w:asciiTheme="minorEastAsia" w:hAnsiTheme="minorEastAsia"/>
          <w:b/>
          <w:bCs/>
          <w:color w:val="auto"/>
          <w:sz w:val="32"/>
          <w:szCs w:val="32"/>
        </w:rPr>
        <w:t>合同书（具体以实际签订为准）</w:t>
      </w:r>
    </w:p>
    <w:p w14:paraId="5A9526AA">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 xml:space="preserve">  </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（以下简称买方）</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（项目名称）项目中所需</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（服务名称）经圣源祥保险经纪有限公司以</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（采购计划编号）号采购文件实施政府采购。经评定，</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（以下简称卖方）为中标供应商。鉴于买方为获得以下服务，依据《中华人民共和国民法典》、《中华人民共和国政府采购法》及其有关规定，买卖双方同意按照下述的条款和条件，签署本合同。</w:t>
      </w:r>
    </w:p>
    <w:p w14:paraId="14F3444F">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Cs w:val="28"/>
        </w:rPr>
      </w:pPr>
      <w:r>
        <w:rPr>
          <w:rFonts w:hint="eastAsia" w:cs="宋体" w:asciiTheme="minorEastAsia" w:hAnsiTheme="minorEastAsia"/>
          <w:color w:val="auto"/>
          <w:szCs w:val="28"/>
        </w:rPr>
        <w:t>一、合同文件</w:t>
      </w:r>
    </w:p>
    <w:p w14:paraId="61A4412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下列文件是构成合同的组成部分，应该认为是一个整体。彼此相互解释、相互补充。如果合同文件之间存在矛盾或不一致之处，以下述文件的排列顺序在先者为准。组成合同的文件如下：</w:t>
      </w:r>
    </w:p>
    <w:p w14:paraId="26BFF2B7">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1.本合同书</w:t>
      </w:r>
    </w:p>
    <w:p w14:paraId="6223DF57">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2.中标通知书</w:t>
      </w:r>
    </w:p>
    <w:p w14:paraId="1965CFCA">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3.合同修改协议</w:t>
      </w:r>
    </w:p>
    <w:p w14:paraId="3822453D">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4.投标文件（含澄清文件）</w:t>
      </w:r>
    </w:p>
    <w:p w14:paraId="60A5CED6">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5.招标文件（含补遗文件、修改文件）</w:t>
      </w:r>
    </w:p>
    <w:p w14:paraId="013F4512">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二、服务名称及数量</w:t>
      </w:r>
    </w:p>
    <w:p w14:paraId="5EABD240">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本合同所提供的服务及数量详见招标文件的《项目招标需求》。</w:t>
      </w:r>
    </w:p>
    <w:p w14:paraId="496B85C6">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三、合同金额</w:t>
      </w:r>
    </w:p>
    <w:p w14:paraId="0BFA1BB3">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本合同金额为（大写）</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元人民币（￥：</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元人民币）。</w:t>
      </w:r>
    </w:p>
    <w:p w14:paraId="2AFE587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合同金额应包含本招标内容全部工作所需的一切费用，包括各项成本、利润、税金等。</w:t>
      </w:r>
    </w:p>
    <w:p w14:paraId="6107C641">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四、付款和支付方式</w:t>
      </w:r>
    </w:p>
    <w:p w14:paraId="7FB93FC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 xml:space="preserve">本合同的付款及支付方式详见招标文件的《项目招标需求》。                                 </w:t>
      </w:r>
    </w:p>
    <w:p w14:paraId="0DE88788">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五、服务期限和服务地点</w:t>
      </w:r>
    </w:p>
    <w:p w14:paraId="0177BD26">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本合同的服务期限和服务地点详见招标文件的《项目招标需求》。</w:t>
      </w:r>
    </w:p>
    <w:p w14:paraId="6EA64CAB">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六、质量保证和服务承诺</w:t>
      </w:r>
    </w:p>
    <w:p w14:paraId="524B29C2">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本合同的质量保证和服务承诺：</w:t>
      </w:r>
    </w:p>
    <w:p w14:paraId="1AF4274E">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Cs w:val="28"/>
        </w:rPr>
      </w:pPr>
      <w:r>
        <w:rPr>
          <w:rFonts w:hint="eastAsia" w:cs="宋体" w:asciiTheme="minorEastAsia" w:hAnsiTheme="minorEastAsia"/>
          <w:color w:val="auto"/>
          <w:szCs w:val="28"/>
        </w:rPr>
        <w:t>七、买方的权利和义务</w:t>
      </w:r>
    </w:p>
    <w:p w14:paraId="34FC8537">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Cs w:val="28"/>
        </w:rPr>
      </w:pPr>
      <w:r>
        <w:rPr>
          <w:rFonts w:hint="eastAsia" w:cs="宋体" w:asciiTheme="minorEastAsia" w:hAnsiTheme="minorEastAsia"/>
          <w:color w:val="auto"/>
          <w:szCs w:val="28"/>
        </w:rPr>
        <w:t>八、卖方的权利和义务</w:t>
      </w:r>
    </w:p>
    <w:p w14:paraId="133F82D1">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九、验收标准和要求</w:t>
      </w:r>
    </w:p>
    <w:p w14:paraId="0183864C">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 xml:space="preserve">本合同的验收标准和要求：                                </w:t>
      </w:r>
    </w:p>
    <w:p w14:paraId="42782FE7">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十、知识产权与保密</w:t>
      </w:r>
    </w:p>
    <w:p w14:paraId="4C408DBA">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 xml:space="preserve">本合同的知识产权要求： </w:t>
      </w:r>
    </w:p>
    <w:p w14:paraId="0C4A0594">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本合同的保密要求：</w:t>
      </w:r>
    </w:p>
    <w:p w14:paraId="5D2AB18D">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十一、履约保证金</w:t>
      </w:r>
    </w:p>
    <w:p w14:paraId="7E861095">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卖方应在中标结果确定后、签署本合同前按照招标文件的规定向财政部门交纳。</w:t>
      </w:r>
    </w:p>
    <w:p w14:paraId="3B4F001A">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履约保证金用于补偿买方因卖方不能履行合同义务而蒙受的损失。</w:t>
      </w:r>
    </w:p>
    <w:p w14:paraId="387612B7">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履约保证金按政府采购有关规定返还。</w:t>
      </w:r>
    </w:p>
    <w:p w14:paraId="42AA2300">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Cs w:val="28"/>
        </w:rPr>
      </w:pPr>
      <w:r>
        <w:rPr>
          <w:rFonts w:hint="eastAsia" w:cs="宋体" w:asciiTheme="minorEastAsia" w:hAnsiTheme="minorEastAsia"/>
          <w:color w:val="auto"/>
          <w:szCs w:val="28"/>
        </w:rPr>
        <w:t>十二、合同中止、解除</w:t>
      </w:r>
    </w:p>
    <w:p w14:paraId="29C14141">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1.因客观不可预见，导致本合同不能履行，本合同可中止；待影响消除后，本合同继续履行；</w:t>
      </w:r>
    </w:p>
    <w:p w14:paraId="20909152">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2.遇不可抗力因素或国家政策变化，本合同可解除；</w:t>
      </w:r>
    </w:p>
    <w:p w14:paraId="79A76B9D">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3.因一方违约，另一方可解除本合同；</w:t>
      </w:r>
    </w:p>
    <w:p w14:paraId="7A5BDD50">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4.其他约定：</w:t>
      </w:r>
    </w:p>
    <w:p w14:paraId="5407FFE4">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十三、违约责任</w:t>
      </w:r>
    </w:p>
    <w:p w14:paraId="48C3D9AE">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本合同的违约责任：</w:t>
      </w:r>
    </w:p>
    <w:p w14:paraId="46F1AAE2">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十四、争议解决</w:t>
      </w:r>
    </w:p>
    <w:p w14:paraId="59C511E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本合同发生争议，由双方协商或由政府采购监管部门调解解决，协商或调解不成时按以下第</w:t>
      </w:r>
      <w:r>
        <w:rPr>
          <w:rFonts w:hint="eastAsia" w:cs="宋体" w:asciiTheme="minorEastAsia" w:hAnsiTheme="minorEastAsia"/>
          <w:color w:val="auto"/>
          <w:sz w:val="22"/>
          <w:szCs w:val="22"/>
          <w:u w:val="single"/>
        </w:rPr>
        <w:t xml:space="preserve">      </w:t>
      </w:r>
      <w:r>
        <w:rPr>
          <w:rFonts w:hint="eastAsia" w:cs="宋体" w:asciiTheme="minorEastAsia" w:hAnsiTheme="minorEastAsia"/>
          <w:color w:val="auto"/>
          <w:sz w:val="22"/>
          <w:szCs w:val="22"/>
        </w:rPr>
        <w:t>种方式解决：</w:t>
      </w:r>
    </w:p>
    <w:p w14:paraId="29B28F4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1.长春仲裁委员会仲裁；</w:t>
      </w:r>
    </w:p>
    <w:p w14:paraId="7E07F88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2.向甲方所在地人民法院提起诉讼。</w:t>
      </w:r>
    </w:p>
    <w:p w14:paraId="67D6253D">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十五、合同生效及其他</w:t>
      </w:r>
    </w:p>
    <w:p w14:paraId="6A7D43D9">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 xml:space="preserve"> 政府采购项目的采购合同内容的确定应以招标文件和投标文件为基础，不得违背其实质性内容。政府采购项目的采购合同自签订之日起七个工作日内，买方应当将合同副本报同级政府采购管理监督部门和有关部门备案。合同将在双方签字盖章后开始生效。</w:t>
      </w:r>
    </w:p>
    <w:p w14:paraId="475A4494">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本合同一式三份，具有同等法律效力。买卖双方、同级政府采购管理监督部门各执一份。</w:t>
      </w:r>
    </w:p>
    <w:p w14:paraId="68EDC002">
      <w:pPr>
        <w:pStyle w:val="18"/>
        <w:keepNext w:val="0"/>
        <w:keepLines w:val="0"/>
        <w:pageBreakBefore w:val="0"/>
        <w:widowControl w:val="0"/>
        <w:tabs>
          <w:tab w:val="left" w:pos="573"/>
        </w:tabs>
        <w:kinsoku/>
        <w:wordWrap/>
        <w:overflowPunct/>
        <w:topLinePunct w:val="0"/>
        <w:bidi w:val="0"/>
        <w:ind w:firstLine="0"/>
        <w:textAlignment w:val="auto"/>
        <w:outlineLvl w:val="9"/>
        <w:rPr>
          <w:rFonts w:cs="宋体" w:asciiTheme="minorEastAsia" w:hAnsiTheme="minorEastAsia"/>
          <w:color w:val="auto"/>
          <w:sz w:val="22"/>
          <w:szCs w:val="22"/>
        </w:rPr>
      </w:pPr>
      <w:r>
        <w:rPr>
          <w:rFonts w:hint="eastAsia" w:cs="宋体" w:asciiTheme="minorEastAsia" w:hAnsiTheme="minorEastAsia"/>
          <w:color w:val="auto"/>
          <w:szCs w:val="28"/>
        </w:rPr>
        <w:t>十六、补充条款</w:t>
      </w:r>
    </w:p>
    <w:p w14:paraId="07B8440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如需修改或补充合同内容，经协商，双方可签署书面修改或补充协议，该协议将作为本合同的一个组成部分。</w:t>
      </w:r>
    </w:p>
    <w:p w14:paraId="192A35B5">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p>
    <w:p w14:paraId="4BAA70CA">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买方：                  （盖章）  卖方：                     （盖章）</w:t>
      </w:r>
    </w:p>
    <w:p w14:paraId="5ACEA338">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 xml:space="preserve">签约代表：                        签约代表：                         </w:t>
      </w:r>
    </w:p>
    <w:p w14:paraId="6D3EA19F">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地    址：                        地    址：</w:t>
      </w:r>
    </w:p>
    <w:p w14:paraId="03E16FBD">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电    话：                        电    话：</w:t>
      </w:r>
    </w:p>
    <w:p w14:paraId="733735B2">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传    真：                        传    真：</w:t>
      </w:r>
    </w:p>
    <w:p w14:paraId="25D4D82C">
      <w:pPr>
        <w:pStyle w:val="18"/>
        <w:keepNext w:val="0"/>
        <w:keepLines w:val="0"/>
        <w:pageBreakBefore w:val="0"/>
        <w:widowControl w:val="0"/>
        <w:tabs>
          <w:tab w:val="left" w:pos="573"/>
        </w:tabs>
        <w:kinsoku/>
        <w:wordWrap/>
        <w:overflowPunct/>
        <w:topLinePunct w:val="0"/>
        <w:bidi w:val="0"/>
        <w:ind w:firstLine="440" w:firstLineChars="200"/>
        <w:textAlignment w:val="auto"/>
        <w:outlineLvl w:val="9"/>
        <w:rPr>
          <w:rFonts w:cs="宋体" w:asciiTheme="minorEastAsia" w:hAnsiTheme="minorEastAsia"/>
          <w:color w:val="auto"/>
          <w:sz w:val="22"/>
          <w:szCs w:val="22"/>
        </w:rPr>
      </w:pPr>
      <w:r>
        <w:rPr>
          <w:rFonts w:hint="eastAsia" w:cs="宋体" w:asciiTheme="minorEastAsia" w:hAnsiTheme="minorEastAsia"/>
          <w:color w:val="auto"/>
          <w:sz w:val="22"/>
          <w:szCs w:val="22"/>
        </w:rPr>
        <w:t>签约日期：                        签约日期：</w:t>
      </w:r>
    </w:p>
    <w:p w14:paraId="7331198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ascii="宋体" w:hAnsi="宋体" w:eastAsia="宋体" w:cs="宋体"/>
          <w:color w:val="auto"/>
          <w:sz w:val="22"/>
          <w:szCs w:val="22"/>
          <w:lang w:val="zh-CN"/>
        </w:rPr>
      </w:pPr>
      <w:r>
        <w:rPr>
          <w:rFonts w:ascii="微软雅黑" w:hAnsi="微软雅黑" w:eastAsia="微软雅黑" w:cs="微软雅黑"/>
          <w:b/>
          <w:color w:val="auto"/>
          <w:kern w:val="0"/>
          <w:sz w:val="20"/>
          <w:szCs w:val="20"/>
        </w:rPr>
        <w:br w:type="page"/>
      </w:r>
    </w:p>
    <w:p w14:paraId="615856DD">
      <w:pPr>
        <w:pStyle w:val="2"/>
        <w:rPr>
          <w:color w:val="auto"/>
          <w:highlight w:val="none"/>
        </w:rPr>
      </w:pPr>
      <w:bookmarkStart w:id="533" w:name="_Toc9415"/>
      <w:bookmarkStart w:id="534" w:name="_Toc17428"/>
      <w:r>
        <w:rPr>
          <w:rFonts w:hint="eastAsia"/>
          <w:color w:val="auto"/>
          <w:highlight w:val="none"/>
        </w:rPr>
        <w:t>第五章、服务需求</w:t>
      </w:r>
      <w:bookmarkEnd w:id="533"/>
      <w:bookmarkEnd w:id="534"/>
      <w:bookmarkStart w:id="535" w:name="_Toc6315"/>
      <w:bookmarkStart w:id="536" w:name="_Toc14054"/>
      <w:bookmarkStart w:id="537" w:name="_Toc3606"/>
      <w:bookmarkStart w:id="538" w:name="_Toc461089032"/>
    </w:p>
    <w:p w14:paraId="6A43D882">
      <w:pPr>
        <w:pageBreakBefore w:val="0"/>
        <w:wordWrap/>
        <w:overflowPunct/>
        <w:topLinePunct w:val="0"/>
        <w:bidi w:val="0"/>
        <w:spacing w:line="24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一、项目概况与总体要求</w:t>
      </w:r>
    </w:p>
    <w:p w14:paraId="3EF549F9">
      <w:pPr>
        <w:pageBreakBefore w:val="0"/>
        <w:wordWrap/>
        <w:overflowPunct/>
        <w:topLinePunct w:val="0"/>
        <w:bidi w:val="0"/>
        <w:spacing w:line="360" w:lineRule="auto"/>
        <w:outlineLvl w:val="9"/>
        <w:rPr>
          <w:rFonts w:ascii="宋体" w:hAnsi="宋体" w:eastAsia="宋体" w:cs="宋体"/>
          <w:color w:val="auto"/>
          <w:spacing w:val="-12"/>
          <w:sz w:val="24"/>
          <w:highlight w:val="none"/>
          <w14:textOutline w14:w="4356" w14:cap="flat" w14:cmpd="sng" w14:algn="ctr">
            <w14:solidFill>
              <w14:srgbClr w14:val="000000"/>
            </w14:solidFill>
            <w14:prstDash w14:val="solid"/>
            <w14:miter w14:val="0"/>
          </w14:textOutline>
        </w:rPr>
      </w:pPr>
      <w:r>
        <w:rPr>
          <w:rFonts w:hint="eastAsia" w:ascii="宋体" w:hAnsi="宋体" w:eastAsia="宋体" w:cs="宋体"/>
          <w:b/>
          <w:bCs/>
          <w:color w:val="auto"/>
          <w:sz w:val="24"/>
          <w:highlight w:val="none"/>
        </w:rPr>
        <w:t>（提示：本部分内容包括项目背景、现状分析、采购标的需实现的功能或者目标等）</w:t>
      </w:r>
    </w:p>
    <w:p w14:paraId="68BBF954">
      <w:pPr>
        <w:pStyle w:val="8"/>
        <w:pageBreakBefore w:val="0"/>
        <w:widowControl/>
        <w:wordWrap/>
        <w:overflowPunct/>
        <w:topLinePunct w:val="0"/>
        <w:bidi w:val="0"/>
        <w:adjustRightInd w:val="0"/>
        <w:snapToGrid w:val="0"/>
        <w:spacing w:line="360" w:lineRule="auto"/>
        <w:ind w:firstLine="480" w:firstLineChars="20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构建和谐社会，服务三农，有效防范野生动物的损害风险，充分保障人民群众生命安全和财产利益，根据《中华人民共和国野生动物保护法》以及《吉林省重点保护陆生野生动物造成人身财产损害补偿办法》（吉政发﹝2016﹞39号）（以下简称《补偿办法》）等规定，结合吉林省工作实际，特制定本保险试点方案。</w:t>
      </w:r>
    </w:p>
    <w:p w14:paraId="35E2CCC2">
      <w:pPr>
        <w:pStyle w:val="8"/>
        <w:pageBreakBefore w:val="0"/>
        <w:widowControl/>
        <w:wordWrap/>
        <w:overflowPunct/>
        <w:topLinePunct w:val="0"/>
        <w:bidi w:val="0"/>
        <w:adjustRightInd w:val="0"/>
        <w:snapToGrid w:val="0"/>
        <w:spacing w:line="360" w:lineRule="auto"/>
        <w:ind w:firstLine="480" w:firstLineChars="20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本项目为吉林省重点保护陆生野生动物造成人身财产损害补偿保险招标项目提供共同承保的商业保险服务。</w:t>
      </w:r>
    </w:p>
    <w:p w14:paraId="7ED2F619">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根据评审</w:t>
      </w:r>
      <w:r>
        <w:rPr>
          <w:rFonts w:hint="eastAsia" w:ascii="宋体" w:hAnsi="宋体" w:eastAsia="宋体" w:cs="宋体"/>
          <w:color w:val="auto"/>
          <w:kern w:val="2"/>
          <w:sz w:val="24"/>
          <w:szCs w:val="24"/>
          <w:lang w:val="en-US" w:eastAsia="zh-CN" w:bidi="ar-SA"/>
        </w:rPr>
        <w:t>结果</w:t>
      </w:r>
      <w:r>
        <w:rPr>
          <w:rFonts w:hint="eastAsia" w:ascii="宋体" w:hAnsi="宋体" w:eastAsia="宋体" w:cs="宋体"/>
          <w:color w:val="auto"/>
          <w:kern w:val="2"/>
          <w:sz w:val="24"/>
          <w:szCs w:val="24"/>
          <w:lang w:val="zh-CN" w:eastAsia="zh-CN" w:bidi="ar-SA"/>
        </w:rPr>
        <w:t>，选择</w:t>
      </w:r>
      <w:r>
        <w:rPr>
          <w:rFonts w:hint="eastAsia" w:ascii="宋体" w:hAnsi="宋体" w:eastAsia="宋体" w:cs="宋体"/>
          <w:color w:val="auto"/>
          <w:kern w:val="2"/>
          <w:sz w:val="24"/>
          <w:szCs w:val="24"/>
          <w:lang w:val="en-US" w:eastAsia="zh-CN" w:bidi="ar-SA"/>
        </w:rPr>
        <w:t>多家联合体供应商作为共同承保人，</w:t>
      </w:r>
      <w:r>
        <w:rPr>
          <w:rFonts w:hint="eastAsia" w:ascii="宋体" w:hAnsi="宋体" w:eastAsia="宋体" w:cs="宋体"/>
          <w:color w:val="auto"/>
          <w:kern w:val="2"/>
          <w:sz w:val="24"/>
          <w:szCs w:val="24"/>
          <w:lang w:val="zh-CN" w:eastAsia="zh-CN" w:bidi="ar-SA"/>
        </w:rPr>
        <w:t>按照投标人的综合得分由高到低的顺序进行排列；确定</w:t>
      </w:r>
      <w:r>
        <w:rPr>
          <w:rFonts w:hint="eastAsia" w:ascii="宋体" w:hAnsi="宋体" w:eastAsia="宋体" w:cs="宋体"/>
          <w:color w:val="auto"/>
          <w:kern w:val="2"/>
          <w:sz w:val="24"/>
          <w:szCs w:val="24"/>
          <w:lang w:val="en-US" w:eastAsia="zh-CN" w:bidi="ar-SA"/>
        </w:rPr>
        <w:t>排名前10名为入围单位，共同承保份额比例如下：</w:t>
      </w:r>
    </w:p>
    <w:p w14:paraId="508EFE88">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第一名：主承保26%；</w:t>
      </w:r>
    </w:p>
    <w:p w14:paraId="717C5432">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第二名：从共承保18%；</w:t>
      </w:r>
    </w:p>
    <w:p w14:paraId="12561BB6">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第三名：从共承保7%；</w:t>
      </w:r>
    </w:p>
    <w:p w14:paraId="509A9D4E">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第四名：从共承保7%；</w:t>
      </w:r>
    </w:p>
    <w:p w14:paraId="524397DA">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第五名：从共承保7%；</w:t>
      </w:r>
    </w:p>
    <w:p w14:paraId="5463413F">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第六名：从共承保7%；</w:t>
      </w:r>
    </w:p>
    <w:p w14:paraId="09D1B387">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第七名：从共承保7%；</w:t>
      </w:r>
    </w:p>
    <w:p w14:paraId="5CA8A8D8">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第八名：从共承保7%；</w:t>
      </w:r>
    </w:p>
    <w:p w14:paraId="50BB5012">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第九名：从共承保7%；</w:t>
      </w:r>
    </w:p>
    <w:p w14:paraId="5A994C12">
      <w:pPr>
        <w:pStyle w:val="8"/>
        <w:widowControl/>
        <w:adjustRightInd w:val="0"/>
        <w:snapToGrid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第十名：从共承保7%；</w:t>
      </w:r>
    </w:p>
    <w:p w14:paraId="076C7417">
      <w:pPr>
        <w:pStyle w:val="8"/>
        <w:widowControl/>
        <w:adjustRightInd w:val="0"/>
        <w:snapToGrid w:val="0"/>
        <w:spacing w:line="360" w:lineRule="auto"/>
        <w:ind w:firstLine="430" w:firstLineChars="200"/>
        <w:jc w:val="both"/>
        <w:rPr>
          <w:rFonts w:ascii="宋体" w:hAnsi="宋体" w:eastAsia="宋体" w:cs="宋体"/>
          <w:b/>
          <w:bCs/>
          <w:color w:val="auto"/>
          <w:spacing w:val="-13"/>
          <w:sz w:val="24"/>
        </w:rPr>
      </w:pPr>
      <w:r>
        <w:rPr>
          <w:rFonts w:hint="eastAsia" w:ascii="宋体" w:hAnsi="宋体" w:eastAsia="宋体" w:cs="宋体"/>
          <w:b/>
          <w:bCs/>
          <w:color w:val="auto"/>
          <w:spacing w:val="-13"/>
          <w:sz w:val="24"/>
        </w:rPr>
        <w:t>注：如通过初步评审的投标人不足10家，共同承保份额比例在签署共保体协议书时重新确定。</w:t>
      </w:r>
    </w:p>
    <w:p w14:paraId="2C9D0982">
      <w:pPr>
        <w:pageBreakBefore w:val="0"/>
        <w:wordWrap/>
        <w:overflowPunct/>
        <w:topLinePunct w:val="0"/>
        <w:autoSpaceDE w:val="0"/>
        <w:autoSpaceDN w:val="0"/>
        <w:bidi w:val="0"/>
        <w:adjustRightInd w:val="0"/>
        <w:snapToGrid w:val="0"/>
        <w:spacing w:line="360" w:lineRule="auto"/>
        <w:outlineLvl w:val="9"/>
        <w:rPr>
          <w:rFonts w:ascii="宋体" w:hAnsi="宋体" w:eastAsia="宋体" w:cs="宋体"/>
          <w:color w:val="auto"/>
          <w:sz w:val="24"/>
        </w:rPr>
      </w:pPr>
      <w:r>
        <w:rPr>
          <w:rFonts w:hint="eastAsia" w:ascii="宋体" w:hAnsi="宋体" w:eastAsia="宋体" w:cs="宋体"/>
          <w:b/>
          <w:bCs/>
          <w:color w:val="auto"/>
          <w:sz w:val="24"/>
        </w:rPr>
        <w:t>二、采购需求一览表</w:t>
      </w:r>
    </w:p>
    <w:tbl>
      <w:tblPr>
        <w:tblStyle w:val="24"/>
        <w:tblpPr w:leftFromText="180" w:rightFromText="180" w:vertAnchor="text" w:horzAnchor="page" w:tblpX="1777" w:tblpY="180"/>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70"/>
        <w:gridCol w:w="820"/>
        <w:gridCol w:w="840"/>
        <w:gridCol w:w="2480"/>
        <w:gridCol w:w="2053"/>
      </w:tblGrid>
      <w:tr w14:paraId="24DC5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817" w:type="dxa"/>
            <w:vAlign w:val="center"/>
          </w:tcPr>
          <w:p w14:paraId="629BCE7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序号</w:t>
            </w:r>
          </w:p>
        </w:tc>
        <w:tc>
          <w:tcPr>
            <w:tcW w:w="2170" w:type="dxa"/>
            <w:vAlign w:val="center"/>
          </w:tcPr>
          <w:p w14:paraId="7F0CCE99">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服务内容</w:t>
            </w:r>
          </w:p>
        </w:tc>
        <w:tc>
          <w:tcPr>
            <w:tcW w:w="820" w:type="dxa"/>
            <w:vAlign w:val="center"/>
          </w:tcPr>
          <w:p w14:paraId="3E79BC00">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数量</w:t>
            </w:r>
          </w:p>
        </w:tc>
        <w:tc>
          <w:tcPr>
            <w:tcW w:w="840" w:type="dxa"/>
            <w:vAlign w:val="center"/>
          </w:tcPr>
          <w:p w14:paraId="7FE02530">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单位</w:t>
            </w:r>
          </w:p>
        </w:tc>
        <w:tc>
          <w:tcPr>
            <w:tcW w:w="2480" w:type="dxa"/>
            <w:vAlign w:val="center"/>
          </w:tcPr>
          <w:p w14:paraId="7E2658DB">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服务要求/备注</w:t>
            </w:r>
          </w:p>
        </w:tc>
        <w:tc>
          <w:tcPr>
            <w:tcW w:w="2053" w:type="dxa"/>
            <w:vAlign w:val="center"/>
          </w:tcPr>
          <w:p w14:paraId="5389A7B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中小企业划分标准所属行业</w:t>
            </w:r>
          </w:p>
        </w:tc>
      </w:tr>
      <w:tr w14:paraId="25669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1C104534">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1</w:t>
            </w:r>
          </w:p>
        </w:tc>
        <w:tc>
          <w:tcPr>
            <w:tcW w:w="2170" w:type="dxa"/>
            <w:vAlign w:val="center"/>
          </w:tcPr>
          <w:p w14:paraId="77696731">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吉林省重点保护陆生野生动物造成人身财产损害补偿保险</w:t>
            </w:r>
          </w:p>
        </w:tc>
        <w:tc>
          <w:tcPr>
            <w:tcW w:w="820" w:type="dxa"/>
            <w:vAlign w:val="center"/>
          </w:tcPr>
          <w:p w14:paraId="7BBBA9F0">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1</w:t>
            </w:r>
          </w:p>
        </w:tc>
        <w:tc>
          <w:tcPr>
            <w:tcW w:w="840" w:type="dxa"/>
            <w:vAlign w:val="center"/>
          </w:tcPr>
          <w:p w14:paraId="21A14EDD">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项</w:t>
            </w:r>
          </w:p>
        </w:tc>
        <w:tc>
          <w:tcPr>
            <w:tcW w:w="2480" w:type="dxa"/>
            <w:vAlign w:val="center"/>
          </w:tcPr>
          <w:p w14:paraId="2D813E26">
            <w:pPr>
              <w:pageBreakBefore w:val="0"/>
              <w:wordWrap/>
              <w:overflowPunct/>
              <w:topLinePunct w:val="0"/>
              <w:autoSpaceDE w:val="0"/>
              <w:autoSpaceDN w:val="0"/>
              <w:bidi w:val="0"/>
              <w:adjustRightInd w:val="0"/>
              <w:snapToGrid w:val="0"/>
              <w:spacing w:line="360" w:lineRule="auto"/>
              <w:outlineLvl w:val="9"/>
              <w:rPr>
                <w:rFonts w:ascii="宋体" w:hAnsi="宋体" w:eastAsia="宋体" w:cs="宋体"/>
                <w:color w:val="auto"/>
                <w:sz w:val="24"/>
              </w:rPr>
            </w:pPr>
            <w:r>
              <w:rPr>
                <w:rFonts w:hint="eastAsia" w:ascii="宋体" w:hAnsi="宋体" w:eastAsia="宋体" w:cs="宋体"/>
                <w:color w:val="auto"/>
                <w:sz w:val="24"/>
              </w:rPr>
              <w:t>为吉林省重点保护陆生野生动物造成人身财产损害补偿保险招标项目提供共同承保的商业保险服务，选择10家供应商组成联合体作为共同承担人</w:t>
            </w:r>
          </w:p>
        </w:tc>
        <w:tc>
          <w:tcPr>
            <w:tcW w:w="2053" w:type="dxa"/>
            <w:vAlign w:val="center"/>
          </w:tcPr>
          <w:p w14:paraId="62CA0C5C">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highlight w:val="none"/>
              </w:rPr>
            </w:pPr>
            <w:r>
              <w:rPr>
                <w:rFonts w:hint="eastAsia" w:ascii="宋体" w:hAnsi="宋体" w:eastAsia="宋体" w:cs="宋体"/>
                <w:color w:val="auto"/>
                <w:sz w:val="24"/>
                <w:highlight w:val="none"/>
              </w:rPr>
              <w:t>租赁和商务服务业</w:t>
            </w:r>
          </w:p>
        </w:tc>
      </w:tr>
    </w:tbl>
    <w:p w14:paraId="020FD285">
      <w:pPr>
        <w:keepNext w:val="0"/>
        <w:keepLines w:val="0"/>
        <w:pageBreakBefore w:val="0"/>
        <w:wordWrap/>
        <w:overflowPunct/>
        <w:topLinePunct w:val="0"/>
        <w:bidi w:val="0"/>
        <w:spacing w:before="0" w:after="0" w:line="360" w:lineRule="auto"/>
        <w:outlineLvl w:val="9"/>
        <w:rPr>
          <w:rFonts w:ascii="宋体" w:hAnsi="宋体" w:cs="宋体"/>
          <w:bCs/>
          <w:color w:val="auto"/>
          <w:sz w:val="24"/>
          <w:szCs w:val="24"/>
        </w:rPr>
      </w:pPr>
      <w:r>
        <w:rPr>
          <w:rFonts w:hint="eastAsia" w:ascii="宋体" w:hAnsi="宋体" w:eastAsia="宋体" w:cs="宋体"/>
          <w:bCs w:val="0"/>
          <w:color w:val="auto"/>
          <w:sz w:val="24"/>
          <w:szCs w:val="24"/>
        </w:rPr>
        <w:t>三、采购标的需执行的强制标准：符合国家相关法律法规及行业标准。</w:t>
      </w:r>
    </w:p>
    <w:p w14:paraId="57AD5499">
      <w:pPr>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eastAsia="宋体" w:cs="宋体"/>
          <w:bCs w:val="0"/>
          <w:color w:val="auto"/>
          <w:sz w:val="24"/>
          <w:szCs w:val="24"/>
        </w:rPr>
      </w:pPr>
      <w:bookmarkStart w:id="539" w:name="_Toc511889433"/>
      <w:bookmarkStart w:id="540" w:name="_Toc494561955"/>
      <w:bookmarkStart w:id="541" w:name="_Toc517859652"/>
      <w:bookmarkStart w:id="542" w:name="_Toc511894511"/>
      <w:r>
        <w:rPr>
          <w:rFonts w:hint="eastAsia" w:ascii="宋体" w:hAnsi="宋体" w:eastAsia="宋体" w:cs="宋体"/>
          <w:bCs w:val="0"/>
          <w:color w:val="auto"/>
          <w:sz w:val="24"/>
          <w:szCs w:val="24"/>
        </w:rPr>
        <w:t>四、技术服务要求</w:t>
      </w:r>
      <w:bookmarkEnd w:id="539"/>
      <w:bookmarkEnd w:id="540"/>
      <w:bookmarkEnd w:id="541"/>
      <w:bookmarkEnd w:id="542"/>
    </w:p>
    <w:p w14:paraId="17155EB3">
      <w:pPr>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eastAsia="宋体" w:cs="宋体"/>
          <w:color w:val="auto"/>
          <w:sz w:val="24"/>
          <w:szCs w:val="24"/>
          <w:highlight w:val="yellow"/>
          <w:lang w:val="zh-CN"/>
        </w:rPr>
      </w:pPr>
      <w:r>
        <w:rPr>
          <w:rFonts w:hint="eastAsia" w:ascii="宋体" w:hAnsi="宋体" w:eastAsia="宋体" w:cs="宋体"/>
          <w:color w:val="auto"/>
          <w:sz w:val="24"/>
          <w:szCs w:val="24"/>
        </w:rPr>
        <w:t>说明：</w:t>
      </w:r>
      <w:r>
        <w:rPr>
          <w:rFonts w:hint="eastAsia" w:ascii="宋体" w:hAnsi="宋体" w:eastAsia="宋体" w:cs="宋体"/>
          <w:color w:val="auto"/>
          <w:sz w:val="24"/>
          <w:szCs w:val="24"/>
          <w:lang w:val="zh-CN"/>
        </w:rPr>
        <w:t>本部分内容均为实质性条款，供应商的投标必须完全满足或者正偏离。</w:t>
      </w:r>
    </w:p>
    <w:p w14:paraId="7C0F16C6">
      <w:pPr>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ascii="宋体" w:hAnsi="宋体" w:eastAsia="宋体" w:cs="宋体"/>
          <w:color w:val="auto"/>
          <w:sz w:val="24"/>
        </w:rPr>
      </w:pPr>
      <w:r>
        <w:rPr>
          <w:rFonts w:hint="eastAsia" w:ascii="宋体" w:hAnsi="宋体" w:eastAsia="宋体" w:cs="宋体"/>
          <w:b/>
          <w:bCs/>
          <w:color w:val="auto"/>
          <w:kern w:val="0"/>
          <w:sz w:val="24"/>
          <w:lang w:bidi="ar"/>
        </w:rPr>
        <w:t>（一）保险责任</w:t>
      </w:r>
      <w:r>
        <w:rPr>
          <w:rFonts w:hint="eastAsia" w:ascii="宋体" w:hAnsi="宋体" w:eastAsia="宋体" w:cs="宋体"/>
          <w:color w:val="auto"/>
          <w:kern w:val="0"/>
          <w:sz w:val="24"/>
          <w:lang w:bidi="ar"/>
        </w:rPr>
        <w:t xml:space="preserve"> </w:t>
      </w:r>
    </w:p>
    <w:p w14:paraId="2D3BDD38">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在保险期间内,在吉林省域内 (不含东北虎豹国家公园划定区域),国家和省级重点保护的陆生野生动物 (以下简称“野生动物”)造成人畜伤害或财产损失有下列情形之一的(不含投保政策性农业保险的),保险公司根据此项目补偿标准予以赔偿: </w:t>
      </w:r>
    </w:p>
    <w:p w14:paraId="1CED4A89">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1. 对从事正常生产和生活的公民身体造成伤害或者死亡的; </w:t>
      </w:r>
    </w:p>
    <w:p w14:paraId="6CEE3692">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2. 对在依法划定的生产经营范围内种植的农作物造成较大损毁的; </w:t>
      </w:r>
    </w:p>
    <w:p w14:paraId="345BE29A">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3. 对在依法划定的可以放牧或圈养区域内放牧或圈养的牲畜造成伤害或者死亡的; </w:t>
      </w:r>
    </w:p>
    <w:p w14:paraId="397F6D51">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4. 依法认定造成人身、财产损害的其他情形。 </w:t>
      </w:r>
    </w:p>
    <w:p w14:paraId="53C96697">
      <w:pPr>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ascii="宋体" w:hAnsi="宋体" w:eastAsia="宋体" w:cs="宋体"/>
          <w:b/>
          <w:bCs/>
          <w:color w:val="auto"/>
          <w:sz w:val="24"/>
        </w:rPr>
      </w:pPr>
      <w:r>
        <w:rPr>
          <w:rFonts w:hint="eastAsia" w:ascii="宋体" w:hAnsi="宋体" w:eastAsia="宋体" w:cs="宋体"/>
          <w:b/>
          <w:bCs/>
          <w:color w:val="auto"/>
          <w:kern w:val="0"/>
          <w:sz w:val="24"/>
          <w:lang w:bidi="ar"/>
        </w:rPr>
        <w:t xml:space="preserve">（二）除外责任 </w:t>
      </w:r>
    </w:p>
    <w:p w14:paraId="3E79BADD">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野生动物造成人身和财产损害,属于下列情形之一的, 不承担赔偿责任: </w:t>
      </w:r>
    </w:p>
    <w:p w14:paraId="1B2A54B3">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color w:val="auto"/>
          <w:sz w:val="24"/>
          <w:lang w:eastAsia="zh-CN"/>
        </w:rPr>
      </w:pPr>
      <w:r>
        <w:rPr>
          <w:rFonts w:hint="eastAsia" w:ascii="宋体" w:hAnsi="宋体" w:eastAsia="宋体" w:cs="宋体"/>
          <w:color w:val="auto"/>
          <w:kern w:val="0"/>
          <w:sz w:val="24"/>
          <w:lang w:bidi="ar"/>
        </w:rPr>
        <w:t>1. 对主动攻击和故意伤害野生动物的人员造成伤害或者死亡的</w:t>
      </w:r>
      <w:r>
        <w:rPr>
          <w:rFonts w:hint="eastAsia" w:ascii="宋体" w:hAnsi="宋体" w:eastAsia="宋体" w:cs="宋体"/>
          <w:color w:val="auto"/>
          <w:kern w:val="0"/>
          <w:sz w:val="24"/>
          <w:lang w:eastAsia="zh-CN" w:bidi="ar"/>
        </w:rPr>
        <w:t>；</w:t>
      </w:r>
    </w:p>
    <w:p w14:paraId="1437127C">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2. 对进行非法狩猎活动或者擅自进入自然保护区的人员造成身体伤害或者亡的</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 xml:space="preserve"> </w:t>
      </w:r>
    </w:p>
    <w:p w14:paraId="1657CB65">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color w:val="auto"/>
          <w:sz w:val="24"/>
          <w:lang w:eastAsia="zh-CN"/>
        </w:rPr>
      </w:pPr>
      <w:r>
        <w:rPr>
          <w:rFonts w:hint="eastAsia" w:ascii="宋体" w:hAnsi="宋体" w:eastAsia="宋体" w:cs="宋体"/>
          <w:color w:val="auto"/>
          <w:kern w:val="0"/>
          <w:sz w:val="24"/>
          <w:lang w:bidi="ar"/>
        </w:rPr>
        <w:t>3. 对在依法划定的生产经营范围以外种植的农作物造成损毁的</w:t>
      </w:r>
      <w:r>
        <w:rPr>
          <w:rFonts w:hint="eastAsia" w:ascii="宋体" w:hAnsi="宋体" w:eastAsia="宋体" w:cs="宋体"/>
          <w:color w:val="auto"/>
          <w:kern w:val="0"/>
          <w:sz w:val="24"/>
          <w:lang w:eastAsia="zh-CN" w:bidi="ar"/>
        </w:rPr>
        <w:t>；</w:t>
      </w:r>
    </w:p>
    <w:p w14:paraId="23A9D40F">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eastAsia="宋体" w:cs="宋体"/>
          <w:color w:val="auto"/>
          <w:sz w:val="24"/>
          <w:lang w:eastAsia="zh-CN"/>
        </w:rPr>
      </w:pPr>
      <w:r>
        <w:rPr>
          <w:rFonts w:hint="eastAsia" w:ascii="宋体" w:hAnsi="宋体" w:eastAsia="宋体" w:cs="宋体"/>
          <w:color w:val="auto"/>
          <w:kern w:val="0"/>
          <w:sz w:val="24"/>
          <w:lang w:bidi="ar"/>
        </w:rPr>
        <w:t>4. 对擅自进入自然保护区及依法确定的其他禁牧区域放牧的牲畜造成伤害或者死亡的</w:t>
      </w:r>
      <w:r>
        <w:rPr>
          <w:rFonts w:hint="eastAsia" w:ascii="宋体" w:hAnsi="宋体" w:eastAsia="宋体" w:cs="宋体"/>
          <w:color w:val="auto"/>
          <w:kern w:val="0"/>
          <w:sz w:val="24"/>
          <w:lang w:eastAsia="zh-CN" w:bidi="ar"/>
        </w:rPr>
        <w:t>；</w:t>
      </w:r>
    </w:p>
    <w:p w14:paraId="0FBC61B0">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5. 法律、法规规定的其他情形。 </w:t>
      </w:r>
    </w:p>
    <w:p w14:paraId="3EF6B211">
      <w:pPr>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ascii="宋体" w:hAnsi="宋体" w:eastAsia="宋体" w:cs="宋体"/>
          <w:color w:val="auto"/>
          <w:sz w:val="24"/>
        </w:rPr>
      </w:pPr>
      <w:r>
        <w:rPr>
          <w:rFonts w:hint="eastAsia" w:ascii="宋体" w:hAnsi="宋体" w:eastAsia="宋体" w:cs="宋体"/>
          <w:b/>
          <w:bCs/>
          <w:color w:val="auto"/>
          <w:kern w:val="0"/>
          <w:sz w:val="24"/>
          <w:lang w:bidi="ar"/>
        </w:rPr>
        <w:t xml:space="preserve">（三）保险费 </w:t>
      </w:r>
    </w:p>
    <w:p w14:paraId="23C2D9FE">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根据《补偿办法》规定,按照事权划分原则,充分运用市场机制和商业保险手段,压实地方人民政府补偿责任,积极构建 “省级层面统筹参保+市县自愿参保+受损害方承担免赔额度”的吉林省重点保护陆生野生动物造成人身财产损害补偿保险格局。省级层面按照近年来全省年度平均发生的重点保护陆生野生动物造成人身财产损害事件数量和补偿金额(不含政策性农业保险补偿部分),按照 “保本微利”原则,暂定每年度省级缴纳保险费不超过1000万元,以后年度省级缴纳保险费金额视近三年损害事件数量和补偿金额情况作相应调整。年度内承保公司收益比例不能超过10%,超出部分作为下一年度保费使用。 </w:t>
      </w:r>
    </w:p>
    <w:p w14:paraId="1A70C5C0">
      <w:pPr>
        <w:pageBreakBefore w:val="0"/>
        <w:widowControl/>
        <w:kinsoku w:val="0"/>
        <w:wordWrap/>
        <w:overflowPunct/>
        <w:topLinePunct w:val="0"/>
        <w:autoSpaceDE w:val="0"/>
        <w:autoSpaceDN w:val="0"/>
        <w:bidi w:val="0"/>
        <w:adjustRightInd w:val="0"/>
        <w:snapToGrid w:val="0"/>
        <w:spacing w:line="360" w:lineRule="auto"/>
        <w:ind w:firstLine="720" w:firstLineChars="3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市县层面参照以下标准执行 (以下涉及金额均为市县承担部分): </w:t>
      </w:r>
    </w:p>
    <w:p w14:paraId="76E945CE">
      <w:pPr>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outlineLvl w:val="9"/>
        <w:rPr>
          <w:rFonts w:ascii="宋体" w:hAnsi="宋体" w:eastAsia="宋体" w:cs="宋体"/>
          <w:color w:val="auto"/>
          <w:sz w:val="24"/>
        </w:rPr>
      </w:pPr>
      <w:r>
        <w:rPr>
          <w:rFonts w:hint="eastAsia" w:ascii="宋体" w:hAnsi="宋体" w:eastAsia="宋体" w:cs="宋体"/>
          <w:b/>
          <w:bCs/>
          <w:color w:val="auto"/>
          <w:kern w:val="0"/>
          <w:sz w:val="24"/>
          <w:lang w:bidi="ar"/>
        </w:rPr>
        <w:t>1.</w:t>
      </w:r>
      <w:r>
        <w:rPr>
          <w:rFonts w:hint="eastAsia" w:ascii="宋体" w:hAnsi="宋体" w:eastAsia="宋体" w:cs="宋体"/>
          <w:color w:val="auto"/>
          <w:kern w:val="0"/>
          <w:sz w:val="24"/>
          <w:lang w:bidi="ar"/>
        </w:rPr>
        <w:t xml:space="preserve">市县结合辖区内财政资金及工作规划情况,可自愿选择是否追加参保本项目。自愿参保市县可与本项目保险经纪公司对接,缴纳保险费,签订项目合作补充协议。 </w:t>
      </w:r>
    </w:p>
    <w:p w14:paraId="4E9330B7">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2. 未参加保险试点的市县缴纳保险费标准 </w:t>
      </w:r>
    </w:p>
    <w:p w14:paraId="235E64CB">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(1)过去三年无补偿的市、县、区,按不超过1万元缴纳保险费; </w:t>
      </w:r>
    </w:p>
    <w:p w14:paraId="566ED2AF">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(2)过去三年年平均补偿金额在5万元 (含)以内的市、县、区,按不超过2万元缴纳保险费; </w:t>
      </w:r>
    </w:p>
    <w:p w14:paraId="5611FD5F">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(3)过去三年年平均补偿金额在5万元以上的市、县、区,按照不超过近三年补偿平均值 (四舍五入取万元整)缴纳保险费。 </w:t>
      </w:r>
    </w:p>
    <w:p w14:paraId="6701E451">
      <w:pPr>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outlineLvl w:val="9"/>
        <w:rPr>
          <w:rFonts w:ascii="宋体" w:hAnsi="宋体" w:eastAsia="宋体" w:cs="宋体"/>
          <w:b/>
          <w:bCs/>
          <w:color w:val="auto"/>
          <w:kern w:val="0"/>
          <w:sz w:val="24"/>
          <w:lang w:bidi="ar"/>
        </w:rPr>
      </w:pPr>
      <w:r>
        <w:rPr>
          <w:rFonts w:hint="eastAsia" w:ascii="宋体" w:hAnsi="宋体" w:eastAsia="宋体" w:cs="宋体"/>
          <w:b/>
          <w:bCs/>
          <w:color w:val="auto"/>
          <w:kern w:val="0"/>
          <w:sz w:val="24"/>
          <w:lang w:bidi="ar"/>
        </w:rPr>
        <w:t>3.上一年度已参加保险的市县缴纳保险费标准</w:t>
      </w:r>
    </w:p>
    <w:tbl>
      <w:tblPr>
        <w:tblStyle w:val="56"/>
        <w:tblW w:w="9539"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4"/>
        <w:gridCol w:w="3995"/>
        <w:gridCol w:w="4000"/>
      </w:tblGrid>
      <w:tr w14:paraId="41BB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1544" w:type="dxa"/>
            <w:vAlign w:val="center"/>
          </w:tcPr>
          <w:p w14:paraId="301E6CF4">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上年缴纳</w:t>
            </w:r>
          </w:p>
          <w:p w14:paraId="5E9B54E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保险费</w:t>
            </w:r>
          </w:p>
        </w:tc>
        <w:tc>
          <w:tcPr>
            <w:tcW w:w="3995" w:type="dxa"/>
            <w:vAlign w:val="center"/>
          </w:tcPr>
          <w:p w14:paraId="7F21CC26">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上年赔偿情况</w:t>
            </w:r>
          </w:p>
        </w:tc>
        <w:tc>
          <w:tcPr>
            <w:tcW w:w="4000" w:type="dxa"/>
            <w:vAlign w:val="center"/>
          </w:tcPr>
          <w:p w14:paraId="7EC38857">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当年缴纳保险费标准</w:t>
            </w:r>
          </w:p>
        </w:tc>
      </w:tr>
      <w:tr w14:paraId="5F48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1544" w:type="dxa"/>
            <w:vMerge w:val="restart"/>
            <w:vAlign w:val="center"/>
          </w:tcPr>
          <w:p w14:paraId="5D7D363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1万元</w:t>
            </w:r>
          </w:p>
        </w:tc>
        <w:tc>
          <w:tcPr>
            <w:tcW w:w="3995" w:type="dxa"/>
            <w:vAlign w:val="center"/>
          </w:tcPr>
          <w:p w14:paraId="6DEA839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无赔偿</w:t>
            </w:r>
          </w:p>
        </w:tc>
        <w:tc>
          <w:tcPr>
            <w:tcW w:w="4000" w:type="dxa"/>
            <w:vAlign w:val="center"/>
          </w:tcPr>
          <w:p w14:paraId="2CFB0111">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1 万元</w:t>
            </w:r>
          </w:p>
        </w:tc>
      </w:tr>
      <w:tr w14:paraId="2BC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1544" w:type="dxa"/>
            <w:vMerge w:val="continue"/>
            <w:vAlign w:val="center"/>
          </w:tcPr>
          <w:p w14:paraId="3B0F7B3D">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p>
        </w:tc>
        <w:tc>
          <w:tcPr>
            <w:tcW w:w="3995" w:type="dxa"/>
            <w:vAlign w:val="center"/>
          </w:tcPr>
          <w:p w14:paraId="7025D927">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0&lt;赔偿金额≤5万</w:t>
            </w:r>
          </w:p>
        </w:tc>
        <w:tc>
          <w:tcPr>
            <w:tcW w:w="4000" w:type="dxa"/>
            <w:vAlign w:val="center"/>
          </w:tcPr>
          <w:p w14:paraId="2D971CCB">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2 万元</w:t>
            </w:r>
          </w:p>
        </w:tc>
      </w:tr>
      <w:tr w14:paraId="27B6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544" w:type="dxa"/>
            <w:vMerge w:val="continue"/>
            <w:vAlign w:val="center"/>
          </w:tcPr>
          <w:p w14:paraId="09F0C5CD">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p>
        </w:tc>
        <w:tc>
          <w:tcPr>
            <w:tcW w:w="3995" w:type="dxa"/>
            <w:vAlign w:val="center"/>
          </w:tcPr>
          <w:p w14:paraId="327B4C9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赔偿金额&gt;5万</w:t>
            </w:r>
          </w:p>
        </w:tc>
        <w:tc>
          <w:tcPr>
            <w:tcW w:w="4000" w:type="dxa"/>
            <w:vAlign w:val="center"/>
          </w:tcPr>
          <w:p w14:paraId="18655816">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2 万元或近三年补偿 (赔偿) 平均值两者取高</w:t>
            </w:r>
          </w:p>
        </w:tc>
      </w:tr>
      <w:tr w14:paraId="1EB9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1544" w:type="dxa"/>
            <w:vAlign w:val="center"/>
          </w:tcPr>
          <w:p w14:paraId="6638FC0D">
            <w:pPr>
              <w:pageBreakBefore w:val="0"/>
              <w:wordWrap/>
              <w:overflowPunct/>
              <w:topLinePunct w:val="0"/>
              <w:autoSpaceDE w:val="0"/>
              <w:autoSpaceDN w:val="0"/>
              <w:bidi w:val="0"/>
              <w:adjustRightInd w:val="0"/>
              <w:snapToGrid w:val="0"/>
              <w:spacing w:line="240" w:lineRule="auto"/>
              <w:jc w:val="center"/>
              <w:outlineLvl w:val="9"/>
              <w:rPr>
                <w:rFonts w:ascii="宋体" w:hAnsi="宋体" w:eastAsia="宋体" w:cs="宋体"/>
                <w:color w:val="auto"/>
                <w:sz w:val="24"/>
              </w:rPr>
            </w:pPr>
            <w:r>
              <w:rPr>
                <w:rFonts w:hint="eastAsia" w:ascii="宋体" w:hAnsi="宋体" w:eastAsia="宋体" w:cs="宋体"/>
                <w:color w:val="auto"/>
                <w:sz w:val="24"/>
              </w:rPr>
              <w:t>上年缴纳</w:t>
            </w:r>
          </w:p>
          <w:p w14:paraId="0B724EBB">
            <w:pPr>
              <w:pageBreakBefore w:val="0"/>
              <w:wordWrap/>
              <w:overflowPunct/>
              <w:topLinePunct w:val="0"/>
              <w:autoSpaceDE w:val="0"/>
              <w:autoSpaceDN w:val="0"/>
              <w:bidi w:val="0"/>
              <w:adjustRightInd w:val="0"/>
              <w:snapToGrid w:val="0"/>
              <w:spacing w:line="240" w:lineRule="auto"/>
              <w:jc w:val="center"/>
              <w:outlineLvl w:val="9"/>
              <w:rPr>
                <w:rFonts w:ascii="宋体" w:hAnsi="宋体" w:eastAsia="宋体" w:cs="宋体"/>
                <w:color w:val="auto"/>
                <w:sz w:val="24"/>
              </w:rPr>
            </w:pPr>
            <w:r>
              <w:rPr>
                <w:rFonts w:hint="eastAsia" w:ascii="宋体" w:hAnsi="宋体" w:eastAsia="宋体" w:cs="宋体"/>
                <w:color w:val="auto"/>
                <w:sz w:val="24"/>
              </w:rPr>
              <w:t>保险费</w:t>
            </w:r>
          </w:p>
        </w:tc>
        <w:tc>
          <w:tcPr>
            <w:tcW w:w="3995" w:type="dxa"/>
            <w:vAlign w:val="center"/>
          </w:tcPr>
          <w:p w14:paraId="293A3521">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上年赔偿情况</w:t>
            </w:r>
          </w:p>
        </w:tc>
        <w:tc>
          <w:tcPr>
            <w:tcW w:w="4000" w:type="dxa"/>
            <w:vAlign w:val="center"/>
          </w:tcPr>
          <w:p w14:paraId="7A9321E2">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当年缴纳保险费标准</w:t>
            </w:r>
          </w:p>
        </w:tc>
      </w:tr>
      <w:tr w14:paraId="3879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544" w:type="dxa"/>
            <w:vMerge w:val="restart"/>
            <w:vAlign w:val="center"/>
          </w:tcPr>
          <w:p w14:paraId="17D2621C">
            <w:pPr>
              <w:pageBreakBefore w:val="0"/>
              <w:wordWrap/>
              <w:overflowPunct/>
              <w:topLinePunct w:val="0"/>
              <w:autoSpaceDE w:val="0"/>
              <w:autoSpaceDN w:val="0"/>
              <w:bidi w:val="0"/>
              <w:adjustRightInd w:val="0"/>
              <w:snapToGrid w:val="0"/>
              <w:spacing w:line="240" w:lineRule="auto"/>
              <w:jc w:val="center"/>
              <w:outlineLvl w:val="9"/>
              <w:rPr>
                <w:rFonts w:ascii="宋体" w:hAnsi="宋体" w:eastAsia="宋体" w:cs="宋体"/>
                <w:color w:val="auto"/>
                <w:sz w:val="24"/>
              </w:rPr>
            </w:pPr>
            <w:r>
              <w:rPr>
                <w:rFonts w:hint="eastAsia" w:ascii="宋体" w:hAnsi="宋体" w:eastAsia="宋体" w:cs="宋体"/>
                <w:color w:val="auto"/>
                <w:sz w:val="24"/>
              </w:rPr>
              <w:t>2万元</w:t>
            </w:r>
          </w:p>
        </w:tc>
        <w:tc>
          <w:tcPr>
            <w:tcW w:w="3995" w:type="dxa"/>
            <w:vAlign w:val="center"/>
          </w:tcPr>
          <w:p w14:paraId="380352D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0 元≤赔偿金额≤5万</w:t>
            </w:r>
          </w:p>
        </w:tc>
        <w:tc>
          <w:tcPr>
            <w:tcW w:w="4000" w:type="dxa"/>
            <w:vAlign w:val="center"/>
          </w:tcPr>
          <w:p w14:paraId="235EB13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2 万元</w:t>
            </w:r>
          </w:p>
        </w:tc>
      </w:tr>
      <w:tr w14:paraId="660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544" w:type="dxa"/>
            <w:vMerge w:val="continue"/>
            <w:vAlign w:val="center"/>
          </w:tcPr>
          <w:p w14:paraId="3100B552">
            <w:pPr>
              <w:pageBreakBefore w:val="0"/>
              <w:wordWrap/>
              <w:overflowPunct/>
              <w:topLinePunct w:val="0"/>
              <w:autoSpaceDE w:val="0"/>
              <w:autoSpaceDN w:val="0"/>
              <w:bidi w:val="0"/>
              <w:adjustRightInd w:val="0"/>
              <w:snapToGrid w:val="0"/>
              <w:spacing w:line="240" w:lineRule="auto"/>
              <w:jc w:val="center"/>
              <w:outlineLvl w:val="9"/>
              <w:rPr>
                <w:rFonts w:ascii="宋体" w:hAnsi="宋体" w:eastAsia="宋体" w:cs="宋体"/>
                <w:color w:val="auto"/>
                <w:sz w:val="24"/>
              </w:rPr>
            </w:pPr>
          </w:p>
        </w:tc>
        <w:tc>
          <w:tcPr>
            <w:tcW w:w="3995" w:type="dxa"/>
            <w:vAlign w:val="center"/>
          </w:tcPr>
          <w:p w14:paraId="1D34E20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赔偿金额&gt;5万</w:t>
            </w:r>
          </w:p>
        </w:tc>
        <w:tc>
          <w:tcPr>
            <w:tcW w:w="4000" w:type="dxa"/>
            <w:vAlign w:val="center"/>
          </w:tcPr>
          <w:p w14:paraId="050F83E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近三年补偿 (赔偿)  平均值</w:t>
            </w:r>
          </w:p>
        </w:tc>
      </w:tr>
      <w:tr w14:paraId="7242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544" w:type="dxa"/>
            <w:vMerge w:val="restart"/>
            <w:vAlign w:val="center"/>
          </w:tcPr>
          <w:p w14:paraId="603DF7C3">
            <w:pPr>
              <w:pageBreakBefore w:val="0"/>
              <w:wordWrap/>
              <w:overflowPunct/>
              <w:topLinePunct w:val="0"/>
              <w:autoSpaceDE w:val="0"/>
              <w:autoSpaceDN w:val="0"/>
              <w:bidi w:val="0"/>
              <w:adjustRightInd w:val="0"/>
              <w:snapToGrid w:val="0"/>
              <w:spacing w:line="240" w:lineRule="auto"/>
              <w:jc w:val="center"/>
              <w:outlineLvl w:val="9"/>
              <w:rPr>
                <w:rFonts w:ascii="宋体" w:hAnsi="宋体" w:eastAsia="宋体" w:cs="宋体"/>
                <w:color w:val="auto"/>
                <w:sz w:val="24"/>
              </w:rPr>
            </w:pPr>
            <w:r>
              <w:rPr>
                <w:rFonts w:hint="eastAsia" w:ascii="宋体" w:hAnsi="宋体" w:eastAsia="宋体" w:cs="宋体"/>
                <w:color w:val="auto"/>
                <w:sz w:val="24"/>
              </w:rPr>
              <w:t>5万以上</w:t>
            </w:r>
          </w:p>
        </w:tc>
        <w:tc>
          <w:tcPr>
            <w:tcW w:w="3995" w:type="dxa"/>
            <w:vAlign w:val="center"/>
          </w:tcPr>
          <w:p w14:paraId="584D595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赔 偿 金 额 ≤  当 年 保 险 费 × 0.5</w:t>
            </w:r>
          </w:p>
        </w:tc>
        <w:tc>
          <w:tcPr>
            <w:tcW w:w="4000" w:type="dxa"/>
            <w:vAlign w:val="center"/>
          </w:tcPr>
          <w:p w14:paraId="4AA266D4">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下调 10%</w:t>
            </w:r>
          </w:p>
        </w:tc>
      </w:tr>
      <w:tr w14:paraId="2042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544" w:type="dxa"/>
            <w:vMerge w:val="continue"/>
            <w:vAlign w:val="center"/>
          </w:tcPr>
          <w:p w14:paraId="39E157A9">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p>
        </w:tc>
        <w:tc>
          <w:tcPr>
            <w:tcW w:w="3995" w:type="dxa"/>
            <w:vAlign w:val="center"/>
          </w:tcPr>
          <w:p w14:paraId="6F05A5D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当年 保 险 费 × 0.5&lt;赔 偿 金 额≤当年保险费 × 0.7</w:t>
            </w:r>
          </w:p>
        </w:tc>
        <w:tc>
          <w:tcPr>
            <w:tcW w:w="4000" w:type="dxa"/>
            <w:vAlign w:val="center"/>
          </w:tcPr>
          <w:p w14:paraId="0639EF8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下调 5%</w:t>
            </w:r>
          </w:p>
        </w:tc>
      </w:tr>
      <w:tr w14:paraId="6A78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544" w:type="dxa"/>
            <w:vMerge w:val="continue"/>
            <w:vAlign w:val="center"/>
          </w:tcPr>
          <w:p w14:paraId="683E5562">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p>
        </w:tc>
        <w:tc>
          <w:tcPr>
            <w:tcW w:w="3995" w:type="dxa"/>
            <w:vAlign w:val="center"/>
          </w:tcPr>
          <w:p w14:paraId="59A8D969">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当年 保 险 费 × 0.7&lt;赔 偿 金 额≤当年保费</w:t>
            </w:r>
          </w:p>
        </w:tc>
        <w:tc>
          <w:tcPr>
            <w:tcW w:w="4000" w:type="dxa"/>
            <w:vAlign w:val="center"/>
          </w:tcPr>
          <w:p w14:paraId="1A79C0AC">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保费同上年</w:t>
            </w:r>
          </w:p>
        </w:tc>
      </w:tr>
      <w:tr w14:paraId="6D78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1544" w:type="dxa"/>
            <w:vMerge w:val="continue"/>
            <w:vAlign w:val="center"/>
          </w:tcPr>
          <w:p w14:paraId="7276BBF0">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p>
        </w:tc>
        <w:tc>
          <w:tcPr>
            <w:tcW w:w="3995" w:type="dxa"/>
            <w:vAlign w:val="center"/>
          </w:tcPr>
          <w:p w14:paraId="498C29D1">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赔偿金额&gt;当年保费</w:t>
            </w:r>
          </w:p>
        </w:tc>
        <w:tc>
          <w:tcPr>
            <w:tcW w:w="4000" w:type="dxa"/>
            <w:vAlign w:val="center"/>
          </w:tcPr>
          <w:p w14:paraId="542F296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近三年赔付平均值 × 1.1</w:t>
            </w:r>
          </w:p>
        </w:tc>
      </w:tr>
    </w:tbl>
    <w:p w14:paraId="578C2617">
      <w:pPr>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ascii="宋体" w:hAnsi="宋体" w:eastAsia="宋体" w:cs="宋体"/>
          <w:b/>
          <w:bCs/>
          <w:color w:val="auto"/>
          <w:sz w:val="24"/>
        </w:rPr>
      </w:pPr>
      <w:r>
        <w:rPr>
          <w:rFonts w:hint="eastAsia" w:ascii="宋体" w:hAnsi="宋体" w:eastAsia="宋体" w:cs="宋体"/>
          <w:b/>
          <w:bCs/>
          <w:color w:val="auto"/>
          <w:kern w:val="0"/>
          <w:sz w:val="24"/>
          <w:lang w:bidi="ar"/>
        </w:rPr>
        <w:t xml:space="preserve">（四）年累计赔偿限额和每次事故赔偿限额 </w:t>
      </w:r>
    </w:p>
    <w:p w14:paraId="6260B1EA">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1. 年累计赔偿限额= (省级层面每年缴纳保险费总额+市县层面每年缴纳保险费总额)×4。每次事故赔偿限额为600万元; </w:t>
      </w:r>
    </w:p>
    <w:p w14:paraId="3D747433">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2. 当年理赔额度超过年累计赔偿限额时,可启用 “风险调节准备金”作为补充。当一次性理赔金额达到或超过30万元时,可按实际支付理赔金额的20%提取 “风险调节 准备金”作为补充; </w:t>
      </w:r>
    </w:p>
    <w:p w14:paraId="686BBB36">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3. 当出现累计赔偿限额和每次事故赔偿限额超出部分,由省、市县按事权责任负责兜底。 </w:t>
      </w:r>
    </w:p>
    <w:p w14:paraId="0F5DCEB7">
      <w:pPr>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ascii="宋体" w:hAnsi="宋体" w:eastAsia="宋体" w:cs="宋体"/>
          <w:b/>
          <w:bCs/>
          <w:color w:val="auto"/>
          <w:sz w:val="24"/>
        </w:rPr>
      </w:pPr>
      <w:r>
        <w:rPr>
          <w:rFonts w:hint="eastAsia" w:ascii="宋体" w:hAnsi="宋体" w:eastAsia="宋体" w:cs="宋体"/>
          <w:b/>
          <w:bCs/>
          <w:color w:val="auto"/>
          <w:kern w:val="0"/>
          <w:sz w:val="24"/>
          <w:lang w:bidi="ar"/>
        </w:rPr>
        <w:t xml:space="preserve">（五）赔偿标准 </w:t>
      </w:r>
    </w:p>
    <w:p w14:paraId="27CD1DD8">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根据 《补偿办法》规定,将按以下标准予以赔偿: </w:t>
      </w:r>
    </w:p>
    <w:p w14:paraId="65B55FA4">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1. 造成身体伤害的,可支付医疗救治费及因误工减少的收入。医疗救治费由保险赔偿80%,个人承担20%。因误工减少的收入每日的补偿金按照所在县 (市、区)上年度职工日平均工资计算,最高额为所在县 (市、区)上年度职工年平均工资的2倍。 </w:t>
      </w:r>
    </w:p>
    <w:p w14:paraId="5748F19B">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2. 造成部分或者全部丧失劳动能力的,可支付医疗救治费及一次性残疾补助金,残疾补助金根据丧失劳动能力的程度确定,部分丧失劳动能力的最高额为所在县 (市、区)上年度职工年平均工资的5倍,全部丧失劳动能力的最高额为所在县 (市、区)上年度职工年平均工资的10倍。 </w:t>
      </w:r>
    </w:p>
    <w:p w14:paraId="0A1ADFFB">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3. 造成死亡的,可支付死亡补偿金、丧葬费,总额为所在县 (市、区)上年度职工年平均工资的10倍。 </w:t>
      </w:r>
    </w:p>
    <w:p w14:paraId="74C8CD55">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4. 损毁农作物的,比照受损作物前3年当地单位面积的平均产量和当时当地市场价格的60%实施赔偿。 </w:t>
      </w:r>
    </w:p>
    <w:p w14:paraId="35612052">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5. 伤害家畜的,对受伤家畜医疗费的补偿金额最高按此家畜价值的30%实施赔偿;对死亡家畜的补偿金额按此家畜的实际损失价值实施赔偿。 </w:t>
      </w:r>
    </w:p>
    <w:p w14:paraId="6381F23D">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ascii="宋体" w:hAnsi="宋体" w:eastAsia="宋体" w:cs="宋体"/>
          <w:color w:val="auto"/>
          <w:sz w:val="24"/>
        </w:rPr>
      </w:pPr>
      <w:r>
        <w:rPr>
          <w:rFonts w:hint="eastAsia" w:ascii="宋体" w:hAnsi="宋体" w:eastAsia="宋体" w:cs="宋体"/>
          <w:color w:val="auto"/>
          <w:kern w:val="0"/>
          <w:sz w:val="24"/>
          <w:lang w:bidi="ar"/>
        </w:rPr>
        <w:t xml:space="preserve">6. 其他情形的由吉林省重点保护陆生野生动物造成人身财产损害补偿管理办公室、保险经纪公司与保险公司核准确认后实施赔偿。 </w:t>
      </w:r>
    </w:p>
    <w:p w14:paraId="27BFB140">
      <w:pPr>
        <w:pageBreakBefore w:val="0"/>
        <w:widowControl/>
        <w:kinsoku w:val="0"/>
        <w:wordWrap/>
        <w:overflowPunct/>
        <w:topLinePunct w:val="0"/>
        <w:autoSpaceDE w:val="0"/>
        <w:autoSpaceDN w:val="0"/>
        <w:bidi w:val="0"/>
        <w:adjustRightInd w:val="0"/>
        <w:snapToGrid w:val="0"/>
        <w:spacing w:line="360" w:lineRule="auto"/>
        <w:ind w:firstLine="240" w:firstLineChars="100"/>
        <w:jc w:val="left"/>
        <w:textAlignment w:val="baseline"/>
        <w:outlineLvl w:val="9"/>
        <w:rPr>
          <w:rFonts w:ascii="宋体" w:hAnsi="宋体" w:eastAsia="宋体" w:cs="宋体"/>
          <w:color w:val="auto"/>
          <w:kern w:val="0"/>
          <w:sz w:val="24"/>
          <w:lang w:bidi="ar"/>
        </w:rPr>
      </w:pPr>
      <w:r>
        <w:rPr>
          <w:rFonts w:hint="eastAsia" w:ascii="宋体" w:hAnsi="宋体" w:eastAsia="宋体" w:cs="宋体"/>
          <w:color w:val="auto"/>
          <w:kern w:val="0"/>
          <w:sz w:val="24"/>
          <w:lang w:bidi="ar"/>
        </w:rPr>
        <w:t>县(市、区)未追加参保的,将按以上赔偿标准的50%予以赔偿;县(市、区)追加参保的,将按以上赔偿标准全额予以赔偿。</w:t>
      </w:r>
    </w:p>
    <w:p w14:paraId="1822B476">
      <w:pPr>
        <w:pStyle w:val="62"/>
        <w:keepNext w:val="0"/>
        <w:keepLines w:val="0"/>
        <w:pageBreakBefore w:val="0"/>
        <w:wordWrap/>
        <w:overflowPunct/>
        <w:topLinePunct w:val="0"/>
        <w:bidi w:val="0"/>
        <w:spacing w:before="0" w:after="0" w:line="360" w:lineRule="auto"/>
        <w:jc w:val="left"/>
        <w:outlineLvl w:val="9"/>
        <w:rPr>
          <w:rFonts w:ascii="宋体" w:hAnsi="宋体" w:cs="宋体"/>
          <w:bCs w:val="0"/>
          <w:color w:val="auto"/>
          <w:sz w:val="24"/>
          <w:szCs w:val="24"/>
        </w:rPr>
      </w:pPr>
      <w:r>
        <w:rPr>
          <w:rFonts w:hint="eastAsia" w:ascii="宋体" w:hAnsi="宋体" w:cs="宋体"/>
          <w:bCs w:val="0"/>
          <w:color w:val="auto"/>
          <w:sz w:val="24"/>
          <w:szCs w:val="24"/>
        </w:rPr>
        <w:t>五、商务要求</w:t>
      </w:r>
    </w:p>
    <w:tbl>
      <w:tblPr>
        <w:tblStyle w:val="24"/>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3107"/>
        <w:gridCol w:w="5348"/>
      </w:tblGrid>
      <w:tr w14:paraId="43539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5" w:type="dxa"/>
            <w:vAlign w:val="center"/>
          </w:tcPr>
          <w:p w14:paraId="0E77FD3C">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序号</w:t>
            </w:r>
          </w:p>
        </w:tc>
        <w:tc>
          <w:tcPr>
            <w:tcW w:w="3107" w:type="dxa"/>
            <w:vAlign w:val="center"/>
          </w:tcPr>
          <w:p w14:paraId="379A11E9">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内容</w:t>
            </w:r>
          </w:p>
        </w:tc>
        <w:tc>
          <w:tcPr>
            <w:tcW w:w="5348" w:type="dxa"/>
            <w:vAlign w:val="center"/>
          </w:tcPr>
          <w:p w14:paraId="1BBC2A93">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要求</w:t>
            </w:r>
          </w:p>
        </w:tc>
      </w:tr>
      <w:tr w14:paraId="3F7D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5" w:type="dxa"/>
            <w:vAlign w:val="center"/>
          </w:tcPr>
          <w:p w14:paraId="2ECF99B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1</w:t>
            </w:r>
          </w:p>
        </w:tc>
        <w:tc>
          <w:tcPr>
            <w:tcW w:w="3107" w:type="dxa"/>
            <w:vAlign w:val="center"/>
          </w:tcPr>
          <w:p w14:paraId="43C0163C">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服务时间（期限）</w:t>
            </w:r>
          </w:p>
        </w:tc>
        <w:tc>
          <w:tcPr>
            <w:tcW w:w="5348" w:type="dxa"/>
            <w:vAlign w:val="center"/>
          </w:tcPr>
          <w:p w14:paraId="4718A372">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自签订合同之日起一年</w:t>
            </w:r>
          </w:p>
        </w:tc>
      </w:tr>
      <w:tr w14:paraId="4FD0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725" w:type="dxa"/>
            <w:vAlign w:val="center"/>
          </w:tcPr>
          <w:p w14:paraId="7FB45105">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2</w:t>
            </w:r>
          </w:p>
        </w:tc>
        <w:tc>
          <w:tcPr>
            <w:tcW w:w="3107" w:type="dxa"/>
            <w:vAlign w:val="center"/>
          </w:tcPr>
          <w:p w14:paraId="0D1CE4A0">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交付（实施）的地点（范围）</w:t>
            </w:r>
          </w:p>
        </w:tc>
        <w:tc>
          <w:tcPr>
            <w:tcW w:w="5348" w:type="dxa"/>
            <w:vAlign w:val="center"/>
          </w:tcPr>
          <w:p w14:paraId="7EA3FC0F">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采购人指定地点</w:t>
            </w:r>
          </w:p>
        </w:tc>
      </w:tr>
      <w:tr w14:paraId="5C7DE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5" w:type="dxa"/>
            <w:vAlign w:val="center"/>
          </w:tcPr>
          <w:p w14:paraId="41507F62">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3</w:t>
            </w:r>
          </w:p>
        </w:tc>
        <w:tc>
          <w:tcPr>
            <w:tcW w:w="3107" w:type="dxa"/>
            <w:vAlign w:val="center"/>
          </w:tcPr>
          <w:p w14:paraId="6FA64F47">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lang w:val="zh-CN"/>
              </w:rPr>
            </w:pPr>
            <w:r>
              <w:rPr>
                <w:rFonts w:hint="eastAsia" w:ascii="宋体" w:hAnsi="宋体" w:eastAsia="宋体" w:cs="宋体"/>
                <w:color w:val="auto"/>
                <w:sz w:val="24"/>
              </w:rPr>
              <w:t>付款条件（进度和方式）</w:t>
            </w:r>
          </w:p>
        </w:tc>
        <w:tc>
          <w:tcPr>
            <w:tcW w:w="5348" w:type="dxa"/>
            <w:vAlign w:val="center"/>
          </w:tcPr>
          <w:p w14:paraId="3DBDC6CC">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按采购人协议要求</w:t>
            </w:r>
          </w:p>
        </w:tc>
      </w:tr>
      <w:tr w14:paraId="0D831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5" w:type="dxa"/>
            <w:vAlign w:val="center"/>
          </w:tcPr>
          <w:p w14:paraId="74405F9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4</w:t>
            </w:r>
          </w:p>
        </w:tc>
        <w:tc>
          <w:tcPr>
            <w:tcW w:w="3107" w:type="dxa"/>
            <w:vAlign w:val="center"/>
          </w:tcPr>
          <w:p w14:paraId="4B9E8D14">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lang w:val="zh-CN"/>
              </w:rPr>
            </w:pPr>
            <w:r>
              <w:rPr>
                <w:rFonts w:hint="eastAsia" w:ascii="宋体" w:hAnsi="宋体" w:eastAsia="宋体" w:cs="宋体"/>
                <w:color w:val="auto"/>
                <w:sz w:val="24"/>
              </w:rPr>
              <w:t>售后服务要求</w:t>
            </w:r>
          </w:p>
        </w:tc>
        <w:tc>
          <w:tcPr>
            <w:tcW w:w="5348" w:type="dxa"/>
            <w:vAlign w:val="center"/>
          </w:tcPr>
          <w:p w14:paraId="1111E290">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优质服务、符合采购人及行业部门质量要求标准</w:t>
            </w:r>
          </w:p>
        </w:tc>
      </w:tr>
      <w:tr w14:paraId="0E285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5" w:type="dxa"/>
            <w:vAlign w:val="center"/>
          </w:tcPr>
          <w:p w14:paraId="020867ED">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5</w:t>
            </w:r>
          </w:p>
        </w:tc>
        <w:tc>
          <w:tcPr>
            <w:tcW w:w="3107" w:type="dxa"/>
            <w:vAlign w:val="center"/>
          </w:tcPr>
          <w:p w14:paraId="289D999E">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证明材料</w:t>
            </w:r>
          </w:p>
        </w:tc>
        <w:tc>
          <w:tcPr>
            <w:tcW w:w="5348" w:type="dxa"/>
            <w:vAlign w:val="center"/>
          </w:tcPr>
          <w:p w14:paraId="1A6E672A">
            <w:pPr>
              <w:pageBreakBefore w:val="0"/>
              <w:wordWrap/>
              <w:overflowPunct/>
              <w:topLinePunct w:val="0"/>
              <w:autoSpaceDE w:val="0"/>
              <w:autoSpaceDN w:val="0"/>
              <w:bidi w:val="0"/>
              <w:adjustRightInd w:val="0"/>
              <w:snapToGrid w:val="0"/>
              <w:spacing w:line="360" w:lineRule="auto"/>
              <w:jc w:val="center"/>
              <w:outlineLvl w:val="9"/>
              <w:rPr>
                <w:rFonts w:ascii="宋体" w:hAnsi="宋体" w:eastAsia="宋体" w:cs="宋体"/>
                <w:color w:val="auto"/>
                <w:sz w:val="24"/>
              </w:rPr>
            </w:pPr>
            <w:r>
              <w:rPr>
                <w:rFonts w:hint="eastAsia" w:ascii="宋体" w:hAnsi="宋体" w:eastAsia="宋体" w:cs="宋体"/>
                <w:color w:val="auto"/>
                <w:sz w:val="24"/>
              </w:rPr>
              <w:t>无</w:t>
            </w:r>
          </w:p>
        </w:tc>
      </w:tr>
    </w:tbl>
    <w:p w14:paraId="0EB382D8">
      <w:pPr>
        <w:pStyle w:val="62"/>
        <w:keepNext w:val="0"/>
        <w:keepLines w:val="0"/>
        <w:pageBreakBefore w:val="0"/>
        <w:wordWrap/>
        <w:overflowPunct/>
        <w:topLinePunct w:val="0"/>
        <w:bidi w:val="0"/>
        <w:spacing w:before="0" w:after="0" w:line="360" w:lineRule="auto"/>
        <w:jc w:val="left"/>
        <w:outlineLvl w:val="9"/>
        <w:rPr>
          <w:rFonts w:ascii="宋体" w:hAnsi="宋体" w:cs="宋体"/>
          <w:bCs w:val="0"/>
          <w:color w:val="auto"/>
          <w:sz w:val="24"/>
          <w:szCs w:val="24"/>
        </w:rPr>
      </w:pPr>
    </w:p>
    <w:p w14:paraId="1F3256D3">
      <w:pPr>
        <w:pStyle w:val="62"/>
        <w:keepNext w:val="0"/>
        <w:keepLines w:val="0"/>
        <w:pageBreakBefore w:val="0"/>
        <w:wordWrap/>
        <w:overflowPunct/>
        <w:topLinePunct w:val="0"/>
        <w:bidi w:val="0"/>
        <w:spacing w:before="0" w:after="0" w:line="360" w:lineRule="auto"/>
        <w:jc w:val="left"/>
        <w:outlineLvl w:val="9"/>
        <w:rPr>
          <w:rFonts w:ascii="宋体" w:hAnsi="宋体" w:cs="宋体"/>
          <w:bCs w:val="0"/>
          <w:color w:val="auto"/>
          <w:sz w:val="24"/>
          <w:szCs w:val="24"/>
        </w:rPr>
      </w:pPr>
      <w:r>
        <w:rPr>
          <w:rFonts w:hint="eastAsia" w:ascii="宋体" w:hAnsi="宋体" w:cs="宋体"/>
          <w:bCs w:val="0"/>
          <w:color w:val="auto"/>
          <w:sz w:val="24"/>
          <w:szCs w:val="24"/>
        </w:rPr>
        <w:t>六、合同主要条款</w:t>
      </w:r>
    </w:p>
    <w:tbl>
      <w:tblPr>
        <w:tblStyle w:val="24"/>
        <w:tblW w:w="914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73"/>
        <w:gridCol w:w="5327"/>
      </w:tblGrid>
      <w:tr w14:paraId="6BA5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6" w:space="0"/>
              <w:bottom w:val="single" w:color="auto" w:sz="6" w:space="0"/>
              <w:right w:val="single" w:color="auto" w:sz="6" w:space="0"/>
            </w:tcBorders>
            <w:vAlign w:val="center"/>
          </w:tcPr>
          <w:p w14:paraId="08F3A0A2">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序号</w:t>
            </w:r>
          </w:p>
        </w:tc>
        <w:tc>
          <w:tcPr>
            <w:tcW w:w="2973" w:type="dxa"/>
            <w:tcBorders>
              <w:top w:val="single" w:color="auto" w:sz="6" w:space="0"/>
              <w:left w:val="single" w:color="auto" w:sz="6" w:space="0"/>
              <w:bottom w:val="single" w:color="auto" w:sz="6" w:space="0"/>
              <w:right w:val="single" w:color="auto" w:sz="6" w:space="0"/>
            </w:tcBorders>
            <w:vAlign w:val="center"/>
          </w:tcPr>
          <w:p w14:paraId="5090EEEC">
            <w:pPr>
              <w:pStyle w:val="61"/>
              <w:pageBreakBefore w:val="0"/>
              <w:wordWrap/>
              <w:overflowPunct/>
              <w:topLinePunct w:val="0"/>
              <w:bidi w:val="0"/>
              <w:snapToGrid w:val="0"/>
              <w:spacing w:line="360" w:lineRule="auto"/>
              <w:jc w:val="center"/>
              <w:outlineLvl w:val="9"/>
              <w:rPr>
                <w:rFonts w:ascii="宋体" w:hAnsi="宋体" w:cs="宋体"/>
                <w:color w:val="auto"/>
                <w:kern w:val="0"/>
                <w:sz w:val="24"/>
                <w:lang w:val="zh-CN"/>
              </w:rPr>
            </w:pPr>
            <w:r>
              <w:rPr>
                <w:rFonts w:hint="eastAsia" w:ascii="宋体" w:hAnsi="宋体" w:cs="宋体"/>
                <w:color w:val="auto"/>
                <w:kern w:val="0"/>
                <w:sz w:val="24"/>
                <w:lang w:val="zh-CN"/>
              </w:rPr>
              <w:t>内容</w:t>
            </w:r>
          </w:p>
        </w:tc>
        <w:tc>
          <w:tcPr>
            <w:tcW w:w="5327" w:type="dxa"/>
            <w:tcBorders>
              <w:top w:val="single" w:color="auto" w:sz="6" w:space="0"/>
              <w:left w:val="single" w:color="auto" w:sz="6" w:space="0"/>
              <w:bottom w:val="single" w:color="auto" w:sz="6" w:space="0"/>
              <w:right w:val="single" w:color="auto" w:sz="6" w:space="0"/>
            </w:tcBorders>
            <w:vAlign w:val="center"/>
          </w:tcPr>
          <w:p w14:paraId="2D0A9546">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要求</w:t>
            </w:r>
          </w:p>
        </w:tc>
      </w:tr>
      <w:tr w14:paraId="499F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0" w:type="dxa"/>
            <w:tcBorders>
              <w:top w:val="single" w:color="auto" w:sz="6" w:space="0"/>
              <w:left w:val="single" w:color="auto" w:sz="4" w:space="0"/>
              <w:bottom w:val="single" w:color="auto" w:sz="4" w:space="0"/>
              <w:right w:val="single" w:color="auto" w:sz="4" w:space="0"/>
            </w:tcBorders>
            <w:vAlign w:val="center"/>
          </w:tcPr>
          <w:p w14:paraId="0D8F4D29">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1</w:t>
            </w:r>
          </w:p>
        </w:tc>
        <w:tc>
          <w:tcPr>
            <w:tcW w:w="2973" w:type="dxa"/>
            <w:tcBorders>
              <w:top w:val="single" w:color="auto" w:sz="6" w:space="0"/>
              <w:left w:val="single" w:color="auto" w:sz="4" w:space="0"/>
              <w:bottom w:val="single" w:color="auto" w:sz="4" w:space="0"/>
              <w:right w:val="single" w:color="auto" w:sz="4" w:space="0"/>
            </w:tcBorders>
            <w:vAlign w:val="center"/>
          </w:tcPr>
          <w:p w14:paraId="4734EE52">
            <w:pPr>
              <w:pStyle w:val="61"/>
              <w:pageBreakBefore w:val="0"/>
              <w:wordWrap/>
              <w:overflowPunct/>
              <w:topLinePunct w:val="0"/>
              <w:bidi w:val="0"/>
              <w:snapToGrid w:val="0"/>
              <w:spacing w:line="360" w:lineRule="auto"/>
              <w:jc w:val="center"/>
              <w:outlineLvl w:val="9"/>
              <w:rPr>
                <w:rFonts w:ascii="宋体" w:hAnsi="宋体" w:cs="宋体"/>
                <w:color w:val="auto"/>
                <w:kern w:val="0"/>
                <w:sz w:val="24"/>
                <w:lang w:val="zh-CN"/>
              </w:rPr>
            </w:pPr>
            <w:r>
              <w:rPr>
                <w:rFonts w:hint="eastAsia" w:ascii="宋体" w:hAnsi="宋体" w:cs="宋体"/>
                <w:color w:val="auto"/>
                <w:kern w:val="0"/>
                <w:sz w:val="24"/>
                <w:lang w:val="zh-CN"/>
              </w:rPr>
              <w:t>合同类型及定价方式</w:t>
            </w:r>
          </w:p>
        </w:tc>
        <w:tc>
          <w:tcPr>
            <w:tcW w:w="5327" w:type="dxa"/>
            <w:tcBorders>
              <w:top w:val="single" w:color="auto" w:sz="6" w:space="0"/>
              <w:left w:val="single" w:color="auto" w:sz="4" w:space="0"/>
              <w:bottom w:val="single" w:color="auto" w:sz="4" w:space="0"/>
              <w:right w:val="single" w:color="auto" w:sz="4" w:space="0"/>
            </w:tcBorders>
            <w:vAlign w:val="center"/>
          </w:tcPr>
          <w:p w14:paraId="15BC9CFE">
            <w:pPr>
              <w:pStyle w:val="61"/>
              <w:pageBreakBefore w:val="0"/>
              <w:wordWrap/>
              <w:overflowPunct/>
              <w:topLinePunct w:val="0"/>
              <w:bidi w:val="0"/>
              <w:snapToGrid w:val="0"/>
              <w:spacing w:line="360" w:lineRule="auto"/>
              <w:jc w:val="left"/>
              <w:outlineLvl w:val="9"/>
              <w:rPr>
                <w:rFonts w:ascii="宋体" w:hAnsi="宋体" w:cs="宋体"/>
                <w:color w:val="auto"/>
                <w:kern w:val="0"/>
                <w:sz w:val="24"/>
              </w:rPr>
            </w:pPr>
            <w:r>
              <w:rPr>
                <w:rFonts w:hint="eastAsia" w:ascii="宋体" w:hAnsi="宋体" w:cs="宋体"/>
                <w:color w:val="auto"/>
                <w:kern w:val="0"/>
                <w:sz w:val="24"/>
              </w:rPr>
              <w:t>本项目为固定总价合同。</w:t>
            </w:r>
          </w:p>
          <w:p w14:paraId="09B68195">
            <w:pPr>
              <w:pStyle w:val="61"/>
              <w:pageBreakBefore w:val="0"/>
              <w:wordWrap/>
              <w:overflowPunct/>
              <w:topLinePunct w:val="0"/>
              <w:bidi w:val="0"/>
              <w:snapToGrid w:val="0"/>
              <w:spacing w:line="360" w:lineRule="auto"/>
              <w:jc w:val="left"/>
              <w:outlineLvl w:val="9"/>
              <w:rPr>
                <w:rFonts w:ascii="宋体" w:hAnsi="宋体" w:cs="宋体"/>
                <w:color w:val="auto"/>
                <w:kern w:val="0"/>
                <w:sz w:val="24"/>
              </w:rPr>
            </w:pPr>
            <w:r>
              <w:rPr>
                <w:rFonts w:hint="eastAsia" w:ascii="宋体" w:hAnsi="宋体" w:cs="宋体"/>
                <w:color w:val="auto"/>
                <w:kern w:val="0"/>
                <w:sz w:val="24"/>
              </w:rPr>
              <w:t>说明：供应商的报价应当包含为完成本项目全部工作所需的一切费用，包括成本、利润、税金等。</w:t>
            </w:r>
          </w:p>
        </w:tc>
      </w:tr>
      <w:tr w14:paraId="2FA1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8970AAC">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2</w:t>
            </w:r>
          </w:p>
        </w:tc>
        <w:tc>
          <w:tcPr>
            <w:tcW w:w="2973" w:type="dxa"/>
            <w:tcBorders>
              <w:top w:val="single" w:color="auto" w:sz="4" w:space="0"/>
              <w:left w:val="single" w:color="auto" w:sz="4" w:space="0"/>
              <w:bottom w:val="single" w:color="auto" w:sz="4" w:space="0"/>
              <w:right w:val="single" w:color="auto" w:sz="4" w:space="0"/>
            </w:tcBorders>
            <w:shd w:val="clear" w:color="auto" w:fill="auto"/>
            <w:vAlign w:val="center"/>
          </w:tcPr>
          <w:p w14:paraId="17AA7B0D">
            <w:pPr>
              <w:pStyle w:val="61"/>
              <w:pageBreakBefore w:val="0"/>
              <w:wordWrap/>
              <w:overflowPunct/>
              <w:topLinePunct w:val="0"/>
              <w:bidi w:val="0"/>
              <w:snapToGrid w:val="0"/>
              <w:spacing w:line="360" w:lineRule="auto"/>
              <w:jc w:val="center"/>
              <w:outlineLvl w:val="9"/>
              <w:rPr>
                <w:rFonts w:ascii="宋体" w:hAnsi="宋体" w:cs="宋体"/>
                <w:color w:val="auto"/>
                <w:kern w:val="0"/>
                <w:sz w:val="24"/>
                <w:lang w:val="zh-CN"/>
              </w:rPr>
            </w:pPr>
            <w:r>
              <w:rPr>
                <w:rFonts w:hint="eastAsia" w:ascii="宋体" w:hAnsi="宋体" w:cs="宋体"/>
                <w:color w:val="auto"/>
                <w:kern w:val="0"/>
                <w:sz w:val="24"/>
              </w:rPr>
              <w:t>履约保证金数额</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6AFCEBC8">
            <w:pPr>
              <w:pStyle w:val="61"/>
              <w:pageBreakBefore w:val="0"/>
              <w:wordWrap/>
              <w:overflowPunct/>
              <w:topLinePunct w:val="0"/>
              <w:bidi w:val="0"/>
              <w:snapToGrid w:val="0"/>
              <w:spacing w:line="360" w:lineRule="auto"/>
              <w:jc w:val="left"/>
              <w:outlineLvl w:val="9"/>
              <w:rPr>
                <w:rFonts w:ascii="宋体" w:hAnsi="宋体" w:cs="宋体"/>
                <w:color w:val="auto"/>
                <w:kern w:val="0"/>
                <w:sz w:val="24"/>
                <w:lang w:val="zh-CN"/>
              </w:rPr>
            </w:pPr>
            <w:r>
              <w:rPr>
                <w:rFonts w:hint="eastAsia" w:ascii="宋体" w:hAnsi="宋体" w:cs="宋体"/>
                <w:color w:val="auto"/>
                <w:kern w:val="0"/>
                <w:sz w:val="24"/>
                <w:lang w:val="zh-CN"/>
              </w:rPr>
              <w:t>本项目履约保证金共人民币</w:t>
            </w:r>
            <w:r>
              <w:rPr>
                <w:rFonts w:hint="eastAsia" w:ascii="宋体" w:hAnsi="宋体" w:cs="宋体"/>
                <w:color w:val="auto"/>
                <w:kern w:val="0"/>
                <w:sz w:val="24"/>
              </w:rPr>
              <w:t>60万元</w:t>
            </w:r>
            <w:r>
              <w:rPr>
                <w:rFonts w:hint="eastAsia" w:ascii="宋体" w:hAnsi="宋体" w:cs="宋体"/>
                <w:color w:val="auto"/>
                <w:kern w:val="0"/>
                <w:sz w:val="24"/>
                <w:lang w:val="zh-CN"/>
              </w:rPr>
              <w:t>整。（</w:t>
            </w:r>
            <w:r>
              <w:rPr>
                <w:rFonts w:hint="eastAsia" w:ascii="宋体" w:hAnsi="宋体" w:cs="宋体"/>
                <w:color w:val="auto"/>
                <w:kern w:val="0"/>
                <w:sz w:val="24"/>
                <w:lang w:val="en-US" w:eastAsia="zh-CN"/>
              </w:rPr>
              <w:t>各中标单位按承包比例缴纳履约保证金</w:t>
            </w:r>
            <w:r>
              <w:rPr>
                <w:rFonts w:hint="eastAsia" w:ascii="宋体" w:hAnsi="宋体" w:cs="宋体"/>
                <w:color w:val="auto"/>
                <w:kern w:val="0"/>
                <w:sz w:val="24"/>
                <w:lang w:val="zh-CN"/>
              </w:rPr>
              <w:t>）</w:t>
            </w:r>
          </w:p>
          <w:p w14:paraId="3AF589B6">
            <w:pPr>
              <w:pStyle w:val="61"/>
              <w:pageBreakBefore w:val="0"/>
              <w:wordWrap/>
              <w:overflowPunct/>
              <w:topLinePunct w:val="0"/>
              <w:bidi w:val="0"/>
              <w:snapToGrid w:val="0"/>
              <w:spacing w:line="360" w:lineRule="auto"/>
              <w:jc w:val="left"/>
              <w:outlineLvl w:val="9"/>
              <w:rPr>
                <w:rFonts w:ascii="宋体" w:hAnsi="宋体" w:cs="宋体"/>
                <w:color w:val="auto"/>
                <w:kern w:val="0"/>
                <w:sz w:val="24"/>
                <w:lang w:val="zh-CN"/>
              </w:rPr>
            </w:pPr>
            <w:r>
              <w:rPr>
                <w:rFonts w:hint="eastAsia" w:ascii="宋体" w:hAnsi="宋体" w:cs="宋体"/>
                <w:color w:val="auto"/>
                <w:kern w:val="0"/>
                <w:sz w:val="24"/>
                <w:lang w:val="zh-CN"/>
              </w:rPr>
              <w:t>支付方式：转账、电汇等。</w:t>
            </w:r>
          </w:p>
          <w:p w14:paraId="408CE2E6">
            <w:pPr>
              <w:pStyle w:val="61"/>
              <w:pageBreakBefore w:val="0"/>
              <w:wordWrap/>
              <w:overflowPunct/>
              <w:topLinePunct w:val="0"/>
              <w:bidi w:val="0"/>
              <w:snapToGrid w:val="0"/>
              <w:spacing w:line="360" w:lineRule="auto"/>
              <w:jc w:val="left"/>
              <w:outlineLvl w:val="9"/>
              <w:rPr>
                <w:rFonts w:ascii="宋体" w:hAnsi="宋体" w:cs="宋体"/>
                <w:color w:val="auto"/>
                <w:kern w:val="0"/>
                <w:sz w:val="24"/>
                <w:lang w:val="zh-CN"/>
              </w:rPr>
            </w:pPr>
            <w:r>
              <w:rPr>
                <w:rFonts w:hint="eastAsia" w:ascii="宋体" w:hAnsi="宋体" w:cs="宋体"/>
                <w:color w:val="auto"/>
                <w:kern w:val="0"/>
                <w:sz w:val="24"/>
                <w:lang w:val="zh-CN"/>
              </w:rPr>
              <w:t>保证金账户信息：</w:t>
            </w:r>
          </w:p>
          <w:p w14:paraId="5408BA0A">
            <w:pPr>
              <w:pStyle w:val="61"/>
              <w:pageBreakBefore w:val="0"/>
              <w:wordWrap/>
              <w:overflowPunct/>
              <w:topLinePunct w:val="0"/>
              <w:bidi w:val="0"/>
              <w:snapToGrid w:val="0"/>
              <w:spacing w:line="360" w:lineRule="auto"/>
              <w:jc w:val="left"/>
              <w:outlineLvl w:val="9"/>
              <w:rPr>
                <w:rFonts w:ascii="宋体" w:hAnsi="宋体" w:cs="宋体"/>
                <w:color w:val="auto"/>
                <w:kern w:val="0"/>
                <w:sz w:val="24"/>
                <w:lang w:val="zh-CN"/>
              </w:rPr>
            </w:pPr>
            <w:r>
              <w:rPr>
                <w:rFonts w:hint="eastAsia" w:ascii="宋体" w:hAnsi="宋体" w:cs="宋体"/>
                <w:color w:val="auto"/>
                <w:kern w:val="0"/>
                <w:sz w:val="24"/>
                <w:lang w:val="zh-CN"/>
              </w:rPr>
              <w:t>户  名：圣源祥保险经纪有限公司吉林分公司</w:t>
            </w:r>
          </w:p>
          <w:p w14:paraId="60E13BD1">
            <w:pPr>
              <w:pStyle w:val="61"/>
              <w:pageBreakBefore w:val="0"/>
              <w:wordWrap/>
              <w:overflowPunct/>
              <w:topLinePunct w:val="0"/>
              <w:bidi w:val="0"/>
              <w:snapToGrid w:val="0"/>
              <w:spacing w:line="360" w:lineRule="auto"/>
              <w:jc w:val="left"/>
              <w:outlineLvl w:val="9"/>
              <w:rPr>
                <w:rFonts w:ascii="宋体" w:hAnsi="宋体" w:cs="宋体"/>
                <w:color w:val="auto"/>
                <w:kern w:val="0"/>
                <w:sz w:val="24"/>
                <w:lang w:val="zh-CN"/>
              </w:rPr>
            </w:pPr>
            <w:r>
              <w:rPr>
                <w:rFonts w:hint="eastAsia" w:ascii="宋体" w:hAnsi="宋体" w:cs="宋体"/>
                <w:color w:val="auto"/>
                <w:kern w:val="0"/>
                <w:sz w:val="24"/>
                <w:lang w:val="zh-CN"/>
              </w:rPr>
              <w:t>帐  号：22050131007100000570</w:t>
            </w:r>
          </w:p>
          <w:p w14:paraId="02176857">
            <w:pPr>
              <w:pStyle w:val="61"/>
              <w:pageBreakBefore w:val="0"/>
              <w:wordWrap/>
              <w:overflowPunct/>
              <w:topLinePunct w:val="0"/>
              <w:bidi w:val="0"/>
              <w:snapToGrid w:val="0"/>
              <w:spacing w:line="360" w:lineRule="auto"/>
              <w:jc w:val="left"/>
              <w:outlineLvl w:val="9"/>
              <w:rPr>
                <w:rFonts w:ascii="宋体" w:hAnsi="宋体" w:cs="宋体"/>
                <w:color w:val="auto"/>
                <w:kern w:val="0"/>
                <w:sz w:val="24"/>
                <w:lang w:val="zh-CN"/>
              </w:rPr>
            </w:pPr>
            <w:r>
              <w:rPr>
                <w:rFonts w:hint="eastAsia" w:ascii="宋体" w:hAnsi="宋体" w:cs="宋体"/>
                <w:color w:val="auto"/>
                <w:kern w:val="0"/>
                <w:sz w:val="24"/>
                <w:lang w:val="zh-CN"/>
              </w:rPr>
              <w:t>开户行：中国建设银行股份有限公司</w:t>
            </w:r>
          </w:p>
          <w:p w14:paraId="5D691391">
            <w:pPr>
              <w:pStyle w:val="61"/>
              <w:pageBreakBefore w:val="0"/>
              <w:wordWrap/>
              <w:overflowPunct/>
              <w:topLinePunct w:val="0"/>
              <w:bidi w:val="0"/>
              <w:snapToGrid w:val="0"/>
              <w:spacing w:line="360" w:lineRule="auto"/>
              <w:jc w:val="left"/>
              <w:outlineLvl w:val="9"/>
              <w:rPr>
                <w:rFonts w:ascii="宋体" w:hAnsi="宋体" w:cs="宋体"/>
                <w:color w:val="auto"/>
                <w:sz w:val="24"/>
                <w:lang w:val="zh-CN"/>
              </w:rPr>
            </w:pPr>
            <w:r>
              <w:rPr>
                <w:rFonts w:hint="eastAsia" w:ascii="宋体" w:hAnsi="宋体" w:cs="宋体"/>
                <w:color w:val="auto"/>
                <w:kern w:val="0"/>
                <w:sz w:val="24"/>
                <w:lang w:val="zh-CN"/>
              </w:rPr>
              <w:t>开户行地址：长春东南湖大路支行</w:t>
            </w:r>
          </w:p>
        </w:tc>
      </w:tr>
      <w:tr w14:paraId="0FC4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2AD9C36F">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3</w:t>
            </w:r>
          </w:p>
        </w:tc>
        <w:tc>
          <w:tcPr>
            <w:tcW w:w="2973" w:type="dxa"/>
            <w:tcBorders>
              <w:top w:val="single" w:color="auto" w:sz="4" w:space="0"/>
              <w:left w:val="single" w:color="auto" w:sz="4" w:space="0"/>
              <w:bottom w:val="single" w:color="auto" w:sz="4" w:space="0"/>
              <w:right w:val="single" w:color="auto" w:sz="4" w:space="0"/>
            </w:tcBorders>
            <w:vAlign w:val="center"/>
          </w:tcPr>
          <w:p w14:paraId="1488200D">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知识产权的归属和处理方式</w:t>
            </w:r>
          </w:p>
        </w:tc>
        <w:tc>
          <w:tcPr>
            <w:tcW w:w="5327" w:type="dxa"/>
            <w:tcBorders>
              <w:top w:val="single" w:color="auto" w:sz="4" w:space="0"/>
              <w:left w:val="single" w:color="auto" w:sz="4" w:space="0"/>
              <w:bottom w:val="single" w:color="auto" w:sz="4" w:space="0"/>
              <w:right w:val="single" w:color="auto" w:sz="4" w:space="0"/>
            </w:tcBorders>
            <w:vAlign w:val="center"/>
          </w:tcPr>
          <w:p w14:paraId="0E463746">
            <w:pPr>
              <w:pStyle w:val="61"/>
              <w:pageBreakBefore w:val="0"/>
              <w:wordWrap/>
              <w:overflowPunct/>
              <w:topLinePunct w:val="0"/>
              <w:bidi w:val="0"/>
              <w:snapToGrid w:val="0"/>
              <w:spacing w:line="360" w:lineRule="auto"/>
              <w:jc w:val="left"/>
              <w:outlineLvl w:val="9"/>
              <w:rPr>
                <w:rFonts w:ascii="宋体" w:hAnsi="宋体" w:cs="宋体"/>
                <w:color w:val="auto"/>
                <w:kern w:val="0"/>
                <w:sz w:val="24"/>
              </w:rPr>
            </w:pPr>
            <w:r>
              <w:rPr>
                <w:rFonts w:hint="eastAsia" w:ascii="宋体" w:hAnsi="宋体" w:cs="宋体"/>
                <w:color w:val="auto"/>
                <w:kern w:val="0"/>
                <w:sz w:val="24"/>
              </w:rPr>
              <w:t>无</w:t>
            </w:r>
          </w:p>
        </w:tc>
      </w:tr>
      <w:tr w14:paraId="5948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7C28E221">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4</w:t>
            </w:r>
          </w:p>
        </w:tc>
        <w:tc>
          <w:tcPr>
            <w:tcW w:w="2973" w:type="dxa"/>
            <w:tcBorders>
              <w:top w:val="single" w:color="auto" w:sz="4" w:space="0"/>
              <w:left w:val="single" w:color="auto" w:sz="4" w:space="0"/>
              <w:bottom w:val="single" w:color="auto" w:sz="4" w:space="0"/>
              <w:right w:val="single" w:color="auto" w:sz="4" w:space="0"/>
            </w:tcBorders>
            <w:vAlign w:val="center"/>
          </w:tcPr>
          <w:p w14:paraId="6D75E144">
            <w:pPr>
              <w:pStyle w:val="61"/>
              <w:pageBreakBefore w:val="0"/>
              <w:wordWrap/>
              <w:overflowPunct/>
              <w:topLinePunct w:val="0"/>
              <w:bidi w:val="0"/>
              <w:snapToGrid w:val="0"/>
              <w:spacing w:line="360" w:lineRule="auto"/>
              <w:jc w:val="center"/>
              <w:outlineLvl w:val="9"/>
              <w:rPr>
                <w:rFonts w:ascii="宋体" w:hAnsi="宋体" w:cs="宋体"/>
                <w:color w:val="auto"/>
                <w:kern w:val="0"/>
                <w:sz w:val="24"/>
                <w:lang w:val="zh-CN"/>
              </w:rPr>
            </w:pPr>
            <w:r>
              <w:rPr>
                <w:rFonts w:hint="eastAsia" w:ascii="宋体" w:hAnsi="宋体" w:cs="宋体"/>
                <w:color w:val="auto"/>
                <w:kern w:val="0"/>
                <w:sz w:val="24"/>
                <w:lang w:val="zh-CN"/>
              </w:rPr>
              <w:t>履约验收要求</w:t>
            </w:r>
          </w:p>
        </w:tc>
        <w:tc>
          <w:tcPr>
            <w:tcW w:w="5327" w:type="dxa"/>
            <w:tcBorders>
              <w:top w:val="single" w:color="auto" w:sz="4" w:space="0"/>
              <w:left w:val="single" w:color="auto" w:sz="4" w:space="0"/>
              <w:bottom w:val="single" w:color="auto" w:sz="4" w:space="0"/>
              <w:right w:val="single" w:color="auto" w:sz="4" w:space="0"/>
            </w:tcBorders>
            <w:vAlign w:val="center"/>
          </w:tcPr>
          <w:p w14:paraId="09551999">
            <w:pPr>
              <w:pStyle w:val="61"/>
              <w:pageBreakBefore w:val="0"/>
              <w:wordWrap/>
              <w:overflowPunct/>
              <w:topLinePunct w:val="0"/>
              <w:bidi w:val="0"/>
              <w:snapToGrid w:val="0"/>
              <w:spacing w:line="360" w:lineRule="auto"/>
              <w:outlineLvl w:val="9"/>
              <w:rPr>
                <w:rFonts w:ascii="宋体" w:hAnsi="宋体" w:cs="宋体"/>
                <w:color w:val="auto"/>
                <w:kern w:val="0"/>
                <w:sz w:val="24"/>
              </w:rPr>
            </w:pPr>
            <w:r>
              <w:rPr>
                <w:rFonts w:hint="eastAsia" w:ascii="宋体" w:hAnsi="宋体" w:cs="宋体"/>
                <w:color w:val="auto"/>
                <w:kern w:val="0"/>
                <w:sz w:val="24"/>
              </w:rPr>
              <w:t>详见合同文本</w:t>
            </w:r>
          </w:p>
        </w:tc>
      </w:tr>
      <w:tr w14:paraId="1AF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6F0D6D74">
            <w:pPr>
              <w:pStyle w:val="61"/>
              <w:pageBreakBefore w:val="0"/>
              <w:wordWrap/>
              <w:overflowPunct/>
              <w:topLinePunct w:val="0"/>
              <w:bidi w:val="0"/>
              <w:snapToGrid w:val="0"/>
              <w:spacing w:line="360" w:lineRule="auto"/>
              <w:jc w:val="center"/>
              <w:outlineLvl w:val="9"/>
              <w:rPr>
                <w:rFonts w:ascii="宋体" w:hAnsi="宋体" w:cs="宋体"/>
                <w:color w:val="auto"/>
                <w:kern w:val="0"/>
                <w:sz w:val="24"/>
              </w:rPr>
            </w:pPr>
            <w:r>
              <w:rPr>
                <w:rFonts w:hint="eastAsia" w:ascii="宋体" w:hAnsi="宋体" w:cs="宋体"/>
                <w:color w:val="auto"/>
                <w:kern w:val="0"/>
                <w:sz w:val="24"/>
              </w:rPr>
              <w:t>5</w:t>
            </w:r>
          </w:p>
        </w:tc>
        <w:tc>
          <w:tcPr>
            <w:tcW w:w="2973" w:type="dxa"/>
            <w:tcBorders>
              <w:top w:val="single" w:color="auto" w:sz="4" w:space="0"/>
              <w:left w:val="single" w:color="auto" w:sz="4" w:space="0"/>
              <w:bottom w:val="single" w:color="auto" w:sz="4" w:space="0"/>
              <w:right w:val="single" w:color="auto" w:sz="4" w:space="0"/>
            </w:tcBorders>
            <w:vAlign w:val="center"/>
          </w:tcPr>
          <w:p w14:paraId="6415E1F9">
            <w:pPr>
              <w:pStyle w:val="61"/>
              <w:pageBreakBefore w:val="0"/>
              <w:wordWrap/>
              <w:overflowPunct/>
              <w:topLinePunct w:val="0"/>
              <w:bidi w:val="0"/>
              <w:snapToGrid w:val="0"/>
              <w:spacing w:line="360" w:lineRule="auto"/>
              <w:jc w:val="center"/>
              <w:outlineLvl w:val="9"/>
              <w:rPr>
                <w:rFonts w:ascii="宋体" w:hAnsi="宋体" w:cs="宋体"/>
                <w:color w:val="auto"/>
                <w:kern w:val="0"/>
                <w:sz w:val="24"/>
                <w:lang w:val="zh-CN"/>
              </w:rPr>
            </w:pPr>
            <w:r>
              <w:rPr>
                <w:rFonts w:hint="eastAsia" w:ascii="宋体" w:hAnsi="宋体" w:cs="宋体"/>
                <w:color w:val="auto"/>
                <w:kern w:val="0"/>
                <w:sz w:val="24"/>
                <w:lang w:val="zh-CN"/>
              </w:rPr>
              <w:t>违约责任与解决争议的方法</w:t>
            </w:r>
          </w:p>
        </w:tc>
        <w:tc>
          <w:tcPr>
            <w:tcW w:w="5327" w:type="dxa"/>
            <w:tcBorders>
              <w:top w:val="single" w:color="auto" w:sz="4" w:space="0"/>
              <w:left w:val="single" w:color="auto" w:sz="4" w:space="0"/>
              <w:bottom w:val="single" w:color="auto" w:sz="4" w:space="0"/>
              <w:right w:val="single" w:color="auto" w:sz="4" w:space="0"/>
            </w:tcBorders>
            <w:vAlign w:val="center"/>
          </w:tcPr>
          <w:p w14:paraId="0DE8451E">
            <w:pPr>
              <w:pStyle w:val="61"/>
              <w:pageBreakBefore w:val="0"/>
              <w:wordWrap/>
              <w:overflowPunct/>
              <w:topLinePunct w:val="0"/>
              <w:bidi w:val="0"/>
              <w:snapToGrid w:val="0"/>
              <w:spacing w:line="360" w:lineRule="auto"/>
              <w:jc w:val="left"/>
              <w:outlineLvl w:val="9"/>
              <w:rPr>
                <w:rFonts w:ascii="宋体" w:hAnsi="宋体" w:cs="宋体"/>
                <w:color w:val="auto"/>
                <w:kern w:val="0"/>
                <w:sz w:val="24"/>
              </w:rPr>
            </w:pPr>
            <w:r>
              <w:rPr>
                <w:rFonts w:hint="eastAsia" w:ascii="宋体" w:hAnsi="宋体" w:cs="宋体"/>
                <w:color w:val="auto"/>
                <w:kern w:val="0"/>
                <w:sz w:val="24"/>
              </w:rPr>
              <w:t>详见合同文本</w:t>
            </w:r>
          </w:p>
        </w:tc>
      </w:tr>
    </w:tbl>
    <w:p w14:paraId="58610180">
      <w:pPr>
        <w:pageBreakBefore w:val="0"/>
        <w:wordWrap/>
        <w:overflowPunct/>
        <w:topLinePunct w:val="0"/>
        <w:bidi w:val="0"/>
        <w:spacing w:line="360" w:lineRule="auto"/>
        <w:outlineLvl w:val="9"/>
        <w:rPr>
          <w:rFonts w:ascii="宋体" w:hAnsi="宋体" w:eastAsia="宋体" w:cs="宋体"/>
          <w:b/>
          <w:bCs/>
          <w:color w:val="auto"/>
          <w:spacing w:val="7"/>
          <w:sz w:val="24"/>
          <w14:textOutline w14:w="6527" w14:cap="flat" w14:cmpd="sng" w14:algn="ctr">
            <w14:solidFill>
              <w14:srgbClr w14:val="000000"/>
            </w14:solidFill>
            <w14:prstDash w14:val="solid"/>
            <w14:miter w14:val="0"/>
          </w14:textOutline>
        </w:rPr>
      </w:pPr>
      <w:r>
        <w:rPr>
          <w:rFonts w:hint="eastAsia" w:ascii="宋体" w:hAnsi="宋体" w:eastAsia="宋体" w:cs="宋体"/>
          <w:b/>
          <w:bCs/>
          <w:color w:val="auto"/>
          <w:spacing w:val="-13"/>
          <w:sz w:val="24"/>
        </w:rPr>
        <w:t>注：投标人需提供对以上项目招标需求的完全响应证明材料</w:t>
      </w:r>
    </w:p>
    <w:bookmarkEnd w:id="535"/>
    <w:bookmarkEnd w:id="536"/>
    <w:bookmarkEnd w:id="537"/>
    <w:bookmarkEnd w:id="538"/>
    <w:p w14:paraId="5C1D5BC9">
      <w:pPr>
        <w:rPr>
          <w:rFonts w:hint="eastAsia"/>
          <w:color w:val="auto"/>
        </w:rPr>
      </w:pPr>
      <w:bookmarkStart w:id="543" w:name="_Toc22041"/>
      <w:bookmarkStart w:id="544" w:name="_Toc8465"/>
      <w:bookmarkStart w:id="545" w:name="_Toc19726"/>
      <w:bookmarkStart w:id="546" w:name="_Toc1898"/>
      <w:bookmarkStart w:id="547" w:name="_Toc11558"/>
      <w:r>
        <w:rPr>
          <w:rFonts w:hint="eastAsia"/>
          <w:color w:val="auto"/>
        </w:rPr>
        <w:br w:type="page"/>
      </w:r>
    </w:p>
    <w:p w14:paraId="45EB4DB1">
      <w:pPr>
        <w:pStyle w:val="2"/>
        <w:rPr>
          <w:color w:val="auto"/>
        </w:rPr>
      </w:pPr>
      <w:r>
        <w:rPr>
          <w:rFonts w:hint="eastAsia"/>
          <w:color w:val="auto"/>
        </w:rPr>
        <w:t>第六章、投标文件格式</w:t>
      </w:r>
      <w:bookmarkEnd w:id="543"/>
      <w:bookmarkEnd w:id="544"/>
      <w:bookmarkEnd w:id="545"/>
    </w:p>
    <w:p w14:paraId="12815B6E">
      <w:pPr>
        <w:spacing w:line="360" w:lineRule="auto"/>
        <w:jc w:val="right"/>
        <w:rPr>
          <w:rFonts w:ascii="宋体" w:hAnsi="宋体" w:eastAsia="宋体" w:cs="宋体"/>
          <w:color w:val="auto"/>
          <w:szCs w:val="21"/>
        </w:rPr>
      </w:pPr>
    </w:p>
    <w:p w14:paraId="17A97AE9">
      <w:pPr>
        <w:pStyle w:val="19"/>
        <w:keepNext w:val="0"/>
        <w:keepLines w:val="0"/>
        <w:pageBreakBefore w:val="0"/>
        <w:kinsoku/>
        <w:wordWrap/>
        <w:overflowPunct/>
        <w:topLinePunct w:val="0"/>
        <w:bidi w:val="0"/>
        <w:snapToGrid/>
        <w:spacing w:line="360" w:lineRule="auto"/>
        <w:ind w:firstLine="1251" w:firstLineChars="445"/>
        <w:textAlignment w:val="auto"/>
        <w:outlineLvl w:val="9"/>
        <w:rPr>
          <w:rFonts w:ascii="宋体" w:hAnsi="宋体" w:eastAsia="宋体" w:cs="宋体"/>
          <w:b/>
          <w:color w:val="auto"/>
          <w:sz w:val="28"/>
          <w:szCs w:val="28"/>
          <w:u w:val="single"/>
        </w:rPr>
      </w:pPr>
    </w:p>
    <w:p w14:paraId="17B3436F">
      <w:pPr>
        <w:keepNext w:val="0"/>
        <w:keepLines w:val="0"/>
        <w:pageBreakBefore w:val="0"/>
        <w:kinsoku/>
        <w:wordWrap/>
        <w:overflowPunct/>
        <w:topLinePunct w:val="0"/>
        <w:bidi w:val="0"/>
        <w:snapToGrid/>
        <w:spacing w:line="360" w:lineRule="auto"/>
        <w:jc w:val="center"/>
        <w:textAlignment w:val="auto"/>
        <w:outlineLvl w:val="9"/>
        <w:rPr>
          <w:rFonts w:ascii="宋体" w:hAnsi="宋体" w:eastAsia="宋体" w:cs="宋体"/>
          <w:b/>
          <w:color w:val="auto"/>
          <w:sz w:val="28"/>
          <w:szCs w:val="28"/>
          <w:u w:val="single"/>
        </w:rPr>
      </w:pPr>
      <w:r>
        <w:rPr>
          <w:rFonts w:hint="eastAsia" w:ascii="宋体" w:hAnsi="宋体" w:eastAsia="宋体" w:cs="宋体"/>
          <w:b/>
          <w:color w:val="auto"/>
          <w:sz w:val="28"/>
          <w:szCs w:val="28"/>
          <w:u w:val="single"/>
        </w:rPr>
        <w:t xml:space="preserve">                （项目名称）  标段</w:t>
      </w:r>
    </w:p>
    <w:p w14:paraId="43A0CD04">
      <w:pPr>
        <w:keepNext w:val="0"/>
        <w:keepLines w:val="0"/>
        <w:pageBreakBefore w:val="0"/>
        <w:kinsoku/>
        <w:wordWrap/>
        <w:overflowPunct/>
        <w:topLinePunct w:val="0"/>
        <w:bidi w:val="0"/>
        <w:snapToGrid/>
        <w:spacing w:line="360" w:lineRule="auto"/>
        <w:jc w:val="center"/>
        <w:textAlignment w:val="auto"/>
        <w:outlineLvl w:val="9"/>
        <w:rPr>
          <w:rFonts w:ascii="宋体" w:hAnsi="宋体" w:eastAsia="宋体" w:cs="宋体"/>
          <w:b/>
          <w:color w:val="auto"/>
          <w:sz w:val="28"/>
          <w:szCs w:val="28"/>
          <w:u w:val="single"/>
        </w:rPr>
      </w:pPr>
    </w:p>
    <w:p w14:paraId="4513EA83">
      <w:pPr>
        <w:keepNext w:val="0"/>
        <w:keepLines w:val="0"/>
        <w:pageBreakBefore w:val="0"/>
        <w:kinsoku/>
        <w:wordWrap/>
        <w:overflowPunct/>
        <w:topLinePunct w:val="0"/>
        <w:bidi w:val="0"/>
        <w:snapToGrid/>
        <w:spacing w:line="360" w:lineRule="auto"/>
        <w:textAlignment w:val="auto"/>
        <w:outlineLvl w:val="9"/>
        <w:rPr>
          <w:rFonts w:ascii="宋体" w:hAnsi="宋体" w:eastAsia="宋体" w:cs="宋体"/>
          <w:b/>
          <w:color w:val="auto"/>
          <w:sz w:val="28"/>
          <w:szCs w:val="28"/>
          <w:u w:val="single"/>
        </w:rPr>
      </w:pPr>
    </w:p>
    <w:p w14:paraId="0AB2527A">
      <w:pPr>
        <w:keepNext w:val="0"/>
        <w:keepLines w:val="0"/>
        <w:pageBreakBefore w:val="0"/>
        <w:kinsoku/>
        <w:wordWrap/>
        <w:overflowPunct/>
        <w:topLinePunct w:val="0"/>
        <w:bidi w:val="0"/>
        <w:snapToGrid/>
        <w:spacing w:line="360" w:lineRule="auto"/>
        <w:jc w:val="center"/>
        <w:textAlignment w:val="auto"/>
        <w:outlineLvl w:val="9"/>
        <w:rPr>
          <w:rFonts w:ascii="宋体" w:hAnsi="宋体" w:eastAsia="宋体" w:cs="宋体"/>
          <w:b/>
          <w:color w:val="auto"/>
          <w:sz w:val="44"/>
          <w:szCs w:val="44"/>
        </w:rPr>
      </w:pPr>
      <w:r>
        <w:rPr>
          <w:rFonts w:hint="eastAsia" w:ascii="宋体" w:hAnsi="宋体" w:eastAsia="宋体" w:cs="宋体"/>
          <w:b/>
          <w:color w:val="auto"/>
          <w:sz w:val="44"/>
          <w:szCs w:val="44"/>
        </w:rPr>
        <w:t>投  标  文  件</w:t>
      </w:r>
    </w:p>
    <w:p w14:paraId="23CF6B4B">
      <w:pPr>
        <w:keepNext w:val="0"/>
        <w:keepLines w:val="0"/>
        <w:pageBreakBefore w:val="0"/>
        <w:kinsoku/>
        <w:wordWrap/>
        <w:overflowPunct/>
        <w:topLinePunct w:val="0"/>
        <w:bidi w:val="0"/>
        <w:snapToGrid/>
        <w:spacing w:line="360" w:lineRule="auto"/>
        <w:jc w:val="center"/>
        <w:textAlignment w:val="auto"/>
        <w:outlineLvl w:val="9"/>
        <w:rPr>
          <w:rFonts w:ascii="宋体" w:hAnsi="宋体" w:eastAsia="宋体" w:cs="宋体"/>
          <w:b/>
          <w:color w:val="auto"/>
          <w:sz w:val="28"/>
          <w:szCs w:val="28"/>
          <w:u w:val="single"/>
        </w:rPr>
      </w:pPr>
    </w:p>
    <w:p w14:paraId="458D2766">
      <w:pPr>
        <w:keepNext w:val="0"/>
        <w:keepLines w:val="0"/>
        <w:pageBreakBefore w:val="0"/>
        <w:kinsoku/>
        <w:wordWrap/>
        <w:overflowPunct/>
        <w:topLinePunct w:val="0"/>
        <w:bidi w:val="0"/>
        <w:snapToGrid/>
        <w:spacing w:line="360" w:lineRule="auto"/>
        <w:jc w:val="center"/>
        <w:textAlignment w:val="auto"/>
        <w:outlineLvl w:val="9"/>
        <w:rPr>
          <w:rFonts w:ascii="宋体" w:hAnsi="宋体" w:eastAsia="宋体" w:cs="宋体"/>
          <w:b/>
          <w:color w:val="auto"/>
          <w:szCs w:val="21"/>
          <w:u w:val="none"/>
        </w:rPr>
      </w:pPr>
      <w:r>
        <w:rPr>
          <w:rFonts w:hint="eastAsia" w:ascii="宋体" w:hAnsi="宋体" w:eastAsia="宋体" w:cs="宋体"/>
          <w:b/>
          <w:color w:val="auto"/>
          <w:szCs w:val="21"/>
          <w:u w:val="none"/>
        </w:rPr>
        <w:t>采购项目编号：</w:t>
      </w:r>
    </w:p>
    <w:p w14:paraId="382C2B3E">
      <w:pPr>
        <w:keepNext w:val="0"/>
        <w:keepLines w:val="0"/>
        <w:pageBreakBefore w:val="0"/>
        <w:kinsoku/>
        <w:wordWrap/>
        <w:overflowPunct/>
        <w:topLinePunct w:val="0"/>
        <w:bidi w:val="0"/>
        <w:snapToGrid/>
        <w:spacing w:line="360" w:lineRule="auto"/>
        <w:jc w:val="center"/>
        <w:textAlignment w:val="auto"/>
        <w:outlineLvl w:val="9"/>
        <w:rPr>
          <w:rFonts w:ascii="宋体" w:hAnsi="宋体" w:eastAsia="宋体" w:cs="宋体"/>
          <w:b/>
          <w:color w:val="auto"/>
          <w:szCs w:val="21"/>
          <w:u w:val="single"/>
        </w:rPr>
      </w:pPr>
    </w:p>
    <w:p w14:paraId="56FEF56D">
      <w:pPr>
        <w:keepNext w:val="0"/>
        <w:keepLines w:val="0"/>
        <w:pageBreakBefore w:val="0"/>
        <w:kinsoku/>
        <w:wordWrap/>
        <w:overflowPunct/>
        <w:topLinePunct w:val="0"/>
        <w:bidi w:val="0"/>
        <w:snapToGrid/>
        <w:spacing w:line="360" w:lineRule="auto"/>
        <w:textAlignment w:val="auto"/>
        <w:outlineLvl w:val="9"/>
        <w:rPr>
          <w:rFonts w:ascii="宋体" w:hAnsi="宋体" w:eastAsia="宋体" w:cs="宋体"/>
          <w:b/>
          <w:color w:val="auto"/>
          <w:sz w:val="28"/>
          <w:szCs w:val="28"/>
          <w:u w:val="single"/>
        </w:rPr>
      </w:pPr>
    </w:p>
    <w:p w14:paraId="697A6D0B">
      <w:pPr>
        <w:keepNext w:val="0"/>
        <w:keepLines w:val="0"/>
        <w:pageBreakBefore w:val="0"/>
        <w:kinsoku/>
        <w:wordWrap/>
        <w:overflowPunct/>
        <w:topLinePunct w:val="0"/>
        <w:bidi w:val="0"/>
        <w:snapToGrid/>
        <w:spacing w:line="360" w:lineRule="auto"/>
        <w:textAlignment w:val="auto"/>
        <w:outlineLvl w:val="9"/>
        <w:rPr>
          <w:rFonts w:ascii="宋体" w:hAnsi="宋体" w:eastAsia="宋体" w:cs="宋体"/>
          <w:b/>
          <w:color w:val="auto"/>
          <w:sz w:val="28"/>
          <w:szCs w:val="28"/>
          <w:u w:val="single"/>
        </w:rPr>
      </w:pPr>
    </w:p>
    <w:p w14:paraId="6D95A74F">
      <w:pPr>
        <w:keepNext w:val="0"/>
        <w:keepLines w:val="0"/>
        <w:pageBreakBefore w:val="0"/>
        <w:kinsoku/>
        <w:wordWrap/>
        <w:overflowPunct/>
        <w:topLinePunct w:val="0"/>
        <w:bidi w:val="0"/>
        <w:snapToGrid/>
        <w:spacing w:line="360" w:lineRule="auto"/>
        <w:jc w:val="center"/>
        <w:textAlignment w:val="auto"/>
        <w:outlineLvl w:val="9"/>
        <w:rPr>
          <w:rFonts w:ascii="宋体" w:hAnsi="宋体" w:eastAsia="宋体" w:cs="宋体"/>
          <w:b/>
          <w:color w:val="auto"/>
          <w:sz w:val="28"/>
          <w:szCs w:val="28"/>
          <w:u w:val="single"/>
        </w:rPr>
      </w:pPr>
    </w:p>
    <w:p w14:paraId="143AD33C">
      <w:pPr>
        <w:pStyle w:val="21"/>
        <w:keepNext w:val="0"/>
        <w:keepLines w:val="0"/>
        <w:pageBreakBefore w:val="0"/>
        <w:kinsoku/>
        <w:wordWrap/>
        <w:overflowPunct/>
        <w:topLinePunct w:val="0"/>
        <w:bidi w:val="0"/>
        <w:snapToGrid/>
        <w:spacing w:line="360" w:lineRule="auto"/>
        <w:textAlignment w:val="auto"/>
        <w:outlineLvl w:val="9"/>
        <w:rPr>
          <w:rFonts w:ascii="宋体" w:hAnsi="宋体" w:eastAsia="宋体" w:cs="宋体"/>
          <w:b w:val="0"/>
          <w:color w:val="auto"/>
          <w:sz w:val="21"/>
          <w:szCs w:val="21"/>
        </w:rPr>
      </w:pPr>
      <w:bookmarkStart w:id="548" w:name="_Toc32324705"/>
      <w:bookmarkStart w:id="549" w:name="_Toc67490895"/>
      <w:bookmarkStart w:id="550" w:name="_Toc24115"/>
      <w:bookmarkStart w:id="551" w:name="_Toc3305"/>
      <w:bookmarkStart w:id="552" w:name="_Toc850"/>
      <w:bookmarkStart w:id="553" w:name="_Toc14136"/>
      <w:bookmarkStart w:id="554" w:name="_Toc7421"/>
      <w:bookmarkStart w:id="555" w:name="_Toc77593398"/>
      <w:bookmarkStart w:id="556" w:name="_Toc30059"/>
      <w:bookmarkStart w:id="557" w:name="_Toc16754"/>
      <w:r>
        <w:rPr>
          <w:rFonts w:hint="eastAsia" w:ascii="宋体" w:hAnsi="宋体" w:eastAsia="宋体" w:cs="宋体"/>
          <w:b w:val="0"/>
          <w:color w:val="auto"/>
          <w:spacing w:val="-1"/>
          <w:sz w:val="21"/>
          <w:szCs w:val="21"/>
        </w:rPr>
        <w:t>投标人：</w:t>
      </w:r>
      <w:r>
        <w:rPr>
          <w:rFonts w:hint="eastAsia" w:ascii="宋体" w:hAnsi="宋体" w:eastAsia="宋体" w:cs="宋体"/>
          <w:b w:val="0"/>
          <w:color w:val="auto"/>
          <w:spacing w:val="-1"/>
          <w:sz w:val="21"/>
          <w:szCs w:val="21"/>
          <w:u w:val="single" w:color="000000"/>
        </w:rPr>
        <w:tab/>
      </w:r>
      <w:bookmarkEnd w:id="548"/>
      <w:bookmarkStart w:id="558" w:name="_Toc32324706"/>
      <w:r>
        <w:rPr>
          <w:rFonts w:hint="eastAsia" w:ascii="宋体" w:hAnsi="宋体" w:eastAsia="宋体" w:cs="宋体"/>
          <w:b w:val="0"/>
          <w:color w:val="auto"/>
          <w:spacing w:val="-1"/>
          <w:sz w:val="21"/>
          <w:szCs w:val="21"/>
          <w:u w:val="single" w:color="000000"/>
        </w:rPr>
        <w:t xml:space="preserve">                                </w:t>
      </w:r>
      <w:r>
        <w:rPr>
          <w:rFonts w:hint="eastAsia" w:ascii="宋体" w:hAnsi="宋体" w:eastAsia="宋体" w:cs="宋体"/>
          <w:b w:val="0"/>
          <w:color w:val="auto"/>
          <w:spacing w:val="-1"/>
          <w:sz w:val="21"/>
          <w:szCs w:val="21"/>
          <w:u w:val="single" w:color="000000"/>
        </w:rPr>
        <w:tab/>
      </w:r>
      <w:r>
        <w:rPr>
          <w:rFonts w:hint="eastAsia" w:ascii="宋体" w:hAnsi="宋体" w:eastAsia="宋体" w:cs="宋体"/>
          <w:b w:val="0"/>
          <w:color w:val="auto"/>
          <w:sz w:val="21"/>
          <w:szCs w:val="21"/>
        </w:rPr>
        <w:t>（盖单位章）</w:t>
      </w:r>
      <w:bookmarkEnd w:id="549"/>
      <w:bookmarkEnd w:id="550"/>
      <w:bookmarkEnd w:id="551"/>
      <w:bookmarkEnd w:id="552"/>
      <w:bookmarkEnd w:id="553"/>
      <w:bookmarkEnd w:id="554"/>
      <w:bookmarkEnd w:id="555"/>
      <w:bookmarkEnd w:id="556"/>
      <w:bookmarkEnd w:id="557"/>
      <w:bookmarkEnd w:id="558"/>
    </w:p>
    <w:p w14:paraId="6FFDDFB4">
      <w:pPr>
        <w:pStyle w:val="21"/>
        <w:keepNext w:val="0"/>
        <w:keepLines w:val="0"/>
        <w:pageBreakBefore w:val="0"/>
        <w:kinsoku/>
        <w:wordWrap/>
        <w:overflowPunct/>
        <w:topLinePunct w:val="0"/>
        <w:bidi w:val="0"/>
        <w:snapToGrid/>
        <w:spacing w:line="360" w:lineRule="auto"/>
        <w:textAlignment w:val="auto"/>
        <w:outlineLvl w:val="9"/>
        <w:rPr>
          <w:rFonts w:ascii="宋体" w:hAnsi="宋体" w:eastAsia="宋体" w:cs="宋体"/>
          <w:b w:val="0"/>
          <w:bCs w:val="0"/>
          <w:color w:val="auto"/>
          <w:sz w:val="21"/>
          <w:szCs w:val="21"/>
        </w:rPr>
      </w:pPr>
      <w:bookmarkStart w:id="559" w:name="_Toc8066"/>
      <w:bookmarkStart w:id="560" w:name="_Toc29182"/>
      <w:bookmarkStart w:id="561" w:name="_Toc12123"/>
      <w:bookmarkStart w:id="562" w:name="_Toc7853"/>
      <w:bookmarkStart w:id="563" w:name="_Toc20359"/>
      <w:bookmarkStart w:id="564" w:name="_Toc11480"/>
      <w:bookmarkStart w:id="565" w:name="_Toc10916"/>
      <w:bookmarkStart w:id="566" w:name="_Toc77593399"/>
      <w:bookmarkStart w:id="567" w:name="_Toc67490896"/>
      <w:r>
        <w:rPr>
          <w:rFonts w:hint="eastAsia" w:ascii="宋体" w:hAnsi="宋体" w:eastAsia="宋体" w:cs="宋体"/>
          <w:b w:val="0"/>
          <w:bCs w:val="0"/>
          <w:color w:val="auto"/>
          <w:sz w:val="21"/>
          <w:szCs w:val="21"/>
        </w:rPr>
        <w:t>法定代表人或其委托代理人：</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（签字）</w:t>
      </w:r>
      <w:bookmarkEnd w:id="559"/>
      <w:bookmarkEnd w:id="560"/>
      <w:bookmarkEnd w:id="561"/>
      <w:bookmarkEnd w:id="562"/>
      <w:bookmarkEnd w:id="563"/>
      <w:bookmarkEnd w:id="564"/>
      <w:bookmarkEnd w:id="565"/>
      <w:bookmarkEnd w:id="566"/>
      <w:bookmarkEnd w:id="567"/>
    </w:p>
    <w:p w14:paraId="4C086826">
      <w:pPr>
        <w:keepNext w:val="0"/>
        <w:keepLines w:val="0"/>
        <w:pageBreakBefore w:val="0"/>
        <w:kinsoku/>
        <w:wordWrap/>
        <w:overflowPunct/>
        <w:topLinePunct w:val="0"/>
        <w:autoSpaceDE w:val="0"/>
        <w:autoSpaceDN w:val="0"/>
        <w:bidi w:val="0"/>
        <w:adjustRightInd w:val="0"/>
        <w:snapToGrid/>
        <w:jc w:val="center"/>
        <w:textAlignment w:val="auto"/>
        <w:outlineLvl w:val="9"/>
        <w:rPr>
          <w:rFonts w:ascii="宋体" w:hAnsi="宋体" w:eastAsia="宋体" w:cs="宋体"/>
          <w:bCs/>
          <w:color w:val="auto"/>
          <w:szCs w:val="21"/>
        </w:rPr>
      </w:pPr>
      <w:r>
        <w:rPr>
          <w:rFonts w:hint="eastAsia" w:ascii="宋体" w:hAnsi="宋体" w:eastAsia="宋体" w:cs="宋体"/>
          <w:bCs/>
          <w:color w:val="auto"/>
          <w:szCs w:val="21"/>
        </w:rPr>
        <w:t>年</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月</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日</w:t>
      </w:r>
    </w:p>
    <w:p w14:paraId="0253437B">
      <w:pPr>
        <w:keepNext w:val="0"/>
        <w:keepLines w:val="0"/>
        <w:pageBreakBefore w:val="0"/>
        <w:kinsoku/>
        <w:wordWrap/>
        <w:overflowPunct/>
        <w:topLinePunct w:val="0"/>
        <w:bidi w:val="0"/>
        <w:snapToGrid/>
        <w:textAlignment w:val="auto"/>
        <w:outlineLvl w:val="9"/>
        <w:rPr>
          <w:rFonts w:ascii="宋体" w:hAnsi="宋体" w:eastAsia="宋体" w:cs="宋体"/>
          <w:bCs/>
          <w:color w:val="auto"/>
          <w:szCs w:val="21"/>
        </w:rPr>
        <w:sectPr>
          <w:headerReference r:id="rId16" w:type="default"/>
          <w:footerReference r:id="rId17" w:type="default"/>
          <w:pgSz w:w="11906" w:h="16838"/>
          <w:pgMar w:top="1440" w:right="1106" w:bottom="1440" w:left="1800" w:header="851" w:footer="992" w:gutter="0"/>
          <w:pgNumType w:fmt="decimal"/>
          <w:cols w:space="720" w:num="1"/>
          <w:docGrid w:type="lines" w:linePitch="312" w:charSpace="0"/>
        </w:sectPr>
      </w:pPr>
      <w:r>
        <w:rPr>
          <w:rFonts w:hint="eastAsia" w:ascii="宋体" w:hAnsi="宋体" w:eastAsia="宋体" w:cs="宋体"/>
          <w:bCs/>
          <w:color w:val="auto"/>
          <w:szCs w:val="21"/>
        </w:rPr>
        <w:br w:type="page"/>
      </w:r>
    </w:p>
    <w:p w14:paraId="78FBC0E8">
      <w:pPr>
        <w:pStyle w:val="23"/>
        <w:ind w:left="0" w:leftChars="0" w:firstLine="0" w:firstLineChars="0"/>
        <w:jc w:val="center"/>
        <w:rPr>
          <w:color w:val="auto"/>
          <w:sz w:val="24"/>
          <w:szCs w:val="32"/>
        </w:rPr>
      </w:pPr>
      <w:r>
        <w:rPr>
          <w:rFonts w:hint="eastAsia"/>
          <w:color w:val="auto"/>
          <w:sz w:val="24"/>
          <w:szCs w:val="32"/>
        </w:rPr>
        <w:t>目 录</w:t>
      </w:r>
    </w:p>
    <w:p w14:paraId="1AC5344F">
      <w:pPr>
        <w:pStyle w:val="23"/>
        <w:ind w:left="0" w:leftChars="0" w:firstLine="0" w:firstLineChars="0"/>
        <w:jc w:val="center"/>
        <w:rPr>
          <w:color w:val="auto"/>
          <w:sz w:val="24"/>
          <w:szCs w:val="32"/>
        </w:rPr>
        <w:sectPr>
          <w:pgSz w:w="11906" w:h="16838"/>
          <w:pgMar w:top="1440" w:right="1106" w:bottom="1440" w:left="1800" w:header="851" w:footer="992" w:gutter="0"/>
          <w:pgNumType w:fmt="decimal"/>
          <w:cols w:space="720" w:num="1"/>
          <w:docGrid w:type="lines" w:linePitch="312" w:charSpace="0"/>
        </w:sectPr>
      </w:pPr>
      <w:r>
        <w:rPr>
          <w:rFonts w:hint="eastAsia"/>
          <w:color w:val="auto"/>
          <w:sz w:val="24"/>
          <w:szCs w:val="32"/>
        </w:rPr>
        <w:t>（格式自拟）</w:t>
      </w:r>
    </w:p>
    <w:bookmarkEnd w:id="546"/>
    <w:bookmarkEnd w:id="547"/>
    <w:p w14:paraId="1B3B4754">
      <w:pPr>
        <w:pStyle w:val="4"/>
        <w:numPr>
          <w:ilvl w:val="0"/>
          <w:numId w:val="6"/>
        </w:numPr>
        <w:spacing w:line="360" w:lineRule="auto"/>
        <w:jc w:val="center"/>
        <w:rPr>
          <w:rFonts w:ascii="宋体" w:hAnsi="宋体" w:eastAsia="宋体" w:cs="宋体"/>
          <w:color w:val="auto"/>
        </w:rPr>
      </w:pPr>
      <w:bookmarkStart w:id="568" w:name="_Toc67490897"/>
      <w:bookmarkStart w:id="569" w:name="_Toc23456"/>
      <w:bookmarkStart w:id="570" w:name="_Toc15334"/>
      <w:bookmarkStart w:id="571" w:name="_Toc21946"/>
      <w:bookmarkStart w:id="572" w:name="_Toc77593400"/>
      <w:bookmarkStart w:id="573" w:name="_Toc16889"/>
      <w:r>
        <w:rPr>
          <w:rFonts w:hint="eastAsia" w:ascii="宋体" w:hAnsi="宋体" w:eastAsia="宋体" w:cs="宋体"/>
          <w:color w:val="auto"/>
        </w:rPr>
        <w:t>投标函</w:t>
      </w:r>
      <w:bookmarkEnd w:id="568"/>
      <w:bookmarkEnd w:id="569"/>
      <w:bookmarkEnd w:id="570"/>
      <w:bookmarkEnd w:id="571"/>
      <w:bookmarkEnd w:id="572"/>
      <w:bookmarkEnd w:id="573"/>
      <w:r>
        <w:rPr>
          <w:rFonts w:hint="eastAsia" w:ascii="宋体" w:hAnsi="宋体" w:eastAsia="宋体" w:cs="宋体"/>
          <w:color w:val="auto"/>
        </w:rPr>
        <w:t>及投标函附录</w:t>
      </w:r>
    </w:p>
    <w:p w14:paraId="63652CD0">
      <w:pPr>
        <w:pStyle w:val="6"/>
        <w:spacing w:line="360" w:lineRule="auto"/>
        <w:ind w:firstLine="0"/>
        <w:jc w:val="center"/>
        <w:rPr>
          <w:rFonts w:cs="宋体" w:asciiTheme="minorEastAsia" w:hAnsiTheme="minorEastAsia"/>
          <w:b/>
          <w:bCs/>
          <w:color w:val="auto"/>
          <w:sz w:val="21"/>
          <w:szCs w:val="21"/>
        </w:rPr>
      </w:pPr>
      <w:r>
        <w:rPr>
          <w:rFonts w:hint="eastAsia" w:ascii="宋体" w:hAnsi="宋体" w:eastAsia="宋体" w:cs="宋体"/>
          <w:b/>
          <w:bCs/>
          <w:color w:val="auto"/>
          <w:kern w:val="2"/>
          <w:sz w:val="32"/>
          <w:szCs w:val="32"/>
        </w:rPr>
        <w:t>（一）投标函</w:t>
      </w:r>
      <w:bookmarkStart w:id="574" w:name="_Toc364364589"/>
      <w:bookmarkStart w:id="575" w:name="_Toc7793"/>
      <w:bookmarkStart w:id="576" w:name="_Toc2933"/>
      <w:bookmarkStart w:id="577" w:name="_Toc144974859"/>
      <w:bookmarkStart w:id="578" w:name="_Toc471822587"/>
      <w:bookmarkStart w:id="579" w:name="_Toc354066002"/>
      <w:bookmarkStart w:id="580" w:name="_Toc246997101"/>
      <w:bookmarkStart w:id="581" w:name="_Toc152045790"/>
      <w:bookmarkStart w:id="582" w:name="_Toc152042579"/>
      <w:bookmarkStart w:id="583" w:name="_Toc347385771"/>
      <w:bookmarkStart w:id="584" w:name="_Toc179632810"/>
      <w:bookmarkStart w:id="585" w:name="_Toc429345236"/>
      <w:bookmarkStart w:id="586" w:name="_Toc22063"/>
      <w:bookmarkStart w:id="587" w:name="_Toc77593401"/>
      <w:bookmarkStart w:id="588" w:name="_Toc471822530"/>
      <w:bookmarkStart w:id="589" w:name="_Toc411773168"/>
      <w:bookmarkStart w:id="590" w:name="_Toc219"/>
      <w:bookmarkStart w:id="591" w:name="_Toc449519140"/>
      <w:bookmarkStart w:id="592" w:name="_Toc247085876"/>
      <w:bookmarkStart w:id="593" w:name="_Toc449518927"/>
      <w:bookmarkStart w:id="594" w:name="_Toc67490898"/>
      <w:bookmarkStart w:id="595" w:name="_Toc246996358"/>
    </w:p>
    <w:p w14:paraId="021587C8">
      <w:pPr>
        <w:pStyle w:val="65"/>
        <w:tabs>
          <w:tab w:val="left" w:pos="9450"/>
        </w:tabs>
        <w:spacing w:line="360" w:lineRule="auto"/>
        <w:ind w:right="84" w:rightChars="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吉林省林业和草原局：</w:t>
      </w:r>
    </w:p>
    <w:p w14:paraId="123D2EF7">
      <w:pPr>
        <w:pStyle w:val="65"/>
        <w:tabs>
          <w:tab w:val="left" w:pos="9450"/>
        </w:tabs>
        <w:spacing w:line="360" w:lineRule="auto"/>
        <w:ind w:right="84" w:rightChars="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圣源祥保险经纪有限公司：</w:t>
      </w:r>
    </w:p>
    <w:p w14:paraId="32B30E98">
      <w:pPr>
        <w:pStyle w:val="65"/>
        <w:keepNext w:val="0"/>
        <w:keepLines w:val="0"/>
        <w:pageBreakBefore w:val="0"/>
        <w:widowControl w:val="0"/>
        <w:tabs>
          <w:tab w:val="left" w:pos="9450"/>
        </w:tabs>
        <w:kinsoku/>
        <w:wordWrap/>
        <w:overflowPunct/>
        <w:topLinePunct w:val="0"/>
        <w:bidi w:val="0"/>
        <w:spacing w:line="360" w:lineRule="auto"/>
        <w:ind w:right="84" w:rightChars="40" w:firstLine="420" w:firstLineChars="200"/>
        <w:textAlignment w:val="auto"/>
        <w:outlineLvl w:val="9"/>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我方已经详细阅读</w:t>
      </w:r>
      <w:r>
        <w:rPr>
          <w:rFonts w:hint="eastAsia" w:cs="宋体" w:asciiTheme="minorEastAsia" w:hAnsiTheme="minorEastAsia" w:eastAsiaTheme="minorEastAsia"/>
          <w:color w:val="auto"/>
          <w:szCs w:val="21"/>
          <w:u w:val="single"/>
        </w:rPr>
        <w:t xml:space="preserve">               </w:t>
      </w:r>
      <w:r>
        <w:rPr>
          <w:rFonts w:hint="eastAsia" w:cs="宋体" w:asciiTheme="minorEastAsia" w:hAnsiTheme="minorEastAsia" w:eastAsiaTheme="minorEastAsia"/>
          <w:color w:val="auto"/>
          <w:szCs w:val="21"/>
        </w:rPr>
        <w:t>（采购项目名称、项目编号）的招标文件，决定投标本项目，承诺如下：</w:t>
      </w:r>
    </w:p>
    <w:p w14:paraId="4992FABC">
      <w:pPr>
        <w:pStyle w:val="66"/>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425"/>
        <w:textAlignment w:val="auto"/>
        <w:outlineLvl w:val="9"/>
        <w:rPr>
          <w:rFonts w:cs="宋体" w:asciiTheme="minorEastAsia" w:hAnsiTheme="minorEastAsia" w:eastAsiaTheme="minorEastAsia"/>
          <w:b w:val="0"/>
          <w:color w:val="auto"/>
          <w:sz w:val="21"/>
          <w:szCs w:val="21"/>
        </w:rPr>
      </w:pPr>
      <w:r>
        <w:rPr>
          <w:rFonts w:hint="eastAsia" w:cs="宋体" w:asciiTheme="minorEastAsia" w:hAnsiTheme="minorEastAsia" w:eastAsiaTheme="minorEastAsia"/>
          <w:b w:val="0"/>
          <w:color w:val="auto"/>
          <w:sz w:val="21"/>
          <w:szCs w:val="21"/>
        </w:rPr>
        <w:t>一、我方的投标文件在投标截止日后90天（日历天）内保持有效，如中标，有效期将延至本项目合同期满日为止。</w:t>
      </w:r>
    </w:p>
    <w:p w14:paraId="04CE9289">
      <w:pPr>
        <w:pStyle w:val="65"/>
        <w:keepNext w:val="0"/>
        <w:keepLines w:val="0"/>
        <w:pageBreakBefore w:val="0"/>
        <w:widowControl w:val="0"/>
        <w:tabs>
          <w:tab w:val="left" w:pos="9450"/>
        </w:tabs>
        <w:kinsoku/>
        <w:wordWrap/>
        <w:overflowPunct/>
        <w:topLinePunct w:val="0"/>
        <w:autoSpaceDE/>
        <w:autoSpaceDN/>
        <w:bidi w:val="0"/>
        <w:adjustRightInd/>
        <w:snapToGrid/>
        <w:spacing w:line="360" w:lineRule="auto"/>
        <w:ind w:right="84" w:rightChars="40" w:firstLine="420" w:firstLineChars="200"/>
        <w:textAlignment w:val="auto"/>
        <w:outlineLvl w:val="9"/>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二、我方在参与投标前已仔细研究了招标文件和所有相关资料，我方完全明白并认为此招标文件没有倾向性，也没有存在排斥潜在投标人的内容，我方同意并接受招标文件的全部条款，放弃对招标文件提出误解和质疑的一切权利。</w:t>
      </w:r>
    </w:p>
    <w:p w14:paraId="453C5AA6">
      <w:pPr>
        <w:pStyle w:val="65"/>
        <w:keepNext w:val="0"/>
        <w:keepLines w:val="0"/>
        <w:pageBreakBefore w:val="0"/>
        <w:widowControl w:val="0"/>
        <w:tabs>
          <w:tab w:val="left" w:pos="9450"/>
        </w:tabs>
        <w:kinsoku/>
        <w:wordWrap/>
        <w:overflowPunct/>
        <w:topLinePunct w:val="0"/>
        <w:autoSpaceDE/>
        <w:autoSpaceDN/>
        <w:bidi w:val="0"/>
        <w:adjustRightInd/>
        <w:snapToGrid/>
        <w:spacing w:line="360" w:lineRule="auto"/>
        <w:ind w:right="84" w:rightChars="40" w:firstLine="420" w:firstLineChars="200"/>
        <w:textAlignment w:val="auto"/>
        <w:outlineLvl w:val="9"/>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三、我方声明投标文件及所提供的一切资料均真实无误及有效。由于我方提供资料不实而造成的责任和后果由我方承担。我方同意按照贵方可能提出的要求，提供与投标有关的任何其他数据或信息。</w:t>
      </w:r>
    </w:p>
    <w:p w14:paraId="47796C31">
      <w:pPr>
        <w:pStyle w:val="65"/>
        <w:keepNext w:val="0"/>
        <w:keepLines w:val="0"/>
        <w:pageBreakBefore w:val="0"/>
        <w:widowControl w:val="0"/>
        <w:tabs>
          <w:tab w:val="left" w:pos="9450"/>
        </w:tabs>
        <w:kinsoku/>
        <w:wordWrap/>
        <w:overflowPunct/>
        <w:topLinePunct w:val="0"/>
        <w:autoSpaceDE/>
        <w:autoSpaceDN/>
        <w:bidi w:val="0"/>
        <w:adjustRightInd/>
        <w:snapToGrid/>
        <w:spacing w:line="360" w:lineRule="auto"/>
        <w:ind w:right="84" w:rightChars="40" w:firstLine="420" w:firstLineChars="200"/>
        <w:textAlignment w:val="auto"/>
        <w:outlineLvl w:val="9"/>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四、我方理解贵方不一定接受最低报价的投标以及投标报价超过预算金额或最高限价时投标无效。</w:t>
      </w:r>
    </w:p>
    <w:p w14:paraId="3646DE47">
      <w:pPr>
        <w:pStyle w:val="66"/>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left="388" w:leftChars="185" w:firstLine="105" w:firstLineChars="50"/>
        <w:textAlignment w:val="auto"/>
        <w:outlineLvl w:val="9"/>
        <w:rPr>
          <w:rFonts w:cs="宋体" w:asciiTheme="minorEastAsia" w:hAnsiTheme="minorEastAsia" w:eastAsiaTheme="minorEastAsia"/>
          <w:b w:val="0"/>
          <w:color w:val="auto"/>
          <w:sz w:val="21"/>
          <w:szCs w:val="21"/>
        </w:rPr>
      </w:pPr>
      <w:r>
        <w:rPr>
          <w:rFonts w:hint="eastAsia" w:cs="宋体" w:asciiTheme="minorEastAsia" w:hAnsiTheme="minorEastAsia" w:eastAsiaTheme="minorEastAsia"/>
          <w:b w:val="0"/>
          <w:color w:val="auto"/>
          <w:sz w:val="21"/>
          <w:szCs w:val="21"/>
        </w:rPr>
        <w:t>五、我方接受招标文件关于不予退还投标保证金的约定。</w:t>
      </w:r>
    </w:p>
    <w:p w14:paraId="697395CC">
      <w:pPr>
        <w:pStyle w:val="65"/>
        <w:keepNext w:val="0"/>
        <w:keepLines w:val="0"/>
        <w:pageBreakBefore w:val="0"/>
        <w:widowControl w:val="0"/>
        <w:kinsoku/>
        <w:wordWrap/>
        <w:overflowPunct/>
        <w:topLinePunct w:val="0"/>
        <w:bidi w:val="0"/>
        <w:spacing w:line="360" w:lineRule="auto"/>
        <w:textAlignment w:val="auto"/>
        <w:outlineLvl w:val="9"/>
        <w:rPr>
          <w:rFonts w:cs="宋体" w:asciiTheme="minorEastAsia" w:hAnsiTheme="minorEastAsia"/>
          <w:bCs/>
          <w:color w:val="auto"/>
          <w:szCs w:val="21"/>
        </w:rPr>
      </w:pPr>
      <w:r>
        <w:rPr>
          <w:rFonts w:hint="eastAsia" w:cs="宋体" w:asciiTheme="minorEastAsia" w:hAnsiTheme="minorEastAsia" w:eastAsiaTheme="minorEastAsia"/>
          <w:color w:val="auto"/>
          <w:szCs w:val="21"/>
        </w:rPr>
        <w:t xml:space="preserve">     六、我方按照招标文件的约定履行合同责任和义务。</w:t>
      </w:r>
    </w:p>
    <w:p w14:paraId="2EA33774">
      <w:pPr>
        <w:pStyle w:val="67"/>
        <w:pageBreakBefore w:val="0"/>
        <w:widowControl w:val="0"/>
        <w:numPr>
          <w:ilvl w:val="0"/>
          <w:numId w:val="0"/>
        </w:numPr>
        <w:tabs>
          <w:tab w:val="left" w:pos="1060"/>
        </w:tabs>
        <w:kinsoku/>
        <w:wordWrap/>
        <w:overflowPunct/>
        <w:topLinePunct w:val="0"/>
        <w:autoSpaceDE/>
        <w:autoSpaceDN/>
        <w:bidi w:val="0"/>
        <w:adjustRightInd/>
        <w:snapToGrid/>
        <w:spacing w:line="360" w:lineRule="auto"/>
        <w:ind w:firstLine="420" w:firstLineChars="200"/>
        <w:textAlignment w:val="auto"/>
        <w:outlineLvl w:val="9"/>
        <w:rPr>
          <w:rFonts w:cs="宋体" w:asciiTheme="minorEastAsia" w:hAnsiTheme="minorEastAsia"/>
          <w:bCs/>
          <w:color w:val="auto"/>
          <w:szCs w:val="21"/>
        </w:rPr>
      </w:pPr>
      <w:r>
        <w:rPr>
          <w:rFonts w:hint="eastAsia" w:cs="宋体" w:asciiTheme="minorEastAsia" w:hAnsiTheme="minorEastAsia"/>
          <w:bCs/>
          <w:color w:val="auto"/>
          <w:szCs w:val="21"/>
        </w:rPr>
        <w:t>与本投标有关的一切往来通讯请寄：</w:t>
      </w:r>
    </w:p>
    <w:p w14:paraId="49483633">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cs="宋体" w:asciiTheme="minorEastAsia" w:hAnsiTheme="minorEastAsia"/>
          <w:color w:val="auto"/>
          <w:szCs w:val="21"/>
          <w:u w:val="single"/>
        </w:rPr>
      </w:pPr>
      <w:r>
        <w:rPr>
          <w:rFonts w:hint="eastAsia" w:cs="宋体" w:asciiTheme="minorEastAsia" w:hAnsiTheme="minorEastAsia"/>
          <w:color w:val="auto"/>
          <w:szCs w:val="21"/>
        </w:rPr>
        <w:t>地址：</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邮编：</w:t>
      </w:r>
      <w:r>
        <w:rPr>
          <w:rFonts w:hint="eastAsia" w:cs="宋体" w:asciiTheme="minorEastAsia" w:hAnsiTheme="minorEastAsia"/>
          <w:color w:val="auto"/>
          <w:szCs w:val="21"/>
          <w:u w:val="single"/>
        </w:rPr>
        <w:t xml:space="preserve">                        </w:t>
      </w:r>
    </w:p>
    <w:p w14:paraId="77177F56">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cs="宋体" w:asciiTheme="minorEastAsia" w:hAnsiTheme="minorEastAsia"/>
          <w:color w:val="auto"/>
          <w:szCs w:val="21"/>
          <w:u w:val="single"/>
        </w:rPr>
      </w:pPr>
      <w:r>
        <w:rPr>
          <w:rFonts w:hint="eastAsia" w:cs="宋体" w:asciiTheme="minorEastAsia" w:hAnsiTheme="minorEastAsia"/>
          <w:color w:val="auto"/>
          <w:szCs w:val="21"/>
        </w:rPr>
        <w:t>电话：</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传真：</w:t>
      </w:r>
      <w:r>
        <w:rPr>
          <w:rFonts w:hint="eastAsia" w:cs="宋体" w:asciiTheme="minorEastAsia" w:hAnsiTheme="minorEastAsia"/>
          <w:color w:val="auto"/>
          <w:szCs w:val="21"/>
          <w:u w:val="single"/>
        </w:rPr>
        <w:t xml:space="preserve">                        </w:t>
      </w:r>
    </w:p>
    <w:p w14:paraId="6A8388CB">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cs="宋体" w:asciiTheme="minorEastAsia" w:hAnsiTheme="minorEastAsia"/>
          <w:bCs/>
          <w:color w:val="auto"/>
          <w:szCs w:val="21"/>
        </w:rPr>
      </w:pPr>
      <w:r>
        <w:rPr>
          <w:rFonts w:hint="eastAsia" w:cs="宋体" w:asciiTheme="minorEastAsia" w:hAnsiTheme="minorEastAsia"/>
          <w:color w:val="auto"/>
          <w:szCs w:val="21"/>
        </w:rPr>
        <w:t>电子邮件地址：</w:t>
      </w:r>
      <w:r>
        <w:rPr>
          <w:rFonts w:hint="eastAsia" w:cs="宋体" w:asciiTheme="minorEastAsia" w:hAnsiTheme="minorEastAsia"/>
          <w:color w:val="auto"/>
          <w:szCs w:val="21"/>
          <w:u w:val="single"/>
        </w:rPr>
        <w:t xml:space="preserve">                           </w:t>
      </w:r>
      <w:r>
        <w:rPr>
          <w:rFonts w:hint="eastAsia" w:cs="宋体" w:asciiTheme="minorEastAsia" w:hAnsiTheme="minorEastAsia"/>
          <w:bCs/>
          <w:color w:val="auto"/>
          <w:szCs w:val="21"/>
        </w:rPr>
        <w:t xml:space="preserve">            </w:t>
      </w:r>
    </w:p>
    <w:p w14:paraId="55FF9B7E">
      <w:pPr>
        <w:pageBreakBefore w:val="0"/>
        <w:widowControl w:val="0"/>
        <w:tabs>
          <w:tab w:val="left" w:pos="1573"/>
        </w:tabs>
        <w:kinsoku/>
        <w:wordWrap/>
        <w:overflowPunct/>
        <w:topLinePunct w:val="0"/>
        <w:autoSpaceDE/>
        <w:autoSpaceDN/>
        <w:bidi w:val="0"/>
        <w:adjustRightInd/>
        <w:snapToGrid/>
        <w:spacing w:line="360" w:lineRule="auto"/>
        <w:textAlignment w:val="auto"/>
        <w:outlineLvl w:val="9"/>
        <w:rPr>
          <w:rFonts w:cs="宋体" w:asciiTheme="minorEastAsia" w:hAnsiTheme="minorEastAsia"/>
          <w:bCs/>
          <w:color w:val="auto"/>
          <w:szCs w:val="21"/>
        </w:rPr>
      </w:pPr>
      <w:r>
        <w:rPr>
          <w:rFonts w:hint="eastAsia" w:cs="宋体" w:asciiTheme="minorEastAsia" w:hAnsiTheme="minorEastAsia"/>
          <w:bCs/>
          <w:color w:val="auto"/>
          <w:szCs w:val="21"/>
        </w:rPr>
        <w:t xml:space="preserve">   </w:t>
      </w:r>
    </w:p>
    <w:p w14:paraId="6A4A825B">
      <w:pPr>
        <w:pageBreakBefore w:val="0"/>
        <w:widowControl w:val="0"/>
        <w:tabs>
          <w:tab w:val="left" w:pos="1573"/>
        </w:tabs>
        <w:kinsoku/>
        <w:wordWrap/>
        <w:overflowPunct/>
        <w:topLinePunct w:val="0"/>
        <w:autoSpaceDE/>
        <w:autoSpaceDN/>
        <w:bidi w:val="0"/>
        <w:adjustRightInd/>
        <w:snapToGrid/>
        <w:spacing w:line="360" w:lineRule="auto"/>
        <w:ind w:firstLine="420" w:firstLineChars="200"/>
        <w:textAlignment w:val="auto"/>
        <w:outlineLvl w:val="9"/>
        <w:rPr>
          <w:rFonts w:cs="宋体" w:asciiTheme="minorEastAsia" w:hAnsiTheme="minorEastAsia"/>
          <w:bCs/>
          <w:color w:val="auto"/>
          <w:szCs w:val="21"/>
        </w:rPr>
      </w:pPr>
      <w:r>
        <w:rPr>
          <w:rFonts w:hint="eastAsia" w:cs="宋体" w:asciiTheme="minorEastAsia" w:hAnsiTheme="minorEastAsia"/>
          <w:bCs/>
          <w:color w:val="auto"/>
          <w:szCs w:val="21"/>
        </w:rPr>
        <w:t>投标人（加盖公章）：</w:t>
      </w:r>
      <w:r>
        <w:rPr>
          <w:rFonts w:hint="eastAsia" w:cs="宋体" w:asciiTheme="minorEastAsia" w:hAnsiTheme="minorEastAsia"/>
          <w:color w:val="auto"/>
          <w:szCs w:val="21"/>
          <w:u w:val="single"/>
        </w:rPr>
        <w:t xml:space="preserve">                            </w:t>
      </w:r>
    </w:p>
    <w:p w14:paraId="0A041E75">
      <w:pPr>
        <w:pageBreakBefore w:val="0"/>
        <w:widowControl w:val="0"/>
        <w:tabs>
          <w:tab w:val="left" w:pos="1573"/>
        </w:tabs>
        <w:kinsoku/>
        <w:wordWrap/>
        <w:overflowPunct/>
        <w:topLinePunct w:val="0"/>
        <w:autoSpaceDE/>
        <w:autoSpaceDN/>
        <w:bidi w:val="0"/>
        <w:adjustRightInd/>
        <w:snapToGrid/>
        <w:spacing w:line="360" w:lineRule="auto"/>
        <w:ind w:firstLine="446"/>
        <w:textAlignment w:val="auto"/>
        <w:outlineLvl w:val="9"/>
        <w:rPr>
          <w:rFonts w:cs="宋体" w:asciiTheme="minorEastAsia" w:hAnsiTheme="minorEastAsia"/>
          <w:bCs/>
          <w:color w:val="auto"/>
          <w:szCs w:val="21"/>
        </w:rPr>
      </w:pPr>
      <w:r>
        <w:rPr>
          <w:rFonts w:hint="eastAsia" w:cs="宋体" w:asciiTheme="minorEastAsia" w:hAnsiTheme="minorEastAsia"/>
          <w:bCs/>
          <w:color w:val="auto"/>
          <w:szCs w:val="21"/>
        </w:rPr>
        <w:t>法定代表人（单位负责人）签字</w:t>
      </w:r>
    </w:p>
    <w:p w14:paraId="233416A9">
      <w:pPr>
        <w:pageBreakBefore w:val="0"/>
        <w:widowControl w:val="0"/>
        <w:tabs>
          <w:tab w:val="left" w:pos="1573"/>
        </w:tabs>
        <w:kinsoku/>
        <w:wordWrap/>
        <w:overflowPunct/>
        <w:topLinePunct w:val="0"/>
        <w:autoSpaceDE/>
        <w:autoSpaceDN/>
        <w:bidi w:val="0"/>
        <w:adjustRightInd/>
        <w:snapToGrid/>
        <w:spacing w:line="360" w:lineRule="auto"/>
        <w:ind w:firstLine="446"/>
        <w:textAlignment w:val="auto"/>
        <w:outlineLvl w:val="9"/>
        <w:rPr>
          <w:rFonts w:cs="宋体" w:asciiTheme="minorEastAsia" w:hAnsiTheme="minorEastAsia"/>
          <w:bCs/>
          <w:color w:val="auto"/>
          <w:szCs w:val="21"/>
        </w:rPr>
      </w:pPr>
      <w:r>
        <w:rPr>
          <w:rFonts w:hint="eastAsia" w:cs="宋体" w:asciiTheme="minorEastAsia" w:hAnsiTheme="minorEastAsia"/>
          <w:bCs/>
          <w:color w:val="auto"/>
          <w:szCs w:val="21"/>
        </w:rPr>
        <w:t>或 加 盖 名 章  ：</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w:t>
      </w:r>
    </w:p>
    <w:p w14:paraId="2D8CF772">
      <w:pPr>
        <w:pageBreakBefore w:val="0"/>
        <w:widowControl w:val="0"/>
        <w:tabs>
          <w:tab w:val="left" w:pos="1573"/>
        </w:tabs>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Cs w:val="21"/>
        </w:rPr>
      </w:pPr>
      <w:r>
        <w:rPr>
          <w:rFonts w:hint="eastAsia" w:cs="宋体" w:asciiTheme="minorEastAsia" w:hAnsiTheme="minorEastAsia"/>
          <w:bCs/>
          <w:color w:val="auto"/>
          <w:szCs w:val="21"/>
        </w:rPr>
        <w:t xml:space="preserve">    授权代表签字：</w:t>
      </w:r>
      <w:r>
        <w:rPr>
          <w:rFonts w:hint="eastAsia" w:cs="宋体" w:asciiTheme="minorEastAsia" w:hAnsiTheme="minorEastAsia"/>
          <w:color w:val="auto"/>
          <w:szCs w:val="21"/>
          <w:u w:val="single"/>
        </w:rPr>
        <w:t xml:space="preserve">                                </w:t>
      </w:r>
    </w:p>
    <w:p w14:paraId="3C7CAEE3">
      <w:pPr>
        <w:pStyle w:val="11"/>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cs="宋体" w:asciiTheme="minorEastAsia" w:hAnsiTheme="minorEastAsia"/>
          <w:color w:val="auto"/>
          <w:szCs w:val="21"/>
        </w:rPr>
      </w:pPr>
      <w:r>
        <w:rPr>
          <w:rFonts w:hint="eastAsia" w:cs="宋体" w:asciiTheme="minorEastAsia" w:hAnsiTheme="minorEastAsia"/>
          <w:bCs/>
          <w:color w:val="auto"/>
          <w:szCs w:val="21"/>
        </w:rPr>
        <w:t>日期：</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年</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月</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日</w:t>
      </w:r>
    </w:p>
    <w:p w14:paraId="28B2CE75">
      <w:pPr>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（二）投标函附录</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043C64C">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项目名称：</w:t>
      </w:r>
    </w:p>
    <w:p w14:paraId="66F633D9">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 xml:space="preserve">项目编号：           </w:t>
      </w:r>
    </w:p>
    <w:tbl>
      <w:tblPr>
        <w:tblStyle w:val="24"/>
        <w:tblW w:w="9118" w:type="dxa"/>
        <w:tblInd w:w="0" w:type="dxa"/>
        <w:tblLayout w:type="fixed"/>
        <w:tblCellMar>
          <w:top w:w="0" w:type="dxa"/>
          <w:left w:w="108" w:type="dxa"/>
          <w:bottom w:w="0" w:type="dxa"/>
          <w:right w:w="108" w:type="dxa"/>
        </w:tblCellMar>
      </w:tblPr>
      <w:tblGrid>
        <w:gridCol w:w="827"/>
        <w:gridCol w:w="2167"/>
        <w:gridCol w:w="3802"/>
        <w:gridCol w:w="2322"/>
      </w:tblGrid>
      <w:tr w14:paraId="368CC589">
        <w:tblPrEx>
          <w:tblCellMar>
            <w:top w:w="0" w:type="dxa"/>
            <w:left w:w="108" w:type="dxa"/>
            <w:bottom w:w="0" w:type="dxa"/>
            <w:right w:w="108" w:type="dxa"/>
          </w:tblCellMar>
        </w:tblPrEx>
        <w:trPr>
          <w:trHeight w:val="487" w:hRule="atLeast"/>
        </w:trPr>
        <w:tc>
          <w:tcPr>
            <w:tcW w:w="827" w:type="dxa"/>
            <w:tcBorders>
              <w:top w:val="single" w:color="auto" w:sz="4" w:space="0"/>
              <w:left w:val="single" w:color="auto" w:sz="4" w:space="0"/>
              <w:bottom w:val="single" w:color="auto" w:sz="4" w:space="0"/>
              <w:right w:val="single" w:color="auto" w:sz="4" w:space="0"/>
            </w:tcBorders>
            <w:vAlign w:val="center"/>
          </w:tcPr>
          <w:p w14:paraId="5CFE476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2167" w:type="dxa"/>
            <w:tcBorders>
              <w:top w:val="single" w:color="auto" w:sz="4" w:space="0"/>
              <w:left w:val="single" w:color="auto" w:sz="4" w:space="0"/>
              <w:bottom w:val="single" w:color="auto" w:sz="4" w:space="0"/>
              <w:right w:val="single" w:color="auto" w:sz="4" w:space="0"/>
            </w:tcBorders>
            <w:vAlign w:val="center"/>
          </w:tcPr>
          <w:p w14:paraId="3DF11966">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条款名称</w:t>
            </w:r>
          </w:p>
        </w:tc>
        <w:tc>
          <w:tcPr>
            <w:tcW w:w="3802" w:type="dxa"/>
            <w:tcBorders>
              <w:top w:val="single" w:color="auto" w:sz="4" w:space="0"/>
              <w:left w:val="single" w:color="auto" w:sz="4" w:space="0"/>
              <w:bottom w:val="single" w:color="auto" w:sz="4" w:space="0"/>
              <w:right w:val="single" w:color="auto" w:sz="4" w:space="0"/>
            </w:tcBorders>
            <w:vAlign w:val="center"/>
          </w:tcPr>
          <w:p w14:paraId="592A1EB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约定内容</w:t>
            </w:r>
          </w:p>
        </w:tc>
        <w:tc>
          <w:tcPr>
            <w:tcW w:w="2322" w:type="dxa"/>
            <w:tcBorders>
              <w:top w:val="single" w:color="auto" w:sz="4" w:space="0"/>
              <w:left w:val="single" w:color="auto" w:sz="4" w:space="0"/>
              <w:bottom w:val="single" w:color="auto" w:sz="4" w:space="0"/>
              <w:right w:val="single" w:color="auto" w:sz="4" w:space="0"/>
            </w:tcBorders>
            <w:vAlign w:val="center"/>
          </w:tcPr>
          <w:p w14:paraId="6F106BC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是否响应</w:t>
            </w:r>
          </w:p>
        </w:tc>
      </w:tr>
      <w:tr w14:paraId="04405AE7">
        <w:tblPrEx>
          <w:tblCellMar>
            <w:top w:w="0" w:type="dxa"/>
            <w:left w:w="108" w:type="dxa"/>
            <w:bottom w:w="0" w:type="dxa"/>
            <w:right w:w="108" w:type="dxa"/>
          </w:tblCellMar>
        </w:tblPrEx>
        <w:trPr>
          <w:trHeight w:val="487" w:hRule="atLeast"/>
        </w:trPr>
        <w:tc>
          <w:tcPr>
            <w:tcW w:w="827" w:type="dxa"/>
            <w:tcBorders>
              <w:top w:val="single" w:color="auto" w:sz="4" w:space="0"/>
              <w:left w:val="single" w:color="auto" w:sz="4" w:space="0"/>
              <w:bottom w:val="single" w:color="auto" w:sz="4" w:space="0"/>
              <w:right w:val="single" w:color="auto" w:sz="4" w:space="0"/>
            </w:tcBorders>
            <w:vAlign w:val="center"/>
          </w:tcPr>
          <w:p w14:paraId="7721910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167" w:type="dxa"/>
            <w:tcBorders>
              <w:top w:val="single" w:color="auto" w:sz="4" w:space="0"/>
              <w:left w:val="single" w:color="auto" w:sz="4" w:space="0"/>
              <w:bottom w:val="single" w:color="auto" w:sz="4" w:space="0"/>
              <w:right w:val="single" w:color="auto" w:sz="4" w:space="0"/>
            </w:tcBorders>
          </w:tcPr>
          <w:p w14:paraId="7CBA13A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合同履行期限</w:t>
            </w:r>
          </w:p>
        </w:tc>
        <w:tc>
          <w:tcPr>
            <w:tcW w:w="3802" w:type="dxa"/>
            <w:tcBorders>
              <w:top w:val="single" w:color="auto" w:sz="4" w:space="0"/>
              <w:left w:val="single" w:color="auto" w:sz="4" w:space="0"/>
              <w:bottom w:val="single" w:color="auto" w:sz="4" w:space="0"/>
              <w:right w:val="single" w:color="auto" w:sz="4" w:space="0"/>
            </w:tcBorders>
            <w:vAlign w:val="center"/>
          </w:tcPr>
          <w:p w14:paraId="79B789C0">
            <w:pPr>
              <w:autoSpaceDE w:val="0"/>
              <w:autoSpaceDN w:val="0"/>
              <w:adjustRightInd w:val="0"/>
              <w:spacing w:line="360" w:lineRule="auto"/>
              <w:jc w:val="center"/>
              <w:rPr>
                <w:rFonts w:ascii="宋体" w:hAnsi="宋体" w:eastAsia="宋体" w:cs="宋体"/>
                <w:color w:val="auto"/>
                <w:kern w:val="0"/>
                <w:szCs w:val="21"/>
              </w:rPr>
            </w:pPr>
          </w:p>
        </w:tc>
        <w:tc>
          <w:tcPr>
            <w:tcW w:w="2322" w:type="dxa"/>
            <w:tcBorders>
              <w:top w:val="single" w:color="auto" w:sz="4" w:space="0"/>
              <w:left w:val="single" w:color="auto" w:sz="4" w:space="0"/>
              <w:bottom w:val="single" w:color="auto" w:sz="4" w:space="0"/>
              <w:right w:val="single" w:color="auto" w:sz="4" w:space="0"/>
            </w:tcBorders>
            <w:vAlign w:val="center"/>
          </w:tcPr>
          <w:p w14:paraId="422459FA">
            <w:pPr>
              <w:autoSpaceDE w:val="0"/>
              <w:autoSpaceDN w:val="0"/>
              <w:adjustRightInd w:val="0"/>
              <w:spacing w:line="360" w:lineRule="auto"/>
              <w:ind w:firstLine="480"/>
              <w:jc w:val="center"/>
              <w:rPr>
                <w:rFonts w:ascii="宋体" w:hAnsi="宋体" w:eastAsia="宋体" w:cs="宋体"/>
                <w:color w:val="auto"/>
                <w:kern w:val="0"/>
                <w:szCs w:val="21"/>
              </w:rPr>
            </w:pPr>
          </w:p>
        </w:tc>
      </w:tr>
      <w:tr w14:paraId="33D5FDD6">
        <w:tblPrEx>
          <w:tblCellMar>
            <w:top w:w="0" w:type="dxa"/>
            <w:left w:w="108" w:type="dxa"/>
            <w:bottom w:w="0" w:type="dxa"/>
            <w:right w:w="108" w:type="dxa"/>
          </w:tblCellMar>
        </w:tblPrEx>
        <w:trPr>
          <w:trHeight w:val="487" w:hRule="atLeast"/>
        </w:trPr>
        <w:tc>
          <w:tcPr>
            <w:tcW w:w="827" w:type="dxa"/>
            <w:tcBorders>
              <w:top w:val="single" w:color="auto" w:sz="4" w:space="0"/>
              <w:left w:val="single" w:color="auto" w:sz="4" w:space="0"/>
              <w:bottom w:val="single" w:color="auto" w:sz="4" w:space="0"/>
              <w:right w:val="single" w:color="auto" w:sz="4" w:space="0"/>
            </w:tcBorders>
            <w:vAlign w:val="center"/>
          </w:tcPr>
          <w:p w14:paraId="42C056F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167" w:type="dxa"/>
            <w:tcBorders>
              <w:top w:val="single" w:color="auto" w:sz="4" w:space="0"/>
              <w:left w:val="single" w:color="auto" w:sz="4" w:space="0"/>
              <w:bottom w:val="single" w:color="auto" w:sz="4" w:space="0"/>
              <w:right w:val="single" w:color="auto" w:sz="4" w:space="0"/>
            </w:tcBorders>
          </w:tcPr>
          <w:p w14:paraId="2721847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投标有效期</w:t>
            </w:r>
          </w:p>
        </w:tc>
        <w:tc>
          <w:tcPr>
            <w:tcW w:w="3802" w:type="dxa"/>
            <w:tcBorders>
              <w:top w:val="single" w:color="auto" w:sz="4" w:space="0"/>
              <w:left w:val="single" w:color="auto" w:sz="4" w:space="0"/>
              <w:bottom w:val="single" w:color="auto" w:sz="4" w:space="0"/>
              <w:right w:val="single" w:color="auto" w:sz="4" w:space="0"/>
            </w:tcBorders>
            <w:vAlign w:val="center"/>
          </w:tcPr>
          <w:p w14:paraId="0FCC632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投标截止之日起90日</w:t>
            </w:r>
          </w:p>
        </w:tc>
        <w:tc>
          <w:tcPr>
            <w:tcW w:w="2322" w:type="dxa"/>
            <w:tcBorders>
              <w:top w:val="single" w:color="auto" w:sz="4" w:space="0"/>
              <w:left w:val="single" w:color="auto" w:sz="4" w:space="0"/>
              <w:bottom w:val="single" w:color="auto" w:sz="4" w:space="0"/>
              <w:right w:val="single" w:color="auto" w:sz="4" w:space="0"/>
            </w:tcBorders>
            <w:vAlign w:val="center"/>
          </w:tcPr>
          <w:p w14:paraId="206D0DBD">
            <w:pPr>
              <w:autoSpaceDE w:val="0"/>
              <w:autoSpaceDN w:val="0"/>
              <w:adjustRightInd w:val="0"/>
              <w:spacing w:line="360" w:lineRule="auto"/>
              <w:ind w:firstLine="480"/>
              <w:jc w:val="center"/>
              <w:rPr>
                <w:rFonts w:ascii="宋体" w:hAnsi="宋体" w:eastAsia="宋体" w:cs="宋体"/>
                <w:color w:val="auto"/>
                <w:kern w:val="0"/>
                <w:szCs w:val="21"/>
              </w:rPr>
            </w:pPr>
          </w:p>
        </w:tc>
      </w:tr>
      <w:tr w14:paraId="47F7357B">
        <w:tblPrEx>
          <w:tblCellMar>
            <w:top w:w="0" w:type="dxa"/>
            <w:left w:w="108" w:type="dxa"/>
            <w:bottom w:w="0" w:type="dxa"/>
            <w:right w:w="108" w:type="dxa"/>
          </w:tblCellMar>
        </w:tblPrEx>
        <w:trPr>
          <w:trHeight w:val="487" w:hRule="atLeast"/>
        </w:trPr>
        <w:tc>
          <w:tcPr>
            <w:tcW w:w="827" w:type="dxa"/>
            <w:tcBorders>
              <w:top w:val="single" w:color="auto" w:sz="4" w:space="0"/>
              <w:left w:val="single" w:color="auto" w:sz="4" w:space="0"/>
              <w:bottom w:val="single" w:color="auto" w:sz="4" w:space="0"/>
              <w:right w:val="single" w:color="auto" w:sz="4" w:space="0"/>
            </w:tcBorders>
            <w:vAlign w:val="center"/>
          </w:tcPr>
          <w:p w14:paraId="04C8247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2167" w:type="dxa"/>
            <w:tcBorders>
              <w:top w:val="single" w:color="auto" w:sz="4" w:space="0"/>
              <w:left w:val="single" w:color="auto" w:sz="4" w:space="0"/>
              <w:bottom w:val="single" w:color="auto" w:sz="4" w:space="0"/>
              <w:right w:val="single" w:color="auto" w:sz="4" w:space="0"/>
            </w:tcBorders>
          </w:tcPr>
          <w:p w14:paraId="2C873C27">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付款方式</w:t>
            </w:r>
          </w:p>
        </w:tc>
        <w:tc>
          <w:tcPr>
            <w:tcW w:w="3802" w:type="dxa"/>
            <w:tcBorders>
              <w:top w:val="single" w:color="auto" w:sz="4" w:space="0"/>
              <w:left w:val="single" w:color="auto" w:sz="4" w:space="0"/>
              <w:bottom w:val="single" w:color="auto" w:sz="4" w:space="0"/>
              <w:right w:val="single" w:color="auto" w:sz="4" w:space="0"/>
            </w:tcBorders>
            <w:vAlign w:val="center"/>
          </w:tcPr>
          <w:p w14:paraId="64925D10">
            <w:pPr>
              <w:autoSpaceDE w:val="0"/>
              <w:autoSpaceDN w:val="0"/>
              <w:adjustRightInd w:val="0"/>
              <w:spacing w:line="360" w:lineRule="auto"/>
              <w:jc w:val="center"/>
              <w:rPr>
                <w:rFonts w:ascii="宋体" w:hAnsi="宋体" w:eastAsia="宋体" w:cs="宋体"/>
                <w:color w:val="auto"/>
                <w:kern w:val="0"/>
                <w:szCs w:val="21"/>
              </w:rPr>
            </w:pPr>
          </w:p>
        </w:tc>
        <w:tc>
          <w:tcPr>
            <w:tcW w:w="2322" w:type="dxa"/>
            <w:tcBorders>
              <w:top w:val="single" w:color="auto" w:sz="4" w:space="0"/>
              <w:left w:val="single" w:color="auto" w:sz="4" w:space="0"/>
              <w:bottom w:val="single" w:color="auto" w:sz="4" w:space="0"/>
              <w:right w:val="single" w:color="auto" w:sz="4" w:space="0"/>
            </w:tcBorders>
            <w:vAlign w:val="center"/>
          </w:tcPr>
          <w:p w14:paraId="1D627620">
            <w:pPr>
              <w:autoSpaceDE w:val="0"/>
              <w:autoSpaceDN w:val="0"/>
              <w:adjustRightInd w:val="0"/>
              <w:spacing w:line="360" w:lineRule="auto"/>
              <w:ind w:firstLine="480"/>
              <w:jc w:val="center"/>
              <w:rPr>
                <w:rFonts w:ascii="宋体" w:hAnsi="宋体" w:eastAsia="宋体" w:cs="宋体"/>
                <w:color w:val="auto"/>
                <w:kern w:val="0"/>
                <w:szCs w:val="21"/>
              </w:rPr>
            </w:pPr>
          </w:p>
        </w:tc>
      </w:tr>
      <w:tr w14:paraId="37D6690A">
        <w:tblPrEx>
          <w:tblCellMar>
            <w:top w:w="0" w:type="dxa"/>
            <w:left w:w="108" w:type="dxa"/>
            <w:bottom w:w="0" w:type="dxa"/>
            <w:right w:w="108" w:type="dxa"/>
          </w:tblCellMar>
        </w:tblPrEx>
        <w:trPr>
          <w:trHeight w:val="487" w:hRule="atLeast"/>
        </w:trPr>
        <w:tc>
          <w:tcPr>
            <w:tcW w:w="827" w:type="dxa"/>
            <w:tcBorders>
              <w:top w:val="single" w:color="auto" w:sz="4" w:space="0"/>
              <w:left w:val="single" w:color="auto" w:sz="4" w:space="0"/>
              <w:bottom w:val="single" w:color="auto" w:sz="4" w:space="0"/>
              <w:right w:val="single" w:color="auto" w:sz="4" w:space="0"/>
            </w:tcBorders>
            <w:vAlign w:val="center"/>
          </w:tcPr>
          <w:p w14:paraId="01B0B44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2167" w:type="dxa"/>
            <w:tcBorders>
              <w:top w:val="single" w:color="auto" w:sz="4" w:space="0"/>
              <w:left w:val="single" w:color="auto" w:sz="4" w:space="0"/>
              <w:bottom w:val="single" w:color="auto" w:sz="4" w:space="0"/>
              <w:right w:val="single" w:color="auto" w:sz="4" w:space="0"/>
            </w:tcBorders>
          </w:tcPr>
          <w:p w14:paraId="240A4E72">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质量标准</w:t>
            </w:r>
          </w:p>
        </w:tc>
        <w:tc>
          <w:tcPr>
            <w:tcW w:w="3802" w:type="dxa"/>
            <w:tcBorders>
              <w:top w:val="single" w:color="auto" w:sz="4" w:space="0"/>
              <w:left w:val="single" w:color="auto" w:sz="4" w:space="0"/>
              <w:bottom w:val="single" w:color="auto" w:sz="4" w:space="0"/>
              <w:right w:val="single" w:color="auto" w:sz="4" w:space="0"/>
            </w:tcBorders>
            <w:vAlign w:val="center"/>
          </w:tcPr>
          <w:p w14:paraId="02A8F84B">
            <w:pPr>
              <w:autoSpaceDE w:val="0"/>
              <w:autoSpaceDN w:val="0"/>
              <w:adjustRightInd w:val="0"/>
              <w:spacing w:line="360" w:lineRule="auto"/>
              <w:jc w:val="center"/>
              <w:rPr>
                <w:rFonts w:ascii="宋体" w:hAnsi="宋体" w:eastAsia="宋体" w:cs="宋体"/>
                <w:color w:val="auto"/>
                <w:kern w:val="0"/>
                <w:szCs w:val="21"/>
              </w:rPr>
            </w:pPr>
          </w:p>
        </w:tc>
        <w:tc>
          <w:tcPr>
            <w:tcW w:w="2322" w:type="dxa"/>
            <w:tcBorders>
              <w:top w:val="single" w:color="auto" w:sz="4" w:space="0"/>
              <w:left w:val="single" w:color="auto" w:sz="4" w:space="0"/>
              <w:bottom w:val="single" w:color="auto" w:sz="4" w:space="0"/>
              <w:right w:val="single" w:color="auto" w:sz="4" w:space="0"/>
            </w:tcBorders>
            <w:vAlign w:val="center"/>
          </w:tcPr>
          <w:p w14:paraId="083CB9D9">
            <w:pPr>
              <w:autoSpaceDE w:val="0"/>
              <w:autoSpaceDN w:val="0"/>
              <w:adjustRightInd w:val="0"/>
              <w:spacing w:line="360" w:lineRule="auto"/>
              <w:ind w:firstLine="480"/>
              <w:jc w:val="center"/>
              <w:rPr>
                <w:rFonts w:ascii="宋体" w:hAnsi="宋体" w:eastAsia="宋体" w:cs="宋体"/>
                <w:color w:val="auto"/>
                <w:kern w:val="0"/>
                <w:szCs w:val="21"/>
              </w:rPr>
            </w:pPr>
          </w:p>
        </w:tc>
      </w:tr>
      <w:tr w14:paraId="233228E0">
        <w:tblPrEx>
          <w:tblCellMar>
            <w:top w:w="0" w:type="dxa"/>
            <w:left w:w="108" w:type="dxa"/>
            <w:bottom w:w="0" w:type="dxa"/>
            <w:right w:w="108" w:type="dxa"/>
          </w:tblCellMar>
        </w:tblPrEx>
        <w:trPr>
          <w:trHeight w:val="565" w:hRule="atLeast"/>
        </w:trPr>
        <w:tc>
          <w:tcPr>
            <w:tcW w:w="827" w:type="dxa"/>
            <w:tcBorders>
              <w:top w:val="single" w:color="auto" w:sz="4" w:space="0"/>
              <w:left w:val="single" w:color="auto" w:sz="4" w:space="0"/>
              <w:bottom w:val="single" w:color="auto" w:sz="4" w:space="0"/>
              <w:right w:val="single" w:color="auto" w:sz="4" w:space="0"/>
            </w:tcBorders>
            <w:vAlign w:val="center"/>
          </w:tcPr>
          <w:p w14:paraId="2E39A92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2167" w:type="dxa"/>
            <w:tcBorders>
              <w:top w:val="single" w:color="auto" w:sz="4" w:space="0"/>
              <w:left w:val="single" w:color="auto" w:sz="4" w:space="0"/>
              <w:bottom w:val="single" w:color="auto" w:sz="4" w:space="0"/>
              <w:right w:val="single" w:color="auto" w:sz="4" w:space="0"/>
            </w:tcBorders>
            <w:vAlign w:val="center"/>
          </w:tcPr>
          <w:p w14:paraId="0EBD4400">
            <w:pPr>
              <w:jc w:val="center"/>
              <w:rPr>
                <w:rFonts w:ascii="宋体" w:hAnsi="宋体" w:eastAsia="宋体" w:cs="宋体"/>
                <w:color w:val="auto"/>
                <w:kern w:val="0"/>
                <w:szCs w:val="21"/>
              </w:rPr>
            </w:pPr>
          </w:p>
        </w:tc>
        <w:tc>
          <w:tcPr>
            <w:tcW w:w="3802" w:type="dxa"/>
            <w:tcBorders>
              <w:top w:val="single" w:color="auto" w:sz="4" w:space="0"/>
              <w:left w:val="single" w:color="auto" w:sz="4" w:space="0"/>
              <w:bottom w:val="single" w:color="auto" w:sz="4" w:space="0"/>
              <w:right w:val="single" w:color="auto" w:sz="4" w:space="0"/>
            </w:tcBorders>
            <w:vAlign w:val="center"/>
          </w:tcPr>
          <w:p w14:paraId="5AF6EDAC">
            <w:pPr>
              <w:jc w:val="center"/>
              <w:rPr>
                <w:rFonts w:ascii="宋体" w:hAnsi="宋体" w:eastAsia="宋体" w:cs="宋体"/>
                <w:color w:val="auto"/>
                <w:szCs w:val="21"/>
              </w:rPr>
            </w:pPr>
          </w:p>
        </w:tc>
        <w:tc>
          <w:tcPr>
            <w:tcW w:w="2322" w:type="dxa"/>
            <w:tcBorders>
              <w:top w:val="single" w:color="auto" w:sz="4" w:space="0"/>
              <w:left w:val="single" w:color="auto" w:sz="4" w:space="0"/>
              <w:bottom w:val="single" w:color="auto" w:sz="4" w:space="0"/>
              <w:right w:val="single" w:color="auto" w:sz="4" w:space="0"/>
            </w:tcBorders>
            <w:vAlign w:val="center"/>
          </w:tcPr>
          <w:p w14:paraId="4D5F5CD7">
            <w:pPr>
              <w:spacing w:line="360" w:lineRule="auto"/>
              <w:ind w:firstLine="480"/>
              <w:rPr>
                <w:rFonts w:ascii="宋体" w:hAnsi="宋体" w:eastAsia="宋体" w:cs="宋体"/>
                <w:color w:val="auto"/>
                <w:szCs w:val="21"/>
              </w:rPr>
            </w:pPr>
          </w:p>
        </w:tc>
      </w:tr>
      <w:tr w14:paraId="24E553B6">
        <w:tblPrEx>
          <w:tblCellMar>
            <w:top w:w="0" w:type="dxa"/>
            <w:left w:w="108" w:type="dxa"/>
            <w:bottom w:w="0" w:type="dxa"/>
            <w:right w:w="108" w:type="dxa"/>
          </w:tblCellMar>
        </w:tblPrEx>
        <w:trPr>
          <w:trHeight w:val="487" w:hRule="atLeast"/>
        </w:trPr>
        <w:tc>
          <w:tcPr>
            <w:tcW w:w="827" w:type="dxa"/>
            <w:tcBorders>
              <w:top w:val="single" w:color="auto" w:sz="4" w:space="0"/>
              <w:left w:val="single" w:color="auto" w:sz="4" w:space="0"/>
              <w:bottom w:val="single" w:color="auto" w:sz="4" w:space="0"/>
              <w:right w:val="single" w:color="auto" w:sz="4" w:space="0"/>
            </w:tcBorders>
            <w:vAlign w:val="center"/>
          </w:tcPr>
          <w:p w14:paraId="4BA4546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2167" w:type="dxa"/>
            <w:tcBorders>
              <w:top w:val="single" w:color="auto" w:sz="4" w:space="0"/>
              <w:left w:val="single" w:color="auto" w:sz="4" w:space="0"/>
              <w:bottom w:val="single" w:color="auto" w:sz="4" w:space="0"/>
              <w:right w:val="single" w:color="auto" w:sz="4" w:space="0"/>
            </w:tcBorders>
          </w:tcPr>
          <w:p w14:paraId="177517F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3802" w:type="dxa"/>
            <w:tcBorders>
              <w:top w:val="single" w:color="auto" w:sz="4" w:space="0"/>
              <w:left w:val="single" w:color="auto" w:sz="4" w:space="0"/>
              <w:bottom w:val="single" w:color="auto" w:sz="4" w:space="0"/>
              <w:right w:val="single" w:color="auto" w:sz="4" w:space="0"/>
            </w:tcBorders>
            <w:vAlign w:val="center"/>
          </w:tcPr>
          <w:p w14:paraId="74007A9C">
            <w:pPr>
              <w:spacing w:line="360" w:lineRule="auto"/>
              <w:jc w:val="center"/>
              <w:rPr>
                <w:rFonts w:ascii="宋体" w:hAnsi="宋体" w:eastAsia="宋体" w:cs="宋体"/>
                <w:color w:val="auto"/>
                <w:szCs w:val="21"/>
              </w:rPr>
            </w:pPr>
          </w:p>
        </w:tc>
        <w:tc>
          <w:tcPr>
            <w:tcW w:w="2322" w:type="dxa"/>
            <w:tcBorders>
              <w:top w:val="single" w:color="auto" w:sz="4" w:space="0"/>
              <w:left w:val="single" w:color="auto" w:sz="4" w:space="0"/>
              <w:bottom w:val="single" w:color="auto" w:sz="4" w:space="0"/>
              <w:right w:val="single" w:color="auto" w:sz="4" w:space="0"/>
            </w:tcBorders>
            <w:vAlign w:val="center"/>
          </w:tcPr>
          <w:p w14:paraId="569BBE32">
            <w:pPr>
              <w:spacing w:line="360" w:lineRule="auto"/>
              <w:ind w:firstLine="480"/>
              <w:rPr>
                <w:rFonts w:ascii="宋体" w:hAnsi="宋体" w:eastAsia="宋体" w:cs="宋体"/>
                <w:color w:val="auto"/>
                <w:szCs w:val="21"/>
              </w:rPr>
            </w:pPr>
          </w:p>
        </w:tc>
      </w:tr>
      <w:tr w14:paraId="0EF50ED8">
        <w:tblPrEx>
          <w:tblCellMar>
            <w:top w:w="0" w:type="dxa"/>
            <w:left w:w="108" w:type="dxa"/>
            <w:bottom w:w="0" w:type="dxa"/>
            <w:right w:w="108" w:type="dxa"/>
          </w:tblCellMar>
        </w:tblPrEx>
        <w:trPr>
          <w:trHeight w:val="974" w:hRule="atLeast"/>
        </w:trPr>
        <w:tc>
          <w:tcPr>
            <w:tcW w:w="9118" w:type="dxa"/>
            <w:gridSpan w:val="4"/>
            <w:tcBorders>
              <w:top w:val="single" w:color="auto" w:sz="4" w:space="0"/>
              <w:left w:val="single" w:color="auto" w:sz="4" w:space="0"/>
              <w:bottom w:val="single" w:color="auto" w:sz="4" w:space="0"/>
              <w:right w:val="single" w:color="auto" w:sz="4" w:space="0"/>
            </w:tcBorders>
            <w:vAlign w:val="center"/>
          </w:tcPr>
          <w:p w14:paraId="7DF05674">
            <w:pPr>
              <w:spacing w:line="360" w:lineRule="auto"/>
              <w:rPr>
                <w:rFonts w:ascii="宋体" w:hAnsi="宋体" w:eastAsia="宋体" w:cs="宋体"/>
                <w:color w:val="auto"/>
                <w:szCs w:val="21"/>
              </w:rPr>
            </w:pPr>
            <w:r>
              <w:rPr>
                <w:rFonts w:hint="eastAsia" w:ascii="宋体" w:hAnsi="宋体" w:eastAsia="宋体" w:cs="宋体"/>
                <w:color w:val="auto"/>
                <w:szCs w:val="21"/>
              </w:rPr>
              <w:t>备注：投标人在响应采购文件中规定的实质性要求和条件的基础上，可做出其他有利于采购人的承诺。此类承诺可在本表中予以补充填写。</w:t>
            </w:r>
          </w:p>
        </w:tc>
      </w:tr>
    </w:tbl>
    <w:p w14:paraId="35F35671">
      <w:pPr>
        <w:spacing w:line="360" w:lineRule="auto"/>
        <w:ind w:left="840" w:leftChars="400" w:firstLine="2310" w:firstLineChars="1100"/>
        <w:rPr>
          <w:rFonts w:ascii="宋体" w:hAnsi="宋体" w:eastAsia="宋体" w:cs="宋体"/>
          <w:color w:val="auto"/>
          <w:szCs w:val="21"/>
        </w:rPr>
      </w:pPr>
    </w:p>
    <w:p w14:paraId="619A92DA">
      <w:pPr>
        <w:autoSpaceDE w:val="0"/>
        <w:autoSpaceDN w:val="0"/>
        <w:adjustRightInd w:val="0"/>
        <w:spacing w:line="360" w:lineRule="auto"/>
        <w:jc w:val="left"/>
        <w:rPr>
          <w:rFonts w:ascii="宋体" w:hAnsi="宋体" w:eastAsia="宋体" w:cs="宋体"/>
          <w:color w:val="auto"/>
          <w:kern w:val="0"/>
          <w:szCs w:val="21"/>
        </w:rPr>
      </w:pPr>
    </w:p>
    <w:p w14:paraId="1C55B009">
      <w:pPr>
        <w:autoSpaceDE w:val="0"/>
        <w:autoSpaceDN w:val="0"/>
        <w:adjustRightInd w:val="0"/>
        <w:spacing w:line="360" w:lineRule="auto"/>
        <w:jc w:val="left"/>
        <w:rPr>
          <w:rFonts w:ascii="宋体" w:hAnsi="宋体" w:eastAsia="宋体" w:cs="宋体"/>
          <w:color w:val="auto"/>
          <w:kern w:val="0"/>
          <w:szCs w:val="21"/>
        </w:rPr>
      </w:pPr>
    </w:p>
    <w:p w14:paraId="694CCD85">
      <w:pPr>
        <w:autoSpaceDE w:val="0"/>
        <w:autoSpaceDN w:val="0"/>
        <w:adjustRightInd w:val="0"/>
        <w:spacing w:line="360" w:lineRule="auto"/>
        <w:jc w:val="left"/>
        <w:rPr>
          <w:rFonts w:ascii="宋体" w:hAnsi="宋体" w:eastAsia="宋体" w:cs="宋体"/>
          <w:color w:val="auto"/>
          <w:kern w:val="0"/>
          <w:szCs w:val="21"/>
        </w:rPr>
      </w:pPr>
    </w:p>
    <w:p w14:paraId="6F59536D">
      <w:pPr>
        <w:spacing w:before="62" w:line="429" w:lineRule="auto"/>
        <w:ind w:left="159"/>
        <w:jc w:val="right"/>
        <w:rPr>
          <w:rFonts w:ascii="宋体" w:hAnsi="宋体" w:eastAsia="宋体" w:cs="宋体"/>
          <w:color w:val="auto"/>
          <w:szCs w:val="21"/>
        </w:rPr>
      </w:pPr>
      <w:r>
        <w:rPr>
          <w:rFonts w:hint="eastAsia" w:ascii="宋体" w:hAnsi="宋体" w:eastAsia="宋体" w:cs="宋体"/>
          <w:color w:val="auto"/>
          <w:kern w:val="0"/>
          <w:szCs w:val="21"/>
        </w:rPr>
        <w:t>投 标 人</w:t>
      </w:r>
      <w:r>
        <w:rPr>
          <w:rFonts w:ascii="宋体" w:hAnsi="宋体" w:eastAsia="宋体" w:cs="宋体"/>
          <w:color w:val="auto"/>
          <w:spacing w:val="-6"/>
          <w:szCs w:val="21"/>
        </w:rPr>
        <w:t>：</w:t>
      </w:r>
      <w:r>
        <w:rPr>
          <w:rFonts w:ascii="宋体" w:hAnsi="宋体" w:eastAsia="宋体" w:cs="宋体"/>
          <w:color w:val="auto"/>
          <w:szCs w:val="21"/>
          <w:u w:val="single"/>
        </w:rPr>
        <w:t xml:space="preserve">                       </w:t>
      </w:r>
      <w:r>
        <w:rPr>
          <w:rFonts w:ascii="宋体" w:hAnsi="宋体" w:eastAsia="宋体" w:cs="宋体"/>
          <w:color w:val="auto"/>
          <w:spacing w:val="-6"/>
          <w:szCs w:val="21"/>
        </w:rPr>
        <w:t>（</w:t>
      </w:r>
      <w:r>
        <w:rPr>
          <w:rFonts w:ascii="宋体" w:hAnsi="宋体" w:eastAsia="宋体" w:cs="宋体"/>
          <w:color w:val="auto"/>
          <w:spacing w:val="9"/>
          <w:szCs w:val="21"/>
        </w:rPr>
        <w:t>盖单位章）</w:t>
      </w:r>
    </w:p>
    <w:p w14:paraId="7551DF8A">
      <w:pPr>
        <w:spacing w:before="1" w:line="228" w:lineRule="auto"/>
        <w:ind w:left="159"/>
        <w:jc w:val="right"/>
        <w:rPr>
          <w:rFonts w:ascii="宋体" w:hAnsi="宋体" w:eastAsia="宋体" w:cs="宋体"/>
          <w:color w:val="auto"/>
          <w:spacing w:val="10"/>
          <w:szCs w:val="21"/>
        </w:rPr>
      </w:pPr>
      <w:r>
        <w:rPr>
          <w:rFonts w:ascii="宋体" w:hAnsi="宋体" w:eastAsia="宋体" w:cs="宋体"/>
          <w:color w:val="auto"/>
          <w:spacing w:val="10"/>
          <w:szCs w:val="21"/>
        </w:rPr>
        <w:t>法定代表人或其委托代理人</w:t>
      </w:r>
      <w:r>
        <w:rPr>
          <w:rFonts w:ascii="宋体" w:hAnsi="宋体" w:eastAsia="宋体" w:cs="宋体"/>
          <w:color w:val="auto"/>
          <w:szCs w:val="21"/>
        </w:rPr>
        <w:t>：</w:t>
      </w:r>
      <w:r>
        <w:rPr>
          <w:rFonts w:ascii="宋体" w:hAnsi="宋体" w:eastAsia="宋体" w:cs="宋体"/>
          <w:color w:val="auto"/>
          <w:spacing w:val="5"/>
          <w:szCs w:val="21"/>
          <w:u w:val="single"/>
        </w:rPr>
        <w:t xml:space="preserve">          </w:t>
      </w:r>
      <w:r>
        <w:rPr>
          <w:rFonts w:ascii="宋体" w:hAnsi="宋体" w:eastAsia="宋体" w:cs="宋体"/>
          <w:color w:val="auto"/>
          <w:szCs w:val="21"/>
        </w:rPr>
        <w:t>（</w:t>
      </w:r>
      <w:r>
        <w:rPr>
          <w:rFonts w:ascii="宋体" w:hAnsi="宋体" w:eastAsia="宋体" w:cs="宋体"/>
          <w:color w:val="auto"/>
          <w:spacing w:val="10"/>
          <w:szCs w:val="21"/>
        </w:rPr>
        <w:t>签字）</w:t>
      </w:r>
    </w:p>
    <w:p w14:paraId="13009F26">
      <w:pPr>
        <w:spacing w:before="1" w:line="228" w:lineRule="auto"/>
        <w:ind w:left="159"/>
        <w:jc w:val="right"/>
        <w:rPr>
          <w:rFonts w:ascii="宋体" w:hAnsi="宋体" w:eastAsia="宋体" w:cs="宋体"/>
          <w:color w:val="auto"/>
          <w:szCs w:val="21"/>
        </w:rPr>
      </w:pPr>
      <w:r>
        <w:rPr>
          <w:rFonts w:ascii="宋体" w:hAnsi="宋体" w:eastAsia="宋体" w:cs="宋体"/>
          <w:color w:val="auto"/>
          <w:szCs w:val="21"/>
          <w:u w:val="single"/>
        </w:rPr>
        <w:tab/>
      </w:r>
      <w:r>
        <w:rPr>
          <w:rFonts w:ascii="宋体" w:hAnsi="宋体" w:eastAsia="宋体" w:cs="宋体"/>
          <w:color w:val="auto"/>
          <w:spacing w:val="-84"/>
          <w:szCs w:val="21"/>
        </w:rPr>
        <w:t xml:space="preserve"> </w:t>
      </w:r>
      <w:r>
        <w:rPr>
          <w:rFonts w:ascii="宋体" w:hAnsi="宋体" w:eastAsia="宋体" w:cs="宋体"/>
          <w:color w:val="auto"/>
          <w:spacing w:val="-13"/>
          <w:szCs w:val="21"/>
        </w:rPr>
        <w:t>年</w:t>
      </w:r>
      <w:r>
        <w:rPr>
          <w:rFonts w:ascii="宋体" w:hAnsi="宋体" w:eastAsia="宋体" w:cs="宋体"/>
          <w:color w:val="auto"/>
          <w:spacing w:val="4"/>
          <w:szCs w:val="21"/>
          <w:u w:val="single"/>
        </w:rPr>
        <w:t xml:space="preserve">        </w:t>
      </w:r>
      <w:r>
        <w:rPr>
          <w:rFonts w:ascii="宋体" w:hAnsi="宋体" w:eastAsia="宋体" w:cs="宋体"/>
          <w:color w:val="auto"/>
          <w:spacing w:val="-76"/>
          <w:szCs w:val="21"/>
        </w:rPr>
        <w:t xml:space="preserve"> </w:t>
      </w:r>
      <w:r>
        <w:rPr>
          <w:rFonts w:ascii="宋体" w:hAnsi="宋体" w:eastAsia="宋体" w:cs="宋体"/>
          <w:color w:val="auto"/>
          <w:spacing w:val="-13"/>
          <w:szCs w:val="21"/>
        </w:rPr>
        <w:t>月</w:t>
      </w:r>
      <w:r>
        <w:rPr>
          <w:rFonts w:ascii="宋体" w:hAnsi="宋体" w:eastAsia="宋体" w:cs="宋体"/>
          <w:color w:val="auto"/>
          <w:spacing w:val="-92"/>
          <w:szCs w:val="21"/>
        </w:rPr>
        <w:t xml:space="preserve"> </w:t>
      </w:r>
      <w:r>
        <w:rPr>
          <w:rFonts w:ascii="宋体" w:hAnsi="宋体" w:eastAsia="宋体" w:cs="宋体"/>
          <w:color w:val="auto"/>
          <w:spacing w:val="4"/>
          <w:szCs w:val="21"/>
          <w:u w:val="single"/>
        </w:rPr>
        <w:t xml:space="preserve">        </w:t>
      </w:r>
      <w:r>
        <w:rPr>
          <w:rFonts w:ascii="宋体" w:hAnsi="宋体" w:eastAsia="宋体" w:cs="宋体"/>
          <w:color w:val="auto"/>
          <w:spacing w:val="-46"/>
          <w:szCs w:val="21"/>
        </w:rPr>
        <w:t xml:space="preserve"> </w:t>
      </w:r>
      <w:r>
        <w:rPr>
          <w:rFonts w:ascii="宋体" w:hAnsi="宋体" w:eastAsia="宋体" w:cs="宋体"/>
          <w:color w:val="auto"/>
          <w:spacing w:val="-13"/>
          <w:szCs w:val="21"/>
        </w:rPr>
        <w:t>日</w:t>
      </w:r>
    </w:p>
    <w:p w14:paraId="27569A57">
      <w:pPr>
        <w:autoSpaceDE w:val="0"/>
        <w:autoSpaceDN w:val="0"/>
        <w:adjustRightInd w:val="0"/>
        <w:spacing w:line="360" w:lineRule="auto"/>
        <w:jc w:val="right"/>
        <w:rPr>
          <w:rFonts w:ascii="宋体" w:hAnsi="宋体" w:eastAsia="宋体" w:cs="宋体"/>
          <w:color w:val="auto"/>
          <w:kern w:val="0"/>
          <w:szCs w:val="21"/>
        </w:rPr>
      </w:pPr>
    </w:p>
    <w:p w14:paraId="66F11F26">
      <w:pPr>
        <w:autoSpaceDE w:val="0"/>
        <w:autoSpaceDN w:val="0"/>
        <w:adjustRightInd w:val="0"/>
        <w:spacing w:line="360" w:lineRule="auto"/>
        <w:jc w:val="left"/>
        <w:rPr>
          <w:rFonts w:ascii="宋体" w:hAnsi="宋体" w:eastAsia="宋体" w:cs="宋体"/>
          <w:color w:val="auto"/>
          <w:kern w:val="0"/>
          <w:szCs w:val="21"/>
        </w:rPr>
      </w:pPr>
    </w:p>
    <w:p w14:paraId="325B4F24">
      <w:pPr>
        <w:autoSpaceDE w:val="0"/>
        <w:autoSpaceDN w:val="0"/>
        <w:adjustRightInd w:val="0"/>
        <w:spacing w:line="360" w:lineRule="auto"/>
        <w:jc w:val="left"/>
        <w:rPr>
          <w:rFonts w:ascii="宋体" w:hAnsi="宋体" w:eastAsia="宋体" w:cs="宋体"/>
          <w:color w:val="auto"/>
          <w:kern w:val="0"/>
          <w:sz w:val="24"/>
        </w:rPr>
      </w:pPr>
    </w:p>
    <w:p w14:paraId="28AC9F4A">
      <w:pPr>
        <w:autoSpaceDE w:val="0"/>
        <w:autoSpaceDN w:val="0"/>
        <w:adjustRightInd w:val="0"/>
        <w:spacing w:line="360" w:lineRule="auto"/>
        <w:jc w:val="left"/>
        <w:rPr>
          <w:rFonts w:ascii="宋体" w:hAnsi="宋体" w:eastAsia="宋体" w:cs="宋体"/>
          <w:color w:val="auto"/>
          <w:kern w:val="0"/>
          <w:sz w:val="24"/>
        </w:rPr>
      </w:pPr>
    </w:p>
    <w:p w14:paraId="19437675">
      <w:pPr>
        <w:autoSpaceDE w:val="0"/>
        <w:autoSpaceDN w:val="0"/>
        <w:adjustRightInd w:val="0"/>
        <w:spacing w:line="360" w:lineRule="auto"/>
        <w:jc w:val="center"/>
        <w:rPr>
          <w:rFonts w:ascii="宋体" w:hAnsi="宋体" w:eastAsia="宋体" w:cs="宋体"/>
          <w:color w:val="auto"/>
          <w:kern w:val="0"/>
          <w:sz w:val="24"/>
        </w:rPr>
      </w:pPr>
    </w:p>
    <w:p w14:paraId="7CC3090F">
      <w:pPr>
        <w:autoSpaceDE w:val="0"/>
        <w:autoSpaceDN w:val="0"/>
        <w:adjustRightInd w:val="0"/>
        <w:spacing w:line="360" w:lineRule="auto"/>
        <w:jc w:val="center"/>
        <w:rPr>
          <w:rFonts w:ascii="宋体" w:hAnsi="宋体" w:eastAsia="宋体" w:cs="宋体"/>
          <w:color w:val="auto"/>
          <w:kern w:val="0"/>
          <w:sz w:val="24"/>
        </w:rPr>
      </w:pPr>
    </w:p>
    <w:p w14:paraId="4782A6D8">
      <w:pPr>
        <w:autoSpaceDE w:val="0"/>
        <w:autoSpaceDN w:val="0"/>
        <w:adjustRightInd w:val="0"/>
        <w:spacing w:line="360" w:lineRule="auto"/>
        <w:jc w:val="center"/>
        <w:rPr>
          <w:rFonts w:ascii="宋体" w:hAnsi="宋体" w:eastAsia="宋体" w:cs="宋体"/>
          <w:color w:val="auto"/>
          <w:kern w:val="0"/>
          <w:sz w:val="24"/>
        </w:rPr>
      </w:pPr>
    </w:p>
    <w:p w14:paraId="0DFA5C9E">
      <w:pPr>
        <w:autoSpaceDE w:val="0"/>
        <w:autoSpaceDN w:val="0"/>
        <w:adjustRightInd w:val="0"/>
        <w:spacing w:line="360" w:lineRule="auto"/>
        <w:jc w:val="center"/>
        <w:rPr>
          <w:rFonts w:ascii="宋体" w:hAnsi="宋体" w:eastAsia="宋体" w:cs="宋体"/>
          <w:color w:val="auto"/>
          <w:kern w:val="0"/>
          <w:sz w:val="24"/>
        </w:rPr>
      </w:pPr>
    </w:p>
    <w:p w14:paraId="4347F2D8">
      <w:pPr>
        <w:pStyle w:val="4"/>
        <w:spacing w:line="360" w:lineRule="auto"/>
        <w:jc w:val="center"/>
        <w:rPr>
          <w:rFonts w:ascii="宋体" w:hAnsi="宋体" w:eastAsia="宋体" w:cs="宋体"/>
          <w:color w:val="auto"/>
          <w:sz w:val="28"/>
          <w:szCs w:val="28"/>
        </w:rPr>
      </w:pPr>
      <w:bookmarkStart w:id="596" w:name="_Toc14803"/>
      <w:bookmarkStart w:id="597" w:name="_Toc31697"/>
      <w:bookmarkStart w:id="598" w:name="_Toc77593402"/>
      <w:bookmarkStart w:id="599" w:name="_Toc67490899"/>
      <w:bookmarkStart w:id="600" w:name="_Toc15016"/>
      <w:bookmarkStart w:id="601" w:name="_Toc12016"/>
      <w:r>
        <w:rPr>
          <w:rFonts w:hint="eastAsia" w:ascii="宋体" w:hAnsi="宋体" w:eastAsia="宋体" w:cs="宋体"/>
          <w:color w:val="auto"/>
          <w:sz w:val="28"/>
          <w:szCs w:val="28"/>
        </w:rPr>
        <w:t>二、法定代表人身份证明</w:t>
      </w:r>
      <w:bookmarkEnd w:id="596"/>
      <w:bookmarkEnd w:id="597"/>
      <w:bookmarkEnd w:id="598"/>
      <w:bookmarkEnd w:id="599"/>
      <w:bookmarkEnd w:id="600"/>
      <w:bookmarkEnd w:id="601"/>
      <w:bookmarkStart w:id="602" w:name="_Toc16080"/>
      <w:bookmarkStart w:id="603" w:name="_Toc11831"/>
      <w:bookmarkStart w:id="604" w:name="_Toc67490900"/>
      <w:bookmarkStart w:id="605" w:name="_Toc77593403"/>
      <w:bookmarkStart w:id="606" w:name="_Toc8396"/>
      <w:bookmarkStart w:id="607" w:name="_Toc24059"/>
      <w:r>
        <w:rPr>
          <w:rFonts w:hint="eastAsia" w:ascii="宋体" w:hAnsi="宋体" w:eastAsia="宋体" w:cs="宋体"/>
          <w:color w:val="auto"/>
          <w:sz w:val="28"/>
          <w:szCs w:val="28"/>
        </w:rPr>
        <w:t>或附有法定代表人身份证明的授权委托书</w:t>
      </w:r>
      <w:bookmarkEnd w:id="602"/>
      <w:bookmarkEnd w:id="603"/>
      <w:bookmarkEnd w:id="604"/>
      <w:bookmarkEnd w:id="605"/>
      <w:bookmarkEnd w:id="606"/>
      <w:bookmarkEnd w:id="607"/>
    </w:p>
    <w:p w14:paraId="332A9EC9">
      <w:pPr>
        <w:pStyle w:val="4"/>
        <w:spacing w:line="360" w:lineRule="auto"/>
        <w:jc w:val="center"/>
        <w:rPr>
          <w:rFonts w:ascii="宋体" w:hAnsi="宋体" w:eastAsia="宋体" w:cs="宋体"/>
          <w:color w:val="auto"/>
          <w:sz w:val="30"/>
          <w:szCs w:val="30"/>
        </w:rPr>
      </w:pPr>
      <w:r>
        <w:rPr>
          <w:rFonts w:hint="eastAsia" w:ascii="宋体" w:hAnsi="宋体" w:eastAsia="宋体" w:cs="宋体"/>
          <w:color w:val="auto"/>
          <w:sz w:val="30"/>
          <w:szCs w:val="30"/>
        </w:rPr>
        <w:t>（一）法定代表人身份证明</w:t>
      </w:r>
    </w:p>
    <w:p w14:paraId="1044003A">
      <w:pPr>
        <w:autoSpaceDE w:val="0"/>
        <w:autoSpaceDN w:val="0"/>
        <w:adjustRightInd w:val="0"/>
        <w:spacing w:line="360" w:lineRule="auto"/>
        <w:ind w:left="718" w:leftChars="342"/>
        <w:jc w:val="left"/>
        <w:rPr>
          <w:rFonts w:ascii="宋体" w:hAnsi="宋体" w:eastAsia="宋体" w:cs="宋体"/>
          <w:color w:val="auto"/>
          <w:kern w:val="0"/>
          <w:szCs w:val="21"/>
        </w:rPr>
      </w:pPr>
    </w:p>
    <w:p w14:paraId="45129276">
      <w:pPr>
        <w:autoSpaceDE w:val="0"/>
        <w:autoSpaceDN w:val="0"/>
        <w:adjustRightInd w:val="0"/>
        <w:spacing w:line="360" w:lineRule="auto"/>
        <w:ind w:left="718" w:leftChars="342"/>
        <w:jc w:val="left"/>
        <w:rPr>
          <w:rFonts w:ascii="宋体" w:hAnsi="宋体" w:eastAsia="宋体" w:cs="宋体"/>
          <w:color w:val="auto"/>
          <w:kern w:val="0"/>
          <w:szCs w:val="21"/>
          <w:u w:val="single"/>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14:paraId="7D479B33">
      <w:pPr>
        <w:autoSpaceDE w:val="0"/>
        <w:autoSpaceDN w:val="0"/>
        <w:adjustRightInd w:val="0"/>
        <w:spacing w:line="360" w:lineRule="auto"/>
        <w:ind w:left="718" w:leftChars="342"/>
        <w:jc w:val="left"/>
        <w:rPr>
          <w:rFonts w:ascii="宋体" w:hAnsi="宋体" w:eastAsia="宋体" w:cs="宋体"/>
          <w:color w:val="auto"/>
          <w:kern w:val="0"/>
          <w:szCs w:val="21"/>
          <w:u w:val="single"/>
        </w:rPr>
      </w:pPr>
      <w:r>
        <w:rPr>
          <w:rFonts w:hint="eastAsia" w:ascii="宋体" w:hAnsi="宋体" w:eastAsia="宋体" w:cs="宋体"/>
          <w:color w:val="auto"/>
          <w:kern w:val="0"/>
          <w:szCs w:val="21"/>
        </w:rPr>
        <w:t>单位性质：</w:t>
      </w:r>
      <w:r>
        <w:rPr>
          <w:rFonts w:hint="eastAsia" w:ascii="宋体" w:hAnsi="宋体" w:eastAsia="宋体" w:cs="宋体"/>
          <w:color w:val="auto"/>
          <w:kern w:val="0"/>
          <w:szCs w:val="21"/>
          <w:u w:val="single"/>
        </w:rPr>
        <w:t xml:space="preserve">                                  </w:t>
      </w:r>
    </w:p>
    <w:p w14:paraId="18CB913E">
      <w:pPr>
        <w:autoSpaceDE w:val="0"/>
        <w:autoSpaceDN w:val="0"/>
        <w:adjustRightInd w:val="0"/>
        <w:spacing w:line="360" w:lineRule="auto"/>
        <w:ind w:left="718" w:leftChars="342"/>
        <w:jc w:val="left"/>
        <w:rPr>
          <w:rFonts w:ascii="宋体" w:hAnsi="宋体" w:eastAsia="宋体" w:cs="宋体"/>
          <w:color w:val="auto"/>
          <w:kern w:val="0"/>
          <w:szCs w:val="21"/>
          <w:u w:val="single"/>
        </w:rPr>
      </w:pPr>
      <w:r>
        <w:rPr>
          <w:rFonts w:hint="eastAsia" w:ascii="宋体" w:hAnsi="宋体" w:eastAsia="宋体" w:cs="宋体"/>
          <w:color w:val="auto"/>
          <w:kern w:val="0"/>
          <w:szCs w:val="21"/>
        </w:rPr>
        <w:t>地址：</w:t>
      </w:r>
      <w:r>
        <w:rPr>
          <w:rFonts w:hint="eastAsia" w:ascii="宋体" w:hAnsi="宋体" w:eastAsia="宋体" w:cs="宋体"/>
          <w:color w:val="auto"/>
          <w:kern w:val="0"/>
          <w:szCs w:val="21"/>
          <w:u w:val="single"/>
        </w:rPr>
        <w:t xml:space="preserve">                                      </w:t>
      </w:r>
    </w:p>
    <w:p w14:paraId="10FA3893">
      <w:pPr>
        <w:autoSpaceDE w:val="0"/>
        <w:autoSpaceDN w:val="0"/>
        <w:adjustRightInd w:val="0"/>
        <w:spacing w:line="360" w:lineRule="auto"/>
        <w:ind w:left="718" w:leftChars="342"/>
        <w:jc w:val="left"/>
        <w:rPr>
          <w:rFonts w:ascii="宋体" w:hAnsi="宋体" w:eastAsia="宋体" w:cs="宋体"/>
          <w:color w:val="auto"/>
          <w:kern w:val="0"/>
          <w:szCs w:val="21"/>
        </w:rPr>
      </w:pPr>
      <w:r>
        <w:rPr>
          <w:rFonts w:hint="eastAsia" w:ascii="宋体" w:hAnsi="宋体" w:eastAsia="宋体" w:cs="宋体"/>
          <w:color w:val="auto"/>
          <w:kern w:val="0"/>
          <w:szCs w:val="21"/>
        </w:rPr>
        <w:t>成立时间：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3365A47C">
      <w:pPr>
        <w:autoSpaceDE w:val="0"/>
        <w:autoSpaceDN w:val="0"/>
        <w:adjustRightInd w:val="0"/>
        <w:spacing w:line="360" w:lineRule="auto"/>
        <w:ind w:left="718" w:leftChars="342"/>
        <w:jc w:val="left"/>
        <w:rPr>
          <w:rFonts w:ascii="宋体" w:hAnsi="宋体" w:eastAsia="宋体" w:cs="宋体"/>
          <w:color w:val="auto"/>
          <w:kern w:val="0"/>
          <w:szCs w:val="21"/>
          <w:u w:val="single"/>
        </w:rPr>
      </w:pPr>
      <w:r>
        <w:rPr>
          <w:rFonts w:hint="eastAsia" w:ascii="宋体" w:hAnsi="宋体" w:eastAsia="宋体" w:cs="宋体"/>
          <w:color w:val="auto"/>
          <w:kern w:val="0"/>
          <w:szCs w:val="21"/>
        </w:rPr>
        <w:t xml:space="preserve">经营期限： </w:t>
      </w:r>
      <w:r>
        <w:rPr>
          <w:rFonts w:hint="eastAsia" w:ascii="宋体" w:hAnsi="宋体" w:eastAsia="宋体" w:cs="宋体"/>
          <w:color w:val="auto"/>
          <w:kern w:val="0"/>
          <w:szCs w:val="21"/>
          <w:u w:val="single"/>
        </w:rPr>
        <w:t xml:space="preserve">                                 </w:t>
      </w:r>
    </w:p>
    <w:p w14:paraId="75F7A3FF">
      <w:pPr>
        <w:autoSpaceDE w:val="0"/>
        <w:autoSpaceDN w:val="0"/>
        <w:adjustRightInd w:val="0"/>
        <w:spacing w:line="360" w:lineRule="auto"/>
        <w:ind w:left="718" w:leftChars="342"/>
        <w:jc w:val="left"/>
        <w:rPr>
          <w:rFonts w:ascii="宋体" w:hAnsi="宋体" w:eastAsia="宋体" w:cs="宋体"/>
          <w:color w:val="auto"/>
          <w:kern w:val="0"/>
          <w:szCs w:val="21"/>
          <w:u w:val="single"/>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职务：</w:t>
      </w:r>
      <w:r>
        <w:rPr>
          <w:rFonts w:hint="eastAsia" w:ascii="宋体" w:hAnsi="宋体" w:eastAsia="宋体" w:cs="宋体"/>
          <w:color w:val="auto"/>
          <w:kern w:val="0"/>
          <w:szCs w:val="21"/>
          <w:u w:val="single"/>
        </w:rPr>
        <w:t xml:space="preserve">    </w:t>
      </w:r>
    </w:p>
    <w:p w14:paraId="25725FB5">
      <w:pPr>
        <w:autoSpaceDE w:val="0"/>
        <w:autoSpaceDN w:val="0"/>
        <w:adjustRightInd w:val="0"/>
        <w:spacing w:line="360" w:lineRule="auto"/>
        <w:ind w:left="718" w:leftChars="342"/>
        <w:jc w:val="left"/>
        <w:rPr>
          <w:rFonts w:ascii="宋体" w:hAnsi="宋体" w:eastAsia="宋体" w:cs="宋体"/>
          <w:color w:val="auto"/>
          <w:kern w:val="0"/>
          <w:szCs w:val="21"/>
        </w:rPr>
      </w:pP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 xml:space="preserve">       (投标人名称)       </w:t>
      </w:r>
      <w:r>
        <w:rPr>
          <w:rFonts w:hint="eastAsia" w:ascii="宋体" w:hAnsi="宋体" w:eastAsia="宋体" w:cs="宋体"/>
          <w:color w:val="auto"/>
          <w:kern w:val="0"/>
          <w:szCs w:val="21"/>
        </w:rPr>
        <w:t>的法定代表人。</w:t>
      </w:r>
    </w:p>
    <w:p w14:paraId="1B113FF8">
      <w:pPr>
        <w:autoSpaceDE w:val="0"/>
        <w:autoSpaceDN w:val="0"/>
        <w:adjustRightInd w:val="0"/>
        <w:spacing w:line="360" w:lineRule="auto"/>
        <w:ind w:left="718" w:leftChars="342"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特此证明。</w:t>
      </w:r>
    </w:p>
    <w:p w14:paraId="178FD2E4">
      <w:pPr>
        <w:spacing w:line="360" w:lineRule="auto"/>
        <w:ind w:firstLine="735" w:firstLineChars="350"/>
        <w:jc w:val="left"/>
        <w:rPr>
          <w:rFonts w:ascii="宋体" w:hAnsi="宋体" w:eastAsia="宋体" w:cs="宋体"/>
          <w:color w:val="auto"/>
          <w:kern w:val="0"/>
          <w:szCs w:val="21"/>
        </w:rPr>
      </w:pPr>
      <w:r>
        <w:rPr>
          <w:rFonts w:hint="eastAsia" w:ascii="宋体" w:hAnsi="宋体" w:eastAsia="宋体" w:cs="宋体"/>
          <w:color w:val="auto"/>
          <w:kern w:val="0"/>
          <w:szCs w:val="21"/>
        </w:rPr>
        <w:t>附：法定代表人身份证复印件</w:t>
      </w:r>
    </w:p>
    <w:p w14:paraId="7067EC02">
      <w:pPr>
        <w:autoSpaceDE w:val="0"/>
        <w:autoSpaceDN w:val="0"/>
        <w:adjustRightInd w:val="0"/>
        <w:spacing w:line="360" w:lineRule="auto"/>
        <w:ind w:left="718" w:leftChars="342"/>
        <w:jc w:val="left"/>
        <w:rPr>
          <w:rFonts w:ascii="宋体" w:hAnsi="宋体" w:eastAsia="宋体" w:cs="宋体"/>
          <w:color w:val="auto"/>
          <w:kern w:val="0"/>
          <w:szCs w:val="21"/>
        </w:rPr>
      </w:pPr>
    </w:p>
    <w:p w14:paraId="73971318">
      <w:pPr>
        <w:autoSpaceDE w:val="0"/>
        <w:autoSpaceDN w:val="0"/>
        <w:adjustRightInd w:val="0"/>
        <w:spacing w:line="360" w:lineRule="auto"/>
        <w:ind w:left="718" w:leftChars="342"/>
        <w:jc w:val="right"/>
        <w:rPr>
          <w:rFonts w:ascii="宋体" w:hAnsi="宋体" w:eastAsia="宋体" w:cs="宋体"/>
          <w:color w:val="auto"/>
          <w:kern w:val="0"/>
          <w:szCs w:val="21"/>
        </w:rPr>
      </w:pPr>
    </w:p>
    <w:p w14:paraId="7A20168F">
      <w:pPr>
        <w:autoSpaceDE w:val="0"/>
        <w:autoSpaceDN w:val="0"/>
        <w:adjustRightInd w:val="0"/>
        <w:spacing w:line="360" w:lineRule="auto"/>
        <w:ind w:left="718" w:leftChars="342"/>
        <w:jc w:val="right"/>
        <w:rPr>
          <w:rFonts w:ascii="宋体" w:hAnsi="宋体" w:eastAsia="宋体" w:cs="宋体"/>
          <w:color w:val="auto"/>
          <w:kern w:val="0"/>
          <w:szCs w:val="21"/>
        </w:rPr>
      </w:pPr>
      <w:r>
        <w:rPr>
          <w:rFonts w:hint="eastAsia" w:ascii="宋体" w:hAnsi="宋体" w:eastAsia="宋体" w:cs="宋体"/>
          <w:color w:val="auto"/>
          <w:kern w:val="0"/>
          <w:szCs w:val="21"/>
        </w:rPr>
        <w:t>投标人：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(盖单位章)</w:t>
      </w:r>
    </w:p>
    <w:p w14:paraId="0C0F4E16">
      <w:pPr>
        <w:spacing w:line="360" w:lineRule="auto"/>
        <w:ind w:firstLine="2520" w:firstLineChars="1200"/>
        <w:jc w:val="right"/>
        <w:rPr>
          <w:rFonts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09DC16AB">
      <w:pPr>
        <w:spacing w:line="360" w:lineRule="auto"/>
        <w:ind w:firstLine="2520" w:firstLineChars="1200"/>
        <w:jc w:val="right"/>
        <w:rPr>
          <w:rFonts w:ascii="宋体" w:hAnsi="宋体" w:eastAsia="宋体" w:cs="宋体"/>
          <w:color w:val="auto"/>
          <w:kern w:val="0"/>
          <w:szCs w:val="21"/>
        </w:rPr>
      </w:pPr>
    </w:p>
    <w:p w14:paraId="5979CF97">
      <w:pPr>
        <w:spacing w:line="360" w:lineRule="auto"/>
        <w:ind w:firstLine="2520" w:firstLineChars="1200"/>
        <w:jc w:val="right"/>
        <w:rPr>
          <w:rFonts w:ascii="宋体" w:hAnsi="宋体" w:eastAsia="宋体" w:cs="宋体"/>
          <w:color w:val="auto"/>
          <w:kern w:val="0"/>
          <w:szCs w:val="21"/>
        </w:rPr>
      </w:pPr>
    </w:p>
    <w:p w14:paraId="6E85239A">
      <w:pPr>
        <w:spacing w:line="360" w:lineRule="auto"/>
        <w:ind w:firstLine="2520" w:firstLineChars="1200"/>
        <w:jc w:val="right"/>
        <w:rPr>
          <w:rFonts w:ascii="宋体" w:hAnsi="宋体" w:eastAsia="宋体" w:cs="宋体"/>
          <w:color w:val="auto"/>
          <w:kern w:val="0"/>
          <w:szCs w:val="21"/>
        </w:rPr>
      </w:pPr>
    </w:p>
    <w:p w14:paraId="1BE721EC">
      <w:pPr>
        <w:spacing w:line="360" w:lineRule="auto"/>
        <w:ind w:firstLine="2520" w:firstLineChars="1200"/>
        <w:jc w:val="right"/>
        <w:rPr>
          <w:rFonts w:ascii="宋体" w:hAnsi="宋体" w:eastAsia="宋体" w:cs="宋体"/>
          <w:color w:val="auto"/>
          <w:kern w:val="0"/>
          <w:szCs w:val="21"/>
        </w:rPr>
      </w:pPr>
    </w:p>
    <w:p w14:paraId="5EEB89F0">
      <w:pPr>
        <w:spacing w:line="360" w:lineRule="auto"/>
        <w:ind w:firstLine="2520" w:firstLineChars="1200"/>
        <w:jc w:val="right"/>
        <w:rPr>
          <w:rFonts w:ascii="宋体" w:hAnsi="宋体" w:eastAsia="宋体" w:cs="宋体"/>
          <w:color w:val="auto"/>
          <w:kern w:val="0"/>
          <w:szCs w:val="21"/>
        </w:rPr>
      </w:pPr>
    </w:p>
    <w:p w14:paraId="7E209A44">
      <w:pPr>
        <w:spacing w:line="360" w:lineRule="auto"/>
        <w:ind w:firstLine="2520" w:firstLineChars="1200"/>
        <w:jc w:val="right"/>
        <w:rPr>
          <w:rFonts w:ascii="宋体" w:hAnsi="宋体" w:eastAsia="宋体" w:cs="宋体"/>
          <w:color w:val="auto"/>
          <w:kern w:val="0"/>
          <w:szCs w:val="21"/>
        </w:rPr>
      </w:pPr>
    </w:p>
    <w:p w14:paraId="25A9F4E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br w:type="page"/>
      </w:r>
      <w:r>
        <w:rPr>
          <w:rFonts w:hint="eastAsia" w:ascii="宋体" w:hAnsi="宋体" w:eastAsia="宋体" w:cs="宋体"/>
          <w:b/>
          <w:bCs/>
          <w:color w:val="auto"/>
          <w:sz w:val="30"/>
          <w:szCs w:val="30"/>
        </w:rPr>
        <w:t>(二)授权委托书</w:t>
      </w:r>
    </w:p>
    <w:p w14:paraId="4D2ABACD">
      <w:pPr>
        <w:autoSpaceDE w:val="0"/>
        <w:autoSpaceDN w:val="0"/>
        <w:adjustRightInd w:val="0"/>
        <w:spacing w:line="360" w:lineRule="auto"/>
        <w:jc w:val="left"/>
        <w:rPr>
          <w:rFonts w:ascii="宋体" w:hAnsi="宋体" w:eastAsia="宋体" w:cs="宋体"/>
          <w:color w:val="auto"/>
          <w:kern w:val="0"/>
          <w:szCs w:val="21"/>
        </w:rPr>
      </w:pPr>
    </w:p>
    <w:p w14:paraId="4D067BA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本人</w:t>
      </w:r>
      <w:r>
        <w:rPr>
          <w:rFonts w:hint="eastAsia" w:ascii="宋体" w:hAnsi="宋体" w:eastAsia="宋体" w:cs="宋体"/>
          <w:color w:val="auto"/>
          <w:kern w:val="0"/>
          <w:szCs w:val="21"/>
          <w:u w:val="single"/>
        </w:rPr>
        <w:t xml:space="preserve">  (姓名)   </w:t>
      </w: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 xml:space="preserve">    (投标人名称)    </w:t>
      </w:r>
      <w:r>
        <w:rPr>
          <w:rFonts w:hint="eastAsia" w:ascii="宋体" w:hAnsi="宋体" w:eastAsia="宋体" w:cs="宋体"/>
          <w:color w:val="auto"/>
          <w:kern w:val="0"/>
          <w:szCs w:val="21"/>
        </w:rPr>
        <w:t>的法定代表人，现委托</w:t>
      </w:r>
      <w:r>
        <w:rPr>
          <w:rFonts w:hint="eastAsia" w:ascii="宋体" w:hAnsi="宋体" w:eastAsia="宋体" w:cs="宋体"/>
          <w:color w:val="auto"/>
          <w:kern w:val="0"/>
          <w:szCs w:val="21"/>
          <w:u w:val="single"/>
        </w:rPr>
        <w:t xml:space="preserve">   (姓名)  </w:t>
      </w:r>
      <w:r>
        <w:rPr>
          <w:rFonts w:hint="eastAsia" w:ascii="宋体" w:hAnsi="宋体" w:eastAsia="宋体" w:cs="宋体"/>
          <w:color w:val="auto"/>
          <w:kern w:val="0"/>
          <w:szCs w:val="21"/>
        </w:rPr>
        <w:t>为我方代理人。代理人根据授权，以我方名义签署、澄清、说明、补正、递交、撤回、修改</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投标文件、签订合同和处理有关事宜，其法律后果由我方承担。</w:t>
      </w:r>
    </w:p>
    <w:p w14:paraId="51B30A6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委托期限：</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p>
    <w:p w14:paraId="63633B4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代理人无转委托权。</w:t>
      </w:r>
    </w:p>
    <w:p w14:paraId="5054CB00">
      <w:pPr>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附：法人身份证及被授权人身份证复印件</w:t>
      </w:r>
    </w:p>
    <w:p w14:paraId="6593E4D1">
      <w:pPr>
        <w:autoSpaceDE w:val="0"/>
        <w:autoSpaceDN w:val="0"/>
        <w:adjustRightInd w:val="0"/>
        <w:spacing w:line="360" w:lineRule="auto"/>
        <w:ind w:left="540" w:leftChars="257"/>
        <w:jc w:val="left"/>
        <w:rPr>
          <w:rFonts w:ascii="宋体" w:hAnsi="宋体" w:eastAsia="宋体" w:cs="宋体"/>
          <w:color w:val="auto"/>
          <w:kern w:val="0"/>
          <w:szCs w:val="21"/>
        </w:rPr>
      </w:pPr>
    </w:p>
    <w:p w14:paraId="001DBE3F">
      <w:pPr>
        <w:autoSpaceDE w:val="0"/>
        <w:autoSpaceDN w:val="0"/>
        <w:adjustRightInd w:val="0"/>
        <w:spacing w:line="360" w:lineRule="auto"/>
        <w:ind w:left="540" w:leftChars="257"/>
        <w:jc w:val="left"/>
        <w:rPr>
          <w:rFonts w:ascii="宋体" w:hAnsi="宋体" w:eastAsia="宋体" w:cs="宋体"/>
          <w:color w:val="auto"/>
          <w:kern w:val="0"/>
          <w:szCs w:val="21"/>
        </w:rPr>
      </w:pPr>
    </w:p>
    <w:p w14:paraId="46F2D3D2">
      <w:pPr>
        <w:autoSpaceDE w:val="0"/>
        <w:autoSpaceDN w:val="0"/>
        <w:adjustRightInd w:val="0"/>
        <w:spacing w:line="360" w:lineRule="auto"/>
        <w:ind w:left="540" w:leftChars="257"/>
        <w:jc w:val="left"/>
        <w:rPr>
          <w:rFonts w:ascii="宋体" w:hAnsi="宋体" w:eastAsia="宋体" w:cs="宋体"/>
          <w:color w:val="auto"/>
          <w:kern w:val="0"/>
          <w:szCs w:val="21"/>
        </w:rPr>
      </w:pPr>
      <w:r>
        <w:rPr>
          <w:rFonts w:hint="eastAsia" w:ascii="宋体" w:hAnsi="宋体" w:eastAsia="宋体" w:cs="宋体"/>
          <w:color w:val="auto"/>
          <w:kern w:val="0"/>
          <w:szCs w:val="21"/>
        </w:rPr>
        <w:t>投  标  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(盖单位章)</w:t>
      </w:r>
    </w:p>
    <w:p w14:paraId="6F60AC30">
      <w:pPr>
        <w:autoSpaceDE w:val="0"/>
        <w:autoSpaceDN w:val="0"/>
        <w:adjustRightInd w:val="0"/>
        <w:spacing w:line="360" w:lineRule="auto"/>
        <w:ind w:left="540" w:leftChars="257"/>
        <w:jc w:val="left"/>
        <w:rPr>
          <w:rFonts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(签字)</w:t>
      </w:r>
    </w:p>
    <w:p w14:paraId="265469F6">
      <w:pPr>
        <w:autoSpaceDE w:val="0"/>
        <w:autoSpaceDN w:val="0"/>
        <w:adjustRightInd w:val="0"/>
        <w:spacing w:line="360" w:lineRule="auto"/>
        <w:ind w:left="540" w:leftChars="257"/>
        <w:jc w:val="left"/>
        <w:rPr>
          <w:rFonts w:ascii="宋体" w:hAnsi="宋体" w:eastAsia="宋体" w:cs="宋体"/>
          <w:color w:val="auto"/>
          <w:kern w:val="0"/>
          <w:szCs w:val="21"/>
          <w:u w:val="single"/>
        </w:rPr>
      </w:pPr>
      <w:r>
        <w:rPr>
          <w:rFonts w:hint="eastAsia" w:ascii="宋体" w:hAnsi="宋体" w:eastAsia="宋体" w:cs="宋体"/>
          <w:color w:val="auto"/>
          <w:kern w:val="0"/>
          <w:szCs w:val="21"/>
        </w:rPr>
        <w:t>身份证号码：</w:t>
      </w:r>
      <w:r>
        <w:rPr>
          <w:rFonts w:hint="eastAsia" w:ascii="宋体" w:hAnsi="宋体" w:eastAsia="宋体" w:cs="宋体"/>
          <w:color w:val="auto"/>
          <w:kern w:val="0"/>
          <w:szCs w:val="21"/>
          <w:u w:val="single"/>
        </w:rPr>
        <w:t xml:space="preserve">                                </w:t>
      </w:r>
    </w:p>
    <w:p w14:paraId="5860B071">
      <w:pPr>
        <w:autoSpaceDE w:val="0"/>
        <w:autoSpaceDN w:val="0"/>
        <w:adjustRightInd w:val="0"/>
        <w:spacing w:line="360" w:lineRule="auto"/>
        <w:ind w:left="540" w:leftChars="257"/>
        <w:jc w:val="left"/>
        <w:rPr>
          <w:rFonts w:ascii="宋体" w:hAnsi="宋体" w:eastAsia="宋体" w:cs="宋体"/>
          <w:color w:val="auto"/>
          <w:kern w:val="0"/>
          <w:szCs w:val="21"/>
        </w:rPr>
      </w:pPr>
      <w:r>
        <w:rPr>
          <w:rFonts w:hint="eastAsia" w:ascii="宋体" w:hAnsi="宋体" w:eastAsia="宋体" w:cs="宋体"/>
          <w:color w:val="auto"/>
          <w:kern w:val="0"/>
          <w:szCs w:val="21"/>
        </w:rPr>
        <w:t>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(签字)</w:t>
      </w:r>
    </w:p>
    <w:p w14:paraId="2DEC5ACF">
      <w:pPr>
        <w:autoSpaceDE w:val="0"/>
        <w:autoSpaceDN w:val="0"/>
        <w:adjustRightInd w:val="0"/>
        <w:spacing w:line="360" w:lineRule="auto"/>
        <w:ind w:left="540" w:leftChars="257"/>
        <w:jc w:val="left"/>
        <w:rPr>
          <w:rFonts w:ascii="宋体" w:hAnsi="宋体" w:eastAsia="宋体" w:cs="宋体"/>
          <w:color w:val="auto"/>
          <w:kern w:val="0"/>
          <w:szCs w:val="21"/>
        </w:rPr>
      </w:pPr>
      <w:r>
        <w:rPr>
          <w:rFonts w:hint="eastAsia" w:ascii="宋体" w:hAnsi="宋体" w:eastAsia="宋体" w:cs="宋体"/>
          <w:color w:val="auto"/>
          <w:kern w:val="0"/>
          <w:szCs w:val="21"/>
        </w:rPr>
        <w:t>身份证号码：</w:t>
      </w:r>
      <w:r>
        <w:rPr>
          <w:rFonts w:hint="eastAsia" w:ascii="宋体" w:hAnsi="宋体" w:eastAsia="宋体" w:cs="宋体"/>
          <w:color w:val="auto"/>
          <w:kern w:val="0"/>
          <w:szCs w:val="21"/>
          <w:u w:val="single"/>
        </w:rPr>
        <w:t xml:space="preserve">                                </w:t>
      </w:r>
    </w:p>
    <w:p w14:paraId="5018A64D">
      <w:pPr>
        <w:spacing w:line="360" w:lineRule="auto"/>
        <w:ind w:firstLine="1890" w:firstLineChars="900"/>
        <w:jc w:val="right"/>
        <w:rPr>
          <w:rFonts w:ascii="宋体" w:hAnsi="宋体" w:eastAsia="宋体" w:cs="宋体"/>
          <w:color w:val="auto"/>
          <w:kern w:val="0"/>
          <w:szCs w:val="21"/>
          <w:u w:val="single"/>
        </w:rPr>
      </w:pPr>
    </w:p>
    <w:p w14:paraId="184C994F">
      <w:pPr>
        <w:spacing w:line="360" w:lineRule="auto"/>
        <w:ind w:firstLine="1890" w:firstLineChars="900"/>
        <w:jc w:val="right"/>
        <w:rPr>
          <w:rFonts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22A628D2">
      <w:pPr>
        <w:spacing w:line="360" w:lineRule="auto"/>
        <w:ind w:left="540" w:leftChars="257" w:firstLine="1680" w:firstLineChars="800"/>
        <w:jc w:val="left"/>
        <w:rPr>
          <w:rFonts w:ascii="宋体" w:hAnsi="宋体" w:eastAsia="宋体" w:cs="宋体"/>
          <w:color w:val="auto"/>
          <w:kern w:val="0"/>
          <w:szCs w:val="21"/>
        </w:rPr>
      </w:pPr>
    </w:p>
    <w:p w14:paraId="4A4E7AD1">
      <w:pPr>
        <w:spacing w:line="360" w:lineRule="auto"/>
        <w:ind w:left="540" w:leftChars="257" w:firstLine="1680" w:firstLineChars="800"/>
        <w:jc w:val="left"/>
        <w:rPr>
          <w:rFonts w:ascii="宋体" w:hAnsi="宋体" w:eastAsia="宋体" w:cs="宋体"/>
          <w:color w:val="auto"/>
          <w:kern w:val="0"/>
          <w:szCs w:val="21"/>
        </w:rPr>
      </w:pPr>
    </w:p>
    <w:p w14:paraId="50779F8E">
      <w:pPr>
        <w:autoSpaceDE w:val="0"/>
        <w:autoSpaceDN w:val="0"/>
        <w:adjustRightInd w:val="0"/>
        <w:spacing w:line="360" w:lineRule="auto"/>
        <w:jc w:val="center"/>
        <w:rPr>
          <w:rFonts w:ascii="宋体" w:hAnsi="宋体" w:eastAsia="宋体" w:cs="宋体"/>
          <w:color w:val="auto"/>
          <w:szCs w:val="21"/>
          <w:lang w:val="zh-CN"/>
        </w:rPr>
      </w:pPr>
    </w:p>
    <w:p w14:paraId="6E333757">
      <w:pPr>
        <w:keepNext w:val="0"/>
        <w:keepLines w:val="0"/>
        <w:pageBreakBefore w:val="0"/>
        <w:widowControl w:val="0"/>
        <w:kinsoku/>
        <w:wordWrap/>
        <w:overflowPunct/>
        <w:topLinePunct w:val="0"/>
        <w:autoSpaceDE/>
        <w:autoSpaceDN/>
        <w:bidi w:val="0"/>
        <w:adjustRightInd/>
        <w:snapToGrid/>
        <w:spacing w:before="279" w:line="226" w:lineRule="auto"/>
        <w:ind w:left="3430"/>
        <w:textAlignment w:val="auto"/>
        <w:outlineLvl w:val="1"/>
        <w:rPr>
          <w:rFonts w:ascii="宋体" w:hAnsi="宋体" w:eastAsia="宋体" w:cs="宋体"/>
          <w:color w:val="auto"/>
          <w:sz w:val="31"/>
          <w:szCs w:val="31"/>
        </w:rPr>
      </w:pPr>
      <w:r>
        <w:rPr>
          <w:rFonts w:hint="eastAsia" w:ascii="宋体" w:hAnsi="宋体" w:eastAsia="宋体" w:cs="宋体"/>
          <w:color w:val="auto"/>
          <w:szCs w:val="21"/>
          <w:lang w:val="zh-CN"/>
        </w:rPr>
        <w:br w:type="page"/>
      </w:r>
      <w:bookmarkStart w:id="608" w:name="_Toc18919"/>
      <w:bookmarkStart w:id="609" w:name="_Toc77593404"/>
      <w:bookmarkStart w:id="610" w:name="_Toc9864"/>
      <w:bookmarkStart w:id="611" w:name="_Toc32715"/>
      <w:bookmarkStart w:id="612" w:name="_Toc31286"/>
      <w:bookmarkStart w:id="613" w:name="_Toc67490901"/>
      <w:r>
        <w:rPr>
          <w:rFonts w:hint="eastAsia" w:ascii="宋体" w:hAnsi="宋体" w:eastAsia="宋体" w:cs="宋体"/>
          <w:b/>
          <w:bCs/>
          <w:color w:val="auto"/>
          <w:sz w:val="30"/>
          <w:szCs w:val="30"/>
        </w:rPr>
        <w:t>三</w:t>
      </w:r>
      <w:r>
        <w:rPr>
          <w:rFonts w:hint="eastAsia" w:ascii="宋体" w:hAnsi="宋体" w:eastAsia="宋体" w:cs="宋体"/>
          <w:b/>
          <w:bCs/>
          <w:color w:val="auto"/>
          <w:sz w:val="30"/>
          <w:szCs w:val="30"/>
          <w:lang w:val="zh-CN"/>
        </w:rPr>
        <w:t>、投标保证金</w:t>
      </w:r>
    </w:p>
    <w:p w14:paraId="5F128935">
      <w:pPr>
        <w:pStyle w:val="10"/>
        <w:spacing w:line="353" w:lineRule="auto"/>
        <w:rPr>
          <w:color w:val="auto"/>
        </w:rPr>
      </w:pPr>
    </w:p>
    <w:p w14:paraId="3F565C45">
      <w:pPr>
        <w:spacing w:before="61" w:line="228" w:lineRule="auto"/>
        <w:ind w:left="8"/>
        <w:rPr>
          <w:rFonts w:ascii="宋体" w:hAnsi="宋体" w:eastAsia="宋体" w:cs="宋体"/>
          <w:color w:val="auto"/>
          <w:sz w:val="19"/>
          <w:szCs w:val="19"/>
        </w:rPr>
      </w:pPr>
      <w:r>
        <w:rPr>
          <w:rFonts w:ascii="宋体" w:hAnsi="宋体" w:eastAsia="宋体" w:cs="宋体"/>
          <w:color w:val="auto"/>
          <w:spacing w:val="6"/>
          <w:sz w:val="19"/>
          <w:szCs w:val="19"/>
        </w:rPr>
        <w:t>致</w:t>
      </w:r>
      <w:r>
        <w:rPr>
          <w:rFonts w:ascii="宋体" w:hAnsi="宋体" w:eastAsia="宋体" w:cs="宋体"/>
          <w:color w:val="auto"/>
          <w:spacing w:val="-95"/>
          <w:sz w:val="19"/>
          <w:szCs w:val="19"/>
        </w:rPr>
        <w:t xml:space="preserve"> </w:t>
      </w:r>
      <w:r>
        <w:rPr>
          <w:rFonts w:ascii="宋体" w:hAnsi="宋体" w:eastAsia="宋体" w:cs="宋体"/>
          <w:color w:val="auto"/>
          <w:spacing w:val="6"/>
          <w:sz w:val="19"/>
          <w:szCs w:val="19"/>
          <w:u w:val="single"/>
        </w:rPr>
        <w:t xml:space="preserve">                </w:t>
      </w:r>
      <w:r>
        <w:rPr>
          <w:rFonts w:ascii="宋体" w:hAnsi="宋体" w:eastAsia="宋体" w:cs="宋体"/>
          <w:color w:val="auto"/>
          <w:spacing w:val="6"/>
          <w:sz w:val="19"/>
          <w:szCs w:val="19"/>
        </w:rPr>
        <w:t>（招标代理机构名称</w:t>
      </w:r>
      <w:r>
        <w:rPr>
          <w:rFonts w:ascii="宋体" w:hAnsi="宋体" w:eastAsia="宋体" w:cs="宋体"/>
          <w:color w:val="auto"/>
          <w:spacing w:val="7"/>
          <w:sz w:val="19"/>
          <w:szCs w:val="19"/>
        </w:rPr>
        <w:t>）：</w:t>
      </w:r>
    </w:p>
    <w:p w14:paraId="6B24C2C2">
      <w:pPr>
        <w:pStyle w:val="10"/>
        <w:spacing w:line="406" w:lineRule="auto"/>
        <w:rPr>
          <w:color w:val="auto"/>
        </w:rPr>
      </w:pPr>
    </w:p>
    <w:p w14:paraId="39AE5C4A">
      <w:pPr>
        <w:tabs>
          <w:tab w:val="left" w:pos="1898"/>
        </w:tabs>
        <w:spacing w:before="62" w:line="317" w:lineRule="auto"/>
        <w:ind w:left="10" w:right="27" w:firstLine="489"/>
        <w:rPr>
          <w:rFonts w:ascii="宋体" w:hAnsi="宋体" w:eastAsia="宋体" w:cs="宋体"/>
          <w:color w:val="auto"/>
          <w:sz w:val="19"/>
          <w:szCs w:val="19"/>
        </w:rPr>
      </w:pPr>
      <w:r>
        <w:rPr>
          <w:rFonts w:ascii="Times New Roman" w:hAnsi="Times New Roman" w:eastAsia="Times New Roman" w:cs="Times New Roman"/>
          <w:color w:val="auto"/>
          <w:sz w:val="19"/>
          <w:szCs w:val="19"/>
          <w:u w:val="single"/>
        </w:rPr>
        <w:tab/>
      </w:r>
      <w:r>
        <w:rPr>
          <w:rFonts w:ascii="Times New Roman" w:hAnsi="Times New Roman" w:eastAsia="Times New Roman" w:cs="Times New Roman"/>
          <w:color w:val="auto"/>
          <w:spacing w:val="-18"/>
          <w:sz w:val="19"/>
          <w:szCs w:val="19"/>
        </w:rPr>
        <w:t xml:space="preserve"> </w:t>
      </w:r>
      <w:r>
        <w:rPr>
          <w:rFonts w:ascii="Times New Roman" w:hAnsi="Times New Roman" w:eastAsia="Times New Roman" w:cs="Times New Roman"/>
          <w:color w:val="auto"/>
          <w:spacing w:val="5"/>
          <w:sz w:val="19"/>
          <w:szCs w:val="19"/>
        </w:rPr>
        <w:t>[</w:t>
      </w:r>
      <w:r>
        <w:rPr>
          <w:rFonts w:ascii="宋体" w:hAnsi="宋体" w:eastAsia="宋体" w:cs="宋体"/>
          <w:color w:val="auto"/>
          <w:spacing w:val="5"/>
          <w:sz w:val="19"/>
          <w:szCs w:val="19"/>
        </w:rPr>
        <w:t>投标人名称</w:t>
      </w:r>
      <w:r>
        <w:rPr>
          <w:rFonts w:ascii="Times New Roman" w:hAnsi="Times New Roman" w:eastAsia="Times New Roman" w:cs="Times New Roman"/>
          <w:color w:val="auto"/>
          <w:spacing w:val="5"/>
          <w:sz w:val="19"/>
          <w:szCs w:val="19"/>
        </w:rPr>
        <w:t>]</w:t>
      </w:r>
      <w:r>
        <w:rPr>
          <w:rFonts w:ascii="宋体" w:hAnsi="宋体" w:eastAsia="宋体" w:cs="宋体"/>
          <w:color w:val="auto"/>
          <w:spacing w:val="5"/>
          <w:sz w:val="19"/>
          <w:szCs w:val="19"/>
        </w:rPr>
        <w:t>（以下称</w:t>
      </w:r>
      <w:r>
        <w:rPr>
          <w:rFonts w:ascii="Times New Roman" w:hAnsi="Times New Roman" w:eastAsia="Times New Roman" w:cs="Times New Roman"/>
          <w:color w:val="auto"/>
          <w:spacing w:val="5"/>
          <w:sz w:val="19"/>
          <w:szCs w:val="19"/>
        </w:rPr>
        <w:t>“</w:t>
      </w:r>
      <w:r>
        <w:rPr>
          <w:rFonts w:ascii="宋体" w:hAnsi="宋体" w:eastAsia="宋体" w:cs="宋体"/>
          <w:color w:val="auto"/>
          <w:spacing w:val="5"/>
          <w:sz w:val="19"/>
          <w:szCs w:val="19"/>
        </w:rPr>
        <w:t>投标人</w:t>
      </w:r>
      <w:r>
        <w:rPr>
          <w:rFonts w:ascii="Times New Roman" w:hAnsi="Times New Roman" w:eastAsia="Times New Roman" w:cs="Times New Roman"/>
          <w:color w:val="auto"/>
          <w:spacing w:val="5"/>
          <w:sz w:val="19"/>
          <w:szCs w:val="19"/>
        </w:rPr>
        <w:t>”</w:t>
      </w:r>
      <w:r>
        <w:rPr>
          <w:rFonts w:ascii="Times New Roman" w:hAnsi="Times New Roman" w:eastAsia="Times New Roman" w:cs="Times New Roman"/>
          <w:color w:val="auto"/>
          <w:spacing w:val="-18"/>
          <w:sz w:val="19"/>
          <w:szCs w:val="19"/>
        </w:rPr>
        <w:t xml:space="preserve"> </w:t>
      </w:r>
      <w:r>
        <w:rPr>
          <w:rFonts w:ascii="宋体" w:hAnsi="宋体" w:eastAsia="宋体" w:cs="宋体"/>
          <w:color w:val="auto"/>
          <w:spacing w:val="5"/>
          <w:sz w:val="19"/>
          <w:szCs w:val="19"/>
        </w:rPr>
        <w:t>）于</w:t>
      </w:r>
      <w:r>
        <w:rPr>
          <w:rFonts w:ascii="宋体" w:hAnsi="宋体" w:eastAsia="宋体" w:cs="宋体"/>
          <w:color w:val="auto"/>
          <w:spacing w:val="-93"/>
          <w:sz w:val="19"/>
          <w:szCs w:val="19"/>
        </w:rPr>
        <w:t xml:space="preserve"> </w:t>
      </w:r>
      <w:r>
        <w:rPr>
          <w:rFonts w:ascii="宋体" w:hAnsi="宋体" w:eastAsia="宋体" w:cs="宋体"/>
          <w:color w:val="auto"/>
          <w:spacing w:val="4"/>
          <w:sz w:val="19"/>
          <w:szCs w:val="19"/>
          <w:u w:val="single"/>
        </w:rPr>
        <w:t xml:space="preserve">  </w:t>
      </w:r>
      <w:r>
        <w:rPr>
          <w:rFonts w:ascii="宋体" w:hAnsi="宋体" w:eastAsia="宋体" w:cs="宋体"/>
          <w:color w:val="auto"/>
          <w:spacing w:val="-84"/>
          <w:sz w:val="19"/>
          <w:szCs w:val="19"/>
        </w:rPr>
        <w:t xml:space="preserve"> </w:t>
      </w:r>
      <w:r>
        <w:rPr>
          <w:rFonts w:ascii="宋体" w:hAnsi="宋体" w:eastAsia="宋体" w:cs="宋体"/>
          <w:color w:val="auto"/>
          <w:spacing w:val="5"/>
          <w:sz w:val="19"/>
          <w:szCs w:val="19"/>
        </w:rPr>
        <w:t>年</w:t>
      </w:r>
      <w:r>
        <w:rPr>
          <w:rFonts w:ascii="宋体" w:hAnsi="宋体" w:eastAsia="宋体" w:cs="宋体"/>
          <w:color w:val="auto"/>
          <w:spacing w:val="-93"/>
          <w:sz w:val="19"/>
          <w:szCs w:val="19"/>
        </w:rPr>
        <w:t xml:space="preserve"> </w:t>
      </w:r>
      <w:r>
        <w:rPr>
          <w:rFonts w:ascii="宋体" w:hAnsi="宋体" w:eastAsia="宋体" w:cs="宋体"/>
          <w:color w:val="auto"/>
          <w:spacing w:val="4"/>
          <w:sz w:val="19"/>
          <w:szCs w:val="19"/>
          <w:u w:val="single"/>
        </w:rPr>
        <w:t xml:space="preserve">  </w:t>
      </w:r>
      <w:r>
        <w:rPr>
          <w:rFonts w:ascii="宋体" w:hAnsi="宋体" w:eastAsia="宋体" w:cs="宋体"/>
          <w:color w:val="auto"/>
          <w:spacing w:val="-81"/>
          <w:sz w:val="19"/>
          <w:szCs w:val="19"/>
        </w:rPr>
        <w:t xml:space="preserve"> </w:t>
      </w:r>
      <w:r>
        <w:rPr>
          <w:rFonts w:ascii="宋体" w:hAnsi="宋体" w:eastAsia="宋体" w:cs="宋体"/>
          <w:color w:val="auto"/>
          <w:spacing w:val="5"/>
          <w:sz w:val="19"/>
          <w:szCs w:val="19"/>
        </w:rPr>
        <w:t>月</w:t>
      </w:r>
      <w:r>
        <w:rPr>
          <w:rFonts w:ascii="宋体" w:hAnsi="宋体" w:eastAsia="宋体" w:cs="宋体"/>
          <w:color w:val="auto"/>
          <w:spacing w:val="5"/>
          <w:sz w:val="19"/>
          <w:szCs w:val="19"/>
          <w:u w:val="single"/>
        </w:rPr>
        <w:t xml:space="preserve">  </w:t>
      </w:r>
      <w:r>
        <w:rPr>
          <w:rFonts w:ascii="宋体" w:hAnsi="宋体" w:eastAsia="宋体" w:cs="宋体"/>
          <w:color w:val="auto"/>
          <w:spacing w:val="-52"/>
          <w:sz w:val="19"/>
          <w:szCs w:val="19"/>
        </w:rPr>
        <w:t xml:space="preserve"> </w:t>
      </w:r>
      <w:r>
        <w:rPr>
          <w:rFonts w:ascii="宋体" w:hAnsi="宋体" w:eastAsia="宋体" w:cs="宋体"/>
          <w:color w:val="auto"/>
          <w:spacing w:val="5"/>
          <w:sz w:val="19"/>
          <w:szCs w:val="19"/>
        </w:rPr>
        <w:t>日递交了</w:t>
      </w:r>
      <w:r>
        <w:rPr>
          <w:rFonts w:ascii="宋体" w:hAnsi="宋体" w:eastAsia="宋体" w:cs="宋体"/>
          <w:color w:val="auto"/>
          <w:spacing w:val="5"/>
          <w:sz w:val="19"/>
          <w:szCs w:val="19"/>
          <w:u w:val="single"/>
        </w:rPr>
        <w:t xml:space="preserve">      </w:t>
      </w:r>
      <w:r>
        <w:rPr>
          <w:rFonts w:ascii="宋体" w:hAnsi="宋体" w:eastAsia="宋体" w:cs="宋体"/>
          <w:color w:val="auto"/>
          <w:spacing w:val="5"/>
          <w:sz w:val="19"/>
          <w:szCs w:val="19"/>
        </w:rPr>
        <w:t xml:space="preserve"> </w:t>
      </w:r>
      <w:r>
        <w:rPr>
          <w:rFonts w:ascii="Times New Roman" w:hAnsi="Times New Roman" w:eastAsia="Times New Roman" w:cs="Times New Roman"/>
          <w:color w:val="auto"/>
          <w:spacing w:val="5"/>
          <w:sz w:val="19"/>
          <w:szCs w:val="19"/>
        </w:rPr>
        <w:t>(</w:t>
      </w:r>
      <w:r>
        <w:rPr>
          <w:rFonts w:ascii="宋体" w:hAnsi="宋体" w:eastAsia="宋体" w:cs="宋体"/>
          <w:color w:val="auto"/>
          <w:spacing w:val="5"/>
          <w:sz w:val="19"/>
          <w:szCs w:val="19"/>
        </w:rPr>
        <w:t>项目名称</w:t>
      </w:r>
      <w:r>
        <w:rPr>
          <w:rFonts w:ascii="Times New Roman" w:hAnsi="Times New Roman" w:eastAsia="Times New Roman" w:cs="Times New Roman"/>
          <w:color w:val="auto"/>
          <w:spacing w:val="5"/>
          <w:sz w:val="19"/>
          <w:szCs w:val="19"/>
        </w:rPr>
        <w:t>)</w:t>
      </w:r>
      <w:r>
        <w:rPr>
          <w:rFonts w:ascii="宋体" w:hAnsi="宋体" w:eastAsia="宋体" w:cs="宋体"/>
          <w:color w:val="auto"/>
          <w:spacing w:val="5"/>
          <w:sz w:val="19"/>
          <w:szCs w:val="19"/>
        </w:rPr>
        <w:t>的投标</w:t>
      </w:r>
      <w:r>
        <w:rPr>
          <w:rFonts w:ascii="宋体" w:hAnsi="宋体" w:eastAsia="宋体" w:cs="宋体"/>
          <w:color w:val="auto"/>
          <w:sz w:val="19"/>
          <w:szCs w:val="19"/>
        </w:rPr>
        <w:t xml:space="preserve"> </w:t>
      </w:r>
      <w:r>
        <w:rPr>
          <w:rFonts w:ascii="宋体" w:hAnsi="宋体" w:eastAsia="宋体" w:cs="宋体"/>
          <w:color w:val="auto"/>
          <w:spacing w:val="7"/>
          <w:sz w:val="19"/>
          <w:szCs w:val="19"/>
        </w:rPr>
        <w:t>文件。并附有人民币</w:t>
      </w:r>
      <w:r>
        <w:rPr>
          <w:rFonts w:ascii="宋体" w:hAnsi="宋体" w:eastAsia="宋体" w:cs="宋体"/>
          <w:color w:val="auto"/>
          <w:spacing w:val="7"/>
          <w:sz w:val="19"/>
          <w:szCs w:val="19"/>
          <w:u w:val="single"/>
        </w:rPr>
        <w:t xml:space="preserve">      </w:t>
      </w:r>
      <w:r>
        <w:rPr>
          <w:rFonts w:ascii="宋体" w:hAnsi="宋体" w:eastAsia="宋体" w:cs="宋体"/>
          <w:color w:val="auto"/>
          <w:spacing w:val="-71"/>
          <w:sz w:val="19"/>
          <w:szCs w:val="19"/>
        </w:rPr>
        <w:t xml:space="preserve"> </w:t>
      </w:r>
      <w:r>
        <w:rPr>
          <w:rFonts w:ascii="宋体" w:hAnsi="宋体" w:eastAsia="宋体" w:cs="宋体"/>
          <w:color w:val="auto"/>
          <w:spacing w:val="7"/>
          <w:sz w:val="19"/>
          <w:szCs w:val="19"/>
        </w:rPr>
        <w:t>万元做为投标保证金。</w:t>
      </w:r>
    </w:p>
    <w:p w14:paraId="3DD0A807">
      <w:pPr>
        <w:spacing w:before="153" w:line="229" w:lineRule="auto"/>
        <w:ind w:left="10"/>
        <w:rPr>
          <w:rFonts w:ascii="宋体" w:hAnsi="宋体" w:eastAsia="宋体" w:cs="宋体"/>
          <w:color w:val="auto"/>
          <w:sz w:val="19"/>
          <w:szCs w:val="19"/>
        </w:rPr>
      </w:pPr>
      <w:r>
        <w:rPr>
          <w:rFonts w:ascii="宋体" w:hAnsi="宋体" w:eastAsia="宋体" w:cs="宋体"/>
          <w:color w:val="auto"/>
          <w:spacing w:val="9"/>
          <w:sz w:val="19"/>
          <w:szCs w:val="19"/>
        </w:rPr>
        <w:t>我方同意招标文件中有关投标保证金的规定，并对我方有约束力。</w:t>
      </w:r>
    </w:p>
    <w:p w14:paraId="7F678EA2">
      <w:pPr>
        <w:spacing w:before="227"/>
        <w:rPr>
          <w:color w:val="auto"/>
        </w:rPr>
      </w:pPr>
    </w:p>
    <w:tbl>
      <w:tblPr>
        <w:tblStyle w:val="56"/>
        <w:tblW w:w="8126" w:type="dxa"/>
        <w:tblInd w:w="4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126"/>
      </w:tblGrid>
      <w:tr w14:paraId="538348C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03" w:hRule="atLeast"/>
        </w:trPr>
        <w:tc>
          <w:tcPr>
            <w:tcW w:w="8126" w:type="dxa"/>
          </w:tcPr>
          <w:p w14:paraId="789DC945">
            <w:pPr>
              <w:spacing w:line="269" w:lineRule="auto"/>
              <w:rPr>
                <w:rFonts w:ascii="Arial"/>
                <w:color w:val="auto"/>
              </w:rPr>
            </w:pPr>
          </w:p>
          <w:p w14:paraId="472FDC20">
            <w:pPr>
              <w:spacing w:line="269" w:lineRule="auto"/>
              <w:rPr>
                <w:rFonts w:ascii="Arial"/>
                <w:color w:val="auto"/>
              </w:rPr>
            </w:pPr>
          </w:p>
          <w:p w14:paraId="467477E8">
            <w:pPr>
              <w:spacing w:line="269" w:lineRule="auto"/>
              <w:rPr>
                <w:rFonts w:ascii="Arial"/>
                <w:color w:val="auto"/>
              </w:rPr>
            </w:pPr>
          </w:p>
          <w:p w14:paraId="6CAF2C9C">
            <w:pPr>
              <w:spacing w:line="269" w:lineRule="auto"/>
              <w:rPr>
                <w:rFonts w:ascii="Arial"/>
                <w:color w:val="auto"/>
              </w:rPr>
            </w:pPr>
          </w:p>
          <w:p w14:paraId="586BB509">
            <w:pPr>
              <w:spacing w:line="269" w:lineRule="auto"/>
              <w:rPr>
                <w:rFonts w:ascii="Arial"/>
                <w:color w:val="auto"/>
              </w:rPr>
            </w:pPr>
          </w:p>
          <w:p w14:paraId="707685A0">
            <w:pPr>
              <w:pStyle w:val="59"/>
              <w:spacing w:before="62" w:line="228" w:lineRule="auto"/>
              <w:ind w:left="131"/>
              <w:rPr>
                <w:color w:val="auto"/>
                <w:sz w:val="19"/>
                <w:szCs w:val="19"/>
                <w:lang w:eastAsia="zh-CN"/>
              </w:rPr>
            </w:pPr>
            <w:r>
              <w:rPr>
                <w:color w:val="auto"/>
                <w:spacing w:val="7"/>
                <w:sz w:val="19"/>
                <w:szCs w:val="19"/>
                <w:lang w:eastAsia="zh-CN"/>
              </w:rPr>
              <w:t>附：投标保证金递交证明复印件。</w:t>
            </w:r>
          </w:p>
        </w:tc>
      </w:tr>
    </w:tbl>
    <w:p w14:paraId="470BA393">
      <w:pPr>
        <w:pStyle w:val="10"/>
        <w:spacing w:line="250" w:lineRule="auto"/>
        <w:rPr>
          <w:color w:val="auto"/>
        </w:rPr>
      </w:pPr>
    </w:p>
    <w:p w14:paraId="155B72F9">
      <w:pPr>
        <w:spacing w:before="62" w:line="228" w:lineRule="auto"/>
        <w:ind w:left="10"/>
        <w:rPr>
          <w:color w:val="auto"/>
        </w:rPr>
      </w:pPr>
      <w:r>
        <w:rPr>
          <w:rFonts w:ascii="宋体" w:hAnsi="宋体" w:eastAsia="宋体" w:cs="宋体"/>
          <w:color w:val="auto"/>
          <w:spacing w:val="8"/>
          <w:sz w:val="19"/>
          <w:szCs w:val="19"/>
        </w:rPr>
        <w:t>投  标</w:t>
      </w:r>
      <w:r>
        <w:rPr>
          <w:rFonts w:ascii="宋体" w:hAnsi="宋体" w:eastAsia="宋体" w:cs="宋体"/>
          <w:color w:val="auto"/>
          <w:spacing w:val="10"/>
          <w:sz w:val="19"/>
          <w:szCs w:val="19"/>
        </w:rPr>
        <w:t xml:space="preserve">  </w:t>
      </w:r>
      <w:r>
        <w:rPr>
          <w:rFonts w:ascii="宋体" w:hAnsi="宋体" w:eastAsia="宋体" w:cs="宋体"/>
          <w:color w:val="auto"/>
          <w:spacing w:val="8"/>
          <w:sz w:val="19"/>
          <w:szCs w:val="19"/>
        </w:rPr>
        <w:t>人</w:t>
      </w:r>
      <w:r>
        <w:rPr>
          <w:rFonts w:ascii="宋体" w:hAnsi="宋体" w:eastAsia="宋体" w:cs="宋体"/>
          <w:color w:val="auto"/>
          <w:spacing w:val="-12"/>
          <w:sz w:val="19"/>
          <w:szCs w:val="19"/>
        </w:rPr>
        <w:t>：</w:t>
      </w:r>
      <w:r>
        <w:rPr>
          <w:rFonts w:ascii="宋体" w:hAnsi="宋体" w:eastAsia="宋体" w:cs="宋体"/>
          <w:color w:val="auto"/>
          <w:sz w:val="19"/>
          <w:szCs w:val="19"/>
        </w:rPr>
        <w:t xml:space="preserve">                 </w:t>
      </w:r>
      <w:r>
        <w:rPr>
          <w:rFonts w:ascii="宋体" w:hAnsi="宋体" w:eastAsia="宋体" w:cs="宋体"/>
          <w:color w:val="auto"/>
          <w:spacing w:val="-12"/>
          <w:sz w:val="19"/>
          <w:szCs w:val="19"/>
        </w:rPr>
        <w:t>（</w:t>
      </w:r>
      <w:r>
        <w:rPr>
          <w:rFonts w:ascii="宋体" w:hAnsi="宋体" w:eastAsia="宋体" w:cs="宋体"/>
          <w:color w:val="auto"/>
          <w:spacing w:val="8"/>
          <w:sz w:val="19"/>
          <w:szCs w:val="19"/>
        </w:rPr>
        <w:t>公章）</w:t>
      </w:r>
    </w:p>
    <w:p w14:paraId="3132C371">
      <w:pPr>
        <w:spacing w:before="62" w:line="229" w:lineRule="auto"/>
        <w:ind w:left="9"/>
        <w:rPr>
          <w:color w:val="auto"/>
        </w:rPr>
      </w:pPr>
      <w:r>
        <w:rPr>
          <w:rFonts w:ascii="宋体" w:hAnsi="宋体" w:eastAsia="宋体" w:cs="宋体"/>
          <w:color w:val="auto"/>
          <w:spacing w:val="11"/>
          <w:sz w:val="19"/>
          <w:szCs w:val="19"/>
        </w:rPr>
        <w:t>法定代表人</w:t>
      </w:r>
      <w:r>
        <w:rPr>
          <w:rFonts w:ascii="宋体" w:hAnsi="宋体" w:eastAsia="宋体" w:cs="宋体"/>
          <w:color w:val="auto"/>
          <w:spacing w:val="-13"/>
          <w:sz w:val="19"/>
          <w:szCs w:val="19"/>
        </w:rPr>
        <w:t>：</w:t>
      </w:r>
      <w:r>
        <w:rPr>
          <w:rFonts w:ascii="宋体" w:hAnsi="宋体" w:eastAsia="宋体" w:cs="宋体"/>
          <w:color w:val="auto"/>
          <w:sz w:val="19"/>
          <w:szCs w:val="19"/>
        </w:rPr>
        <w:t xml:space="preserve">                 </w:t>
      </w:r>
      <w:r>
        <w:rPr>
          <w:rFonts w:ascii="宋体" w:hAnsi="宋体" w:eastAsia="宋体" w:cs="宋体"/>
          <w:color w:val="auto"/>
          <w:spacing w:val="-13"/>
          <w:sz w:val="19"/>
          <w:szCs w:val="19"/>
        </w:rPr>
        <w:t>（</w:t>
      </w:r>
      <w:r>
        <w:rPr>
          <w:rFonts w:ascii="宋体" w:hAnsi="宋体" w:eastAsia="宋体" w:cs="宋体"/>
          <w:color w:val="auto"/>
          <w:spacing w:val="11"/>
          <w:sz w:val="19"/>
          <w:szCs w:val="19"/>
        </w:rPr>
        <w:t>签字）</w:t>
      </w:r>
    </w:p>
    <w:p w14:paraId="3CAD415A">
      <w:pPr>
        <w:spacing w:before="62" w:line="229" w:lineRule="auto"/>
        <w:ind w:left="7"/>
        <w:rPr>
          <w:color w:val="auto"/>
        </w:rPr>
      </w:pPr>
      <w:r>
        <w:rPr>
          <w:rFonts w:ascii="宋体" w:hAnsi="宋体" w:eastAsia="宋体" w:cs="宋体"/>
          <w:color w:val="auto"/>
          <w:spacing w:val="11"/>
          <w:sz w:val="19"/>
          <w:szCs w:val="19"/>
        </w:rPr>
        <w:t>委托代理人</w:t>
      </w:r>
      <w:r>
        <w:rPr>
          <w:rFonts w:ascii="宋体" w:hAnsi="宋体" w:eastAsia="宋体" w:cs="宋体"/>
          <w:color w:val="auto"/>
          <w:spacing w:val="-12"/>
          <w:sz w:val="19"/>
          <w:szCs w:val="19"/>
        </w:rPr>
        <w:t>：</w:t>
      </w:r>
      <w:r>
        <w:rPr>
          <w:rFonts w:ascii="宋体" w:hAnsi="宋体" w:eastAsia="宋体" w:cs="宋体"/>
          <w:color w:val="auto"/>
          <w:sz w:val="19"/>
          <w:szCs w:val="19"/>
        </w:rPr>
        <w:t xml:space="preserve">                 </w:t>
      </w:r>
      <w:r>
        <w:rPr>
          <w:rFonts w:ascii="宋体" w:hAnsi="宋体" w:eastAsia="宋体" w:cs="宋体"/>
          <w:color w:val="auto"/>
          <w:spacing w:val="-12"/>
          <w:sz w:val="19"/>
          <w:szCs w:val="19"/>
        </w:rPr>
        <w:t>（</w:t>
      </w:r>
      <w:r>
        <w:rPr>
          <w:rFonts w:ascii="宋体" w:hAnsi="宋体" w:eastAsia="宋体" w:cs="宋体"/>
          <w:color w:val="auto"/>
          <w:spacing w:val="11"/>
          <w:sz w:val="19"/>
          <w:szCs w:val="19"/>
        </w:rPr>
        <w:t>签字）</w:t>
      </w:r>
    </w:p>
    <w:p w14:paraId="07E59767">
      <w:pPr>
        <w:spacing w:before="63" w:line="229" w:lineRule="auto"/>
        <w:ind w:left="42"/>
        <w:rPr>
          <w:rFonts w:ascii="宋体" w:hAnsi="宋体" w:eastAsia="宋体" w:cs="宋体"/>
          <w:color w:val="auto"/>
          <w:spacing w:val="-7"/>
          <w:sz w:val="19"/>
          <w:szCs w:val="19"/>
        </w:rPr>
      </w:pPr>
      <w:r>
        <w:rPr>
          <w:rFonts w:ascii="宋体" w:hAnsi="宋体" w:eastAsia="宋体" w:cs="宋体"/>
          <w:color w:val="auto"/>
          <w:spacing w:val="-7"/>
          <w:sz w:val="19"/>
          <w:szCs w:val="19"/>
        </w:rPr>
        <w:t>日</w:t>
      </w:r>
      <w:r>
        <w:rPr>
          <w:rFonts w:ascii="宋体" w:hAnsi="宋体" w:eastAsia="宋体" w:cs="宋体"/>
          <w:color w:val="auto"/>
          <w:spacing w:val="7"/>
          <w:sz w:val="19"/>
          <w:szCs w:val="19"/>
        </w:rPr>
        <w:t xml:space="preserve">      </w:t>
      </w:r>
      <w:r>
        <w:rPr>
          <w:rFonts w:ascii="宋体" w:hAnsi="宋体" w:eastAsia="宋体" w:cs="宋体"/>
          <w:color w:val="auto"/>
          <w:spacing w:val="-7"/>
          <w:sz w:val="19"/>
          <w:szCs w:val="19"/>
        </w:rPr>
        <w:t>期：</w:t>
      </w:r>
      <w:r>
        <w:rPr>
          <w:rFonts w:ascii="宋体" w:hAnsi="宋体" w:eastAsia="宋体" w:cs="宋体"/>
          <w:color w:val="auto"/>
          <w:spacing w:val="8"/>
          <w:sz w:val="19"/>
          <w:szCs w:val="19"/>
        </w:rPr>
        <w:t xml:space="preserve">      </w:t>
      </w:r>
      <w:r>
        <w:rPr>
          <w:rFonts w:ascii="宋体" w:hAnsi="宋体" w:eastAsia="宋体" w:cs="宋体"/>
          <w:color w:val="auto"/>
          <w:spacing w:val="-7"/>
          <w:sz w:val="19"/>
          <w:szCs w:val="19"/>
        </w:rPr>
        <w:t>年</w:t>
      </w:r>
      <w:r>
        <w:rPr>
          <w:rFonts w:ascii="宋体" w:hAnsi="宋体" w:eastAsia="宋体" w:cs="宋体"/>
          <w:color w:val="auto"/>
          <w:spacing w:val="7"/>
          <w:sz w:val="19"/>
          <w:szCs w:val="19"/>
        </w:rPr>
        <w:t xml:space="preserve">      </w:t>
      </w:r>
      <w:r>
        <w:rPr>
          <w:rFonts w:ascii="宋体" w:hAnsi="宋体" w:eastAsia="宋体" w:cs="宋体"/>
          <w:color w:val="auto"/>
          <w:spacing w:val="-7"/>
          <w:sz w:val="19"/>
          <w:szCs w:val="19"/>
        </w:rPr>
        <w:t>月</w:t>
      </w:r>
      <w:r>
        <w:rPr>
          <w:rFonts w:ascii="宋体" w:hAnsi="宋体" w:eastAsia="宋体" w:cs="宋体"/>
          <w:color w:val="auto"/>
          <w:spacing w:val="12"/>
          <w:sz w:val="19"/>
          <w:szCs w:val="19"/>
        </w:rPr>
        <w:t xml:space="preserve">      </w:t>
      </w:r>
      <w:r>
        <w:rPr>
          <w:rFonts w:ascii="宋体" w:hAnsi="宋体" w:eastAsia="宋体" w:cs="宋体"/>
          <w:color w:val="auto"/>
          <w:spacing w:val="-7"/>
          <w:sz w:val="19"/>
          <w:szCs w:val="19"/>
        </w:rPr>
        <w:t>日</w:t>
      </w:r>
    </w:p>
    <w:p w14:paraId="3A51129A">
      <w:pPr>
        <w:rPr>
          <w:rFonts w:ascii="宋体" w:hAnsi="宋体" w:eastAsia="宋体" w:cs="宋体"/>
          <w:color w:val="auto"/>
          <w:sz w:val="30"/>
          <w:szCs w:val="30"/>
        </w:rPr>
      </w:pPr>
      <w:r>
        <w:rPr>
          <w:rFonts w:hint="eastAsia" w:ascii="宋体" w:hAnsi="宋体" w:eastAsia="宋体" w:cs="宋体"/>
          <w:color w:val="auto"/>
          <w:sz w:val="30"/>
          <w:szCs w:val="30"/>
        </w:rPr>
        <w:br w:type="page"/>
      </w:r>
    </w:p>
    <w:p w14:paraId="51FA8776">
      <w:pPr>
        <w:pStyle w:val="3"/>
        <w:spacing w:line="360" w:lineRule="auto"/>
        <w:jc w:val="center"/>
        <w:rPr>
          <w:rFonts w:ascii="宋体" w:hAnsi="宋体" w:eastAsia="宋体" w:cs="宋体"/>
          <w:color w:val="auto"/>
          <w:lang w:val="zh-CN"/>
        </w:rPr>
      </w:pPr>
      <w:r>
        <w:rPr>
          <w:rFonts w:hint="eastAsia" w:ascii="宋体" w:hAnsi="宋体" w:eastAsia="宋体" w:cs="宋体"/>
          <w:color w:val="auto"/>
          <w:sz w:val="30"/>
          <w:szCs w:val="30"/>
        </w:rPr>
        <w:t>四</w:t>
      </w:r>
      <w:r>
        <w:rPr>
          <w:rFonts w:hint="eastAsia" w:ascii="宋体" w:hAnsi="宋体" w:eastAsia="宋体" w:cs="宋体"/>
          <w:color w:val="auto"/>
          <w:sz w:val="30"/>
          <w:szCs w:val="30"/>
          <w:lang w:val="zh-CN"/>
        </w:rPr>
        <w:t>、</w:t>
      </w:r>
      <w:r>
        <w:rPr>
          <w:rFonts w:hint="eastAsia" w:ascii="宋体" w:hAnsi="宋体" w:eastAsia="宋体" w:cs="宋体"/>
          <w:color w:val="auto"/>
          <w:lang w:val="zh-CN"/>
        </w:rPr>
        <w:t>开标一览表</w:t>
      </w:r>
      <w:bookmarkEnd w:id="608"/>
      <w:bookmarkEnd w:id="609"/>
      <w:bookmarkEnd w:id="610"/>
      <w:bookmarkEnd w:id="611"/>
      <w:bookmarkEnd w:id="612"/>
      <w:bookmarkEnd w:id="613"/>
    </w:p>
    <w:p w14:paraId="56F82557">
      <w:pPr>
        <w:autoSpaceDE w:val="0"/>
        <w:autoSpaceDN w:val="0"/>
        <w:adjustRightInd w:val="0"/>
        <w:spacing w:line="360" w:lineRule="auto"/>
        <w:rPr>
          <w:rFonts w:ascii="宋体" w:hAnsi="宋体" w:eastAsia="宋体" w:cs="宋体"/>
          <w:color w:val="auto"/>
          <w:kern w:val="0"/>
          <w:szCs w:val="21"/>
        </w:rPr>
      </w:pPr>
      <w:bookmarkStart w:id="614" w:name="_Toc373389068"/>
      <w:bookmarkStart w:id="615" w:name="_Toc311404687"/>
      <w:bookmarkStart w:id="616" w:name="_Toc420417636"/>
      <w:bookmarkStart w:id="617" w:name="_Toc311404524"/>
      <w:r>
        <w:rPr>
          <w:rFonts w:hint="eastAsia" w:ascii="宋体" w:hAnsi="宋体" w:eastAsia="宋体" w:cs="宋体"/>
          <w:color w:val="auto"/>
          <w:kern w:val="0"/>
          <w:szCs w:val="21"/>
        </w:rPr>
        <w:t>项目名称：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3F901932">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项目编号：</w:t>
      </w:r>
      <w:r>
        <w:rPr>
          <w:rFonts w:hint="eastAsia" w:ascii="宋体" w:hAnsi="宋体" w:eastAsia="宋体" w:cs="宋体"/>
          <w:color w:val="auto"/>
          <w:kern w:val="0"/>
          <w:szCs w:val="21"/>
          <w:u w:val="single"/>
        </w:rPr>
        <w:t xml:space="preserve">              </w:t>
      </w:r>
    </w:p>
    <w:p w14:paraId="2B93B5CC">
      <w:pPr>
        <w:autoSpaceDE w:val="0"/>
        <w:autoSpaceDN w:val="0"/>
        <w:adjustRightInd w:val="0"/>
        <w:spacing w:line="360" w:lineRule="auto"/>
        <w:jc w:val="left"/>
        <w:rPr>
          <w:rFonts w:ascii="宋体" w:hAnsi="宋体" w:eastAsia="宋体" w:cs="宋体"/>
          <w:color w:val="auto"/>
          <w:kern w:val="0"/>
          <w:szCs w:val="21"/>
        </w:rPr>
      </w:pPr>
    </w:p>
    <w:tbl>
      <w:tblPr>
        <w:tblStyle w:val="24"/>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7533"/>
      </w:tblGrid>
      <w:tr w14:paraId="623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863" w:type="dxa"/>
            <w:vAlign w:val="center"/>
          </w:tcPr>
          <w:p w14:paraId="6F2D84E0">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rPr>
              <w:t>投标单位</w:t>
            </w:r>
            <w:r>
              <w:rPr>
                <w:rFonts w:hint="eastAsia" w:ascii="宋体" w:hAnsi="宋体" w:eastAsia="宋体" w:cs="宋体"/>
                <w:bCs/>
                <w:color w:val="auto"/>
                <w:szCs w:val="21"/>
                <w:lang w:val="en-US" w:eastAsia="zh-CN"/>
              </w:rPr>
              <w:t>名称</w:t>
            </w:r>
          </w:p>
        </w:tc>
        <w:tc>
          <w:tcPr>
            <w:tcW w:w="7533" w:type="dxa"/>
            <w:vAlign w:val="center"/>
          </w:tcPr>
          <w:p w14:paraId="4F3144D6">
            <w:pPr>
              <w:spacing w:line="360" w:lineRule="auto"/>
              <w:jc w:val="center"/>
              <w:rPr>
                <w:rFonts w:ascii="宋体" w:hAnsi="宋体" w:eastAsia="宋体" w:cs="宋体"/>
                <w:bCs/>
                <w:color w:val="auto"/>
                <w:szCs w:val="21"/>
              </w:rPr>
            </w:pPr>
          </w:p>
        </w:tc>
      </w:tr>
      <w:tr w14:paraId="467F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63" w:type="dxa"/>
            <w:vAlign w:val="center"/>
          </w:tcPr>
          <w:p w14:paraId="41AD0549">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报价（元）</w:t>
            </w:r>
          </w:p>
        </w:tc>
        <w:tc>
          <w:tcPr>
            <w:tcW w:w="7533" w:type="dxa"/>
            <w:vAlign w:val="center"/>
          </w:tcPr>
          <w:p w14:paraId="7CC632AC">
            <w:pPr>
              <w:spacing w:line="360" w:lineRule="auto"/>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0（政采云系统填报为0）</w:t>
            </w:r>
          </w:p>
        </w:tc>
      </w:tr>
      <w:tr w14:paraId="5552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63" w:type="dxa"/>
            <w:vAlign w:val="center"/>
          </w:tcPr>
          <w:p w14:paraId="62E61D5C">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合同履行期限</w:t>
            </w:r>
          </w:p>
        </w:tc>
        <w:tc>
          <w:tcPr>
            <w:tcW w:w="7533" w:type="dxa"/>
            <w:vAlign w:val="center"/>
          </w:tcPr>
          <w:p w14:paraId="4034FC7F">
            <w:pPr>
              <w:spacing w:line="360" w:lineRule="auto"/>
              <w:jc w:val="center"/>
              <w:rPr>
                <w:rFonts w:ascii="宋体" w:hAnsi="宋体" w:eastAsia="宋体" w:cs="宋体"/>
                <w:b/>
                <w:bCs/>
                <w:color w:val="auto"/>
                <w:szCs w:val="21"/>
              </w:rPr>
            </w:pPr>
          </w:p>
        </w:tc>
      </w:tr>
      <w:tr w14:paraId="7C5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863" w:type="dxa"/>
            <w:vAlign w:val="center"/>
          </w:tcPr>
          <w:p w14:paraId="7F5D0EEC">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投标保证金</w:t>
            </w:r>
          </w:p>
        </w:tc>
        <w:tc>
          <w:tcPr>
            <w:tcW w:w="7533" w:type="dxa"/>
            <w:vAlign w:val="center"/>
          </w:tcPr>
          <w:p w14:paraId="092A2D28">
            <w:pPr>
              <w:spacing w:line="360" w:lineRule="auto"/>
              <w:jc w:val="center"/>
              <w:rPr>
                <w:rFonts w:ascii="宋体" w:hAnsi="宋体" w:eastAsia="宋体" w:cs="宋体"/>
                <w:bCs/>
                <w:color w:val="auto"/>
                <w:szCs w:val="21"/>
              </w:rPr>
            </w:pPr>
          </w:p>
        </w:tc>
      </w:tr>
      <w:tr w14:paraId="6A5F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863" w:type="dxa"/>
            <w:vAlign w:val="center"/>
          </w:tcPr>
          <w:p w14:paraId="3262B6F5">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质量标准</w:t>
            </w:r>
          </w:p>
        </w:tc>
        <w:tc>
          <w:tcPr>
            <w:tcW w:w="7533" w:type="dxa"/>
            <w:vAlign w:val="center"/>
          </w:tcPr>
          <w:p w14:paraId="49832CD8">
            <w:pPr>
              <w:spacing w:line="360" w:lineRule="auto"/>
              <w:jc w:val="center"/>
              <w:rPr>
                <w:rFonts w:ascii="宋体" w:hAnsi="宋体" w:eastAsia="宋体" w:cs="宋体"/>
                <w:bCs/>
                <w:color w:val="auto"/>
                <w:szCs w:val="21"/>
              </w:rPr>
            </w:pPr>
          </w:p>
        </w:tc>
      </w:tr>
      <w:tr w14:paraId="7CC3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63" w:type="dxa"/>
            <w:vMerge w:val="restart"/>
            <w:vAlign w:val="center"/>
          </w:tcPr>
          <w:p w14:paraId="587C58F9">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备注</w:t>
            </w:r>
          </w:p>
        </w:tc>
        <w:tc>
          <w:tcPr>
            <w:tcW w:w="7533" w:type="dxa"/>
            <w:vAlign w:val="center"/>
          </w:tcPr>
          <w:p w14:paraId="6E636B35">
            <w:pPr>
              <w:numPr>
                <w:ilvl w:val="0"/>
                <w:numId w:val="7"/>
              </w:numPr>
              <w:spacing w:line="360" w:lineRule="auto"/>
              <w:rPr>
                <w:rFonts w:ascii="宋体" w:hAnsi="宋体" w:eastAsia="宋体" w:cs="宋体"/>
                <w:bCs/>
                <w:color w:val="auto"/>
                <w:szCs w:val="21"/>
              </w:rPr>
            </w:pPr>
            <w:r>
              <w:rPr>
                <w:rFonts w:hint="eastAsia" w:ascii="宋体" w:hAnsi="宋体" w:eastAsia="宋体" w:cs="宋体"/>
                <w:bCs/>
                <w:color w:val="auto"/>
                <w:szCs w:val="21"/>
              </w:rPr>
              <w:t>本表只做唱标时使用，但本表的一切内容均具有法律效力，不得更改。</w:t>
            </w:r>
          </w:p>
        </w:tc>
      </w:tr>
      <w:tr w14:paraId="31DB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63" w:type="dxa"/>
            <w:vMerge w:val="continue"/>
            <w:vAlign w:val="center"/>
          </w:tcPr>
          <w:p w14:paraId="41CA4047">
            <w:pPr>
              <w:spacing w:line="360" w:lineRule="auto"/>
              <w:jc w:val="center"/>
              <w:rPr>
                <w:rFonts w:ascii="宋体" w:hAnsi="宋体" w:eastAsia="宋体" w:cs="宋体"/>
                <w:bCs/>
                <w:color w:val="auto"/>
                <w:szCs w:val="21"/>
              </w:rPr>
            </w:pPr>
          </w:p>
        </w:tc>
        <w:tc>
          <w:tcPr>
            <w:tcW w:w="7533" w:type="dxa"/>
            <w:vAlign w:val="center"/>
          </w:tcPr>
          <w:p w14:paraId="4A992F22">
            <w:pPr>
              <w:numPr>
                <w:ilvl w:val="0"/>
                <w:numId w:val="7"/>
              </w:numPr>
              <w:spacing w:line="360" w:lineRule="auto"/>
              <w:rPr>
                <w:rFonts w:ascii="宋体" w:hAnsi="宋体" w:eastAsia="宋体" w:cs="宋体"/>
                <w:bCs/>
                <w:color w:val="auto"/>
                <w:szCs w:val="21"/>
              </w:rPr>
            </w:pPr>
            <w:r>
              <w:rPr>
                <w:rFonts w:hint="eastAsia" w:ascii="宋体" w:hAnsi="宋体" w:eastAsia="宋体" w:cs="宋体"/>
                <w:bCs/>
                <w:color w:val="auto"/>
                <w:szCs w:val="21"/>
              </w:rPr>
              <w:t>本表内容须与投标文件中正本内容一致，如不一致以开标一览表内容为准。</w:t>
            </w:r>
          </w:p>
        </w:tc>
      </w:tr>
      <w:tr w14:paraId="20BD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9396" w:type="dxa"/>
            <w:gridSpan w:val="2"/>
            <w:vAlign w:val="center"/>
          </w:tcPr>
          <w:p w14:paraId="007F362A">
            <w:pPr>
              <w:spacing w:line="360" w:lineRule="auto"/>
              <w:rPr>
                <w:rFonts w:ascii="宋体" w:hAnsi="宋体" w:eastAsia="宋体" w:cs="宋体"/>
                <w:bCs/>
                <w:color w:val="auto"/>
                <w:szCs w:val="21"/>
              </w:rPr>
            </w:pPr>
            <w:r>
              <w:rPr>
                <w:rFonts w:hint="eastAsia" w:ascii="宋体" w:hAnsi="宋体" w:eastAsia="宋体" w:cs="宋体"/>
                <w:bCs/>
                <w:color w:val="auto"/>
                <w:szCs w:val="21"/>
              </w:rPr>
              <w:t>投标人：              （盖章）                           被授权人：         （签字或盖章）</w:t>
            </w:r>
          </w:p>
        </w:tc>
      </w:tr>
    </w:tbl>
    <w:p w14:paraId="4B49B3F7">
      <w:pPr>
        <w:spacing w:line="360" w:lineRule="auto"/>
        <w:ind w:firstLine="600" w:firstLineChars="200"/>
        <w:jc w:val="center"/>
        <w:rPr>
          <w:rFonts w:ascii="宋体" w:hAnsi="宋体" w:eastAsia="宋体" w:cs="宋体"/>
          <w:color w:val="auto"/>
          <w:szCs w:val="21"/>
        </w:rPr>
      </w:pPr>
      <w:r>
        <w:rPr>
          <w:rFonts w:hint="eastAsia" w:ascii="宋体" w:hAnsi="宋体" w:eastAsia="宋体" w:cs="宋体"/>
          <w:color w:val="auto"/>
          <w:sz w:val="30"/>
          <w:szCs w:val="30"/>
        </w:rPr>
        <w:br w:type="page"/>
      </w:r>
      <w:bookmarkStart w:id="618" w:name="_Toc3869"/>
      <w:bookmarkStart w:id="619" w:name="_Toc6328"/>
      <w:bookmarkStart w:id="620" w:name="_Toc457839499"/>
      <w:bookmarkStart w:id="621" w:name="_Toc21973"/>
      <w:bookmarkStart w:id="622" w:name="_Toc21460"/>
      <w:bookmarkStart w:id="623" w:name="_Toc77593406"/>
      <w:bookmarkStart w:id="624" w:name="_Toc67490902"/>
    </w:p>
    <w:p w14:paraId="59BECD6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1"/>
        <w:rPr>
          <w:rFonts w:ascii="宋体" w:hAnsi="宋体" w:eastAsia="宋体" w:cs="宋体"/>
          <w:color w:val="auto"/>
          <w:lang w:val="zh-CN"/>
        </w:rPr>
      </w:pPr>
      <w:r>
        <w:rPr>
          <w:rFonts w:hint="eastAsia" w:ascii="宋体" w:hAnsi="宋体" w:eastAsia="宋体" w:cs="宋体"/>
          <w:b/>
          <w:bCs/>
          <w:color w:val="auto"/>
          <w:sz w:val="32"/>
          <w:szCs w:val="32"/>
          <w:lang w:val="zh-CN"/>
        </w:rPr>
        <w:t>五、资格审查资料</w:t>
      </w:r>
      <w:bookmarkEnd w:id="614"/>
      <w:bookmarkEnd w:id="615"/>
      <w:bookmarkEnd w:id="616"/>
      <w:bookmarkEnd w:id="617"/>
      <w:bookmarkEnd w:id="618"/>
      <w:bookmarkEnd w:id="619"/>
      <w:bookmarkEnd w:id="620"/>
      <w:bookmarkEnd w:id="621"/>
      <w:bookmarkEnd w:id="622"/>
      <w:bookmarkEnd w:id="623"/>
      <w:bookmarkEnd w:id="624"/>
    </w:p>
    <w:p w14:paraId="798CADDE">
      <w:pPr>
        <w:pStyle w:val="4"/>
        <w:spacing w:before="20" w:after="0" w:line="360" w:lineRule="auto"/>
        <w:ind w:firstLine="137"/>
        <w:jc w:val="center"/>
        <w:rPr>
          <w:rFonts w:ascii="宋体" w:hAnsi="宋体" w:eastAsia="宋体" w:cs="宋体"/>
          <w:color w:val="auto"/>
        </w:rPr>
      </w:pPr>
      <w:bookmarkStart w:id="625" w:name="_Toc10595"/>
      <w:bookmarkStart w:id="626" w:name="_Toc20412"/>
      <w:bookmarkStart w:id="627" w:name="_Toc492300535"/>
      <w:r>
        <w:rPr>
          <w:rFonts w:hint="eastAsia" w:ascii="宋体" w:hAnsi="宋体" w:eastAsia="宋体" w:cs="宋体"/>
          <w:color w:val="auto"/>
        </w:rPr>
        <w:t>（一）基本情况表</w:t>
      </w:r>
      <w:bookmarkEnd w:id="625"/>
      <w:bookmarkEnd w:id="626"/>
      <w:bookmarkEnd w:id="627"/>
    </w:p>
    <w:tbl>
      <w:tblPr>
        <w:tblStyle w:val="56"/>
        <w:tblW w:w="9004"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897"/>
        <w:gridCol w:w="1020"/>
        <w:gridCol w:w="1275"/>
        <w:gridCol w:w="195"/>
        <w:gridCol w:w="1245"/>
        <w:gridCol w:w="260"/>
        <w:gridCol w:w="2413"/>
      </w:tblGrid>
      <w:tr w14:paraId="398B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99" w:type="dxa"/>
          </w:tcPr>
          <w:p w14:paraId="6EB0B0D1">
            <w:pPr>
              <w:pStyle w:val="59"/>
              <w:spacing w:before="188" w:line="228" w:lineRule="auto"/>
              <w:ind w:left="354"/>
              <w:rPr>
                <w:color w:val="auto"/>
                <w:sz w:val="21"/>
                <w:szCs w:val="21"/>
              </w:rPr>
            </w:pPr>
            <w:r>
              <w:rPr>
                <w:color w:val="auto"/>
                <w:spacing w:val="8"/>
                <w:sz w:val="21"/>
                <w:szCs w:val="21"/>
              </w:rPr>
              <w:t>供应商名称</w:t>
            </w:r>
          </w:p>
        </w:tc>
        <w:tc>
          <w:tcPr>
            <w:tcW w:w="7305" w:type="dxa"/>
            <w:gridSpan w:val="7"/>
          </w:tcPr>
          <w:p w14:paraId="37B03B1F">
            <w:pPr>
              <w:rPr>
                <w:rFonts w:ascii="Arial"/>
                <w:color w:val="auto"/>
                <w:szCs w:val="21"/>
              </w:rPr>
            </w:pPr>
          </w:p>
        </w:tc>
      </w:tr>
      <w:tr w14:paraId="0A45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99" w:type="dxa"/>
          </w:tcPr>
          <w:p w14:paraId="5AAE8488">
            <w:pPr>
              <w:pStyle w:val="59"/>
              <w:spacing w:before="184" w:line="230" w:lineRule="auto"/>
              <w:ind w:left="453"/>
              <w:rPr>
                <w:color w:val="auto"/>
                <w:sz w:val="21"/>
                <w:szCs w:val="21"/>
              </w:rPr>
            </w:pPr>
            <w:r>
              <w:rPr>
                <w:color w:val="auto"/>
                <w:spacing w:val="7"/>
                <w:sz w:val="21"/>
                <w:szCs w:val="21"/>
              </w:rPr>
              <w:t>注册地址</w:t>
            </w:r>
          </w:p>
        </w:tc>
        <w:tc>
          <w:tcPr>
            <w:tcW w:w="3387" w:type="dxa"/>
            <w:gridSpan w:val="4"/>
          </w:tcPr>
          <w:p w14:paraId="32442E8E">
            <w:pPr>
              <w:rPr>
                <w:rFonts w:ascii="Arial"/>
                <w:color w:val="auto"/>
                <w:szCs w:val="21"/>
              </w:rPr>
            </w:pPr>
          </w:p>
        </w:tc>
        <w:tc>
          <w:tcPr>
            <w:tcW w:w="1245" w:type="dxa"/>
          </w:tcPr>
          <w:p w14:paraId="095661D0">
            <w:pPr>
              <w:pStyle w:val="59"/>
              <w:spacing w:before="183" w:line="229" w:lineRule="auto"/>
              <w:ind w:left="242"/>
              <w:rPr>
                <w:color w:val="auto"/>
                <w:sz w:val="21"/>
                <w:szCs w:val="21"/>
              </w:rPr>
            </w:pPr>
            <w:r>
              <w:rPr>
                <w:color w:val="auto"/>
                <w:spacing w:val="4"/>
                <w:sz w:val="21"/>
                <w:szCs w:val="21"/>
              </w:rPr>
              <w:t>邮政编码</w:t>
            </w:r>
          </w:p>
        </w:tc>
        <w:tc>
          <w:tcPr>
            <w:tcW w:w="2673" w:type="dxa"/>
            <w:gridSpan w:val="2"/>
          </w:tcPr>
          <w:p w14:paraId="326A55AD">
            <w:pPr>
              <w:rPr>
                <w:rFonts w:ascii="Arial"/>
                <w:color w:val="auto"/>
                <w:szCs w:val="21"/>
              </w:rPr>
            </w:pPr>
          </w:p>
        </w:tc>
      </w:tr>
      <w:tr w14:paraId="60997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vMerge w:val="restart"/>
            <w:tcBorders>
              <w:bottom w:val="nil"/>
            </w:tcBorders>
          </w:tcPr>
          <w:p w14:paraId="4D0EB70C">
            <w:pPr>
              <w:spacing w:line="410" w:lineRule="auto"/>
              <w:rPr>
                <w:rFonts w:ascii="Arial"/>
                <w:color w:val="auto"/>
                <w:szCs w:val="21"/>
              </w:rPr>
            </w:pPr>
          </w:p>
          <w:p w14:paraId="1EA792F8">
            <w:pPr>
              <w:pStyle w:val="59"/>
              <w:spacing w:before="62" w:line="230" w:lineRule="auto"/>
              <w:ind w:left="454"/>
              <w:rPr>
                <w:color w:val="auto"/>
                <w:sz w:val="21"/>
                <w:szCs w:val="21"/>
              </w:rPr>
            </w:pPr>
            <w:r>
              <w:rPr>
                <w:color w:val="auto"/>
                <w:spacing w:val="7"/>
                <w:sz w:val="21"/>
                <w:szCs w:val="21"/>
              </w:rPr>
              <w:t>联系方式</w:t>
            </w:r>
          </w:p>
        </w:tc>
        <w:tc>
          <w:tcPr>
            <w:tcW w:w="897" w:type="dxa"/>
          </w:tcPr>
          <w:p w14:paraId="03B4DFDE">
            <w:pPr>
              <w:pStyle w:val="59"/>
              <w:spacing w:before="186" w:line="231" w:lineRule="auto"/>
              <w:ind w:left="151"/>
              <w:rPr>
                <w:color w:val="auto"/>
                <w:sz w:val="21"/>
                <w:szCs w:val="21"/>
              </w:rPr>
            </w:pPr>
            <w:r>
              <w:rPr>
                <w:color w:val="auto"/>
                <w:spacing w:val="7"/>
                <w:sz w:val="21"/>
                <w:szCs w:val="21"/>
              </w:rPr>
              <w:t>联系人</w:t>
            </w:r>
          </w:p>
        </w:tc>
        <w:tc>
          <w:tcPr>
            <w:tcW w:w="2490" w:type="dxa"/>
            <w:gridSpan w:val="3"/>
          </w:tcPr>
          <w:p w14:paraId="58430C6F">
            <w:pPr>
              <w:rPr>
                <w:rFonts w:ascii="Arial"/>
                <w:color w:val="auto"/>
                <w:szCs w:val="21"/>
              </w:rPr>
            </w:pPr>
          </w:p>
        </w:tc>
        <w:tc>
          <w:tcPr>
            <w:tcW w:w="1245" w:type="dxa"/>
          </w:tcPr>
          <w:p w14:paraId="3B496502">
            <w:pPr>
              <w:pStyle w:val="59"/>
              <w:spacing w:before="186" w:line="231" w:lineRule="auto"/>
              <w:ind w:left="351"/>
              <w:rPr>
                <w:color w:val="auto"/>
                <w:sz w:val="21"/>
                <w:szCs w:val="21"/>
              </w:rPr>
            </w:pPr>
            <w:r>
              <w:rPr>
                <w:color w:val="auto"/>
                <w:spacing w:val="-11"/>
                <w:sz w:val="21"/>
                <w:szCs w:val="21"/>
              </w:rPr>
              <w:t>电</w:t>
            </w:r>
            <w:r>
              <w:rPr>
                <w:color w:val="auto"/>
                <w:spacing w:val="9"/>
                <w:sz w:val="21"/>
                <w:szCs w:val="21"/>
              </w:rPr>
              <w:t xml:space="preserve">  </w:t>
            </w:r>
            <w:r>
              <w:rPr>
                <w:color w:val="auto"/>
                <w:spacing w:val="-11"/>
                <w:sz w:val="21"/>
                <w:szCs w:val="21"/>
              </w:rPr>
              <w:t>话</w:t>
            </w:r>
          </w:p>
        </w:tc>
        <w:tc>
          <w:tcPr>
            <w:tcW w:w="2673" w:type="dxa"/>
            <w:gridSpan w:val="2"/>
          </w:tcPr>
          <w:p w14:paraId="5791B27E">
            <w:pPr>
              <w:rPr>
                <w:rFonts w:ascii="Arial"/>
                <w:color w:val="auto"/>
                <w:szCs w:val="21"/>
              </w:rPr>
            </w:pPr>
          </w:p>
        </w:tc>
      </w:tr>
      <w:tr w14:paraId="2AAF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vMerge w:val="continue"/>
            <w:tcBorders>
              <w:top w:val="nil"/>
            </w:tcBorders>
          </w:tcPr>
          <w:p w14:paraId="0C354E9F">
            <w:pPr>
              <w:rPr>
                <w:rFonts w:ascii="Arial"/>
                <w:color w:val="auto"/>
                <w:szCs w:val="21"/>
              </w:rPr>
            </w:pPr>
          </w:p>
        </w:tc>
        <w:tc>
          <w:tcPr>
            <w:tcW w:w="897" w:type="dxa"/>
          </w:tcPr>
          <w:p w14:paraId="1BD65AEF">
            <w:pPr>
              <w:pStyle w:val="59"/>
              <w:spacing w:before="185" w:line="228" w:lineRule="auto"/>
              <w:ind w:left="149"/>
              <w:rPr>
                <w:color w:val="auto"/>
                <w:sz w:val="21"/>
                <w:szCs w:val="21"/>
              </w:rPr>
            </w:pPr>
            <w:r>
              <w:rPr>
                <w:color w:val="auto"/>
                <w:spacing w:val="1"/>
                <w:sz w:val="21"/>
                <w:szCs w:val="21"/>
              </w:rPr>
              <w:t>传</w:t>
            </w:r>
            <w:r>
              <w:rPr>
                <w:color w:val="auto"/>
                <w:spacing w:val="10"/>
                <w:sz w:val="21"/>
                <w:szCs w:val="21"/>
              </w:rPr>
              <w:t xml:space="preserve">  </w:t>
            </w:r>
            <w:r>
              <w:rPr>
                <w:color w:val="auto"/>
                <w:spacing w:val="1"/>
                <w:sz w:val="21"/>
                <w:szCs w:val="21"/>
              </w:rPr>
              <w:t>真</w:t>
            </w:r>
          </w:p>
        </w:tc>
        <w:tc>
          <w:tcPr>
            <w:tcW w:w="2490" w:type="dxa"/>
            <w:gridSpan w:val="3"/>
          </w:tcPr>
          <w:p w14:paraId="26C597DE">
            <w:pPr>
              <w:rPr>
                <w:rFonts w:ascii="Arial"/>
                <w:color w:val="auto"/>
                <w:szCs w:val="21"/>
              </w:rPr>
            </w:pPr>
          </w:p>
        </w:tc>
        <w:tc>
          <w:tcPr>
            <w:tcW w:w="1245" w:type="dxa"/>
          </w:tcPr>
          <w:p w14:paraId="3A6EE9EF">
            <w:pPr>
              <w:pStyle w:val="59"/>
              <w:spacing w:before="185" w:line="234" w:lineRule="auto"/>
              <w:ind w:left="343"/>
              <w:rPr>
                <w:color w:val="auto"/>
                <w:sz w:val="21"/>
                <w:szCs w:val="21"/>
              </w:rPr>
            </w:pPr>
            <w:r>
              <w:rPr>
                <w:color w:val="auto"/>
                <w:spacing w:val="-7"/>
                <w:sz w:val="21"/>
                <w:szCs w:val="21"/>
              </w:rPr>
              <w:t>网</w:t>
            </w:r>
            <w:r>
              <w:rPr>
                <w:color w:val="auto"/>
                <w:spacing w:val="10"/>
                <w:sz w:val="21"/>
                <w:szCs w:val="21"/>
              </w:rPr>
              <w:t xml:space="preserve">  </w:t>
            </w:r>
            <w:r>
              <w:rPr>
                <w:color w:val="auto"/>
                <w:spacing w:val="-7"/>
                <w:sz w:val="21"/>
                <w:szCs w:val="21"/>
              </w:rPr>
              <w:t>址</w:t>
            </w:r>
          </w:p>
        </w:tc>
        <w:tc>
          <w:tcPr>
            <w:tcW w:w="2673" w:type="dxa"/>
            <w:gridSpan w:val="2"/>
          </w:tcPr>
          <w:p w14:paraId="0E06107D">
            <w:pPr>
              <w:rPr>
                <w:rFonts w:ascii="Arial"/>
                <w:color w:val="auto"/>
                <w:szCs w:val="21"/>
              </w:rPr>
            </w:pPr>
          </w:p>
        </w:tc>
      </w:tr>
      <w:tr w14:paraId="4E5FA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tcPr>
          <w:p w14:paraId="39D2A7EE">
            <w:pPr>
              <w:pStyle w:val="59"/>
              <w:spacing w:before="186" w:line="230" w:lineRule="auto"/>
              <w:ind w:left="455"/>
              <w:rPr>
                <w:color w:val="auto"/>
                <w:sz w:val="21"/>
                <w:szCs w:val="21"/>
              </w:rPr>
            </w:pPr>
            <w:r>
              <w:rPr>
                <w:color w:val="auto"/>
                <w:spacing w:val="7"/>
                <w:sz w:val="21"/>
                <w:szCs w:val="21"/>
              </w:rPr>
              <w:t>组织结构</w:t>
            </w:r>
          </w:p>
        </w:tc>
        <w:tc>
          <w:tcPr>
            <w:tcW w:w="7305" w:type="dxa"/>
            <w:gridSpan w:val="7"/>
          </w:tcPr>
          <w:p w14:paraId="152D4FEE">
            <w:pPr>
              <w:rPr>
                <w:rFonts w:ascii="Arial"/>
                <w:color w:val="auto"/>
                <w:szCs w:val="21"/>
              </w:rPr>
            </w:pPr>
          </w:p>
        </w:tc>
      </w:tr>
      <w:tr w14:paraId="5BBC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99" w:type="dxa"/>
          </w:tcPr>
          <w:p w14:paraId="12DB17A6">
            <w:pPr>
              <w:pStyle w:val="59"/>
              <w:spacing w:before="185" w:line="229" w:lineRule="auto"/>
              <w:ind w:left="355"/>
              <w:rPr>
                <w:color w:val="auto"/>
                <w:sz w:val="21"/>
                <w:szCs w:val="21"/>
              </w:rPr>
            </w:pPr>
            <w:r>
              <w:rPr>
                <w:color w:val="auto"/>
                <w:spacing w:val="7"/>
                <w:sz w:val="21"/>
                <w:szCs w:val="21"/>
              </w:rPr>
              <w:t>法定代表人</w:t>
            </w:r>
          </w:p>
        </w:tc>
        <w:tc>
          <w:tcPr>
            <w:tcW w:w="897" w:type="dxa"/>
          </w:tcPr>
          <w:p w14:paraId="49439D35">
            <w:pPr>
              <w:pStyle w:val="59"/>
              <w:spacing w:before="185" w:line="229" w:lineRule="auto"/>
              <w:ind w:left="251"/>
              <w:rPr>
                <w:color w:val="auto"/>
                <w:sz w:val="21"/>
                <w:szCs w:val="21"/>
              </w:rPr>
            </w:pPr>
            <w:r>
              <w:rPr>
                <w:color w:val="auto"/>
                <w:spacing w:val="5"/>
                <w:sz w:val="21"/>
                <w:szCs w:val="21"/>
              </w:rPr>
              <w:t>姓名</w:t>
            </w:r>
          </w:p>
        </w:tc>
        <w:tc>
          <w:tcPr>
            <w:tcW w:w="2295" w:type="dxa"/>
            <w:gridSpan w:val="2"/>
          </w:tcPr>
          <w:p w14:paraId="33B42CE0">
            <w:pPr>
              <w:rPr>
                <w:rFonts w:ascii="Arial"/>
                <w:color w:val="auto"/>
                <w:szCs w:val="21"/>
              </w:rPr>
            </w:pPr>
          </w:p>
        </w:tc>
        <w:tc>
          <w:tcPr>
            <w:tcW w:w="1700" w:type="dxa"/>
            <w:gridSpan w:val="3"/>
          </w:tcPr>
          <w:p w14:paraId="71C10DE1">
            <w:pPr>
              <w:pStyle w:val="59"/>
              <w:spacing w:before="185" w:line="231" w:lineRule="auto"/>
              <w:ind w:left="678"/>
              <w:rPr>
                <w:color w:val="auto"/>
                <w:sz w:val="21"/>
                <w:szCs w:val="21"/>
              </w:rPr>
            </w:pPr>
            <w:r>
              <w:rPr>
                <w:color w:val="auto"/>
                <w:spacing w:val="-7"/>
                <w:sz w:val="21"/>
                <w:szCs w:val="21"/>
              </w:rPr>
              <w:t>电话</w:t>
            </w:r>
          </w:p>
        </w:tc>
        <w:tc>
          <w:tcPr>
            <w:tcW w:w="2413" w:type="dxa"/>
          </w:tcPr>
          <w:p w14:paraId="574E352C">
            <w:pPr>
              <w:rPr>
                <w:rFonts w:ascii="Arial"/>
                <w:color w:val="auto"/>
                <w:szCs w:val="21"/>
              </w:rPr>
            </w:pPr>
          </w:p>
        </w:tc>
      </w:tr>
      <w:tr w14:paraId="7AD0E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tcPr>
          <w:p w14:paraId="7ABA6A1C">
            <w:pPr>
              <w:pStyle w:val="59"/>
              <w:spacing w:before="188" w:line="230" w:lineRule="auto"/>
              <w:ind w:left="454"/>
              <w:rPr>
                <w:color w:val="auto"/>
                <w:sz w:val="21"/>
                <w:szCs w:val="21"/>
              </w:rPr>
            </w:pPr>
            <w:r>
              <w:rPr>
                <w:color w:val="auto"/>
                <w:spacing w:val="7"/>
                <w:sz w:val="21"/>
                <w:szCs w:val="21"/>
              </w:rPr>
              <w:t>成立时间</w:t>
            </w:r>
          </w:p>
        </w:tc>
        <w:tc>
          <w:tcPr>
            <w:tcW w:w="1917" w:type="dxa"/>
            <w:gridSpan w:val="2"/>
          </w:tcPr>
          <w:p w14:paraId="3DEA4704">
            <w:pPr>
              <w:rPr>
                <w:rFonts w:ascii="Arial"/>
                <w:color w:val="auto"/>
                <w:szCs w:val="21"/>
              </w:rPr>
            </w:pPr>
          </w:p>
        </w:tc>
        <w:tc>
          <w:tcPr>
            <w:tcW w:w="5388" w:type="dxa"/>
            <w:gridSpan w:val="5"/>
          </w:tcPr>
          <w:p w14:paraId="3B913A30">
            <w:pPr>
              <w:pStyle w:val="59"/>
              <w:spacing w:before="187" w:line="229" w:lineRule="auto"/>
              <w:ind w:left="121"/>
              <w:rPr>
                <w:color w:val="auto"/>
                <w:sz w:val="21"/>
                <w:szCs w:val="21"/>
                <w:lang w:eastAsia="zh-CN"/>
              </w:rPr>
            </w:pPr>
            <w:r>
              <w:rPr>
                <w:color w:val="auto"/>
                <w:spacing w:val="5"/>
                <w:sz w:val="21"/>
                <w:szCs w:val="21"/>
                <w:lang w:eastAsia="zh-CN"/>
              </w:rPr>
              <w:t>员工总人数：</w:t>
            </w:r>
            <w:r>
              <w:rPr>
                <w:color w:val="auto"/>
                <w:spacing w:val="6"/>
                <w:sz w:val="21"/>
                <w:szCs w:val="21"/>
                <w:lang w:eastAsia="zh-CN"/>
              </w:rPr>
              <w:t xml:space="preserve">              </w:t>
            </w:r>
            <w:r>
              <w:rPr>
                <w:color w:val="auto"/>
                <w:spacing w:val="5"/>
                <w:sz w:val="21"/>
                <w:szCs w:val="21"/>
                <w:lang w:eastAsia="zh-CN"/>
              </w:rPr>
              <w:t>技术人员：</w:t>
            </w:r>
          </w:p>
        </w:tc>
      </w:tr>
      <w:tr w14:paraId="0348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tcPr>
          <w:p w14:paraId="4F5C429D">
            <w:pPr>
              <w:pStyle w:val="59"/>
              <w:spacing w:before="186" w:line="229" w:lineRule="auto"/>
              <w:ind w:left="361"/>
              <w:rPr>
                <w:color w:val="auto"/>
                <w:sz w:val="21"/>
                <w:szCs w:val="21"/>
              </w:rPr>
            </w:pPr>
            <w:r>
              <w:rPr>
                <w:color w:val="auto"/>
                <w:spacing w:val="6"/>
                <w:sz w:val="21"/>
                <w:szCs w:val="21"/>
              </w:rPr>
              <w:t>营业执照号</w:t>
            </w:r>
          </w:p>
        </w:tc>
        <w:tc>
          <w:tcPr>
            <w:tcW w:w="7305" w:type="dxa"/>
            <w:gridSpan w:val="7"/>
          </w:tcPr>
          <w:p w14:paraId="60D5ED95">
            <w:pPr>
              <w:rPr>
                <w:rFonts w:ascii="Arial"/>
                <w:color w:val="auto"/>
                <w:szCs w:val="21"/>
              </w:rPr>
            </w:pPr>
          </w:p>
        </w:tc>
      </w:tr>
      <w:tr w14:paraId="342F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tcPr>
          <w:p w14:paraId="150B8909">
            <w:pPr>
              <w:pStyle w:val="59"/>
              <w:spacing w:before="186" w:line="230" w:lineRule="auto"/>
              <w:ind w:left="453"/>
              <w:rPr>
                <w:color w:val="auto"/>
                <w:sz w:val="21"/>
                <w:szCs w:val="21"/>
              </w:rPr>
            </w:pPr>
            <w:r>
              <w:rPr>
                <w:color w:val="auto"/>
                <w:spacing w:val="7"/>
                <w:sz w:val="21"/>
                <w:szCs w:val="21"/>
              </w:rPr>
              <w:t>注册资金</w:t>
            </w:r>
          </w:p>
        </w:tc>
        <w:tc>
          <w:tcPr>
            <w:tcW w:w="7305" w:type="dxa"/>
            <w:gridSpan w:val="7"/>
          </w:tcPr>
          <w:p w14:paraId="20475928">
            <w:pPr>
              <w:rPr>
                <w:rFonts w:ascii="Arial"/>
                <w:color w:val="auto"/>
                <w:szCs w:val="21"/>
              </w:rPr>
            </w:pPr>
          </w:p>
        </w:tc>
      </w:tr>
      <w:tr w14:paraId="3EA62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tcPr>
          <w:p w14:paraId="2F3E60FC">
            <w:pPr>
              <w:pStyle w:val="59"/>
              <w:spacing w:before="186" w:line="230" w:lineRule="auto"/>
              <w:ind w:left="454"/>
              <w:rPr>
                <w:color w:val="auto"/>
                <w:sz w:val="21"/>
                <w:szCs w:val="21"/>
              </w:rPr>
            </w:pPr>
            <w:r>
              <w:rPr>
                <w:color w:val="auto"/>
                <w:spacing w:val="7"/>
                <w:sz w:val="21"/>
                <w:szCs w:val="21"/>
              </w:rPr>
              <w:t>开户银行</w:t>
            </w:r>
          </w:p>
        </w:tc>
        <w:tc>
          <w:tcPr>
            <w:tcW w:w="7305" w:type="dxa"/>
            <w:gridSpan w:val="7"/>
          </w:tcPr>
          <w:p w14:paraId="46DA5744">
            <w:pPr>
              <w:rPr>
                <w:rFonts w:ascii="Arial"/>
                <w:color w:val="auto"/>
                <w:szCs w:val="21"/>
              </w:rPr>
            </w:pPr>
          </w:p>
        </w:tc>
      </w:tr>
      <w:tr w14:paraId="337D3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99" w:type="dxa"/>
          </w:tcPr>
          <w:p w14:paraId="638763A7">
            <w:pPr>
              <w:pStyle w:val="59"/>
              <w:spacing w:before="186" w:line="230" w:lineRule="auto"/>
              <w:ind w:left="658"/>
              <w:rPr>
                <w:color w:val="auto"/>
                <w:sz w:val="21"/>
                <w:szCs w:val="21"/>
              </w:rPr>
            </w:pPr>
            <w:r>
              <w:rPr>
                <w:color w:val="auto"/>
                <w:spacing w:val="3"/>
                <w:sz w:val="21"/>
                <w:szCs w:val="21"/>
              </w:rPr>
              <w:t>账号</w:t>
            </w:r>
          </w:p>
        </w:tc>
        <w:tc>
          <w:tcPr>
            <w:tcW w:w="7305" w:type="dxa"/>
            <w:gridSpan w:val="7"/>
          </w:tcPr>
          <w:p w14:paraId="3FB1D43A">
            <w:pPr>
              <w:rPr>
                <w:rFonts w:ascii="Arial"/>
                <w:color w:val="auto"/>
                <w:szCs w:val="21"/>
              </w:rPr>
            </w:pPr>
          </w:p>
        </w:tc>
      </w:tr>
      <w:tr w14:paraId="76E8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699" w:type="dxa"/>
          </w:tcPr>
          <w:p w14:paraId="37581ED2">
            <w:pPr>
              <w:spacing w:line="277" w:lineRule="auto"/>
              <w:rPr>
                <w:rFonts w:ascii="Arial"/>
                <w:color w:val="auto"/>
                <w:szCs w:val="21"/>
              </w:rPr>
            </w:pPr>
          </w:p>
          <w:p w14:paraId="63BA91C0">
            <w:pPr>
              <w:spacing w:line="277" w:lineRule="auto"/>
              <w:rPr>
                <w:rFonts w:ascii="Arial"/>
                <w:color w:val="auto"/>
                <w:szCs w:val="21"/>
              </w:rPr>
            </w:pPr>
          </w:p>
          <w:p w14:paraId="5879150D">
            <w:pPr>
              <w:spacing w:line="278" w:lineRule="auto"/>
              <w:rPr>
                <w:rFonts w:ascii="Arial"/>
                <w:color w:val="auto"/>
                <w:szCs w:val="21"/>
              </w:rPr>
            </w:pPr>
          </w:p>
          <w:p w14:paraId="0D2CBE76">
            <w:pPr>
              <w:spacing w:line="278" w:lineRule="auto"/>
              <w:rPr>
                <w:rFonts w:ascii="Arial"/>
                <w:color w:val="auto"/>
                <w:szCs w:val="21"/>
              </w:rPr>
            </w:pPr>
          </w:p>
          <w:p w14:paraId="6073946B">
            <w:pPr>
              <w:pStyle w:val="59"/>
              <w:spacing w:before="61" w:line="230" w:lineRule="auto"/>
              <w:ind w:left="454"/>
              <w:rPr>
                <w:color w:val="auto"/>
                <w:sz w:val="21"/>
                <w:szCs w:val="21"/>
              </w:rPr>
            </w:pPr>
            <w:r>
              <w:rPr>
                <w:color w:val="auto"/>
                <w:spacing w:val="7"/>
                <w:sz w:val="21"/>
                <w:szCs w:val="21"/>
              </w:rPr>
              <w:t>经营范围</w:t>
            </w:r>
          </w:p>
        </w:tc>
        <w:tc>
          <w:tcPr>
            <w:tcW w:w="7305" w:type="dxa"/>
            <w:gridSpan w:val="7"/>
          </w:tcPr>
          <w:p w14:paraId="1C067560">
            <w:pPr>
              <w:rPr>
                <w:rFonts w:ascii="Arial"/>
                <w:color w:val="auto"/>
                <w:szCs w:val="21"/>
              </w:rPr>
            </w:pPr>
          </w:p>
        </w:tc>
      </w:tr>
      <w:tr w14:paraId="2723F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99" w:type="dxa"/>
          </w:tcPr>
          <w:p w14:paraId="786AE1AD">
            <w:pPr>
              <w:pStyle w:val="59"/>
              <w:spacing w:before="188" w:line="230" w:lineRule="auto"/>
              <w:ind w:left="657"/>
              <w:rPr>
                <w:color w:val="auto"/>
                <w:sz w:val="19"/>
                <w:szCs w:val="19"/>
              </w:rPr>
            </w:pPr>
            <w:r>
              <w:rPr>
                <w:color w:val="auto"/>
                <w:spacing w:val="4"/>
                <w:sz w:val="19"/>
                <w:szCs w:val="19"/>
              </w:rPr>
              <w:t>备注</w:t>
            </w:r>
          </w:p>
        </w:tc>
        <w:tc>
          <w:tcPr>
            <w:tcW w:w="7305" w:type="dxa"/>
            <w:gridSpan w:val="7"/>
          </w:tcPr>
          <w:p w14:paraId="250C0879">
            <w:pPr>
              <w:rPr>
                <w:rFonts w:ascii="Arial"/>
                <w:color w:val="auto"/>
              </w:rPr>
            </w:pPr>
          </w:p>
        </w:tc>
      </w:tr>
    </w:tbl>
    <w:p w14:paraId="16CE2831">
      <w:pPr>
        <w:spacing w:before="156" w:beforeLines="50" w:after="156" w:afterLines="50" w:line="360" w:lineRule="auto"/>
        <w:rPr>
          <w:rFonts w:ascii="宋体" w:hAnsi="宋体" w:eastAsia="宋体" w:cs="宋体"/>
          <w:b/>
          <w:bCs/>
          <w:color w:val="auto"/>
          <w:kern w:val="0"/>
          <w:szCs w:val="21"/>
        </w:rPr>
      </w:pPr>
      <w:r>
        <w:rPr>
          <w:rFonts w:ascii="宋体" w:hAnsi="宋体" w:eastAsia="宋体" w:cs="宋体"/>
          <w:b/>
          <w:bCs/>
          <w:color w:val="auto"/>
          <w:sz w:val="19"/>
          <w:szCs w:val="19"/>
        </w:rPr>
        <w:t>注：</w:t>
      </w:r>
      <w:r>
        <w:rPr>
          <w:rFonts w:hint="eastAsia" w:ascii="宋体" w:hAnsi="宋体" w:eastAsia="宋体" w:cs="宋体"/>
          <w:b/>
          <w:bCs/>
          <w:color w:val="auto"/>
          <w:sz w:val="19"/>
          <w:szCs w:val="19"/>
        </w:rPr>
        <w:t>附营业执照副本及其他相关证书，所有</w:t>
      </w:r>
      <w:r>
        <w:rPr>
          <w:rFonts w:hint="eastAsia" w:ascii="宋体" w:hAnsi="宋体" w:eastAsia="宋体" w:cs="宋体"/>
          <w:b/>
          <w:bCs/>
          <w:color w:val="auto"/>
          <w:sz w:val="19"/>
          <w:szCs w:val="19"/>
          <w:lang w:val="en-US" w:eastAsia="zh-CN"/>
        </w:rPr>
        <w:t>证书</w:t>
      </w:r>
      <w:r>
        <w:rPr>
          <w:rFonts w:hint="eastAsia" w:ascii="宋体" w:hAnsi="宋体" w:eastAsia="宋体" w:cs="宋体"/>
          <w:b/>
          <w:bCs/>
          <w:color w:val="auto"/>
          <w:sz w:val="19"/>
          <w:szCs w:val="19"/>
        </w:rPr>
        <w:t>必须要清晰</w:t>
      </w:r>
      <w:r>
        <w:rPr>
          <w:rFonts w:hint="eastAsia" w:ascii="宋体" w:hAnsi="宋体" w:eastAsia="宋体" w:cs="宋体"/>
          <w:b/>
          <w:bCs/>
          <w:color w:val="auto"/>
          <w:sz w:val="19"/>
          <w:szCs w:val="19"/>
          <w:lang w:val="en-US" w:eastAsia="zh-CN"/>
        </w:rPr>
        <w:t>可辨</w:t>
      </w:r>
      <w:r>
        <w:rPr>
          <w:rFonts w:hint="eastAsia" w:ascii="宋体" w:hAnsi="宋体" w:eastAsia="宋体" w:cs="宋体"/>
          <w:b/>
          <w:bCs/>
          <w:color w:val="auto"/>
          <w:sz w:val="19"/>
          <w:szCs w:val="19"/>
        </w:rPr>
        <w:t>。</w:t>
      </w:r>
    </w:p>
    <w:p w14:paraId="248E8BB6">
      <w:pPr>
        <w:spacing w:before="156" w:beforeLines="50" w:after="156" w:afterLines="50" w:line="360" w:lineRule="auto"/>
        <w:rPr>
          <w:rFonts w:ascii="宋体" w:hAnsi="宋体" w:eastAsia="宋体" w:cs="宋体"/>
          <w:color w:val="auto"/>
          <w:kern w:val="0"/>
          <w:szCs w:val="21"/>
        </w:rPr>
      </w:pPr>
    </w:p>
    <w:p w14:paraId="10BA7EB6">
      <w:pPr>
        <w:pStyle w:val="4"/>
        <w:spacing w:line="360" w:lineRule="auto"/>
        <w:jc w:val="center"/>
        <w:rPr>
          <w:rFonts w:ascii="宋体" w:hAnsi="宋体" w:eastAsia="宋体" w:cs="宋体"/>
          <w:color w:val="auto"/>
          <w:sz w:val="28"/>
          <w:szCs w:val="28"/>
          <w:lang w:val="zh-CN"/>
        </w:rPr>
      </w:pPr>
      <w:r>
        <w:rPr>
          <w:rFonts w:hint="eastAsia" w:ascii="宋体" w:hAnsi="宋体" w:eastAsia="宋体" w:cs="宋体"/>
          <w:color w:val="auto"/>
          <w:kern w:val="0"/>
          <w:sz w:val="30"/>
          <w:szCs w:val="30"/>
        </w:rPr>
        <w:br w:type="page"/>
      </w:r>
      <w:bookmarkStart w:id="628" w:name="_Toc16004"/>
      <w:bookmarkStart w:id="629" w:name="_Toc152042599"/>
      <w:bookmarkStart w:id="630" w:name="_Toc471822542"/>
      <w:bookmarkStart w:id="631" w:name="_Toc355"/>
      <w:bookmarkStart w:id="632" w:name="_Toc429345249"/>
      <w:bookmarkStart w:id="633" w:name="_Toc449519153"/>
      <w:bookmarkStart w:id="634" w:name="_Toc411773182"/>
      <w:bookmarkStart w:id="635" w:name="_Toc449518940"/>
      <w:bookmarkStart w:id="636" w:name="_Toc144974878"/>
      <w:bookmarkStart w:id="637" w:name="_Toc152045810"/>
      <w:bookmarkStart w:id="638" w:name="_Toc8565"/>
      <w:bookmarkStart w:id="639" w:name="_Toc247527850"/>
      <w:bookmarkStart w:id="640" w:name="_Toc247514302"/>
      <w:bookmarkStart w:id="641" w:name="_Toc7791"/>
      <w:bookmarkStart w:id="642" w:name="_Toc27475"/>
      <w:bookmarkStart w:id="643" w:name="_Toc30747"/>
      <w:bookmarkStart w:id="644" w:name="_Toc364364602"/>
      <w:bookmarkStart w:id="645" w:name="_Toc471822599"/>
      <w:bookmarkStart w:id="646" w:name="_Toc74855217"/>
      <w:bookmarkStart w:id="647" w:name="_Toc265953296"/>
      <w:bookmarkStart w:id="648" w:name="_Toc347385787"/>
      <w:bookmarkStart w:id="649" w:name="_Toc354066015"/>
      <w:r>
        <w:rPr>
          <w:rFonts w:hint="eastAsia" w:ascii="宋体" w:hAnsi="宋体" w:eastAsia="宋体" w:cs="宋体"/>
          <w:color w:val="auto"/>
          <w:sz w:val="28"/>
          <w:szCs w:val="28"/>
          <w:lang w:val="zh-CN"/>
        </w:rPr>
        <w:t>(二)近年财务状况表</w:t>
      </w:r>
    </w:p>
    <w:p w14:paraId="439F2552">
      <w:pPr>
        <w:rPr>
          <w:rFonts w:ascii="宋体" w:hAnsi="宋体" w:eastAsia="宋体" w:cs="宋体"/>
          <w:color w:val="auto"/>
          <w:kern w:val="0"/>
          <w:sz w:val="30"/>
          <w:szCs w:val="30"/>
        </w:rPr>
      </w:pPr>
      <w:r>
        <w:rPr>
          <w:rFonts w:hint="eastAsia" w:ascii="宋体" w:hAnsi="宋体" w:eastAsia="宋体" w:cs="宋体"/>
          <w:color w:val="auto"/>
          <w:kern w:val="0"/>
          <w:sz w:val="30"/>
          <w:szCs w:val="30"/>
        </w:rPr>
        <w:br w:type="page"/>
      </w:r>
    </w:p>
    <w:p w14:paraId="0BA47D2E">
      <w:pPr>
        <w:pStyle w:val="4"/>
        <w:spacing w:line="360" w:lineRule="auto"/>
        <w:jc w:val="center"/>
        <w:rPr>
          <w:color w:val="auto"/>
        </w:rPr>
      </w:pPr>
      <w:r>
        <w:rPr>
          <w:rFonts w:hint="eastAsia" w:ascii="宋体" w:hAnsi="宋体" w:eastAsia="宋体" w:cs="宋体"/>
          <w:color w:val="auto"/>
          <w:sz w:val="28"/>
          <w:szCs w:val="28"/>
        </w:rPr>
        <w:t>（三）</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Pr>
          <w:rFonts w:hint="eastAsia" w:ascii="宋体" w:hAnsi="宋体" w:eastAsia="宋体" w:cs="宋体"/>
          <w:color w:val="auto"/>
          <w:sz w:val="28"/>
          <w:szCs w:val="28"/>
        </w:rPr>
        <w:t>近年类似项目情况表</w:t>
      </w:r>
    </w:p>
    <w:tbl>
      <w:tblPr>
        <w:tblStyle w:val="56"/>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1"/>
        <w:gridCol w:w="6671"/>
      </w:tblGrid>
      <w:tr w14:paraId="170D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421" w:type="dxa"/>
          </w:tcPr>
          <w:p w14:paraId="24A5C32C">
            <w:pPr>
              <w:pStyle w:val="59"/>
              <w:spacing w:before="257" w:line="229" w:lineRule="auto"/>
              <w:ind w:left="799"/>
              <w:rPr>
                <w:color w:val="auto"/>
                <w:sz w:val="21"/>
                <w:szCs w:val="21"/>
              </w:rPr>
            </w:pPr>
            <w:r>
              <w:rPr>
                <w:color w:val="auto"/>
                <w:spacing w:val="6"/>
                <w:sz w:val="21"/>
                <w:szCs w:val="21"/>
              </w:rPr>
              <w:t>项目名称</w:t>
            </w:r>
          </w:p>
        </w:tc>
        <w:tc>
          <w:tcPr>
            <w:tcW w:w="6671" w:type="dxa"/>
          </w:tcPr>
          <w:p w14:paraId="6D581A6A">
            <w:pPr>
              <w:rPr>
                <w:rFonts w:ascii="Arial"/>
                <w:color w:val="auto"/>
                <w:szCs w:val="21"/>
              </w:rPr>
            </w:pPr>
          </w:p>
        </w:tc>
      </w:tr>
      <w:tr w14:paraId="11DEA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421" w:type="dxa"/>
          </w:tcPr>
          <w:p w14:paraId="7A6FD1CC">
            <w:pPr>
              <w:pStyle w:val="59"/>
              <w:spacing w:before="253" w:line="229" w:lineRule="auto"/>
              <w:ind w:left="696"/>
              <w:rPr>
                <w:color w:val="auto"/>
                <w:sz w:val="21"/>
                <w:szCs w:val="21"/>
              </w:rPr>
            </w:pPr>
            <w:r>
              <w:rPr>
                <w:color w:val="auto"/>
                <w:spacing w:val="7"/>
                <w:sz w:val="21"/>
                <w:szCs w:val="21"/>
              </w:rPr>
              <w:t>项目所在地</w:t>
            </w:r>
          </w:p>
        </w:tc>
        <w:tc>
          <w:tcPr>
            <w:tcW w:w="6671" w:type="dxa"/>
          </w:tcPr>
          <w:p w14:paraId="6874D13F">
            <w:pPr>
              <w:rPr>
                <w:rFonts w:ascii="Arial"/>
                <w:color w:val="auto"/>
                <w:szCs w:val="21"/>
              </w:rPr>
            </w:pPr>
          </w:p>
        </w:tc>
      </w:tr>
      <w:tr w14:paraId="4AAB0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421" w:type="dxa"/>
          </w:tcPr>
          <w:p w14:paraId="11197A7D">
            <w:pPr>
              <w:pStyle w:val="59"/>
              <w:spacing w:before="252" w:line="229" w:lineRule="auto"/>
              <w:ind w:left="696"/>
              <w:rPr>
                <w:color w:val="auto"/>
                <w:sz w:val="21"/>
                <w:szCs w:val="21"/>
              </w:rPr>
            </w:pPr>
            <w:r>
              <w:rPr>
                <w:color w:val="auto"/>
                <w:spacing w:val="7"/>
                <w:sz w:val="21"/>
                <w:szCs w:val="21"/>
              </w:rPr>
              <w:t>发包人名称</w:t>
            </w:r>
          </w:p>
        </w:tc>
        <w:tc>
          <w:tcPr>
            <w:tcW w:w="6671" w:type="dxa"/>
          </w:tcPr>
          <w:p w14:paraId="552C0B63">
            <w:pPr>
              <w:rPr>
                <w:rFonts w:ascii="Arial"/>
                <w:color w:val="auto"/>
                <w:szCs w:val="21"/>
              </w:rPr>
            </w:pPr>
          </w:p>
        </w:tc>
      </w:tr>
      <w:tr w14:paraId="2F44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21" w:type="dxa"/>
          </w:tcPr>
          <w:p w14:paraId="2542719D">
            <w:pPr>
              <w:pStyle w:val="59"/>
              <w:spacing w:before="253" w:line="229" w:lineRule="auto"/>
              <w:ind w:left="696"/>
              <w:rPr>
                <w:color w:val="auto"/>
                <w:sz w:val="21"/>
                <w:szCs w:val="21"/>
              </w:rPr>
            </w:pPr>
            <w:r>
              <w:rPr>
                <w:color w:val="auto"/>
                <w:spacing w:val="7"/>
                <w:sz w:val="21"/>
                <w:szCs w:val="21"/>
              </w:rPr>
              <w:t>发包人地址</w:t>
            </w:r>
          </w:p>
        </w:tc>
        <w:tc>
          <w:tcPr>
            <w:tcW w:w="6671" w:type="dxa"/>
          </w:tcPr>
          <w:p w14:paraId="74F5E6EF">
            <w:pPr>
              <w:rPr>
                <w:rFonts w:ascii="Arial"/>
                <w:color w:val="auto"/>
                <w:szCs w:val="21"/>
              </w:rPr>
            </w:pPr>
          </w:p>
        </w:tc>
      </w:tr>
      <w:tr w14:paraId="6EEC5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421" w:type="dxa"/>
          </w:tcPr>
          <w:p w14:paraId="43814CD8">
            <w:pPr>
              <w:pStyle w:val="59"/>
              <w:spacing w:before="252" w:line="229" w:lineRule="auto"/>
              <w:ind w:left="696"/>
              <w:rPr>
                <w:color w:val="auto"/>
                <w:sz w:val="21"/>
                <w:szCs w:val="21"/>
              </w:rPr>
            </w:pPr>
            <w:r>
              <w:rPr>
                <w:color w:val="auto"/>
                <w:spacing w:val="7"/>
                <w:sz w:val="21"/>
                <w:szCs w:val="21"/>
              </w:rPr>
              <w:t>发包人电话</w:t>
            </w:r>
          </w:p>
        </w:tc>
        <w:tc>
          <w:tcPr>
            <w:tcW w:w="6671" w:type="dxa"/>
          </w:tcPr>
          <w:p w14:paraId="461D3068">
            <w:pPr>
              <w:rPr>
                <w:rFonts w:ascii="Arial"/>
                <w:color w:val="auto"/>
                <w:szCs w:val="21"/>
              </w:rPr>
            </w:pPr>
          </w:p>
        </w:tc>
      </w:tr>
      <w:tr w14:paraId="18711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421" w:type="dxa"/>
          </w:tcPr>
          <w:p w14:paraId="799AB4F4">
            <w:pPr>
              <w:pStyle w:val="59"/>
              <w:spacing w:before="252" w:line="227" w:lineRule="auto"/>
              <w:ind w:left="796"/>
              <w:rPr>
                <w:color w:val="auto"/>
                <w:sz w:val="21"/>
                <w:szCs w:val="21"/>
              </w:rPr>
            </w:pPr>
            <w:r>
              <w:rPr>
                <w:color w:val="auto"/>
                <w:spacing w:val="7"/>
                <w:sz w:val="21"/>
                <w:szCs w:val="21"/>
              </w:rPr>
              <w:t>合同价格</w:t>
            </w:r>
          </w:p>
        </w:tc>
        <w:tc>
          <w:tcPr>
            <w:tcW w:w="6671" w:type="dxa"/>
          </w:tcPr>
          <w:p w14:paraId="1D2BFE06">
            <w:pPr>
              <w:rPr>
                <w:rFonts w:ascii="Arial"/>
                <w:color w:val="auto"/>
                <w:szCs w:val="21"/>
              </w:rPr>
            </w:pPr>
          </w:p>
        </w:tc>
      </w:tr>
      <w:tr w14:paraId="5C229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421" w:type="dxa"/>
          </w:tcPr>
          <w:p w14:paraId="7E586D32">
            <w:pPr>
              <w:pStyle w:val="59"/>
              <w:spacing w:before="253" w:line="229" w:lineRule="auto"/>
              <w:ind w:left="587"/>
              <w:rPr>
                <w:color w:val="auto"/>
                <w:sz w:val="21"/>
                <w:szCs w:val="21"/>
              </w:rPr>
            </w:pPr>
            <w:r>
              <w:rPr>
                <w:color w:val="auto"/>
                <w:spacing w:val="8"/>
                <w:sz w:val="21"/>
                <w:szCs w:val="21"/>
              </w:rPr>
              <w:t>合同履行期限</w:t>
            </w:r>
          </w:p>
        </w:tc>
        <w:tc>
          <w:tcPr>
            <w:tcW w:w="6671" w:type="dxa"/>
          </w:tcPr>
          <w:p w14:paraId="3BFF3898">
            <w:pPr>
              <w:rPr>
                <w:rFonts w:ascii="Arial"/>
                <w:color w:val="auto"/>
                <w:szCs w:val="21"/>
              </w:rPr>
            </w:pPr>
          </w:p>
        </w:tc>
      </w:tr>
      <w:tr w14:paraId="1D86C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421" w:type="dxa"/>
          </w:tcPr>
          <w:p w14:paraId="1B59D715">
            <w:pPr>
              <w:pStyle w:val="59"/>
              <w:spacing w:before="253" w:line="228" w:lineRule="auto"/>
              <w:ind w:left="798"/>
              <w:rPr>
                <w:color w:val="auto"/>
                <w:sz w:val="21"/>
                <w:szCs w:val="21"/>
              </w:rPr>
            </w:pPr>
            <w:r>
              <w:rPr>
                <w:color w:val="auto"/>
                <w:spacing w:val="6"/>
                <w:sz w:val="21"/>
                <w:szCs w:val="21"/>
              </w:rPr>
              <w:t>工作内容</w:t>
            </w:r>
          </w:p>
        </w:tc>
        <w:tc>
          <w:tcPr>
            <w:tcW w:w="6671" w:type="dxa"/>
          </w:tcPr>
          <w:p w14:paraId="1EA7D149">
            <w:pPr>
              <w:rPr>
                <w:rFonts w:ascii="Arial"/>
                <w:color w:val="auto"/>
                <w:szCs w:val="21"/>
              </w:rPr>
            </w:pPr>
          </w:p>
        </w:tc>
      </w:tr>
      <w:tr w14:paraId="66E1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421" w:type="dxa"/>
          </w:tcPr>
          <w:p w14:paraId="1F165C93">
            <w:pPr>
              <w:spacing w:line="275" w:lineRule="auto"/>
              <w:rPr>
                <w:rFonts w:ascii="Arial"/>
                <w:color w:val="auto"/>
                <w:szCs w:val="21"/>
              </w:rPr>
            </w:pPr>
          </w:p>
          <w:p w14:paraId="2CBE6DB4">
            <w:pPr>
              <w:spacing w:line="275" w:lineRule="auto"/>
              <w:rPr>
                <w:rFonts w:ascii="Arial"/>
                <w:color w:val="auto"/>
                <w:szCs w:val="21"/>
              </w:rPr>
            </w:pPr>
          </w:p>
          <w:p w14:paraId="473A0C6B">
            <w:pPr>
              <w:spacing w:line="275" w:lineRule="auto"/>
              <w:rPr>
                <w:rFonts w:ascii="Arial"/>
                <w:color w:val="auto"/>
                <w:szCs w:val="21"/>
              </w:rPr>
            </w:pPr>
          </w:p>
          <w:p w14:paraId="7B584D0F">
            <w:pPr>
              <w:spacing w:line="275" w:lineRule="auto"/>
              <w:rPr>
                <w:rFonts w:ascii="Arial"/>
                <w:color w:val="auto"/>
                <w:szCs w:val="21"/>
              </w:rPr>
            </w:pPr>
          </w:p>
          <w:p w14:paraId="2F5B1AAC">
            <w:pPr>
              <w:spacing w:line="275" w:lineRule="auto"/>
              <w:rPr>
                <w:rFonts w:ascii="Arial"/>
                <w:color w:val="auto"/>
                <w:szCs w:val="21"/>
              </w:rPr>
            </w:pPr>
          </w:p>
          <w:p w14:paraId="444D5CA5">
            <w:pPr>
              <w:pStyle w:val="59"/>
              <w:spacing w:before="65" w:line="229" w:lineRule="auto"/>
              <w:ind w:left="799"/>
              <w:rPr>
                <w:color w:val="auto"/>
                <w:sz w:val="21"/>
                <w:szCs w:val="21"/>
              </w:rPr>
            </w:pPr>
            <w:r>
              <w:rPr>
                <w:color w:val="auto"/>
                <w:spacing w:val="6"/>
                <w:sz w:val="21"/>
                <w:szCs w:val="21"/>
              </w:rPr>
              <w:t>项目描述</w:t>
            </w:r>
          </w:p>
        </w:tc>
        <w:tc>
          <w:tcPr>
            <w:tcW w:w="6671" w:type="dxa"/>
          </w:tcPr>
          <w:p w14:paraId="69572122">
            <w:pPr>
              <w:rPr>
                <w:rFonts w:ascii="Arial"/>
                <w:color w:val="auto"/>
                <w:szCs w:val="21"/>
              </w:rPr>
            </w:pPr>
          </w:p>
        </w:tc>
      </w:tr>
      <w:tr w14:paraId="4B7D9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421" w:type="dxa"/>
          </w:tcPr>
          <w:p w14:paraId="4FCA2699">
            <w:pPr>
              <w:pStyle w:val="59"/>
              <w:spacing w:before="257" w:line="230" w:lineRule="auto"/>
              <w:ind w:left="1009"/>
              <w:rPr>
                <w:color w:val="auto"/>
                <w:sz w:val="21"/>
                <w:szCs w:val="21"/>
              </w:rPr>
            </w:pPr>
            <w:r>
              <w:rPr>
                <w:color w:val="auto"/>
                <w:spacing w:val="3"/>
                <w:sz w:val="21"/>
                <w:szCs w:val="21"/>
              </w:rPr>
              <w:t>备注</w:t>
            </w:r>
          </w:p>
        </w:tc>
        <w:tc>
          <w:tcPr>
            <w:tcW w:w="6671" w:type="dxa"/>
          </w:tcPr>
          <w:p w14:paraId="0CD6BA2E">
            <w:pPr>
              <w:rPr>
                <w:rFonts w:ascii="Arial"/>
                <w:color w:val="auto"/>
                <w:szCs w:val="21"/>
              </w:rPr>
            </w:pPr>
          </w:p>
        </w:tc>
      </w:tr>
    </w:tbl>
    <w:p w14:paraId="0587DF0C">
      <w:pPr>
        <w:spacing w:before="156" w:beforeLines="50" w:after="156" w:afterLines="50" w:line="360" w:lineRule="auto"/>
        <w:ind w:firstLine="435"/>
        <w:rPr>
          <w:rFonts w:ascii="宋体" w:hAnsi="宋体" w:eastAsia="宋体" w:cs="宋体"/>
          <w:color w:val="auto"/>
          <w:kern w:val="0"/>
          <w:sz w:val="36"/>
          <w:szCs w:val="36"/>
        </w:rPr>
      </w:pPr>
      <w:r>
        <w:rPr>
          <w:rFonts w:ascii="宋体" w:hAnsi="宋体" w:eastAsia="宋体" w:cs="宋体"/>
          <w:color w:val="auto"/>
          <w:spacing w:val="1"/>
          <w:szCs w:val="21"/>
        </w:rPr>
        <w:t>注：</w:t>
      </w:r>
      <w:r>
        <w:rPr>
          <w:rFonts w:hint="eastAsia" w:ascii="宋体" w:hAnsi="宋体" w:eastAsia="宋体" w:cs="宋体"/>
          <w:color w:val="auto"/>
          <w:spacing w:val="1"/>
          <w:szCs w:val="21"/>
        </w:rPr>
        <w:t>供应商应在本表后按照招标文件要求提供相关证明材料，合同可只提供首页、含金额页、盖章页。</w:t>
      </w:r>
    </w:p>
    <w:p w14:paraId="25F2B42F">
      <w:pPr>
        <w:spacing w:before="156" w:beforeLines="50" w:after="156" w:afterLines="50" w:line="360" w:lineRule="auto"/>
        <w:rPr>
          <w:rFonts w:ascii="宋体" w:hAnsi="宋体" w:eastAsia="宋体" w:cs="宋体"/>
          <w:color w:val="auto"/>
          <w:kern w:val="0"/>
          <w:szCs w:val="21"/>
        </w:rPr>
      </w:pPr>
    </w:p>
    <w:p w14:paraId="4E35FF4E">
      <w:pPr>
        <w:rPr>
          <w:rFonts w:ascii="宋体" w:hAnsi="宋体" w:eastAsia="宋体" w:cs="宋体"/>
          <w:color w:val="auto"/>
          <w:kern w:val="0"/>
          <w:sz w:val="28"/>
          <w:szCs w:val="28"/>
        </w:rPr>
      </w:pPr>
      <w:r>
        <w:rPr>
          <w:rFonts w:hint="eastAsia" w:ascii="宋体" w:hAnsi="宋体" w:eastAsia="宋体" w:cs="宋体"/>
          <w:color w:val="auto"/>
          <w:kern w:val="0"/>
          <w:sz w:val="28"/>
          <w:szCs w:val="28"/>
        </w:rPr>
        <w:br w:type="page"/>
      </w:r>
    </w:p>
    <w:p w14:paraId="417F6B1E">
      <w:pPr>
        <w:spacing w:line="360" w:lineRule="auto"/>
        <w:jc w:val="center"/>
        <w:rPr>
          <w:rFonts w:ascii="宋体" w:hAnsi="宋体" w:eastAsia="宋体" w:cs="宋体"/>
          <w:b/>
          <w:bCs/>
          <w:color w:val="auto"/>
          <w:kern w:val="0"/>
          <w:sz w:val="30"/>
          <w:szCs w:val="30"/>
        </w:rPr>
      </w:pPr>
      <w:r>
        <w:rPr>
          <w:rFonts w:hint="eastAsia" w:ascii="宋体" w:hAnsi="宋体" w:eastAsia="宋体" w:cs="宋体"/>
          <w:b/>
          <w:bCs/>
          <w:color w:val="auto"/>
          <w:kern w:val="0"/>
          <w:sz w:val="30"/>
          <w:szCs w:val="30"/>
        </w:rPr>
        <w:t>(四)三年内在经营活动中没有重大违法记录的声明</w:t>
      </w:r>
    </w:p>
    <w:p w14:paraId="21B7A36F">
      <w:pPr>
        <w:widowControl/>
        <w:spacing w:before="156" w:beforeLines="50" w:after="156" w:afterLines="50"/>
        <w:jc w:val="center"/>
        <w:rPr>
          <w:rFonts w:ascii="宋体" w:hAnsi="宋体" w:eastAsia="宋体" w:cs="宋体"/>
          <w:b/>
          <w:color w:val="auto"/>
          <w:sz w:val="24"/>
        </w:rPr>
      </w:pPr>
      <w:r>
        <w:rPr>
          <w:rFonts w:hint="eastAsia" w:ascii="宋体" w:hAnsi="宋体" w:eastAsia="宋体" w:cs="宋体"/>
          <w:b/>
          <w:color w:val="auto"/>
          <w:kern w:val="0"/>
          <w:sz w:val="24"/>
          <w:lang w:bidi="ar"/>
        </w:rPr>
        <w:t xml:space="preserve"> </w:t>
      </w:r>
    </w:p>
    <w:p w14:paraId="417CC51D">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本公司郑重声明，根据《中华人民共和国政府采购法实施条例》的规定，本公司三年内</w:t>
      </w:r>
      <w:r>
        <w:rPr>
          <w:rFonts w:hint="eastAsia" w:cs="宋体" w:asciiTheme="minorEastAsia" w:hAnsiTheme="minorEastAsia"/>
          <w:color w:val="auto"/>
          <w:sz w:val="24"/>
          <w:lang w:eastAsia="zh-CN"/>
        </w:rPr>
        <w:t>（</w:t>
      </w:r>
      <w:r>
        <w:rPr>
          <w:rFonts w:hint="eastAsia" w:cs="宋体" w:asciiTheme="minorEastAsia" w:hAnsiTheme="minorEastAsia"/>
          <w:color w:val="auto"/>
          <w:sz w:val="24"/>
          <w:lang w:val="en-US" w:eastAsia="zh-CN"/>
        </w:rPr>
        <w:t>2023年至今</w:t>
      </w:r>
      <w:r>
        <w:rPr>
          <w:rFonts w:hint="eastAsia" w:cs="宋体" w:asciiTheme="minorEastAsia" w:hAnsiTheme="minorEastAsia"/>
          <w:color w:val="auto"/>
          <w:sz w:val="24"/>
          <w:lang w:eastAsia="zh-CN"/>
        </w:rPr>
        <w:t>）</w:t>
      </w:r>
      <w:r>
        <w:rPr>
          <w:rFonts w:hint="eastAsia" w:cs="宋体" w:asciiTheme="minorEastAsia" w:hAnsiTheme="minorEastAsia"/>
          <w:color w:val="auto"/>
          <w:sz w:val="24"/>
        </w:rPr>
        <w:t>在经营活动中没有重大违法记录， 本声明所称重大违法记录，是指供应商因违法经营受到刑事处罚或者责令停产停业、吊销许可证或者执照、较大数额罚款等行政处罚。</w:t>
      </w:r>
    </w:p>
    <w:p w14:paraId="051E5371">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本公司对上述声明的真实性负责。如有虚假，将依法承担相应责任。</w:t>
      </w:r>
    </w:p>
    <w:p w14:paraId="4F56753A">
      <w:pPr>
        <w:rPr>
          <w:rFonts w:cs="宋体" w:asciiTheme="minorEastAsia" w:hAnsiTheme="minorEastAsia"/>
          <w:b/>
          <w:bCs/>
          <w:color w:val="auto"/>
          <w:sz w:val="24"/>
        </w:rPr>
      </w:pPr>
    </w:p>
    <w:p w14:paraId="24E9CEE0">
      <w:pPr>
        <w:rPr>
          <w:rFonts w:cs="宋体" w:asciiTheme="minorEastAsia" w:hAnsiTheme="minorEastAsia"/>
          <w:b/>
          <w:bCs/>
          <w:color w:val="auto"/>
          <w:sz w:val="24"/>
        </w:rPr>
      </w:pPr>
    </w:p>
    <w:p w14:paraId="521BB67C">
      <w:pPr>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b/>
          <w:bCs/>
          <w:color w:val="auto"/>
          <w:sz w:val="24"/>
        </w:rPr>
      </w:pPr>
    </w:p>
    <w:p w14:paraId="36FE0FF6">
      <w:pPr>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b/>
          <w:bCs/>
          <w:color w:val="auto"/>
          <w:sz w:val="24"/>
        </w:rPr>
      </w:pPr>
    </w:p>
    <w:p w14:paraId="57064E77">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cs="宋体" w:asciiTheme="minorEastAsia" w:hAnsiTheme="minorEastAsia"/>
          <w:color w:val="auto"/>
          <w:sz w:val="24"/>
          <w:u w:val="single"/>
        </w:rPr>
      </w:pPr>
      <w:r>
        <w:rPr>
          <w:rFonts w:hint="eastAsia" w:cs="宋体" w:asciiTheme="minorEastAsia" w:hAnsiTheme="minorEastAsia"/>
          <w:color w:val="auto"/>
          <w:sz w:val="24"/>
        </w:rPr>
        <w:t>投标人名称（加盖公章）：</w:t>
      </w:r>
      <w:r>
        <w:rPr>
          <w:rFonts w:hint="eastAsia" w:cs="宋体" w:asciiTheme="minorEastAsia" w:hAnsiTheme="minorEastAsia"/>
          <w:color w:val="auto"/>
          <w:sz w:val="24"/>
          <w:u w:val="single"/>
        </w:rPr>
        <w:t xml:space="preserve">                            </w:t>
      </w:r>
    </w:p>
    <w:p w14:paraId="0E23C099">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cs="宋体" w:asciiTheme="minorEastAsia" w:hAnsiTheme="minorEastAsia"/>
          <w:color w:val="auto"/>
          <w:sz w:val="24"/>
        </w:rPr>
      </w:pPr>
      <w:r>
        <w:rPr>
          <w:rFonts w:hint="eastAsia" w:cs="宋体" w:asciiTheme="minorEastAsia" w:hAnsiTheme="minorEastAsia"/>
          <w:color w:val="auto"/>
          <w:sz w:val="24"/>
        </w:rPr>
        <w:t>投标人法定代表人</w:t>
      </w:r>
    </w:p>
    <w:p w14:paraId="66A7164A">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cs="宋体" w:asciiTheme="minorEastAsia" w:hAnsiTheme="minorEastAsia"/>
          <w:color w:val="auto"/>
          <w:sz w:val="24"/>
        </w:rPr>
      </w:pPr>
      <w:r>
        <w:rPr>
          <w:rFonts w:hint="eastAsia" w:cs="宋体" w:asciiTheme="minorEastAsia" w:hAnsiTheme="minorEastAsia"/>
          <w:color w:val="auto"/>
          <w:sz w:val="24"/>
        </w:rPr>
        <w:t>或授权代表（签   字）：</w:t>
      </w:r>
      <w:r>
        <w:rPr>
          <w:rFonts w:hint="eastAsia" w:cs="宋体" w:asciiTheme="minorEastAsia" w:hAnsiTheme="minorEastAsia"/>
          <w:color w:val="auto"/>
          <w:sz w:val="24"/>
          <w:u w:val="single"/>
        </w:rPr>
        <w:t xml:space="preserve">                            </w:t>
      </w:r>
    </w:p>
    <w:p w14:paraId="2D49D18C">
      <w:pPr>
        <w:keepNext w:val="0"/>
        <w:keepLines w:val="0"/>
        <w:pageBreakBefore w:val="0"/>
        <w:widowControl w:val="0"/>
        <w:kinsoku/>
        <w:wordWrap/>
        <w:overflowPunct/>
        <w:topLinePunct w:val="0"/>
        <w:autoSpaceDE/>
        <w:autoSpaceDN/>
        <w:bidi w:val="0"/>
        <w:adjustRightInd/>
        <w:snapToGrid/>
        <w:ind w:firstLine="2160" w:firstLineChars="900"/>
        <w:textAlignment w:val="auto"/>
        <w:outlineLvl w:val="9"/>
        <w:rPr>
          <w:rFonts w:cs="宋体" w:asciiTheme="minorEastAsia" w:hAnsiTheme="minorEastAsia"/>
          <w:color w:val="auto"/>
          <w:sz w:val="24"/>
        </w:rPr>
      </w:pPr>
      <w:r>
        <w:rPr>
          <w:rFonts w:hint="eastAsia" w:cs="宋体" w:asciiTheme="minorEastAsia" w:hAnsiTheme="minorEastAsia"/>
          <w:color w:val="auto"/>
          <w:sz w:val="24"/>
        </w:rPr>
        <w:t xml:space="preserve">                 </w:t>
      </w:r>
    </w:p>
    <w:p w14:paraId="4BAA395D">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cs="宋体" w:asciiTheme="minorEastAsia" w:hAnsiTheme="minorEastAsia"/>
          <w:color w:val="auto"/>
          <w:sz w:val="24"/>
        </w:rPr>
      </w:pPr>
      <w:r>
        <w:rPr>
          <w:rFonts w:hint="eastAsia" w:cs="宋体" w:asciiTheme="minorEastAsia" w:hAnsiTheme="minorEastAsia"/>
          <w:color w:val="auto"/>
          <w:sz w:val="24"/>
        </w:rPr>
        <w:t>日期：</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年</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月</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日</w:t>
      </w:r>
    </w:p>
    <w:p w14:paraId="6034BBCC">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eastAsia="宋体" w:cs="宋体"/>
          <w:b/>
          <w:bCs/>
          <w:color w:val="auto"/>
          <w:kern w:val="0"/>
          <w:sz w:val="30"/>
          <w:szCs w:val="30"/>
        </w:rPr>
      </w:pPr>
      <w:r>
        <w:rPr>
          <w:rFonts w:hint="eastAsia" w:ascii="宋体" w:hAnsi="宋体" w:eastAsia="宋体" w:cs="宋体"/>
          <w:b/>
          <w:bCs/>
          <w:color w:val="auto"/>
          <w:kern w:val="0"/>
          <w:sz w:val="30"/>
          <w:szCs w:val="30"/>
        </w:rPr>
        <w:br w:type="page"/>
      </w:r>
    </w:p>
    <w:p w14:paraId="4C54FB8B">
      <w:pPr>
        <w:spacing w:line="360" w:lineRule="auto"/>
        <w:jc w:val="center"/>
        <w:rPr>
          <w:rFonts w:ascii="宋体" w:hAnsi="宋体" w:eastAsia="宋体" w:cs="宋体"/>
          <w:color w:val="auto"/>
          <w:kern w:val="0"/>
          <w:sz w:val="30"/>
          <w:szCs w:val="30"/>
        </w:rPr>
      </w:pPr>
      <w:r>
        <w:rPr>
          <w:rFonts w:hint="eastAsia" w:ascii="宋体" w:hAnsi="宋体" w:eastAsia="宋体" w:cs="宋体"/>
          <w:b/>
          <w:bCs/>
          <w:color w:val="auto"/>
          <w:kern w:val="0"/>
          <w:sz w:val="30"/>
          <w:szCs w:val="30"/>
        </w:rPr>
        <w:t>(</w:t>
      </w:r>
      <w:r>
        <w:rPr>
          <w:rFonts w:hint="eastAsia" w:ascii="宋体" w:hAnsi="宋体" w:eastAsia="宋体" w:cs="宋体"/>
          <w:b/>
          <w:bCs/>
          <w:color w:val="auto"/>
          <w:kern w:val="0"/>
          <w:sz w:val="30"/>
          <w:szCs w:val="30"/>
          <w:lang w:val="en-US" w:eastAsia="zh-CN"/>
        </w:rPr>
        <w:t>五</w:t>
      </w:r>
      <w:r>
        <w:rPr>
          <w:rFonts w:hint="eastAsia" w:ascii="宋体" w:hAnsi="宋体" w:eastAsia="宋体" w:cs="宋体"/>
          <w:b/>
          <w:bCs/>
          <w:color w:val="auto"/>
          <w:kern w:val="0"/>
          <w:sz w:val="30"/>
          <w:szCs w:val="30"/>
        </w:rPr>
        <w:t>)项目管理机构成员配备一览表</w:t>
      </w:r>
    </w:p>
    <w:p w14:paraId="2B73E665">
      <w:pPr>
        <w:spacing w:line="360" w:lineRule="auto"/>
        <w:rPr>
          <w:rFonts w:ascii="宋体" w:hAnsi="宋体" w:eastAsia="宋体" w:cs="宋体"/>
          <w:color w:val="auto"/>
          <w:sz w:val="22"/>
          <w:szCs w:val="22"/>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0739B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57FE91A9">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序号</w:t>
            </w:r>
          </w:p>
        </w:tc>
        <w:tc>
          <w:tcPr>
            <w:tcW w:w="1051" w:type="dxa"/>
            <w:vAlign w:val="center"/>
          </w:tcPr>
          <w:p w14:paraId="677E1BB2">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姓名</w:t>
            </w:r>
          </w:p>
        </w:tc>
        <w:tc>
          <w:tcPr>
            <w:tcW w:w="669" w:type="dxa"/>
            <w:vAlign w:val="center"/>
          </w:tcPr>
          <w:p w14:paraId="1AACCFC3">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性别</w:t>
            </w:r>
          </w:p>
        </w:tc>
        <w:tc>
          <w:tcPr>
            <w:tcW w:w="855" w:type="dxa"/>
            <w:vAlign w:val="center"/>
          </w:tcPr>
          <w:p w14:paraId="6EB966F5">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年龄</w:t>
            </w:r>
          </w:p>
        </w:tc>
        <w:tc>
          <w:tcPr>
            <w:tcW w:w="705" w:type="dxa"/>
            <w:vAlign w:val="center"/>
          </w:tcPr>
          <w:p w14:paraId="55AA6027">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学历</w:t>
            </w:r>
          </w:p>
        </w:tc>
        <w:tc>
          <w:tcPr>
            <w:tcW w:w="1200" w:type="dxa"/>
            <w:vAlign w:val="center"/>
          </w:tcPr>
          <w:p w14:paraId="38A847DB">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职称/资格</w:t>
            </w:r>
          </w:p>
        </w:tc>
        <w:tc>
          <w:tcPr>
            <w:tcW w:w="784" w:type="dxa"/>
            <w:vAlign w:val="center"/>
          </w:tcPr>
          <w:p w14:paraId="2AAB3D94">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专业</w:t>
            </w:r>
          </w:p>
        </w:tc>
        <w:tc>
          <w:tcPr>
            <w:tcW w:w="870" w:type="dxa"/>
            <w:vAlign w:val="center"/>
          </w:tcPr>
          <w:p w14:paraId="18F9161B">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经验</w:t>
            </w:r>
          </w:p>
          <w:p w14:paraId="1FBB8F8C">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年限</w:t>
            </w:r>
          </w:p>
        </w:tc>
        <w:tc>
          <w:tcPr>
            <w:tcW w:w="1389" w:type="dxa"/>
            <w:vAlign w:val="center"/>
          </w:tcPr>
          <w:p w14:paraId="22F39344">
            <w:pPr>
              <w:jc w:val="center"/>
              <w:rPr>
                <w:rFonts w:cs="宋体" w:asciiTheme="minorEastAsia" w:hAnsiTheme="minorEastAsia"/>
                <w:color w:val="auto"/>
                <w:sz w:val="24"/>
                <w:lang w:val="zh-CN"/>
              </w:rPr>
            </w:pPr>
            <w:r>
              <w:rPr>
                <w:rFonts w:hint="eastAsia" w:cs="宋体" w:asciiTheme="minorEastAsia" w:hAnsiTheme="minorEastAsia"/>
                <w:color w:val="auto"/>
                <w:sz w:val="24"/>
                <w:lang w:val="zh-CN"/>
              </w:rPr>
              <w:t>在本项目中担任职务</w:t>
            </w:r>
          </w:p>
        </w:tc>
      </w:tr>
      <w:tr w14:paraId="7A219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4AD67FF5">
            <w:pPr>
              <w:pStyle w:val="68"/>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p>
        </w:tc>
        <w:tc>
          <w:tcPr>
            <w:tcW w:w="1051" w:type="dxa"/>
            <w:vAlign w:val="center"/>
          </w:tcPr>
          <w:p w14:paraId="778A656F">
            <w:pPr>
              <w:pStyle w:val="68"/>
              <w:rPr>
                <w:rFonts w:cs="宋体" w:asciiTheme="minorEastAsia" w:hAnsiTheme="minorEastAsia" w:eastAsiaTheme="minorEastAsia"/>
                <w:color w:val="auto"/>
                <w:sz w:val="24"/>
                <w:szCs w:val="24"/>
              </w:rPr>
            </w:pPr>
          </w:p>
        </w:tc>
        <w:tc>
          <w:tcPr>
            <w:tcW w:w="669" w:type="dxa"/>
            <w:vAlign w:val="center"/>
          </w:tcPr>
          <w:p w14:paraId="229ACC97">
            <w:pPr>
              <w:pStyle w:val="68"/>
              <w:rPr>
                <w:rFonts w:cs="宋体" w:asciiTheme="minorEastAsia" w:hAnsiTheme="minorEastAsia" w:eastAsiaTheme="minorEastAsia"/>
                <w:color w:val="auto"/>
                <w:sz w:val="24"/>
                <w:szCs w:val="24"/>
              </w:rPr>
            </w:pPr>
          </w:p>
        </w:tc>
        <w:tc>
          <w:tcPr>
            <w:tcW w:w="855" w:type="dxa"/>
            <w:vAlign w:val="center"/>
          </w:tcPr>
          <w:p w14:paraId="148DC8B7">
            <w:pPr>
              <w:pStyle w:val="68"/>
              <w:rPr>
                <w:rFonts w:cs="宋体" w:asciiTheme="minorEastAsia" w:hAnsiTheme="minorEastAsia" w:eastAsiaTheme="minorEastAsia"/>
                <w:color w:val="auto"/>
                <w:sz w:val="24"/>
                <w:szCs w:val="24"/>
              </w:rPr>
            </w:pPr>
          </w:p>
        </w:tc>
        <w:tc>
          <w:tcPr>
            <w:tcW w:w="705" w:type="dxa"/>
            <w:vAlign w:val="center"/>
          </w:tcPr>
          <w:p w14:paraId="4A5B8350">
            <w:pPr>
              <w:pStyle w:val="68"/>
              <w:rPr>
                <w:rFonts w:cs="宋体" w:asciiTheme="minorEastAsia" w:hAnsiTheme="minorEastAsia" w:eastAsiaTheme="minorEastAsia"/>
                <w:color w:val="auto"/>
                <w:sz w:val="24"/>
                <w:szCs w:val="24"/>
              </w:rPr>
            </w:pPr>
          </w:p>
        </w:tc>
        <w:tc>
          <w:tcPr>
            <w:tcW w:w="1200" w:type="dxa"/>
            <w:vAlign w:val="center"/>
          </w:tcPr>
          <w:p w14:paraId="0EB08092">
            <w:pPr>
              <w:pStyle w:val="68"/>
              <w:rPr>
                <w:rFonts w:cs="宋体" w:asciiTheme="minorEastAsia" w:hAnsiTheme="minorEastAsia" w:eastAsiaTheme="minorEastAsia"/>
                <w:color w:val="auto"/>
                <w:sz w:val="24"/>
                <w:szCs w:val="24"/>
              </w:rPr>
            </w:pPr>
          </w:p>
        </w:tc>
        <w:tc>
          <w:tcPr>
            <w:tcW w:w="784" w:type="dxa"/>
            <w:vAlign w:val="center"/>
          </w:tcPr>
          <w:p w14:paraId="4BA28065">
            <w:pPr>
              <w:pStyle w:val="68"/>
              <w:rPr>
                <w:rFonts w:cs="宋体" w:asciiTheme="minorEastAsia" w:hAnsiTheme="minorEastAsia" w:eastAsiaTheme="minorEastAsia"/>
                <w:color w:val="auto"/>
                <w:sz w:val="24"/>
                <w:szCs w:val="24"/>
              </w:rPr>
            </w:pPr>
          </w:p>
        </w:tc>
        <w:tc>
          <w:tcPr>
            <w:tcW w:w="870" w:type="dxa"/>
            <w:vAlign w:val="center"/>
          </w:tcPr>
          <w:p w14:paraId="1A7856A8">
            <w:pPr>
              <w:pStyle w:val="68"/>
              <w:rPr>
                <w:rFonts w:cs="宋体" w:asciiTheme="minorEastAsia" w:hAnsiTheme="minorEastAsia" w:eastAsiaTheme="minorEastAsia"/>
                <w:color w:val="auto"/>
                <w:sz w:val="24"/>
                <w:szCs w:val="24"/>
              </w:rPr>
            </w:pPr>
          </w:p>
        </w:tc>
        <w:tc>
          <w:tcPr>
            <w:tcW w:w="1389" w:type="dxa"/>
            <w:vAlign w:val="center"/>
          </w:tcPr>
          <w:p w14:paraId="2565E7E8">
            <w:pPr>
              <w:pStyle w:val="68"/>
              <w:rPr>
                <w:rFonts w:cs="宋体" w:asciiTheme="minorEastAsia" w:hAnsiTheme="minorEastAsia" w:eastAsiaTheme="minorEastAsia"/>
                <w:color w:val="auto"/>
                <w:sz w:val="24"/>
                <w:szCs w:val="24"/>
              </w:rPr>
            </w:pPr>
          </w:p>
        </w:tc>
      </w:tr>
      <w:tr w14:paraId="05649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2C39AE33">
            <w:pPr>
              <w:pStyle w:val="68"/>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w:t>
            </w:r>
          </w:p>
        </w:tc>
        <w:tc>
          <w:tcPr>
            <w:tcW w:w="1051" w:type="dxa"/>
            <w:vAlign w:val="center"/>
          </w:tcPr>
          <w:p w14:paraId="6B35906C">
            <w:pPr>
              <w:pStyle w:val="68"/>
              <w:rPr>
                <w:rFonts w:cs="宋体" w:asciiTheme="minorEastAsia" w:hAnsiTheme="minorEastAsia" w:eastAsiaTheme="minorEastAsia"/>
                <w:color w:val="auto"/>
                <w:sz w:val="24"/>
                <w:szCs w:val="24"/>
              </w:rPr>
            </w:pPr>
          </w:p>
        </w:tc>
        <w:tc>
          <w:tcPr>
            <w:tcW w:w="669" w:type="dxa"/>
            <w:vAlign w:val="center"/>
          </w:tcPr>
          <w:p w14:paraId="34785C36">
            <w:pPr>
              <w:pStyle w:val="68"/>
              <w:rPr>
                <w:rFonts w:cs="宋体" w:asciiTheme="minorEastAsia" w:hAnsiTheme="minorEastAsia" w:eastAsiaTheme="minorEastAsia"/>
                <w:color w:val="auto"/>
                <w:sz w:val="24"/>
                <w:szCs w:val="24"/>
              </w:rPr>
            </w:pPr>
          </w:p>
        </w:tc>
        <w:tc>
          <w:tcPr>
            <w:tcW w:w="855" w:type="dxa"/>
            <w:vAlign w:val="center"/>
          </w:tcPr>
          <w:p w14:paraId="2775C053">
            <w:pPr>
              <w:pStyle w:val="68"/>
              <w:rPr>
                <w:rFonts w:cs="宋体" w:asciiTheme="minorEastAsia" w:hAnsiTheme="minorEastAsia" w:eastAsiaTheme="minorEastAsia"/>
                <w:color w:val="auto"/>
                <w:sz w:val="24"/>
                <w:szCs w:val="24"/>
              </w:rPr>
            </w:pPr>
          </w:p>
        </w:tc>
        <w:tc>
          <w:tcPr>
            <w:tcW w:w="705" w:type="dxa"/>
            <w:vAlign w:val="center"/>
          </w:tcPr>
          <w:p w14:paraId="79515020">
            <w:pPr>
              <w:pStyle w:val="68"/>
              <w:rPr>
                <w:rFonts w:cs="宋体" w:asciiTheme="minorEastAsia" w:hAnsiTheme="minorEastAsia" w:eastAsiaTheme="minorEastAsia"/>
                <w:color w:val="auto"/>
                <w:sz w:val="24"/>
                <w:szCs w:val="24"/>
              </w:rPr>
            </w:pPr>
          </w:p>
        </w:tc>
        <w:tc>
          <w:tcPr>
            <w:tcW w:w="1200" w:type="dxa"/>
            <w:vAlign w:val="center"/>
          </w:tcPr>
          <w:p w14:paraId="6E2923CE">
            <w:pPr>
              <w:pStyle w:val="68"/>
              <w:rPr>
                <w:rFonts w:cs="宋体" w:asciiTheme="minorEastAsia" w:hAnsiTheme="minorEastAsia" w:eastAsiaTheme="minorEastAsia"/>
                <w:color w:val="auto"/>
                <w:sz w:val="24"/>
                <w:szCs w:val="24"/>
              </w:rPr>
            </w:pPr>
          </w:p>
        </w:tc>
        <w:tc>
          <w:tcPr>
            <w:tcW w:w="784" w:type="dxa"/>
            <w:vAlign w:val="center"/>
          </w:tcPr>
          <w:p w14:paraId="212BE4BE">
            <w:pPr>
              <w:pStyle w:val="68"/>
              <w:rPr>
                <w:rFonts w:cs="宋体" w:asciiTheme="minorEastAsia" w:hAnsiTheme="minorEastAsia" w:eastAsiaTheme="minorEastAsia"/>
                <w:color w:val="auto"/>
                <w:sz w:val="24"/>
                <w:szCs w:val="24"/>
              </w:rPr>
            </w:pPr>
          </w:p>
        </w:tc>
        <w:tc>
          <w:tcPr>
            <w:tcW w:w="870" w:type="dxa"/>
            <w:vAlign w:val="center"/>
          </w:tcPr>
          <w:p w14:paraId="5D9EA27B">
            <w:pPr>
              <w:pStyle w:val="68"/>
              <w:rPr>
                <w:rFonts w:cs="宋体" w:asciiTheme="minorEastAsia" w:hAnsiTheme="minorEastAsia" w:eastAsiaTheme="minorEastAsia"/>
                <w:color w:val="auto"/>
                <w:sz w:val="24"/>
                <w:szCs w:val="24"/>
              </w:rPr>
            </w:pPr>
          </w:p>
        </w:tc>
        <w:tc>
          <w:tcPr>
            <w:tcW w:w="1389" w:type="dxa"/>
            <w:vAlign w:val="center"/>
          </w:tcPr>
          <w:p w14:paraId="2AA289D4">
            <w:pPr>
              <w:pStyle w:val="68"/>
              <w:rPr>
                <w:rFonts w:cs="宋体" w:asciiTheme="minorEastAsia" w:hAnsiTheme="minorEastAsia" w:eastAsiaTheme="minorEastAsia"/>
                <w:color w:val="auto"/>
                <w:sz w:val="24"/>
                <w:szCs w:val="24"/>
              </w:rPr>
            </w:pPr>
          </w:p>
        </w:tc>
      </w:tr>
      <w:tr w14:paraId="5560E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2399E4E4">
            <w:pPr>
              <w:pStyle w:val="68"/>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w:t>
            </w:r>
          </w:p>
        </w:tc>
        <w:tc>
          <w:tcPr>
            <w:tcW w:w="1051" w:type="dxa"/>
            <w:vAlign w:val="center"/>
          </w:tcPr>
          <w:p w14:paraId="40D1C938">
            <w:pPr>
              <w:pStyle w:val="68"/>
              <w:rPr>
                <w:rFonts w:cs="宋体" w:asciiTheme="minorEastAsia" w:hAnsiTheme="minorEastAsia" w:eastAsiaTheme="minorEastAsia"/>
                <w:color w:val="auto"/>
                <w:sz w:val="24"/>
                <w:szCs w:val="24"/>
              </w:rPr>
            </w:pPr>
          </w:p>
        </w:tc>
        <w:tc>
          <w:tcPr>
            <w:tcW w:w="669" w:type="dxa"/>
            <w:vAlign w:val="center"/>
          </w:tcPr>
          <w:p w14:paraId="1244A94A">
            <w:pPr>
              <w:pStyle w:val="68"/>
              <w:rPr>
                <w:rFonts w:cs="宋体" w:asciiTheme="minorEastAsia" w:hAnsiTheme="minorEastAsia" w:eastAsiaTheme="minorEastAsia"/>
                <w:color w:val="auto"/>
                <w:sz w:val="24"/>
                <w:szCs w:val="24"/>
              </w:rPr>
            </w:pPr>
          </w:p>
        </w:tc>
        <w:tc>
          <w:tcPr>
            <w:tcW w:w="855" w:type="dxa"/>
            <w:vAlign w:val="center"/>
          </w:tcPr>
          <w:p w14:paraId="5283946F">
            <w:pPr>
              <w:pStyle w:val="68"/>
              <w:rPr>
                <w:rFonts w:cs="宋体" w:asciiTheme="minorEastAsia" w:hAnsiTheme="minorEastAsia" w:eastAsiaTheme="minorEastAsia"/>
                <w:color w:val="auto"/>
                <w:sz w:val="24"/>
                <w:szCs w:val="24"/>
              </w:rPr>
            </w:pPr>
          </w:p>
        </w:tc>
        <w:tc>
          <w:tcPr>
            <w:tcW w:w="705" w:type="dxa"/>
            <w:vAlign w:val="center"/>
          </w:tcPr>
          <w:p w14:paraId="1FF735DE">
            <w:pPr>
              <w:pStyle w:val="68"/>
              <w:rPr>
                <w:rFonts w:cs="宋体" w:asciiTheme="minorEastAsia" w:hAnsiTheme="minorEastAsia" w:eastAsiaTheme="minorEastAsia"/>
                <w:color w:val="auto"/>
                <w:sz w:val="24"/>
                <w:szCs w:val="24"/>
              </w:rPr>
            </w:pPr>
          </w:p>
        </w:tc>
        <w:tc>
          <w:tcPr>
            <w:tcW w:w="1200" w:type="dxa"/>
            <w:vAlign w:val="center"/>
          </w:tcPr>
          <w:p w14:paraId="0FBAA001">
            <w:pPr>
              <w:pStyle w:val="68"/>
              <w:rPr>
                <w:rFonts w:cs="宋体" w:asciiTheme="minorEastAsia" w:hAnsiTheme="minorEastAsia" w:eastAsiaTheme="minorEastAsia"/>
                <w:color w:val="auto"/>
                <w:sz w:val="24"/>
                <w:szCs w:val="24"/>
              </w:rPr>
            </w:pPr>
          </w:p>
        </w:tc>
        <w:tc>
          <w:tcPr>
            <w:tcW w:w="784" w:type="dxa"/>
            <w:vAlign w:val="center"/>
          </w:tcPr>
          <w:p w14:paraId="01F168A6">
            <w:pPr>
              <w:pStyle w:val="68"/>
              <w:rPr>
                <w:rFonts w:cs="宋体" w:asciiTheme="minorEastAsia" w:hAnsiTheme="minorEastAsia" w:eastAsiaTheme="minorEastAsia"/>
                <w:color w:val="auto"/>
                <w:sz w:val="24"/>
                <w:szCs w:val="24"/>
              </w:rPr>
            </w:pPr>
          </w:p>
        </w:tc>
        <w:tc>
          <w:tcPr>
            <w:tcW w:w="870" w:type="dxa"/>
            <w:vAlign w:val="center"/>
          </w:tcPr>
          <w:p w14:paraId="503C2581">
            <w:pPr>
              <w:pStyle w:val="68"/>
              <w:rPr>
                <w:rFonts w:cs="宋体" w:asciiTheme="minorEastAsia" w:hAnsiTheme="minorEastAsia" w:eastAsiaTheme="minorEastAsia"/>
                <w:color w:val="auto"/>
                <w:sz w:val="24"/>
                <w:szCs w:val="24"/>
              </w:rPr>
            </w:pPr>
          </w:p>
        </w:tc>
        <w:tc>
          <w:tcPr>
            <w:tcW w:w="1389" w:type="dxa"/>
            <w:vAlign w:val="center"/>
          </w:tcPr>
          <w:p w14:paraId="282A44B7">
            <w:pPr>
              <w:pStyle w:val="68"/>
              <w:rPr>
                <w:rFonts w:cs="宋体" w:asciiTheme="minorEastAsia" w:hAnsiTheme="minorEastAsia" w:eastAsiaTheme="minorEastAsia"/>
                <w:color w:val="auto"/>
                <w:sz w:val="24"/>
                <w:szCs w:val="24"/>
              </w:rPr>
            </w:pPr>
          </w:p>
        </w:tc>
      </w:tr>
      <w:tr w14:paraId="1156B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4E8704B">
            <w:pPr>
              <w:pStyle w:val="68"/>
              <w:ind w:firstLine="120" w:firstLineChars="5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w:t>
            </w:r>
          </w:p>
        </w:tc>
        <w:tc>
          <w:tcPr>
            <w:tcW w:w="1051" w:type="dxa"/>
            <w:vAlign w:val="center"/>
          </w:tcPr>
          <w:p w14:paraId="0F851133">
            <w:pPr>
              <w:pStyle w:val="68"/>
              <w:rPr>
                <w:rFonts w:cs="宋体" w:asciiTheme="minorEastAsia" w:hAnsiTheme="minorEastAsia" w:eastAsiaTheme="minorEastAsia"/>
                <w:color w:val="auto"/>
                <w:sz w:val="24"/>
                <w:szCs w:val="24"/>
              </w:rPr>
            </w:pPr>
          </w:p>
        </w:tc>
        <w:tc>
          <w:tcPr>
            <w:tcW w:w="669" w:type="dxa"/>
            <w:vAlign w:val="center"/>
          </w:tcPr>
          <w:p w14:paraId="5FA12AC9">
            <w:pPr>
              <w:pStyle w:val="68"/>
              <w:rPr>
                <w:rFonts w:cs="宋体" w:asciiTheme="minorEastAsia" w:hAnsiTheme="minorEastAsia" w:eastAsiaTheme="minorEastAsia"/>
                <w:color w:val="auto"/>
                <w:sz w:val="24"/>
                <w:szCs w:val="24"/>
              </w:rPr>
            </w:pPr>
          </w:p>
        </w:tc>
        <w:tc>
          <w:tcPr>
            <w:tcW w:w="855" w:type="dxa"/>
            <w:vAlign w:val="center"/>
          </w:tcPr>
          <w:p w14:paraId="7489A1E7">
            <w:pPr>
              <w:pStyle w:val="68"/>
              <w:rPr>
                <w:rFonts w:cs="宋体" w:asciiTheme="minorEastAsia" w:hAnsiTheme="minorEastAsia" w:eastAsiaTheme="minorEastAsia"/>
                <w:color w:val="auto"/>
                <w:sz w:val="24"/>
                <w:szCs w:val="24"/>
              </w:rPr>
            </w:pPr>
          </w:p>
        </w:tc>
        <w:tc>
          <w:tcPr>
            <w:tcW w:w="705" w:type="dxa"/>
            <w:vAlign w:val="center"/>
          </w:tcPr>
          <w:p w14:paraId="5029A8BA">
            <w:pPr>
              <w:pStyle w:val="68"/>
              <w:rPr>
                <w:rFonts w:cs="宋体" w:asciiTheme="minorEastAsia" w:hAnsiTheme="minorEastAsia" w:eastAsiaTheme="minorEastAsia"/>
                <w:color w:val="auto"/>
                <w:sz w:val="24"/>
                <w:szCs w:val="24"/>
              </w:rPr>
            </w:pPr>
          </w:p>
        </w:tc>
        <w:tc>
          <w:tcPr>
            <w:tcW w:w="1200" w:type="dxa"/>
            <w:vAlign w:val="center"/>
          </w:tcPr>
          <w:p w14:paraId="6DCA1EF2">
            <w:pPr>
              <w:pStyle w:val="68"/>
              <w:rPr>
                <w:rFonts w:cs="宋体" w:asciiTheme="minorEastAsia" w:hAnsiTheme="minorEastAsia" w:eastAsiaTheme="minorEastAsia"/>
                <w:color w:val="auto"/>
                <w:sz w:val="24"/>
                <w:szCs w:val="24"/>
              </w:rPr>
            </w:pPr>
          </w:p>
        </w:tc>
        <w:tc>
          <w:tcPr>
            <w:tcW w:w="784" w:type="dxa"/>
            <w:vAlign w:val="center"/>
          </w:tcPr>
          <w:p w14:paraId="4E281746">
            <w:pPr>
              <w:pStyle w:val="68"/>
              <w:rPr>
                <w:rFonts w:cs="宋体" w:asciiTheme="minorEastAsia" w:hAnsiTheme="minorEastAsia" w:eastAsiaTheme="minorEastAsia"/>
                <w:color w:val="auto"/>
                <w:sz w:val="24"/>
                <w:szCs w:val="24"/>
              </w:rPr>
            </w:pPr>
          </w:p>
        </w:tc>
        <w:tc>
          <w:tcPr>
            <w:tcW w:w="870" w:type="dxa"/>
            <w:vAlign w:val="center"/>
          </w:tcPr>
          <w:p w14:paraId="30206888">
            <w:pPr>
              <w:pStyle w:val="68"/>
              <w:rPr>
                <w:rFonts w:cs="宋体" w:asciiTheme="minorEastAsia" w:hAnsiTheme="minorEastAsia" w:eastAsiaTheme="minorEastAsia"/>
                <w:color w:val="auto"/>
                <w:sz w:val="24"/>
                <w:szCs w:val="24"/>
              </w:rPr>
            </w:pPr>
          </w:p>
        </w:tc>
        <w:tc>
          <w:tcPr>
            <w:tcW w:w="1389" w:type="dxa"/>
            <w:vAlign w:val="center"/>
          </w:tcPr>
          <w:p w14:paraId="4CCF163F">
            <w:pPr>
              <w:pStyle w:val="68"/>
              <w:rPr>
                <w:rFonts w:cs="宋体" w:asciiTheme="minorEastAsia" w:hAnsiTheme="minorEastAsia" w:eastAsiaTheme="minorEastAsia"/>
                <w:color w:val="auto"/>
                <w:sz w:val="24"/>
                <w:szCs w:val="24"/>
              </w:rPr>
            </w:pPr>
          </w:p>
        </w:tc>
      </w:tr>
      <w:tr w14:paraId="29D62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6A9D6BD">
            <w:pPr>
              <w:pStyle w:val="68"/>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w:t>
            </w:r>
          </w:p>
        </w:tc>
        <w:tc>
          <w:tcPr>
            <w:tcW w:w="1051" w:type="dxa"/>
            <w:vAlign w:val="center"/>
          </w:tcPr>
          <w:p w14:paraId="13AAC0E7">
            <w:pPr>
              <w:pStyle w:val="68"/>
              <w:rPr>
                <w:rFonts w:cs="宋体" w:asciiTheme="minorEastAsia" w:hAnsiTheme="minorEastAsia" w:eastAsiaTheme="minorEastAsia"/>
                <w:color w:val="auto"/>
                <w:sz w:val="24"/>
                <w:szCs w:val="24"/>
              </w:rPr>
            </w:pPr>
          </w:p>
        </w:tc>
        <w:tc>
          <w:tcPr>
            <w:tcW w:w="669" w:type="dxa"/>
            <w:vAlign w:val="center"/>
          </w:tcPr>
          <w:p w14:paraId="57929124">
            <w:pPr>
              <w:pStyle w:val="68"/>
              <w:rPr>
                <w:rFonts w:cs="宋体" w:asciiTheme="minorEastAsia" w:hAnsiTheme="minorEastAsia" w:eastAsiaTheme="minorEastAsia"/>
                <w:color w:val="auto"/>
                <w:sz w:val="24"/>
                <w:szCs w:val="24"/>
              </w:rPr>
            </w:pPr>
          </w:p>
        </w:tc>
        <w:tc>
          <w:tcPr>
            <w:tcW w:w="855" w:type="dxa"/>
            <w:vAlign w:val="center"/>
          </w:tcPr>
          <w:p w14:paraId="4FB7B4C9">
            <w:pPr>
              <w:pStyle w:val="68"/>
              <w:rPr>
                <w:rFonts w:cs="宋体" w:asciiTheme="minorEastAsia" w:hAnsiTheme="minorEastAsia" w:eastAsiaTheme="minorEastAsia"/>
                <w:color w:val="auto"/>
                <w:sz w:val="24"/>
                <w:szCs w:val="24"/>
              </w:rPr>
            </w:pPr>
          </w:p>
        </w:tc>
        <w:tc>
          <w:tcPr>
            <w:tcW w:w="705" w:type="dxa"/>
            <w:vAlign w:val="center"/>
          </w:tcPr>
          <w:p w14:paraId="242381FE">
            <w:pPr>
              <w:pStyle w:val="68"/>
              <w:rPr>
                <w:rFonts w:cs="宋体" w:asciiTheme="minorEastAsia" w:hAnsiTheme="minorEastAsia" w:eastAsiaTheme="minorEastAsia"/>
                <w:color w:val="auto"/>
                <w:sz w:val="24"/>
                <w:szCs w:val="24"/>
              </w:rPr>
            </w:pPr>
          </w:p>
        </w:tc>
        <w:tc>
          <w:tcPr>
            <w:tcW w:w="1200" w:type="dxa"/>
            <w:vAlign w:val="center"/>
          </w:tcPr>
          <w:p w14:paraId="1E76FAE6">
            <w:pPr>
              <w:pStyle w:val="68"/>
              <w:rPr>
                <w:rFonts w:cs="宋体" w:asciiTheme="minorEastAsia" w:hAnsiTheme="minorEastAsia" w:eastAsiaTheme="minorEastAsia"/>
                <w:color w:val="auto"/>
                <w:sz w:val="24"/>
                <w:szCs w:val="24"/>
              </w:rPr>
            </w:pPr>
          </w:p>
        </w:tc>
        <w:tc>
          <w:tcPr>
            <w:tcW w:w="784" w:type="dxa"/>
            <w:vAlign w:val="center"/>
          </w:tcPr>
          <w:p w14:paraId="1706ED23">
            <w:pPr>
              <w:pStyle w:val="68"/>
              <w:rPr>
                <w:rFonts w:cs="宋体" w:asciiTheme="minorEastAsia" w:hAnsiTheme="minorEastAsia" w:eastAsiaTheme="minorEastAsia"/>
                <w:color w:val="auto"/>
                <w:sz w:val="24"/>
                <w:szCs w:val="24"/>
              </w:rPr>
            </w:pPr>
          </w:p>
        </w:tc>
        <w:tc>
          <w:tcPr>
            <w:tcW w:w="870" w:type="dxa"/>
            <w:vAlign w:val="center"/>
          </w:tcPr>
          <w:p w14:paraId="776198C1">
            <w:pPr>
              <w:pStyle w:val="68"/>
              <w:rPr>
                <w:rFonts w:cs="宋体" w:asciiTheme="minorEastAsia" w:hAnsiTheme="minorEastAsia" w:eastAsiaTheme="minorEastAsia"/>
                <w:color w:val="auto"/>
                <w:sz w:val="24"/>
                <w:szCs w:val="24"/>
              </w:rPr>
            </w:pPr>
          </w:p>
        </w:tc>
        <w:tc>
          <w:tcPr>
            <w:tcW w:w="1389" w:type="dxa"/>
            <w:vAlign w:val="center"/>
          </w:tcPr>
          <w:p w14:paraId="6CCCADAB">
            <w:pPr>
              <w:pStyle w:val="68"/>
              <w:rPr>
                <w:rFonts w:cs="宋体" w:asciiTheme="minorEastAsia" w:hAnsiTheme="minorEastAsia" w:eastAsiaTheme="minorEastAsia"/>
                <w:color w:val="auto"/>
                <w:sz w:val="24"/>
                <w:szCs w:val="24"/>
              </w:rPr>
            </w:pPr>
          </w:p>
        </w:tc>
      </w:tr>
      <w:tr w14:paraId="1FBAC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9A984B3">
            <w:pPr>
              <w:pStyle w:val="68"/>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6</w:t>
            </w:r>
          </w:p>
        </w:tc>
        <w:tc>
          <w:tcPr>
            <w:tcW w:w="1051" w:type="dxa"/>
            <w:vAlign w:val="center"/>
          </w:tcPr>
          <w:p w14:paraId="3A9D3143">
            <w:pPr>
              <w:pStyle w:val="68"/>
              <w:rPr>
                <w:rFonts w:cs="宋体" w:asciiTheme="minorEastAsia" w:hAnsiTheme="minorEastAsia" w:eastAsiaTheme="minorEastAsia"/>
                <w:color w:val="auto"/>
                <w:sz w:val="24"/>
                <w:szCs w:val="24"/>
              </w:rPr>
            </w:pPr>
          </w:p>
        </w:tc>
        <w:tc>
          <w:tcPr>
            <w:tcW w:w="669" w:type="dxa"/>
            <w:vAlign w:val="center"/>
          </w:tcPr>
          <w:p w14:paraId="1BD9BBB7">
            <w:pPr>
              <w:pStyle w:val="68"/>
              <w:rPr>
                <w:rFonts w:cs="宋体" w:asciiTheme="minorEastAsia" w:hAnsiTheme="minorEastAsia" w:eastAsiaTheme="minorEastAsia"/>
                <w:color w:val="auto"/>
                <w:sz w:val="24"/>
                <w:szCs w:val="24"/>
              </w:rPr>
            </w:pPr>
          </w:p>
        </w:tc>
        <w:tc>
          <w:tcPr>
            <w:tcW w:w="855" w:type="dxa"/>
            <w:vAlign w:val="center"/>
          </w:tcPr>
          <w:p w14:paraId="1A0B4FE1">
            <w:pPr>
              <w:pStyle w:val="68"/>
              <w:rPr>
                <w:rFonts w:cs="宋体" w:asciiTheme="minorEastAsia" w:hAnsiTheme="minorEastAsia" w:eastAsiaTheme="minorEastAsia"/>
                <w:color w:val="auto"/>
                <w:sz w:val="24"/>
                <w:szCs w:val="24"/>
              </w:rPr>
            </w:pPr>
          </w:p>
        </w:tc>
        <w:tc>
          <w:tcPr>
            <w:tcW w:w="705" w:type="dxa"/>
            <w:vAlign w:val="center"/>
          </w:tcPr>
          <w:p w14:paraId="669CDB86">
            <w:pPr>
              <w:pStyle w:val="68"/>
              <w:rPr>
                <w:rFonts w:cs="宋体" w:asciiTheme="minorEastAsia" w:hAnsiTheme="minorEastAsia" w:eastAsiaTheme="minorEastAsia"/>
                <w:color w:val="auto"/>
                <w:sz w:val="24"/>
                <w:szCs w:val="24"/>
              </w:rPr>
            </w:pPr>
          </w:p>
        </w:tc>
        <w:tc>
          <w:tcPr>
            <w:tcW w:w="1200" w:type="dxa"/>
            <w:vAlign w:val="center"/>
          </w:tcPr>
          <w:p w14:paraId="6BE842D4">
            <w:pPr>
              <w:pStyle w:val="68"/>
              <w:rPr>
                <w:rFonts w:cs="宋体" w:asciiTheme="minorEastAsia" w:hAnsiTheme="minorEastAsia" w:eastAsiaTheme="minorEastAsia"/>
                <w:color w:val="auto"/>
                <w:sz w:val="24"/>
                <w:szCs w:val="24"/>
              </w:rPr>
            </w:pPr>
          </w:p>
        </w:tc>
        <w:tc>
          <w:tcPr>
            <w:tcW w:w="784" w:type="dxa"/>
            <w:vAlign w:val="center"/>
          </w:tcPr>
          <w:p w14:paraId="01D74102">
            <w:pPr>
              <w:pStyle w:val="68"/>
              <w:rPr>
                <w:rFonts w:cs="宋体" w:asciiTheme="minorEastAsia" w:hAnsiTheme="minorEastAsia" w:eastAsiaTheme="minorEastAsia"/>
                <w:color w:val="auto"/>
                <w:sz w:val="24"/>
                <w:szCs w:val="24"/>
              </w:rPr>
            </w:pPr>
          </w:p>
        </w:tc>
        <w:tc>
          <w:tcPr>
            <w:tcW w:w="870" w:type="dxa"/>
            <w:vAlign w:val="center"/>
          </w:tcPr>
          <w:p w14:paraId="486509D5">
            <w:pPr>
              <w:pStyle w:val="68"/>
              <w:rPr>
                <w:rFonts w:cs="宋体" w:asciiTheme="minorEastAsia" w:hAnsiTheme="minorEastAsia" w:eastAsiaTheme="minorEastAsia"/>
                <w:color w:val="auto"/>
                <w:sz w:val="24"/>
                <w:szCs w:val="24"/>
              </w:rPr>
            </w:pPr>
          </w:p>
        </w:tc>
        <w:tc>
          <w:tcPr>
            <w:tcW w:w="1389" w:type="dxa"/>
            <w:vAlign w:val="center"/>
          </w:tcPr>
          <w:p w14:paraId="2B8B9B52">
            <w:pPr>
              <w:pStyle w:val="68"/>
              <w:rPr>
                <w:rFonts w:cs="宋体" w:asciiTheme="minorEastAsia" w:hAnsiTheme="minorEastAsia" w:eastAsiaTheme="minorEastAsia"/>
                <w:color w:val="auto"/>
                <w:sz w:val="24"/>
                <w:szCs w:val="24"/>
              </w:rPr>
            </w:pPr>
          </w:p>
        </w:tc>
      </w:tr>
      <w:tr w14:paraId="3950C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73A9B6D2">
            <w:pPr>
              <w:pStyle w:val="68"/>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w:t>
            </w:r>
          </w:p>
        </w:tc>
        <w:tc>
          <w:tcPr>
            <w:tcW w:w="1051" w:type="dxa"/>
            <w:vAlign w:val="center"/>
          </w:tcPr>
          <w:p w14:paraId="297F97A3">
            <w:pPr>
              <w:pStyle w:val="68"/>
              <w:rPr>
                <w:rFonts w:cs="宋体" w:asciiTheme="minorEastAsia" w:hAnsiTheme="minorEastAsia" w:eastAsiaTheme="minorEastAsia"/>
                <w:color w:val="auto"/>
                <w:sz w:val="24"/>
                <w:szCs w:val="24"/>
              </w:rPr>
            </w:pPr>
          </w:p>
        </w:tc>
        <w:tc>
          <w:tcPr>
            <w:tcW w:w="669" w:type="dxa"/>
            <w:vAlign w:val="center"/>
          </w:tcPr>
          <w:p w14:paraId="5F373B30">
            <w:pPr>
              <w:pStyle w:val="68"/>
              <w:rPr>
                <w:rFonts w:cs="宋体" w:asciiTheme="minorEastAsia" w:hAnsiTheme="minorEastAsia" w:eastAsiaTheme="minorEastAsia"/>
                <w:color w:val="auto"/>
                <w:sz w:val="24"/>
                <w:szCs w:val="24"/>
              </w:rPr>
            </w:pPr>
          </w:p>
        </w:tc>
        <w:tc>
          <w:tcPr>
            <w:tcW w:w="855" w:type="dxa"/>
            <w:vAlign w:val="center"/>
          </w:tcPr>
          <w:p w14:paraId="732DD144">
            <w:pPr>
              <w:pStyle w:val="68"/>
              <w:rPr>
                <w:rFonts w:cs="宋体" w:asciiTheme="minorEastAsia" w:hAnsiTheme="minorEastAsia" w:eastAsiaTheme="minorEastAsia"/>
                <w:color w:val="auto"/>
                <w:sz w:val="24"/>
                <w:szCs w:val="24"/>
              </w:rPr>
            </w:pPr>
          </w:p>
        </w:tc>
        <w:tc>
          <w:tcPr>
            <w:tcW w:w="705" w:type="dxa"/>
            <w:vAlign w:val="center"/>
          </w:tcPr>
          <w:p w14:paraId="6039DB9D">
            <w:pPr>
              <w:pStyle w:val="68"/>
              <w:rPr>
                <w:rFonts w:cs="宋体" w:asciiTheme="minorEastAsia" w:hAnsiTheme="minorEastAsia" w:eastAsiaTheme="minorEastAsia"/>
                <w:color w:val="auto"/>
                <w:sz w:val="24"/>
                <w:szCs w:val="24"/>
              </w:rPr>
            </w:pPr>
          </w:p>
        </w:tc>
        <w:tc>
          <w:tcPr>
            <w:tcW w:w="1200" w:type="dxa"/>
            <w:vAlign w:val="center"/>
          </w:tcPr>
          <w:p w14:paraId="6D224D5D">
            <w:pPr>
              <w:pStyle w:val="68"/>
              <w:rPr>
                <w:rFonts w:cs="宋体" w:asciiTheme="minorEastAsia" w:hAnsiTheme="minorEastAsia" w:eastAsiaTheme="minorEastAsia"/>
                <w:color w:val="auto"/>
                <w:sz w:val="24"/>
                <w:szCs w:val="24"/>
              </w:rPr>
            </w:pPr>
          </w:p>
        </w:tc>
        <w:tc>
          <w:tcPr>
            <w:tcW w:w="784" w:type="dxa"/>
            <w:vAlign w:val="center"/>
          </w:tcPr>
          <w:p w14:paraId="7705DA89">
            <w:pPr>
              <w:pStyle w:val="68"/>
              <w:rPr>
                <w:rFonts w:cs="宋体" w:asciiTheme="minorEastAsia" w:hAnsiTheme="minorEastAsia" w:eastAsiaTheme="minorEastAsia"/>
                <w:color w:val="auto"/>
                <w:sz w:val="24"/>
                <w:szCs w:val="24"/>
              </w:rPr>
            </w:pPr>
          </w:p>
        </w:tc>
        <w:tc>
          <w:tcPr>
            <w:tcW w:w="870" w:type="dxa"/>
            <w:vAlign w:val="center"/>
          </w:tcPr>
          <w:p w14:paraId="30C8B355">
            <w:pPr>
              <w:pStyle w:val="68"/>
              <w:rPr>
                <w:rFonts w:cs="宋体" w:asciiTheme="minorEastAsia" w:hAnsiTheme="minorEastAsia" w:eastAsiaTheme="minorEastAsia"/>
                <w:color w:val="auto"/>
                <w:sz w:val="24"/>
                <w:szCs w:val="24"/>
              </w:rPr>
            </w:pPr>
          </w:p>
        </w:tc>
        <w:tc>
          <w:tcPr>
            <w:tcW w:w="1389" w:type="dxa"/>
            <w:vAlign w:val="center"/>
          </w:tcPr>
          <w:p w14:paraId="5C5EAA47">
            <w:pPr>
              <w:pStyle w:val="68"/>
              <w:rPr>
                <w:rFonts w:cs="宋体" w:asciiTheme="minorEastAsia" w:hAnsiTheme="minorEastAsia" w:eastAsiaTheme="minorEastAsia"/>
                <w:color w:val="auto"/>
                <w:sz w:val="24"/>
                <w:szCs w:val="24"/>
              </w:rPr>
            </w:pPr>
          </w:p>
        </w:tc>
      </w:tr>
      <w:tr w14:paraId="26104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F2AFF86">
            <w:pPr>
              <w:pStyle w:val="68"/>
              <w:rPr>
                <w:rFonts w:cs="宋体" w:asciiTheme="minorEastAsia" w:hAnsiTheme="minorEastAsia" w:eastAsiaTheme="minorEastAsia"/>
                <w:color w:val="auto"/>
                <w:sz w:val="24"/>
                <w:szCs w:val="24"/>
              </w:rPr>
            </w:pPr>
          </w:p>
        </w:tc>
        <w:tc>
          <w:tcPr>
            <w:tcW w:w="1051" w:type="dxa"/>
            <w:vAlign w:val="center"/>
          </w:tcPr>
          <w:p w14:paraId="416C68ED">
            <w:pPr>
              <w:pStyle w:val="68"/>
              <w:rPr>
                <w:rFonts w:cs="宋体" w:asciiTheme="minorEastAsia" w:hAnsiTheme="minorEastAsia" w:eastAsiaTheme="minorEastAsia"/>
                <w:color w:val="auto"/>
                <w:sz w:val="24"/>
                <w:szCs w:val="24"/>
              </w:rPr>
            </w:pPr>
          </w:p>
        </w:tc>
        <w:tc>
          <w:tcPr>
            <w:tcW w:w="669" w:type="dxa"/>
            <w:vAlign w:val="center"/>
          </w:tcPr>
          <w:p w14:paraId="32BCB42C">
            <w:pPr>
              <w:pStyle w:val="68"/>
              <w:rPr>
                <w:rFonts w:cs="宋体" w:asciiTheme="minorEastAsia" w:hAnsiTheme="minorEastAsia" w:eastAsiaTheme="minorEastAsia"/>
                <w:color w:val="auto"/>
                <w:sz w:val="24"/>
                <w:szCs w:val="24"/>
              </w:rPr>
            </w:pPr>
          </w:p>
        </w:tc>
        <w:tc>
          <w:tcPr>
            <w:tcW w:w="855" w:type="dxa"/>
            <w:vAlign w:val="center"/>
          </w:tcPr>
          <w:p w14:paraId="232F8FE5">
            <w:pPr>
              <w:pStyle w:val="68"/>
              <w:rPr>
                <w:rFonts w:cs="宋体" w:asciiTheme="minorEastAsia" w:hAnsiTheme="minorEastAsia" w:eastAsiaTheme="minorEastAsia"/>
                <w:color w:val="auto"/>
                <w:sz w:val="24"/>
                <w:szCs w:val="24"/>
              </w:rPr>
            </w:pPr>
          </w:p>
        </w:tc>
        <w:tc>
          <w:tcPr>
            <w:tcW w:w="705" w:type="dxa"/>
            <w:vAlign w:val="center"/>
          </w:tcPr>
          <w:p w14:paraId="582E416F">
            <w:pPr>
              <w:pStyle w:val="68"/>
              <w:rPr>
                <w:rFonts w:cs="宋体" w:asciiTheme="minorEastAsia" w:hAnsiTheme="minorEastAsia" w:eastAsiaTheme="minorEastAsia"/>
                <w:color w:val="auto"/>
                <w:sz w:val="24"/>
                <w:szCs w:val="24"/>
              </w:rPr>
            </w:pPr>
          </w:p>
        </w:tc>
        <w:tc>
          <w:tcPr>
            <w:tcW w:w="1200" w:type="dxa"/>
            <w:vAlign w:val="center"/>
          </w:tcPr>
          <w:p w14:paraId="568B95A6">
            <w:pPr>
              <w:pStyle w:val="68"/>
              <w:rPr>
                <w:rFonts w:cs="宋体" w:asciiTheme="minorEastAsia" w:hAnsiTheme="minorEastAsia" w:eastAsiaTheme="minorEastAsia"/>
                <w:color w:val="auto"/>
                <w:sz w:val="24"/>
                <w:szCs w:val="24"/>
              </w:rPr>
            </w:pPr>
          </w:p>
        </w:tc>
        <w:tc>
          <w:tcPr>
            <w:tcW w:w="784" w:type="dxa"/>
            <w:vAlign w:val="center"/>
          </w:tcPr>
          <w:p w14:paraId="642AEBB0">
            <w:pPr>
              <w:pStyle w:val="68"/>
              <w:rPr>
                <w:rFonts w:cs="宋体" w:asciiTheme="minorEastAsia" w:hAnsiTheme="minorEastAsia" w:eastAsiaTheme="minorEastAsia"/>
                <w:color w:val="auto"/>
                <w:sz w:val="24"/>
                <w:szCs w:val="24"/>
              </w:rPr>
            </w:pPr>
          </w:p>
        </w:tc>
        <w:tc>
          <w:tcPr>
            <w:tcW w:w="870" w:type="dxa"/>
            <w:vAlign w:val="center"/>
          </w:tcPr>
          <w:p w14:paraId="1067D72B">
            <w:pPr>
              <w:pStyle w:val="68"/>
              <w:rPr>
                <w:rFonts w:cs="宋体" w:asciiTheme="minorEastAsia" w:hAnsiTheme="minorEastAsia" w:eastAsiaTheme="minorEastAsia"/>
                <w:color w:val="auto"/>
                <w:sz w:val="24"/>
                <w:szCs w:val="24"/>
              </w:rPr>
            </w:pPr>
          </w:p>
        </w:tc>
        <w:tc>
          <w:tcPr>
            <w:tcW w:w="1389" w:type="dxa"/>
            <w:vAlign w:val="center"/>
          </w:tcPr>
          <w:p w14:paraId="4DA31EF8">
            <w:pPr>
              <w:pStyle w:val="68"/>
              <w:rPr>
                <w:rFonts w:cs="宋体" w:asciiTheme="minorEastAsia" w:hAnsiTheme="minorEastAsia" w:eastAsiaTheme="minorEastAsia"/>
                <w:color w:val="auto"/>
                <w:sz w:val="24"/>
                <w:szCs w:val="24"/>
              </w:rPr>
            </w:pPr>
          </w:p>
        </w:tc>
      </w:tr>
      <w:tr w14:paraId="0CD17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20C0DFB">
            <w:pPr>
              <w:pStyle w:val="68"/>
              <w:rPr>
                <w:rFonts w:cs="宋体" w:asciiTheme="minorEastAsia" w:hAnsiTheme="minorEastAsia" w:eastAsiaTheme="minorEastAsia"/>
                <w:color w:val="auto"/>
                <w:sz w:val="24"/>
                <w:szCs w:val="24"/>
              </w:rPr>
            </w:pPr>
          </w:p>
        </w:tc>
        <w:tc>
          <w:tcPr>
            <w:tcW w:w="1051" w:type="dxa"/>
            <w:vAlign w:val="center"/>
          </w:tcPr>
          <w:p w14:paraId="0598E926">
            <w:pPr>
              <w:pStyle w:val="68"/>
              <w:rPr>
                <w:rFonts w:cs="宋体" w:asciiTheme="minorEastAsia" w:hAnsiTheme="minorEastAsia" w:eastAsiaTheme="minorEastAsia"/>
                <w:color w:val="auto"/>
                <w:sz w:val="24"/>
                <w:szCs w:val="24"/>
              </w:rPr>
            </w:pPr>
          </w:p>
        </w:tc>
        <w:tc>
          <w:tcPr>
            <w:tcW w:w="669" w:type="dxa"/>
            <w:vAlign w:val="center"/>
          </w:tcPr>
          <w:p w14:paraId="7D394B44">
            <w:pPr>
              <w:pStyle w:val="68"/>
              <w:rPr>
                <w:rFonts w:cs="宋体" w:asciiTheme="minorEastAsia" w:hAnsiTheme="minorEastAsia" w:eastAsiaTheme="minorEastAsia"/>
                <w:color w:val="auto"/>
                <w:sz w:val="24"/>
                <w:szCs w:val="24"/>
              </w:rPr>
            </w:pPr>
          </w:p>
        </w:tc>
        <w:tc>
          <w:tcPr>
            <w:tcW w:w="855" w:type="dxa"/>
            <w:vAlign w:val="center"/>
          </w:tcPr>
          <w:p w14:paraId="7ADD04E1">
            <w:pPr>
              <w:pStyle w:val="68"/>
              <w:rPr>
                <w:rFonts w:cs="宋体" w:asciiTheme="minorEastAsia" w:hAnsiTheme="minorEastAsia" w:eastAsiaTheme="minorEastAsia"/>
                <w:color w:val="auto"/>
                <w:sz w:val="24"/>
                <w:szCs w:val="24"/>
              </w:rPr>
            </w:pPr>
          </w:p>
        </w:tc>
        <w:tc>
          <w:tcPr>
            <w:tcW w:w="705" w:type="dxa"/>
            <w:vAlign w:val="center"/>
          </w:tcPr>
          <w:p w14:paraId="7CF1F672">
            <w:pPr>
              <w:pStyle w:val="68"/>
              <w:rPr>
                <w:rFonts w:cs="宋体" w:asciiTheme="minorEastAsia" w:hAnsiTheme="minorEastAsia" w:eastAsiaTheme="minorEastAsia"/>
                <w:color w:val="auto"/>
                <w:sz w:val="24"/>
                <w:szCs w:val="24"/>
              </w:rPr>
            </w:pPr>
          </w:p>
        </w:tc>
        <w:tc>
          <w:tcPr>
            <w:tcW w:w="1200" w:type="dxa"/>
            <w:vAlign w:val="center"/>
          </w:tcPr>
          <w:p w14:paraId="19B64A72">
            <w:pPr>
              <w:pStyle w:val="68"/>
              <w:rPr>
                <w:rFonts w:cs="宋体" w:asciiTheme="minorEastAsia" w:hAnsiTheme="minorEastAsia" w:eastAsiaTheme="minorEastAsia"/>
                <w:color w:val="auto"/>
                <w:sz w:val="24"/>
                <w:szCs w:val="24"/>
              </w:rPr>
            </w:pPr>
          </w:p>
        </w:tc>
        <w:tc>
          <w:tcPr>
            <w:tcW w:w="784" w:type="dxa"/>
            <w:vAlign w:val="center"/>
          </w:tcPr>
          <w:p w14:paraId="5E862670">
            <w:pPr>
              <w:pStyle w:val="68"/>
              <w:rPr>
                <w:rFonts w:cs="宋体" w:asciiTheme="minorEastAsia" w:hAnsiTheme="minorEastAsia" w:eastAsiaTheme="minorEastAsia"/>
                <w:color w:val="auto"/>
                <w:sz w:val="24"/>
                <w:szCs w:val="24"/>
              </w:rPr>
            </w:pPr>
          </w:p>
        </w:tc>
        <w:tc>
          <w:tcPr>
            <w:tcW w:w="870" w:type="dxa"/>
            <w:vAlign w:val="center"/>
          </w:tcPr>
          <w:p w14:paraId="77AB2AB4">
            <w:pPr>
              <w:pStyle w:val="68"/>
              <w:rPr>
                <w:rFonts w:cs="宋体" w:asciiTheme="minorEastAsia" w:hAnsiTheme="minorEastAsia" w:eastAsiaTheme="minorEastAsia"/>
                <w:color w:val="auto"/>
                <w:sz w:val="24"/>
                <w:szCs w:val="24"/>
              </w:rPr>
            </w:pPr>
          </w:p>
        </w:tc>
        <w:tc>
          <w:tcPr>
            <w:tcW w:w="1389" w:type="dxa"/>
            <w:vAlign w:val="center"/>
          </w:tcPr>
          <w:p w14:paraId="5E6812FD">
            <w:pPr>
              <w:pStyle w:val="68"/>
              <w:rPr>
                <w:rFonts w:cs="宋体" w:asciiTheme="minorEastAsia" w:hAnsiTheme="minorEastAsia" w:eastAsiaTheme="minorEastAsia"/>
                <w:color w:val="auto"/>
                <w:sz w:val="24"/>
                <w:szCs w:val="24"/>
              </w:rPr>
            </w:pPr>
          </w:p>
        </w:tc>
      </w:tr>
      <w:tr w14:paraId="27178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914DA73">
            <w:pPr>
              <w:pStyle w:val="68"/>
              <w:rPr>
                <w:rFonts w:cs="宋体" w:asciiTheme="minorEastAsia" w:hAnsiTheme="minorEastAsia" w:eastAsiaTheme="minorEastAsia"/>
                <w:color w:val="auto"/>
                <w:sz w:val="24"/>
                <w:szCs w:val="24"/>
              </w:rPr>
            </w:pPr>
          </w:p>
        </w:tc>
        <w:tc>
          <w:tcPr>
            <w:tcW w:w="1051" w:type="dxa"/>
            <w:vAlign w:val="center"/>
          </w:tcPr>
          <w:p w14:paraId="21FA2148">
            <w:pPr>
              <w:pStyle w:val="68"/>
              <w:rPr>
                <w:rFonts w:cs="宋体" w:asciiTheme="minorEastAsia" w:hAnsiTheme="minorEastAsia" w:eastAsiaTheme="minorEastAsia"/>
                <w:color w:val="auto"/>
                <w:sz w:val="24"/>
                <w:szCs w:val="24"/>
              </w:rPr>
            </w:pPr>
          </w:p>
        </w:tc>
        <w:tc>
          <w:tcPr>
            <w:tcW w:w="669" w:type="dxa"/>
            <w:vAlign w:val="center"/>
          </w:tcPr>
          <w:p w14:paraId="60D51078">
            <w:pPr>
              <w:pStyle w:val="68"/>
              <w:rPr>
                <w:rFonts w:cs="宋体" w:asciiTheme="minorEastAsia" w:hAnsiTheme="minorEastAsia" w:eastAsiaTheme="minorEastAsia"/>
                <w:color w:val="auto"/>
                <w:sz w:val="24"/>
                <w:szCs w:val="24"/>
              </w:rPr>
            </w:pPr>
          </w:p>
        </w:tc>
        <w:tc>
          <w:tcPr>
            <w:tcW w:w="855" w:type="dxa"/>
            <w:vAlign w:val="center"/>
          </w:tcPr>
          <w:p w14:paraId="62A07D4A">
            <w:pPr>
              <w:pStyle w:val="68"/>
              <w:rPr>
                <w:rFonts w:cs="宋体" w:asciiTheme="minorEastAsia" w:hAnsiTheme="minorEastAsia" w:eastAsiaTheme="minorEastAsia"/>
                <w:color w:val="auto"/>
                <w:sz w:val="24"/>
                <w:szCs w:val="24"/>
              </w:rPr>
            </w:pPr>
          </w:p>
        </w:tc>
        <w:tc>
          <w:tcPr>
            <w:tcW w:w="705" w:type="dxa"/>
            <w:vAlign w:val="center"/>
          </w:tcPr>
          <w:p w14:paraId="3CABA76C">
            <w:pPr>
              <w:pStyle w:val="68"/>
              <w:rPr>
                <w:rFonts w:cs="宋体" w:asciiTheme="minorEastAsia" w:hAnsiTheme="minorEastAsia" w:eastAsiaTheme="minorEastAsia"/>
                <w:color w:val="auto"/>
                <w:sz w:val="24"/>
                <w:szCs w:val="24"/>
              </w:rPr>
            </w:pPr>
          </w:p>
        </w:tc>
        <w:tc>
          <w:tcPr>
            <w:tcW w:w="1200" w:type="dxa"/>
            <w:vAlign w:val="center"/>
          </w:tcPr>
          <w:p w14:paraId="2C9C289B">
            <w:pPr>
              <w:pStyle w:val="68"/>
              <w:rPr>
                <w:rFonts w:cs="宋体" w:asciiTheme="minorEastAsia" w:hAnsiTheme="minorEastAsia" w:eastAsiaTheme="minorEastAsia"/>
                <w:color w:val="auto"/>
                <w:sz w:val="24"/>
                <w:szCs w:val="24"/>
              </w:rPr>
            </w:pPr>
          </w:p>
        </w:tc>
        <w:tc>
          <w:tcPr>
            <w:tcW w:w="784" w:type="dxa"/>
            <w:vAlign w:val="center"/>
          </w:tcPr>
          <w:p w14:paraId="2769B1BD">
            <w:pPr>
              <w:pStyle w:val="68"/>
              <w:rPr>
                <w:rFonts w:cs="宋体" w:asciiTheme="minorEastAsia" w:hAnsiTheme="minorEastAsia" w:eastAsiaTheme="minorEastAsia"/>
                <w:color w:val="auto"/>
                <w:sz w:val="24"/>
                <w:szCs w:val="24"/>
              </w:rPr>
            </w:pPr>
          </w:p>
        </w:tc>
        <w:tc>
          <w:tcPr>
            <w:tcW w:w="870" w:type="dxa"/>
            <w:vAlign w:val="center"/>
          </w:tcPr>
          <w:p w14:paraId="0CE8D47A">
            <w:pPr>
              <w:pStyle w:val="68"/>
              <w:rPr>
                <w:rFonts w:cs="宋体" w:asciiTheme="minorEastAsia" w:hAnsiTheme="minorEastAsia" w:eastAsiaTheme="minorEastAsia"/>
                <w:color w:val="auto"/>
                <w:sz w:val="24"/>
                <w:szCs w:val="24"/>
              </w:rPr>
            </w:pPr>
          </w:p>
        </w:tc>
        <w:tc>
          <w:tcPr>
            <w:tcW w:w="1389" w:type="dxa"/>
            <w:vAlign w:val="center"/>
          </w:tcPr>
          <w:p w14:paraId="24219807">
            <w:pPr>
              <w:pStyle w:val="68"/>
              <w:rPr>
                <w:rFonts w:cs="宋体" w:asciiTheme="minorEastAsia" w:hAnsiTheme="minorEastAsia" w:eastAsiaTheme="minorEastAsia"/>
                <w:color w:val="auto"/>
                <w:sz w:val="24"/>
                <w:szCs w:val="24"/>
              </w:rPr>
            </w:pPr>
          </w:p>
        </w:tc>
      </w:tr>
      <w:tr w14:paraId="6B33B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7F520AC4">
            <w:pPr>
              <w:pStyle w:val="68"/>
              <w:rPr>
                <w:rFonts w:cs="宋体" w:asciiTheme="minorEastAsia" w:hAnsiTheme="minorEastAsia" w:eastAsiaTheme="minorEastAsia"/>
                <w:color w:val="auto"/>
                <w:sz w:val="24"/>
                <w:szCs w:val="24"/>
              </w:rPr>
            </w:pPr>
          </w:p>
        </w:tc>
        <w:tc>
          <w:tcPr>
            <w:tcW w:w="1051" w:type="dxa"/>
            <w:vAlign w:val="center"/>
          </w:tcPr>
          <w:p w14:paraId="21489CCA">
            <w:pPr>
              <w:pStyle w:val="68"/>
              <w:rPr>
                <w:rFonts w:cs="宋体" w:asciiTheme="minorEastAsia" w:hAnsiTheme="minorEastAsia" w:eastAsiaTheme="minorEastAsia"/>
                <w:color w:val="auto"/>
                <w:sz w:val="24"/>
                <w:szCs w:val="24"/>
              </w:rPr>
            </w:pPr>
          </w:p>
        </w:tc>
        <w:tc>
          <w:tcPr>
            <w:tcW w:w="669" w:type="dxa"/>
            <w:vAlign w:val="center"/>
          </w:tcPr>
          <w:p w14:paraId="1302AF0C">
            <w:pPr>
              <w:pStyle w:val="68"/>
              <w:rPr>
                <w:rFonts w:cs="宋体" w:asciiTheme="minorEastAsia" w:hAnsiTheme="minorEastAsia" w:eastAsiaTheme="minorEastAsia"/>
                <w:color w:val="auto"/>
                <w:sz w:val="24"/>
                <w:szCs w:val="24"/>
              </w:rPr>
            </w:pPr>
          </w:p>
        </w:tc>
        <w:tc>
          <w:tcPr>
            <w:tcW w:w="855" w:type="dxa"/>
            <w:vAlign w:val="center"/>
          </w:tcPr>
          <w:p w14:paraId="5D40579E">
            <w:pPr>
              <w:pStyle w:val="68"/>
              <w:rPr>
                <w:rFonts w:cs="宋体" w:asciiTheme="minorEastAsia" w:hAnsiTheme="minorEastAsia" w:eastAsiaTheme="minorEastAsia"/>
                <w:color w:val="auto"/>
                <w:sz w:val="24"/>
                <w:szCs w:val="24"/>
              </w:rPr>
            </w:pPr>
          </w:p>
        </w:tc>
        <w:tc>
          <w:tcPr>
            <w:tcW w:w="705" w:type="dxa"/>
            <w:vAlign w:val="center"/>
          </w:tcPr>
          <w:p w14:paraId="1BD82567">
            <w:pPr>
              <w:pStyle w:val="68"/>
              <w:rPr>
                <w:rFonts w:cs="宋体" w:asciiTheme="minorEastAsia" w:hAnsiTheme="minorEastAsia" w:eastAsiaTheme="minorEastAsia"/>
                <w:color w:val="auto"/>
                <w:sz w:val="24"/>
                <w:szCs w:val="24"/>
              </w:rPr>
            </w:pPr>
          </w:p>
        </w:tc>
        <w:tc>
          <w:tcPr>
            <w:tcW w:w="1200" w:type="dxa"/>
            <w:vAlign w:val="center"/>
          </w:tcPr>
          <w:p w14:paraId="6BE7BFD1">
            <w:pPr>
              <w:pStyle w:val="68"/>
              <w:rPr>
                <w:rFonts w:cs="宋体" w:asciiTheme="minorEastAsia" w:hAnsiTheme="minorEastAsia" w:eastAsiaTheme="minorEastAsia"/>
                <w:color w:val="auto"/>
                <w:sz w:val="24"/>
                <w:szCs w:val="24"/>
              </w:rPr>
            </w:pPr>
          </w:p>
        </w:tc>
        <w:tc>
          <w:tcPr>
            <w:tcW w:w="784" w:type="dxa"/>
            <w:vAlign w:val="center"/>
          </w:tcPr>
          <w:p w14:paraId="006D03CC">
            <w:pPr>
              <w:pStyle w:val="68"/>
              <w:rPr>
                <w:rFonts w:cs="宋体" w:asciiTheme="minorEastAsia" w:hAnsiTheme="minorEastAsia" w:eastAsiaTheme="minorEastAsia"/>
                <w:color w:val="auto"/>
                <w:sz w:val="24"/>
                <w:szCs w:val="24"/>
              </w:rPr>
            </w:pPr>
          </w:p>
        </w:tc>
        <w:tc>
          <w:tcPr>
            <w:tcW w:w="870" w:type="dxa"/>
            <w:vAlign w:val="center"/>
          </w:tcPr>
          <w:p w14:paraId="7F3884C3">
            <w:pPr>
              <w:pStyle w:val="68"/>
              <w:rPr>
                <w:rFonts w:cs="宋体" w:asciiTheme="minorEastAsia" w:hAnsiTheme="minorEastAsia" w:eastAsiaTheme="minorEastAsia"/>
                <w:color w:val="auto"/>
                <w:sz w:val="24"/>
                <w:szCs w:val="24"/>
              </w:rPr>
            </w:pPr>
          </w:p>
        </w:tc>
        <w:tc>
          <w:tcPr>
            <w:tcW w:w="1389" w:type="dxa"/>
            <w:vAlign w:val="center"/>
          </w:tcPr>
          <w:p w14:paraId="71BDCA23">
            <w:pPr>
              <w:pStyle w:val="68"/>
              <w:rPr>
                <w:rFonts w:cs="宋体" w:asciiTheme="minorEastAsia" w:hAnsiTheme="minorEastAsia" w:eastAsiaTheme="minorEastAsia"/>
                <w:color w:val="auto"/>
                <w:sz w:val="24"/>
                <w:szCs w:val="24"/>
              </w:rPr>
            </w:pPr>
          </w:p>
        </w:tc>
      </w:tr>
    </w:tbl>
    <w:p w14:paraId="26208830">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ascii="宋体" w:hAnsi="宋体" w:eastAsia="宋体" w:cs="宋体"/>
          <w:b/>
          <w:bCs/>
          <w:color w:val="auto"/>
          <w:szCs w:val="21"/>
        </w:rPr>
      </w:pPr>
      <w:r>
        <w:rPr>
          <w:rFonts w:hint="eastAsia" w:ascii="宋体" w:hAnsi="宋体" w:eastAsia="宋体" w:cs="宋体"/>
          <w:b/>
          <w:bCs/>
          <w:color w:val="auto"/>
          <w:szCs w:val="21"/>
        </w:rPr>
        <w:t>注：1.上表列出的人员，需附其资格证书</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如有</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和缴纳社保证明</w:t>
      </w:r>
      <w:r>
        <w:rPr>
          <w:rFonts w:hint="eastAsia" w:ascii="宋体" w:hAnsi="宋体" w:eastAsia="宋体" w:cs="宋体"/>
          <w:b/>
          <w:bCs/>
          <w:color w:val="auto"/>
          <w:szCs w:val="21"/>
        </w:rPr>
        <w:t>。</w:t>
      </w:r>
    </w:p>
    <w:p w14:paraId="4F595733">
      <w:pPr>
        <w:keepNext w:val="0"/>
        <w:keepLines w:val="0"/>
        <w:pageBreakBefore w:val="0"/>
        <w:widowControl w:val="0"/>
        <w:kinsoku/>
        <w:wordWrap/>
        <w:overflowPunct/>
        <w:topLinePunct w:val="0"/>
        <w:autoSpaceDE/>
        <w:autoSpaceDN/>
        <w:bidi w:val="0"/>
        <w:snapToGrid/>
        <w:spacing w:line="360" w:lineRule="auto"/>
        <w:ind w:firstLine="422" w:firstLineChars="200"/>
        <w:jc w:val="left"/>
        <w:textAlignment w:val="auto"/>
        <w:outlineLvl w:val="9"/>
        <w:rPr>
          <w:rFonts w:ascii="宋体" w:hAnsi="宋体" w:eastAsia="宋体" w:cs="宋体"/>
          <w:b/>
          <w:bCs/>
          <w:color w:val="auto"/>
          <w:szCs w:val="21"/>
        </w:rPr>
      </w:pPr>
      <w:r>
        <w:rPr>
          <w:rFonts w:hint="eastAsia" w:ascii="宋体" w:hAnsi="宋体" w:eastAsia="宋体" w:cs="宋体"/>
          <w:b/>
          <w:bCs/>
          <w:color w:val="auto"/>
          <w:szCs w:val="21"/>
        </w:rPr>
        <w:t>2.招标文件中要求提供上述人员在本单位服务的证明或其他材料的，应按要求在本表后提供。</w:t>
      </w:r>
    </w:p>
    <w:p w14:paraId="723A6EC5">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Style w:val="60"/>
          <w:rFonts w:ascii="宋体" w:hAnsi="宋体" w:eastAsia="宋体" w:cs="宋体"/>
          <w:color w:val="auto"/>
          <w:sz w:val="28"/>
          <w:szCs w:val="28"/>
        </w:rPr>
      </w:pPr>
    </w:p>
    <w:p w14:paraId="36A56F71">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ascii="宋体" w:hAnsi="宋体" w:eastAsia="宋体" w:cs="宋体"/>
          <w:color w:val="auto"/>
          <w:szCs w:val="21"/>
        </w:rPr>
      </w:pPr>
    </w:p>
    <w:p w14:paraId="67BE9554">
      <w:pPr>
        <w:keepNext w:val="0"/>
        <w:keepLines w:val="0"/>
        <w:pageBreakBefore w:val="0"/>
        <w:widowControl w:val="0"/>
        <w:kinsoku/>
        <w:wordWrap/>
        <w:overflowPunct/>
        <w:topLinePunct w:val="0"/>
        <w:autoSpaceDE/>
        <w:autoSpaceDN/>
        <w:bidi w:val="0"/>
        <w:adjustRightInd w:val="0"/>
        <w:snapToGrid/>
        <w:spacing w:line="360" w:lineRule="auto"/>
        <w:ind w:firstLine="643" w:firstLineChars="200"/>
        <w:jc w:val="center"/>
        <w:textAlignment w:val="auto"/>
        <w:outlineLvl w:val="9"/>
        <w:rPr>
          <w:rFonts w:ascii="宋体" w:hAnsi="宋体" w:eastAsia="宋体" w:cs="宋体"/>
          <w:b/>
          <w:bCs/>
          <w:color w:val="auto"/>
          <w:sz w:val="32"/>
          <w:szCs w:val="32"/>
          <w:lang w:val="zh-CN"/>
        </w:rPr>
        <w:sectPr>
          <w:pgSz w:w="11906" w:h="16838"/>
          <w:pgMar w:top="1440" w:right="1106" w:bottom="1440" w:left="1800" w:header="851" w:footer="992" w:gutter="0"/>
          <w:pgNumType w:fmt="decimal"/>
          <w:cols w:space="720" w:num="1"/>
          <w:docGrid w:type="lines" w:linePitch="312" w:charSpace="0"/>
        </w:sectPr>
      </w:pPr>
    </w:p>
    <w:p w14:paraId="168478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eastAsia="宋体" w:cs="宋体"/>
          <w:b/>
          <w:color w:val="auto"/>
          <w:sz w:val="28"/>
          <w:szCs w:val="28"/>
        </w:rPr>
      </w:pPr>
      <w:r>
        <w:rPr>
          <w:rFonts w:hint="eastAsia" w:ascii="宋体" w:hAnsi="宋体" w:eastAsia="宋体" w:cs="宋体"/>
          <w:b/>
          <w:bCs/>
          <w:color w:val="auto"/>
          <w:sz w:val="30"/>
          <w:szCs w:val="30"/>
          <w:lang w:val="en-US" w:eastAsia="zh-CN"/>
        </w:rPr>
        <w:t>六</w:t>
      </w:r>
      <w:r>
        <w:rPr>
          <w:rFonts w:hint="eastAsia" w:ascii="宋体" w:hAnsi="宋体" w:eastAsia="宋体" w:cs="宋体"/>
          <w:b/>
          <w:bCs/>
          <w:color w:val="auto"/>
          <w:sz w:val="30"/>
          <w:szCs w:val="30"/>
          <w:lang w:val="zh-CN"/>
        </w:rPr>
        <w:t>、</w:t>
      </w:r>
      <w:r>
        <w:rPr>
          <w:rFonts w:hint="eastAsia" w:ascii="宋体" w:hAnsi="宋体" w:eastAsia="宋体" w:cs="宋体"/>
          <w:b/>
          <w:bCs/>
          <w:color w:val="auto"/>
          <w:sz w:val="30"/>
          <w:szCs w:val="30"/>
        </w:rPr>
        <w:t>商务条款偏离表</w:t>
      </w:r>
    </w:p>
    <w:p w14:paraId="6BB638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宋体"/>
          <w:b/>
          <w:color w:val="auto"/>
          <w:sz w:val="24"/>
          <w:szCs w:val="28"/>
        </w:rPr>
      </w:pPr>
    </w:p>
    <w:p w14:paraId="130FF20B">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outlineLvl w:val="9"/>
        <w:rPr>
          <w:rFonts w:cs="宋体" w:asciiTheme="minorEastAsia" w:hAnsiTheme="minorEastAsia"/>
          <w:b/>
          <w:bCs/>
          <w:color w:val="auto"/>
          <w:szCs w:val="21"/>
          <w:highlight w:val="yellow"/>
        </w:rPr>
      </w:pPr>
    </w:p>
    <w:p w14:paraId="39FD655D">
      <w:pPr>
        <w:pStyle w:val="1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bCs/>
          <w:color w:val="auto"/>
          <w:sz w:val="21"/>
          <w:szCs w:val="21"/>
          <w:u w:val="single"/>
        </w:rPr>
      </w:pPr>
      <w:r>
        <w:rPr>
          <w:rFonts w:hint="eastAsia" w:ascii="宋体" w:hAnsi="宋体" w:eastAsia="宋体" w:cs="宋体"/>
          <w:color w:val="auto"/>
          <w:sz w:val="21"/>
          <w:szCs w:val="21"/>
        </w:rPr>
        <w:t>项目名称：                              项目编号：</w:t>
      </w:r>
      <w:r>
        <w:rPr>
          <w:rFonts w:hint="eastAsia" w:cs="宋体" w:asciiTheme="minorEastAsia" w:hAnsiTheme="minorEastAsia"/>
          <w:color w:val="auto"/>
          <w:sz w:val="21"/>
          <w:szCs w:val="21"/>
        </w:rPr>
        <w:t xml:space="preserve"> </w:t>
      </w:r>
    </w:p>
    <w:tbl>
      <w:tblPr>
        <w:tblStyle w:val="2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347"/>
        <w:gridCol w:w="2378"/>
        <w:gridCol w:w="1455"/>
        <w:gridCol w:w="1470"/>
      </w:tblGrid>
      <w:tr w14:paraId="671E9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14C6EF3C">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lang w:val="zh-CN"/>
              </w:rPr>
            </w:pPr>
            <w:r>
              <w:rPr>
                <w:rFonts w:hint="eastAsia" w:cs="宋体" w:asciiTheme="minorEastAsia" w:hAnsiTheme="minorEastAsia"/>
                <w:color w:val="auto"/>
                <w:szCs w:val="21"/>
                <w:lang w:val="zh-CN"/>
              </w:rPr>
              <w:t>序号</w:t>
            </w:r>
          </w:p>
        </w:tc>
        <w:tc>
          <w:tcPr>
            <w:tcW w:w="2347" w:type="dxa"/>
            <w:tcMar>
              <w:top w:w="15" w:type="dxa"/>
              <w:left w:w="15" w:type="dxa"/>
              <w:bottom w:w="0" w:type="dxa"/>
              <w:right w:w="15" w:type="dxa"/>
            </w:tcMar>
            <w:vAlign w:val="center"/>
          </w:tcPr>
          <w:p w14:paraId="76DC229E">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lang w:val="zh-CN"/>
              </w:rPr>
            </w:pPr>
            <w:r>
              <w:rPr>
                <w:rFonts w:hint="eastAsia" w:cs="宋体" w:asciiTheme="minorEastAsia" w:hAnsiTheme="minorEastAsia"/>
                <w:color w:val="auto"/>
                <w:szCs w:val="21"/>
                <w:lang w:val="zh-CN"/>
              </w:rPr>
              <w:t>招标文件商务要求</w:t>
            </w:r>
          </w:p>
        </w:tc>
        <w:tc>
          <w:tcPr>
            <w:tcW w:w="2378" w:type="dxa"/>
            <w:tcMar>
              <w:top w:w="15" w:type="dxa"/>
              <w:left w:w="15" w:type="dxa"/>
              <w:bottom w:w="0" w:type="dxa"/>
              <w:right w:w="15" w:type="dxa"/>
            </w:tcMar>
            <w:vAlign w:val="center"/>
          </w:tcPr>
          <w:p w14:paraId="60FF0928">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lang w:val="zh-CN"/>
              </w:rPr>
            </w:pPr>
            <w:r>
              <w:rPr>
                <w:rFonts w:hint="eastAsia" w:cs="宋体" w:asciiTheme="minorEastAsia" w:hAnsiTheme="minorEastAsia"/>
                <w:color w:val="auto"/>
                <w:szCs w:val="21"/>
                <w:lang w:val="zh-CN"/>
              </w:rPr>
              <w:t>投标文件商务应答</w:t>
            </w:r>
          </w:p>
        </w:tc>
        <w:tc>
          <w:tcPr>
            <w:tcW w:w="1455" w:type="dxa"/>
            <w:tcMar>
              <w:top w:w="15" w:type="dxa"/>
              <w:left w:w="15" w:type="dxa"/>
              <w:bottom w:w="0" w:type="dxa"/>
              <w:right w:w="15" w:type="dxa"/>
            </w:tcMar>
            <w:vAlign w:val="center"/>
          </w:tcPr>
          <w:p w14:paraId="12FC4041">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lang w:val="zh-CN"/>
              </w:rPr>
            </w:pPr>
            <w:r>
              <w:rPr>
                <w:rFonts w:hint="eastAsia" w:cs="宋体" w:asciiTheme="minorEastAsia" w:hAnsiTheme="minorEastAsia"/>
                <w:color w:val="auto"/>
                <w:szCs w:val="21"/>
                <w:lang w:val="zh-CN"/>
              </w:rPr>
              <w:t>偏离情况</w:t>
            </w:r>
          </w:p>
        </w:tc>
        <w:tc>
          <w:tcPr>
            <w:tcW w:w="1470" w:type="dxa"/>
            <w:tcMar>
              <w:top w:w="15" w:type="dxa"/>
              <w:left w:w="15" w:type="dxa"/>
              <w:bottom w:w="0" w:type="dxa"/>
              <w:right w:w="15" w:type="dxa"/>
            </w:tcMar>
            <w:vAlign w:val="center"/>
          </w:tcPr>
          <w:p w14:paraId="328EBA81">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lang w:val="zh-CN"/>
              </w:rPr>
            </w:pPr>
            <w:r>
              <w:rPr>
                <w:rFonts w:hint="eastAsia" w:cs="宋体" w:asciiTheme="minorEastAsia" w:hAnsiTheme="minorEastAsia"/>
                <w:color w:val="auto"/>
                <w:szCs w:val="21"/>
                <w:lang w:val="zh-CN"/>
              </w:rPr>
              <w:t>说明</w:t>
            </w:r>
          </w:p>
        </w:tc>
      </w:tr>
      <w:tr w14:paraId="30CEF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E9288F1">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1</w:t>
            </w:r>
          </w:p>
        </w:tc>
        <w:tc>
          <w:tcPr>
            <w:tcW w:w="2347" w:type="dxa"/>
            <w:tcMar>
              <w:top w:w="15" w:type="dxa"/>
              <w:left w:w="15" w:type="dxa"/>
              <w:bottom w:w="0" w:type="dxa"/>
              <w:right w:w="15" w:type="dxa"/>
            </w:tcMar>
            <w:vAlign w:val="center"/>
          </w:tcPr>
          <w:p w14:paraId="65FBF753">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2378" w:type="dxa"/>
            <w:tcMar>
              <w:top w:w="15" w:type="dxa"/>
              <w:left w:w="15" w:type="dxa"/>
              <w:bottom w:w="0" w:type="dxa"/>
              <w:right w:w="15" w:type="dxa"/>
            </w:tcMar>
            <w:vAlign w:val="center"/>
          </w:tcPr>
          <w:p w14:paraId="44093CA4">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c>
          <w:tcPr>
            <w:tcW w:w="1455" w:type="dxa"/>
            <w:tcMar>
              <w:top w:w="15" w:type="dxa"/>
              <w:left w:w="15" w:type="dxa"/>
              <w:bottom w:w="0" w:type="dxa"/>
              <w:right w:w="15" w:type="dxa"/>
            </w:tcMar>
            <w:vAlign w:val="center"/>
          </w:tcPr>
          <w:p w14:paraId="12AB6D7A">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1470" w:type="dxa"/>
            <w:tcMar>
              <w:top w:w="15" w:type="dxa"/>
              <w:left w:w="15" w:type="dxa"/>
              <w:bottom w:w="0" w:type="dxa"/>
              <w:right w:w="15" w:type="dxa"/>
            </w:tcMar>
            <w:vAlign w:val="center"/>
          </w:tcPr>
          <w:p w14:paraId="1693F966">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r>
      <w:tr w14:paraId="2239C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EAF1A0F">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2</w:t>
            </w:r>
          </w:p>
        </w:tc>
        <w:tc>
          <w:tcPr>
            <w:tcW w:w="2347" w:type="dxa"/>
            <w:tcMar>
              <w:top w:w="15" w:type="dxa"/>
              <w:left w:w="15" w:type="dxa"/>
              <w:bottom w:w="0" w:type="dxa"/>
              <w:right w:w="15" w:type="dxa"/>
            </w:tcMar>
            <w:vAlign w:val="center"/>
          </w:tcPr>
          <w:p w14:paraId="4D694903">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2378" w:type="dxa"/>
            <w:tcMar>
              <w:top w:w="15" w:type="dxa"/>
              <w:left w:w="15" w:type="dxa"/>
              <w:bottom w:w="0" w:type="dxa"/>
              <w:right w:w="15" w:type="dxa"/>
            </w:tcMar>
            <w:vAlign w:val="center"/>
          </w:tcPr>
          <w:p w14:paraId="69F02734">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c>
          <w:tcPr>
            <w:tcW w:w="1455" w:type="dxa"/>
            <w:tcMar>
              <w:top w:w="15" w:type="dxa"/>
              <w:left w:w="15" w:type="dxa"/>
              <w:bottom w:w="0" w:type="dxa"/>
              <w:right w:w="15" w:type="dxa"/>
            </w:tcMar>
            <w:vAlign w:val="center"/>
          </w:tcPr>
          <w:p w14:paraId="3F497177">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1470" w:type="dxa"/>
            <w:tcMar>
              <w:top w:w="15" w:type="dxa"/>
              <w:left w:w="15" w:type="dxa"/>
              <w:bottom w:w="0" w:type="dxa"/>
              <w:right w:w="15" w:type="dxa"/>
            </w:tcMar>
            <w:vAlign w:val="center"/>
          </w:tcPr>
          <w:p w14:paraId="67DE6798">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r>
      <w:tr w14:paraId="421F5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432D7BE">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3</w:t>
            </w:r>
          </w:p>
        </w:tc>
        <w:tc>
          <w:tcPr>
            <w:tcW w:w="2347" w:type="dxa"/>
            <w:tcMar>
              <w:top w:w="15" w:type="dxa"/>
              <w:left w:w="15" w:type="dxa"/>
              <w:bottom w:w="0" w:type="dxa"/>
              <w:right w:w="15" w:type="dxa"/>
            </w:tcMar>
            <w:vAlign w:val="center"/>
          </w:tcPr>
          <w:p w14:paraId="44FC902F">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2378" w:type="dxa"/>
            <w:tcMar>
              <w:top w:w="15" w:type="dxa"/>
              <w:left w:w="15" w:type="dxa"/>
              <w:bottom w:w="0" w:type="dxa"/>
              <w:right w:w="15" w:type="dxa"/>
            </w:tcMar>
            <w:vAlign w:val="center"/>
          </w:tcPr>
          <w:p w14:paraId="610229A7">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c>
          <w:tcPr>
            <w:tcW w:w="1455" w:type="dxa"/>
            <w:tcMar>
              <w:top w:w="15" w:type="dxa"/>
              <w:left w:w="15" w:type="dxa"/>
              <w:bottom w:w="0" w:type="dxa"/>
              <w:right w:w="15" w:type="dxa"/>
            </w:tcMar>
            <w:vAlign w:val="center"/>
          </w:tcPr>
          <w:p w14:paraId="6C5CABC6">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1470" w:type="dxa"/>
            <w:tcMar>
              <w:top w:w="15" w:type="dxa"/>
              <w:left w:w="15" w:type="dxa"/>
              <w:bottom w:w="0" w:type="dxa"/>
              <w:right w:w="15" w:type="dxa"/>
            </w:tcMar>
            <w:vAlign w:val="center"/>
          </w:tcPr>
          <w:p w14:paraId="3A5004F5">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r>
      <w:tr w14:paraId="584F3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1FAB80F3">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4</w:t>
            </w:r>
          </w:p>
        </w:tc>
        <w:tc>
          <w:tcPr>
            <w:tcW w:w="2347" w:type="dxa"/>
            <w:tcMar>
              <w:top w:w="15" w:type="dxa"/>
              <w:left w:w="15" w:type="dxa"/>
              <w:bottom w:w="0" w:type="dxa"/>
              <w:right w:w="15" w:type="dxa"/>
            </w:tcMar>
            <w:vAlign w:val="center"/>
          </w:tcPr>
          <w:p w14:paraId="6B27978A">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2378" w:type="dxa"/>
            <w:tcMar>
              <w:top w:w="15" w:type="dxa"/>
              <w:left w:w="15" w:type="dxa"/>
              <w:bottom w:w="0" w:type="dxa"/>
              <w:right w:w="15" w:type="dxa"/>
            </w:tcMar>
            <w:vAlign w:val="center"/>
          </w:tcPr>
          <w:p w14:paraId="4564F45A">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c>
          <w:tcPr>
            <w:tcW w:w="1455" w:type="dxa"/>
            <w:tcMar>
              <w:top w:w="15" w:type="dxa"/>
              <w:left w:w="15" w:type="dxa"/>
              <w:bottom w:w="0" w:type="dxa"/>
              <w:right w:w="15" w:type="dxa"/>
            </w:tcMar>
            <w:vAlign w:val="center"/>
          </w:tcPr>
          <w:p w14:paraId="787BECA3">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1470" w:type="dxa"/>
            <w:tcMar>
              <w:top w:w="15" w:type="dxa"/>
              <w:left w:w="15" w:type="dxa"/>
              <w:bottom w:w="0" w:type="dxa"/>
              <w:right w:w="15" w:type="dxa"/>
            </w:tcMar>
            <w:vAlign w:val="center"/>
          </w:tcPr>
          <w:p w14:paraId="1A44239F">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r>
      <w:tr w14:paraId="27336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7380F26C">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5</w:t>
            </w:r>
          </w:p>
        </w:tc>
        <w:tc>
          <w:tcPr>
            <w:tcW w:w="2347" w:type="dxa"/>
            <w:tcMar>
              <w:top w:w="15" w:type="dxa"/>
              <w:left w:w="15" w:type="dxa"/>
              <w:bottom w:w="0" w:type="dxa"/>
              <w:right w:w="15" w:type="dxa"/>
            </w:tcMar>
            <w:vAlign w:val="center"/>
          </w:tcPr>
          <w:p w14:paraId="271D9D76">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2378" w:type="dxa"/>
            <w:tcMar>
              <w:top w:w="15" w:type="dxa"/>
              <w:left w:w="15" w:type="dxa"/>
              <w:bottom w:w="0" w:type="dxa"/>
              <w:right w:w="15" w:type="dxa"/>
            </w:tcMar>
            <w:vAlign w:val="center"/>
          </w:tcPr>
          <w:p w14:paraId="5ADC990E">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c>
          <w:tcPr>
            <w:tcW w:w="1455" w:type="dxa"/>
            <w:tcMar>
              <w:top w:w="15" w:type="dxa"/>
              <w:left w:w="15" w:type="dxa"/>
              <w:bottom w:w="0" w:type="dxa"/>
              <w:right w:w="15" w:type="dxa"/>
            </w:tcMar>
            <w:vAlign w:val="center"/>
          </w:tcPr>
          <w:p w14:paraId="030D4770">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1470" w:type="dxa"/>
            <w:tcMar>
              <w:top w:w="15" w:type="dxa"/>
              <w:left w:w="15" w:type="dxa"/>
              <w:bottom w:w="0" w:type="dxa"/>
              <w:right w:w="15" w:type="dxa"/>
            </w:tcMar>
            <w:vAlign w:val="center"/>
          </w:tcPr>
          <w:p w14:paraId="3E5067AE">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r>
      <w:tr w14:paraId="73847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F2B842F">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w:t>
            </w:r>
          </w:p>
        </w:tc>
        <w:tc>
          <w:tcPr>
            <w:tcW w:w="2347" w:type="dxa"/>
            <w:tcMar>
              <w:top w:w="15" w:type="dxa"/>
              <w:left w:w="15" w:type="dxa"/>
              <w:bottom w:w="0" w:type="dxa"/>
              <w:right w:w="15" w:type="dxa"/>
            </w:tcMar>
            <w:vAlign w:val="center"/>
          </w:tcPr>
          <w:p w14:paraId="703547FB">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2378" w:type="dxa"/>
            <w:tcMar>
              <w:top w:w="15" w:type="dxa"/>
              <w:left w:w="15" w:type="dxa"/>
              <w:bottom w:w="0" w:type="dxa"/>
              <w:right w:w="15" w:type="dxa"/>
            </w:tcMar>
            <w:vAlign w:val="center"/>
          </w:tcPr>
          <w:p w14:paraId="4D7C2B8A">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c>
          <w:tcPr>
            <w:tcW w:w="1455" w:type="dxa"/>
            <w:tcMar>
              <w:top w:w="15" w:type="dxa"/>
              <w:left w:w="15" w:type="dxa"/>
              <w:bottom w:w="0" w:type="dxa"/>
              <w:right w:w="15" w:type="dxa"/>
            </w:tcMar>
            <w:vAlign w:val="center"/>
          </w:tcPr>
          <w:p w14:paraId="666D4B11">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p>
        </w:tc>
        <w:tc>
          <w:tcPr>
            <w:tcW w:w="1470" w:type="dxa"/>
            <w:tcMar>
              <w:top w:w="15" w:type="dxa"/>
              <w:left w:w="15" w:type="dxa"/>
              <w:bottom w:w="0" w:type="dxa"/>
              <w:right w:w="15" w:type="dxa"/>
            </w:tcMar>
            <w:vAlign w:val="center"/>
          </w:tcPr>
          <w:p w14:paraId="578A1D02">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w:t>
            </w:r>
          </w:p>
        </w:tc>
      </w:tr>
    </w:tbl>
    <w:p w14:paraId="03A61BE6">
      <w:pPr>
        <w:pStyle w:val="11"/>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bCs/>
          <w:color w:val="auto"/>
          <w:szCs w:val="21"/>
        </w:rPr>
      </w:pPr>
      <w:r>
        <w:rPr>
          <w:rFonts w:hint="eastAsia" w:cs="宋体" w:asciiTheme="minorEastAsia" w:hAnsiTheme="minorEastAsia"/>
          <w:bCs/>
          <w:color w:val="auto"/>
          <w:szCs w:val="21"/>
        </w:rPr>
        <w:t>注：</w:t>
      </w:r>
    </w:p>
    <w:p w14:paraId="68FB570A">
      <w:pPr>
        <w:pStyle w:val="11"/>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rPr>
        <w:t>1.“招标文件商务要求”一栏应按照招标文件第</w:t>
      </w:r>
      <w:r>
        <w:rPr>
          <w:rFonts w:hint="eastAsia" w:cs="宋体" w:asciiTheme="minorEastAsia" w:hAnsiTheme="minorEastAsia"/>
          <w:bCs/>
          <w:color w:val="auto"/>
          <w:szCs w:val="21"/>
          <w:highlight w:val="none"/>
          <w:lang w:val="en-US" w:eastAsia="zh-CN"/>
        </w:rPr>
        <w:t>五</w:t>
      </w:r>
      <w:r>
        <w:rPr>
          <w:rFonts w:hint="eastAsia" w:cs="宋体" w:asciiTheme="minorEastAsia" w:hAnsiTheme="minorEastAsia"/>
          <w:bCs/>
          <w:color w:val="auto"/>
          <w:szCs w:val="21"/>
          <w:highlight w:val="none"/>
        </w:rPr>
        <w:t>章《</w:t>
      </w:r>
      <w:r>
        <w:rPr>
          <w:rFonts w:hint="eastAsia" w:cs="宋体" w:asciiTheme="minorEastAsia" w:hAnsiTheme="minorEastAsia"/>
          <w:bCs/>
          <w:color w:val="auto"/>
          <w:szCs w:val="21"/>
          <w:highlight w:val="none"/>
          <w:lang w:val="en-US" w:eastAsia="zh-CN"/>
        </w:rPr>
        <w:t>服务</w:t>
      </w:r>
      <w:r>
        <w:rPr>
          <w:rFonts w:hint="eastAsia" w:cs="宋体" w:asciiTheme="minorEastAsia" w:hAnsiTheme="minorEastAsia"/>
          <w:bCs/>
          <w:color w:val="auto"/>
          <w:szCs w:val="21"/>
          <w:highlight w:val="none"/>
        </w:rPr>
        <w:t>需求》中商务要求的内容逐项填写</w:t>
      </w:r>
      <w:r>
        <w:rPr>
          <w:rFonts w:hint="eastAsia" w:cs="宋体" w:asciiTheme="minorEastAsia" w:hAnsiTheme="minorEastAsia"/>
          <w:bCs/>
          <w:color w:val="auto"/>
          <w:szCs w:val="21"/>
          <w:highlight w:val="none"/>
          <w:lang w:val="zh-CN"/>
        </w:rPr>
        <w:t>，否则按照投标无效处理。</w:t>
      </w:r>
    </w:p>
    <w:p w14:paraId="0117DD2E">
      <w:pPr>
        <w:pStyle w:val="11"/>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rPr>
        <w:t>2.“投标文件商务应答”一栏必须</w:t>
      </w:r>
      <w:r>
        <w:rPr>
          <w:rFonts w:hint="eastAsia" w:cs="宋体" w:asciiTheme="minorEastAsia" w:hAnsiTheme="minorEastAsia"/>
          <w:bCs/>
          <w:color w:val="auto"/>
          <w:szCs w:val="21"/>
          <w:highlight w:val="none"/>
          <w:lang w:val="zh-CN"/>
        </w:rPr>
        <w:t>如实</w:t>
      </w:r>
      <w:r>
        <w:rPr>
          <w:rFonts w:hint="eastAsia" w:cs="宋体" w:asciiTheme="minorEastAsia" w:hAnsiTheme="minorEastAsia"/>
          <w:bCs/>
          <w:color w:val="auto"/>
          <w:szCs w:val="21"/>
          <w:highlight w:val="none"/>
        </w:rPr>
        <w:t>并按照商务要求的内容逐项填写投标商务条款的应答内容</w:t>
      </w:r>
      <w:r>
        <w:rPr>
          <w:rFonts w:hint="eastAsia" w:cs="宋体" w:asciiTheme="minorEastAsia" w:hAnsiTheme="minorEastAsia"/>
          <w:bCs/>
          <w:color w:val="auto"/>
          <w:szCs w:val="21"/>
          <w:highlight w:val="none"/>
          <w:lang w:val="zh-CN"/>
        </w:rPr>
        <w:t>，否则按照投标无效处理。</w:t>
      </w:r>
    </w:p>
    <w:p w14:paraId="5AF0ADA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bCs/>
          <w:color w:val="auto"/>
          <w:szCs w:val="21"/>
          <w:lang w:val="zh-CN"/>
        </w:rPr>
      </w:pPr>
      <w:r>
        <w:rPr>
          <w:rFonts w:hint="eastAsia" w:cs="宋体" w:asciiTheme="minorEastAsia" w:hAnsiTheme="minorEastAsia"/>
          <w:bCs/>
          <w:color w:val="auto"/>
          <w:szCs w:val="21"/>
          <w:highlight w:val="none"/>
          <w:lang w:val="zh-CN"/>
        </w:rPr>
        <w:t>3.“偏离情况”</w:t>
      </w:r>
      <w:r>
        <w:rPr>
          <w:rFonts w:hint="eastAsia" w:cs="宋体" w:asciiTheme="minorEastAsia" w:hAnsiTheme="minorEastAsia"/>
          <w:bCs/>
          <w:color w:val="auto"/>
          <w:szCs w:val="21"/>
          <w:highlight w:val="none"/>
        </w:rPr>
        <w:t>一</w:t>
      </w:r>
      <w:r>
        <w:rPr>
          <w:rFonts w:hint="eastAsia" w:cs="宋体" w:asciiTheme="minorEastAsia" w:hAnsiTheme="minorEastAsia"/>
          <w:bCs/>
          <w:color w:val="auto"/>
          <w:szCs w:val="21"/>
          <w:highlight w:val="none"/>
          <w:lang w:val="zh-CN"/>
        </w:rPr>
        <w:t>栏中</w:t>
      </w:r>
      <w:r>
        <w:rPr>
          <w:rFonts w:hint="eastAsia" w:cs="宋体" w:asciiTheme="minorEastAsia" w:hAnsiTheme="minorEastAsia"/>
          <w:bCs/>
          <w:color w:val="auto"/>
          <w:szCs w:val="21"/>
          <w:highlight w:val="none"/>
        </w:rPr>
        <w:t>必须</w:t>
      </w:r>
      <w:r>
        <w:rPr>
          <w:rFonts w:hint="eastAsia" w:cs="宋体" w:asciiTheme="minorEastAsia" w:hAnsiTheme="minorEastAsia"/>
          <w:bCs/>
          <w:color w:val="auto"/>
          <w:szCs w:val="21"/>
          <w:highlight w:val="none"/>
          <w:lang w:val="zh-CN"/>
        </w:rPr>
        <w:t>如实</w:t>
      </w:r>
      <w:r>
        <w:rPr>
          <w:rFonts w:hint="eastAsia" w:cs="宋体" w:asciiTheme="minorEastAsia" w:hAnsiTheme="minorEastAsia"/>
          <w:bCs/>
          <w:color w:val="auto"/>
          <w:szCs w:val="21"/>
          <w:highlight w:val="none"/>
        </w:rPr>
        <w:t>并按照商务要求的内容逐项</w:t>
      </w:r>
      <w:r>
        <w:rPr>
          <w:rFonts w:hint="eastAsia" w:cs="宋体" w:asciiTheme="minorEastAsia" w:hAnsiTheme="minorEastAsia"/>
          <w:bCs/>
          <w:color w:val="auto"/>
          <w:szCs w:val="21"/>
          <w:highlight w:val="none"/>
          <w:lang w:val="zh-CN"/>
        </w:rPr>
        <w:t>填写“正偏离”“负偏离”或“无偏离”，招标文件</w:t>
      </w:r>
      <w:r>
        <w:rPr>
          <w:rFonts w:hint="eastAsia" w:cs="宋体" w:asciiTheme="minorEastAsia" w:hAnsiTheme="minorEastAsia"/>
          <w:bCs/>
          <w:color w:val="auto"/>
          <w:szCs w:val="21"/>
          <w:highlight w:val="none"/>
        </w:rPr>
        <w:t>第</w:t>
      </w:r>
      <w:r>
        <w:rPr>
          <w:rFonts w:hint="eastAsia" w:cs="宋体" w:asciiTheme="minorEastAsia" w:hAnsiTheme="minorEastAsia"/>
          <w:bCs/>
          <w:color w:val="auto"/>
          <w:szCs w:val="21"/>
          <w:highlight w:val="none"/>
          <w:lang w:val="en-US" w:eastAsia="zh-CN"/>
        </w:rPr>
        <w:t>五</w:t>
      </w:r>
      <w:r>
        <w:rPr>
          <w:rFonts w:hint="eastAsia" w:cs="宋体" w:asciiTheme="minorEastAsia" w:hAnsiTheme="minorEastAsia"/>
          <w:bCs/>
          <w:color w:val="auto"/>
          <w:szCs w:val="21"/>
          <w:highlight w:val="none"/>
        </w:rPr>
        <w:t>章《</w:t>
      </w:r>
      <w:r>
        <w:rPr>
          <w:rFonts w:hint="eastAsia" w:cs="宋体" w:asciiTheme="minorEastAsia" w:hAnsiTheme="minorEastAsia"/>
          <w:bCs/>
          <w:color w:val="auto"/>
          <w:szCs w:val="21"/>
          <w:highlight w:val="none"/>
          <w:lang w:val="en-US" w:eastAsia="zh-CN"/>
        </w:rPr>
        <w:t>服务</w:t>
      </w:r>
      <w:r>
        <w:rPr>
          <w:rFonts w:hint="eastAsia" w:cs="宋体" w:asciiTheme="minorEastAsia" w:hAnsiTheme="minorEastAsia"/>
          <w:bCs/>
          <w:color w:val="auto"/>
          <w:szCs w:val="21"/>
          <w:highlight w:val="none"/>
        </w:rPr>
        <w:t>需求》</w:t>
      </w:r>
      <w:r>
        <w:rPr>
          <w:rFonts w:hint="eastAsia" w:cs="宋体" w:asciiTheme="minorEastAsia" w:hAnsiTheme="minorEastAsia"/>
          <w:bCs/>
          <w:color w:val="auto"/>
          <w:szCs w:val="21"/>
          <w:highlight w:val="none"/>
          <w:lang w:val="zh-CN"/>
        </w:rPr>
        <w:t>中商务要</w:t>
      </w:r>
      <w:r>
        <w:rPr>
          <w:rFonts w:hint="eastAsia" w:cs="宋体" w:asciiTheme="minorEastAsia" w:hAnsiTheme="minorEastAsia"/>
          <w:bCs/>
          <w:color w:val="auto"/>
          <w:szCs w:val="21"/>
          <w:lang w:val="zh-CN"/>
        </w:rPr>
        <w:t>求内容均为实质性条款，投标人的投标必须完全满足或者正偏离，否则按照投标无效处理。</w:t>
      </w:r>
    </w:p>
    <w:p w14:paraId="3007866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bCs/>
          <w:color w:val="auto"/>
          <w:szCs w:val="21"/>
        </w:rPr>
      </w:pPr>
      <w:r>
        <w:rPr>
          <w:rFonts w:hint="eastAsia" w:cs="宋体" w:asciiTheme="minorEastAsia" w:hAnsiTheme="minorEastAsia"/>
          <w:bCs/>
          <w:color w:val="auto"/>
          <w:szCs w:val="21"/>
        </w:rPr>
        <w:t>4.“说明”一</w:t>
      </w:r>
      <w:r>
        <w:rPr>
          <w:rFonts w:hint="eastAsia" w:cs="宋体" w:asciiTheme="minorEastAsia" w:hAnsiTheme="minorEastAsia"/>
          <w:bCs/>
          <w:color w:val="auto"/>
          <w:szCs w:val="21"/>
          <w:lang w:val="zh-CN"/>
        </w:rPr>
        <w:t>栏中</w:t>
      </w:r>
      <w:r>
        <w:rPr>
          <w:rFonts w:hint="eastAsia" w:cs="宋体" w:asciiTheme="minorEastAsia" w:hAnsiTheme="minorEastAsia"/>
          <w:bCs/>
          <w:color w:val="auto"/>
          <w:szCs w:val="21"/>
        </w:rPr>
        <w:t>为除以上所述内容外，投标人认为本表格需要提供的其他内容。</w:t>
      </w:r>
    </w:p>
    <w:p w14:paraId="6F57644F">
      <w:pPr>
        <w:pStyle w:val="11"/>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bCs/>
          <w:color w:val="auto"/>
          <w:szCs w:val="21"/>
        </w:rPr>
      </w:pPr>
    </w:p>
    <w:p w14:paraId="5C0A063E">
      <w:pPr>
        <w:pStyle w:val="11"/>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xml:space="preserve">   </w:t>
      </w:r>
    </w:p>
    <w:p w14:paraId="5A2FF9E4">
      <w:pPr>
        <w:pStyle w:val="11"/>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color w:val="auto"/>
          <w:szCs w:val="21"/>
        </w:rPr>
      </w:pPr>
    </w:p>
    <w:p w14:paraId="293EFD0D">
      <w:pPr>
        <w:pStyle w:val="11"/>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color w:val="auto"/>
          <w:szCs w:val="21"/>
        </w:rPr>
      </w:pPr>
    </w:p>
    <w:p w14:paraId="61187A5F">
      <w:pPr>
        <w:pStyle w:val="11"/>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color w:val="auto"/>
          <w:szCs w:val="21"/>
        </w:rPr>
      </w:pPr>
    </w:p>
    <w:p w14:paraId="5EB53E3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color w:val="auto"/>
          <w:szCs w:val="21"/>
          <w:u w:val="single"/>
        </w:rPr>
      </w:pPr>
      <w:r>
        <w:rPr>
          <w:rFonts w:hint="eastAsia" w:cs="宋体" w:asciiTheme="minorEastAsia" w:hAnsiTheme="minorEastAsia"/>
          <w:color w:val="auto"/>
          <w:szCs w:val="21"/>
        </w:rPr>
        <w:t>投标人名称（加盖公章）：</w:t>
      </w:r>
      <w:r>
        <w:rPr>
          <w:rFonts w:hint="eastAsia" w:cs="宋体" w:asciiTheme="minorEastAsia" w:hAnsiTheme="minorEastAsia"/>
          <w:color w:val="auto"/>
          <w:szCs w:val="21"/>
          <w:u w:val="single"/>
        </w:rPr>
        <w:t xml:space="preserve">                       </w:t>
      </w:r>
    </w:p>
    <w:p w14:paraId="6501AA6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投标人法定代表人</w:t>
      </w:r>
    </w:p>
    <w:p w14:paraId="3B3777E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或授权代表（签字）  ：</w:t>
      </w:r>
      <w:r>
        <w:rPr>
          <w:rFonts w:hint="eastAsia" w:cs="宋体" w:asciiTheme="minorEastAsia" w:hAnsiTheme="minorEastAsia"/>
          <w:color w:val="auto"/>
          <w:szCs w:val="21"/>
          <w:u w:val="single"/>
        </w:rPr>
        <w:t xml:space="preserve">                       </w:t>
      </w:r>
    </w:p>
    <w:p w14:paraId="39930303">
      <w:pPr>
        <w:keepNext w:val="0"/>
        <w:keepLines w:val="0"/>
        <w:pageBreakBefore w:val="0"/>
        <w:widowControl w:val="0"/>
        <w:kinsoku/>
        <w:wordWrap/>
        <w:overflowPunct/>
        <w:topLinePunct w:val="0"/>
        <w:autoSpaceDE/>
        <w:autoSpaceDN/>
        <w:bidi w:val="0"/>
        <w:adjustRightInd/>
        <w:snapToGrid/>
        <w:ind w:firstLine="1890" w:firstLineChars="900"/>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 xml:space="preserve">  </w:t>
      </w:r>
    </w:p>
    <w:p w14:paraId="0A71E38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cs="宋体" w:asciiTheme="minorEastAsia" w:hAnsiTheme="minorEastAsia"/>
          <w:color w:val="auto"/>
          <w:szCs w:val="21"/>
        </w:rPr>
      </w:pPr>
      <w:r>
        <w:rPr>
          <w:rFonts w:hint="eastAsia" w:cs="宋体" w:asciiTheme="minorEastAsia" w:hAnsiTheme="minorEastAsia"/>
          <w:color w:val="auto"/>
          <w:szCs w:val="21"/>
        </w:rPr>
        <w:t>日期：</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年</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月</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日</w:t>
      </w:r>
    </w:p>
    <w:p w14:paraId="49CC0087">
      <w:pPr>
        <w:pStyle w:val="11"/>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color w:val="auto"/>
          <w:sz w:val="24"/>
        </w:rPr>
      </w:pPr>
    </w:p>
    <w:p w14:paraId="7CE7F0AD">
      <w:pPr>
        <w:keepNext w:val="0"/>
        <w:keepLines w:val="0"/>
        <w:pageBreakBefore w:val="0"/>
        <w:widowControl w:val="0"/>
        <w:kinsoku/>
        <w:wordWrap/>
        <w:overflowPunct/>
        <w:topLinePunct w:val="0"/>
        <w:autoSpaceDE/>
        <w:autoSpaceDN/>
        <w:bidi w:val="0"/>
        <w:adjustRightInd/>
        <w:snapToGrid/>
        <w:textAlignment w:val="auto"/>
        <w:outlineLvl w:val="9"/>
        <w:rPr>
          <w:rFonts w:cs="宋体" w:asciiTheme="minorEastAsia" w:hAnsiTheme="minorEastAsia"/>
          <w:color w:val="auto"/>
          <w:sz w:val="24"/>
        </w:rPr>
      </w:pPr>
    </w:p>
    <w:p w14:paraId="03FA53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ascii="宋体" w:hAnsi="宋体" w:eastAsia="宋体" w:cs="宋体"/>
          <w:color w:val="auto"/>
          <w:szCs w:val="21"/>
        </w:rPr>
      </w:pPr>
    </w:p>
    <w:p w14:paraId="42FD180F">
      <w:pPr>
        <w:spacing w:line="360" w:lineRule="auto"/>
        <w:ind w:firstLine="420" w:firstLineChars="200"/>
        <w:jc w:val="center"/>
        <w:rPr>
          <w:rFonts w:ascii="宋体" w:hAnsi="宋体" w:eastAsia="宋体" w:cs="宋体"/>
          <w:color w:val="auto"/>
          <w:szCs w:val="21"/>
        </w:rPr>
      </w:pPr>
    </w:p>
    <w:p w14:paraId="72E900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eastAsia="宋体" w:cs="宋体"/>
          <w:b/>
          <w:bCs/>
          <w:color w:val="auto"/>
          <w:sz w:val="30"/>
          <w:szCs w:val="30"/>
          <w:lang w:val="zh-CN"/>
        </w:rPr>
      </w:pPr>
      <w:r>
        <w:rPr>
          <w:rFonts w:hint="eastAsia" w:ascii="宋体" w:hAnsi="宋体" w:eastAsia="宋体" w:cs="宋体"/>
          <w:b/>
          <w:bCs/>
          <w:color w:val="auto"/>
          <w:sz w:val="30"/>
          <w:szCs w:val="30"/>
          <w:lang w:val="en-US" w:eastAsia="zh-CN"/>
        </w:rPr>
        <w:t>七</w:t>
      </w:r>
      <w:r>
        <w:rPr>
          <w:rFonts w:hint="eastAsia" w:ascii="宋体" w:hAnsi="宋体" w:eastAsia="宋体" w:cs="宋体"/>
          <w:b/>
          <w:bCs/>
          <w:color w:val="auto"/>
          <w:sz w:val="30"/>
          <w:szCs w:val="30"/>
        </w:rPr>
        <w:t>、技术</w:t>
      </w:r>
      <w:r>
        <w:rPr>
          <w:rFonts w:hint="eastAsia" w:ascii="宋体" w:hAnsi="宋体" w:eastAsia="宋体" w:cs="宋体"/>
          <w:b/>
          <w:bCs/>
          <w:color w:val="auto"/>
          <w:sz w:val="30"/>
          <w:szCs w:val="30"/>
          <w:lang w:val="zh-CN"/>
        </w:rPr>
        <w:t>偏离表</w:t>
      </w:r>
    </w:p>
    <w:p w14:paraId="6D2A2850">
      <w:pPr>
        <w:spacing w:line="360" w:lineRule="auto"/>
        <w:jc w:val="center"/>
        <w:outlineLvl w:val="0"/>
        <w:rPr>
          <w:rFonts w:ascii="宋体" w:hAnsi="宋体" w:eastAsia="宋体" w:cs="宋体"/>
          <w:b/>
          <w:color w:val="auto"/>
          <w:sz w:val="24"/>
          <w:szCs w:val="28"/>
        </w:rPr>
      </w:pPr>
    </w:p>
    <w:p w14:paraId="47051B50">
      <w:pPr>
        <w:spacing w:line="360" w:lineRule="auto"/>
        <w:jc w:val="center"/>
        <w:outlineLvl w:val="0"/>
        <w:rPr>
          <w:rFonts w:ascii="宋体" w:hAnsi="宋体" w:eastAsia="宋体" w:cs="宋体"/>
          <w:b/>
          <w:color w:val="auto"/>
          <w:sz w:val="24"/>
          <w:szCs w:val="28"/>
        </w:rPr>
      </w:pPr>
    </w:p>
    <w:p w14:paraId="79333BBC">
      <w:pPr>
        <w:pStyle w:val="14"/>
        <w:spacing w:line="360" w:lineRule="auto"/>
        <w:outlineLvl w:val="0"/>
        <w:rPr>
          <w:rFonts w:ascii="宋体" w:hAnsi="宋体" w:eastAsia="宋体" w:cs="宋体"/>
          <w:color w:val="auto"/>
          <w:sz w:val="21"/>
          <w:szCs w:val="21"/>
        </w:rPr>
      </w:pPr>
      <w:bookmarkStart w:id="650" w:name="_Toc18840"/>
      <w:bookmarkStart w:id="651" w:name="_Toc2898"/>
      <w:bookmarkStart w:id="652" w:name="_Toc14105"/>
      <w:r>
        <w:rPr>
          <w:rFonts w:hint="eastAsia" w:ascii="宋体" w:hAnsi="宋体" w:eastAsia="宋体" w:cs="宋体"/>
          <w:color w:val="auto"/>
          <w:sz w:val="21"/>
          <w:szCs w:val="21"/>
        </w:rPr>
        <w:t>项目名称：                              项目编号：</w:t>
      </w:r>
      <w:bookmarkEnd w:id="650"/>
      <w:bookmarkEnd w:id="651"/>
      <w:bookmarkEnd w:id="652"/>
    </w:p>
    <w:tbl>
      <w:tblPr>
        <w:tblStyle w:val="24"/>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40"/>
        <w:gridCol w:w="2572"/>
        <w:gridCol w:w="2612"/>
        <w:gridCol w:w="950"/>
        <w:gridCol w:w="669"/>
      </w:tblGrid>
      <w:tr w14:paraId="7FB2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774" w:type="dxa"/>
            <w:vAlign w:val="center"/>
          </w:tcPr>
          <w:p w14:paraId="2E0792A1">
            <w:pPr>
              <w:spacing w:line="360" w:lineRule="auto"/>
              <w:jc w:val="center"/>
              <w:outlineLvl w:val="0"/>
              <w:rPr>
                <w:rFonts w:ascii="宋体" w:hAnsi="宋体" w:eastAsia="宋体" w:cs="宋体"/>
                <w:color w:val="auto"/>
                <w:szCs w:val="21"/>
              </w:rPr>
            </w:pPr>
            <w:bookmarkStart w:id="653" w:name="_Toc1595"/>
            <w:bookmarkStart w:id="654" w:name="_Toc2633"/>
            <w:bookmarkStart w:id="655" w:name="_Toc18138"/>
            <w:r>
              <w:rPr>
                <w:rFonts w:hint="eastAsia" w:ascii="宋体" w:hAnsi="宋体" w:eastAsia="宋体" w:cs="宋体"/>
                <w:color w:val="auto"/>
                <w:szCs w:val="21"/>
              </w:rPr>
              <w:t>序号</w:t>
            </w:r>
            <w:bookmarkEnd w:id="653"/>
            <w:bookmarkEnd w:id="654"/>
            <w:bookmarkEnd w:id="655"/>
          </w:p>
        </w:tc>
        <w:tc>
          <w:tcPr>
            <w:tcW w:w="940" w:type="dxa"/>
            <w:vAlign w:val="center"/>
          </w:tcPr>
          <w:p w14:paraId="27FBDFF1">
            <w:pPr>
              <w:spacing w:line="360" w:lineRule="auto"/>
              <w:jc w:val="center"/>
              <w:outlineLvl w:val="0"/>
              <w:rPr>
                <w:rFonts w:ascii="宋体" w:hAnsi="宋体" w:eastAsia="宋体" w:cs="宋体"/>
                <w:color w:val="auto"/>
                <w:szCs w:val="21"/>
              </w:rPr>
            </w:pPr>
            <w:bookmarkStart w:id="656" w:name="_Toc20779"/>
            <w:bookmarkStart w:id="657" w:name="_Toc6560"/>
            <w:bookmarkStart w:id="658" w:name="_Toc8361"/>
            <w:r>
              <w:rPr>
                <w:rFonts w:hint="eastAsia" w:ascii="宋体" w:hAnsi="宋体" w:eastAsia="宋体" w:cs="宋体"/>
                <w:color w:val="auto"/>
                <w:szCs w:val="21"/>
              </w:rPr>
              <w:t>名称</w:t>
            </w:r>
            <w:bookmarkEnd w:id="656"/>
            <w:bookmarkEnd w:id="657"/>
            <w:bookmarkEnd w:id="658"/>
          </w:p>
        </w:tc>
        <w:tc>
          <w:tcPr>
            <w:tcW w:w="2572" w:type="dxa"/>
            <w:vAlign w:val="center"/>
          </w:tcPr>
          <w:p w14:paraId="6D02EAA5">
            <w:pPr>
              <w:spacing w:line="360" w:lineRule="auto"/>
              <w:jc w:val="center"/>
              <w:outlineLvl w:val="0"/>
              <w:rPr>
                <w:rFonts w:ascii="宋体" w:hAnsi="宋体" w:eastAsia="宋体" w:cs="宋体"/>
                <w:color w:val="auto"/>
                <w:szCs w:val="21"/>
              </w:rPr>
            </w:pPr>
            <w:bookmarkStart w:id="659" w:name="_Toc1985"/>
            <w:bookmarkStart w:id="660" w:name="_Toc29460"/>
            <w:bookmarkStart w:id="661" w:name="_Toc5561"/>
            <w:r>
              <w:rPr>
                <w:rFonts w:hint="eastAsia" w:ascii="宋体" w:hAnsi="宋体" w:eastAsia="宋体" w:cs="宋体"/>
                <w:color w:val="auto"/>
                <w:szCs w:val="21"/>
              </w:rPr>
              <w:t>招标文件规定的技术条款</w:t>
            </w:r>
            <w:bookmarkEnd w:id="659"/>
            <w:bookmarkEnd w:id="660"/>
            <w:bookmarkEnd w:id="661"/>
          </w:p>
        </w:tc>
        <w:tc>
          <w:tcPr>
            <w:tcW w:w="2612" w:type="dxa"/>
            <w:vAlign w:val="center"/>
          </w:tcPr>
          <w:p w14:paraId="3F994266">
            <w:pPr>
              <w:spacing w:line="360" w:lineRule="auto"/>
              <w:jc w:val="center"/>
              <w:outlineLvl w:val="0"/>
              <w:rPr>
                <w:rFonts w:ascii="宋体" w:hAnsi="宋体" w:eastAsia="宋体" w:cs="宋体"/>
                <w:color w:val="auto"/>
                <w:szCs w:val="21"/>
              </w:rPr>
            </w:pPr>
            <w:bookmarkStart w:id="662" w:name="_Toc30721"/>
            <w:bookmarkStart w:id="663" w:name="_Toc1122"/>
            <w:bookmarkStart w:id="664" w:name="_Toc13660"/>
            <w:r>
              <w:rPr>
                <w:rFonts w:hint="eastAsia" w:ascii="宋体" w:hAnsi="宋体" w:eastAsia="宋体" w:cs="宋体"/>
                <w:color w:val="auto"/>
                <w:szCs w:val="21"/>
              </w:rPr>
              <w:t>投标文件对应的技术条款</w:t>
            </w:r>
            <w:bookmarkEnd w:id="662"/>
            <w:bookmarkEnd w:id="663"/>
            <w:bookmarkEnd w:id="664"/>
          </w:p>
        </w:tc>
        <w:tc>
          <w:tcPr>
            <w:tcW w:w="950" w:type="dxa"/>
            <w:vAlign w:val="center"/>
          </w:tcPr>
          <w:p w14:paraId="32F17E48">
            <w:pPr>
              <w:spacing w:line="360" w:lineRule="auto"/>
              <w:jc w:val="center"/>
              <w:outlineLvl w:val="0"/>
              <w:rPr>
                <w:rFonts w:ascii="宋体" w:hAnsi="宋体" w:eastAsia="宋体" w:cs="宋体"/>
                <w:color w:val="auto"/>
                <w:szCs w:val="21"/>
              </w:rPr>
            </w:pPr>
            <w:bookmarkStart w:id="665" w:name="_Toc14759"/>
            <w:bookmarkStart w:id="666" w:name="_Toc4972"/>
            <w:bookmarkStart w:id="667" w:name="_Toc29171"/>
            <w:r>
              <w:rPr>
                <w:rFonts w:hint="eastAsia" w:ascii="宋体" w:hAnsi="宋体" w:eastAsia="宋体" w:cs="宋体"/>
                <w:color w:val="auto"/>
                <w:szCs w:val="21"/>
              </w:rPr>
              <w:t>是否偏离</w:t>
            </w:r>
            <w:bookmarkEnd w:id="665"/>
            <w:bookmarkEnd w:id="666"/>
            <w:bookmarkEnd w:id="667"/>
          </w:p>
        </w:tc>
        <w:tc>
          <w:tcPr>
            <w:tcW w:w="669" w:type="dxa"/>
            <w:vAlign w:val="center"/>
          </w:tcPr>
          <w:p w14:paraId="229638EC">
            <w:pPr>
              <w:spacing w:line="360" w:lineRule="auto"/>
              <w:jc w:val="center"/>
              <w:outlineLvl w:val="0"/>
              <w:rPr>
                <w:rFonts w:ascii="宋体" w:hAnsi="宋体" w:eastAsia="宋体" w:cs="宋体"/>
                <w:color w:val="auto"/>
                <w:szCs w:val="21"/>
              </w:rPr>
            </w:pPr>
            <w:bookmarkStart w:id="668" w:name="_Toc22475"/>
            <w:bookmarkStart w:id="669" w:name="_Toc29618"/>
            <w:bookmarkStart w:id="670" w:name="_Toc12847"/>
            <w:r>
              <w:rPr>
                <w:rFonts w:hint="eastAsia" w:ascii="宋体" w:hAnsi="宋体" w:eastAsia="宋体" w:cs="宋体"/>
                <w:color w:val="auto"/>
                <w:szCs w:val="21"/>
              </w:rPr>
              <w:t>备注</w:t>
            </w:r>
            <w:bookmarkEnd w:id="668"/>
            <w:bookmarkEnd w:id="669"/>
            <w:bookmarkEnd w:id="670"/>
          </w:p>
        </w:tc>
      </w:tr>
      <w:tr w14:paraId="5CF7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74" w:type="dxa"/>
          </w:tcPr>
          <w:p w14:paraId="19732E91">
            <w:pPr>
              <w:spacing w:line="360" w:lineRule="auto"/>
              <w:outlineLvl w:val="0"/>
              <w:rPr>
                <w:rFonts w:ascii="宋体" w:hAnsi="宋体" w:eastAsia="宋体" w:cs="宋体"/>
                <w:color w:val="auto"/>
                <w:szCs w:val="21"/>
              </w:rPr>
            </w:pPr>
          </w:p>
        </w:tc>
        <w:tc>
          <w:tcPr>
            <w:tcW w:w="940" w:type="dxa"/>
          </w:tcPr>
          <w:p w14:paraId="45B3425E">
            <w:pPr>
              <w:spacing w:line="360" w:lineRule="auto"/>
              <w:outlineLvl w:val="0"/>
              <w:rPr>
                <w:rFonts w:ascii="宋体" w:hAnsi="宋体" w:eastAsia="宋体" w:cs="宋体"/>
                <w:color w:val="auto"/>
                <w:szCs w:val="21"/>
              </w:rPr>
            </w:pPr>
          </w:p>
        </w:tc>
        <w:tc>
          <w:tcPr>
            <w:tcW w:w="2572" w:type="dxa"/>
          </w:tcPr>
          <w:p w14:paraId="0D69FE31">
            <w:pPr>
              <w:spacing w:line="360" w:lineRule="auto"/>
              <w:outlineLvl w:val="0"/>
              <w:rPr>
                <w:rFonts w:ascii="宋体" w:hAnsi="宋体" w:eastAsia="宋体" w:cs="宋体"/>
                <w:color w:val="auto"/>
                <w:szCs w:val="21"/>
              </w:rPr>
            </w:pPr>
          </w:p>
        </w:tc>
        <w:tc>
          <w:tcPr>
            <w:tcW w:w="2612" w:type="dxa"/>
          </w:tcPr>
          <w:p w14:paraId="345AAA21">
            <w:pPr>
              <w:spacing w:line="360" w:lineRule="auto"/>
              <w:outlineLvl w:val="0"/>
              <w:rPr>
                <w:rFonts w:ascii="宋体" w:hAnsi="宋体" w:eastAsia="宋体" w:cs="宋体"/>
                <w:color w:val="auto"/>
                <w:szCs w:val="21"/>
              </w:rPr>
            </w:pPr>
          </w:p>
        </w:tc>
        <w:tc>
          <w:tcPr>
            <w:tcW w:w="950" w:type="dxa"/>
          </w:tcPr>
          <w:p w14:paraId="632AB72E">
            <w:pPr>
              <w:spacing w:line="360" w:lineRule="auto"/>
              <w:outlineLvl w:val="0"/>
              <w:rPr>
                <w:rFonts w:ascii="宋体" w:hAnsi="宋体" w:eastAsia="宋体" w:cs="宋体"/>
                <w:color w:val="auto"/>
                <w:szCs w:val="21"/>
              </w:rPr>
            </w:pPr>
          </w:p>
        </w:tc>
        <w:tc>
          <w:tcPr>
            <w:tcW w:w="669" w:type="dxa"/>
          </w:tcPr>
          <w:p w14:paraId="58F54433">
            <w:pPr>
              <w:spacing w:line="360" w:lineRule="auto"/>
              <w:outlineLvl w:val="0"/>
              <w:rPr>
                <w:rFonts w:ascii="宋体" w:hAnsi="宋体" w:eastAsia="宋体" w:cs="宋体"/>
                <w:color w:val="auto"/>
                <w:szCs w:val="21"/>
              </w:rPr>
            </w:pPr>
          </w:p>
        </w:tc>
      </w:tr>
      <w:tr w14:paraId="732C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74" w:type="dxa"/>
          </w:tcPr>
          <w:p w14:paraId="0797DFD1">
            <w:pPr>
              <w:spacing w:line="360" w:lineRule="auto"/>
              <w:outlineLvl w:val="0"/>
              <w:rPr>
                <w:rFonts w:ascii="宋体" w:hAnsi="宋体" w:eastAsia="宋体" w:cs="宋体"/>
                <w:color w:val="auto"/>
                <w:sz w:val="24"/>
              </w:rPr>
            </w:pPr>
          </w:p>
        </w:tc>
        <w:tc>
          <w:tcPr>
            <w:tcW w:w="940" w:type="dxa"/>
          </w:tcPr>
          <w:p w14:paraId="0E676D4C">
            <w:pPr>
              <w:spacing w:line="360" w:lineRule="auto"/>
              <w:outlineLvl w:val="0"/>
              <w:rPr>
                <w:rFonts w:ascii="宋体" w:hAnsi="宋体" w:eastAsia="宋体" w:cs="宋体"/>
                <w:color w:val="auto"/>
                <w:sz w:val="24"/>
              </w:rPr>
            </w:pPr>
          </w:p>
        </w:tc>
        <w:tc>
          <w:tcPr>
            <w:tcW w:w="2572" w:type="dxa"/>
          </w:tcPr>
          <w:p w14:paraId="130A568D">
            <w:pPr>
              <w:spacing w:line="360" w:lineRule="auto"/>
              <w:outlineLvl w:val="0"/>
              <w:rPr>
                <w:rFonts w:ascii="宋体" w:hAnsi="宋体" w:eastAsia="宋体" w:cs="宋体"/>
                <w:color w:val="auto"/>
                <w:sz w:val="24"/>
              </w:rPr>
            </w:pPr>
          </w:p>
        </w:tc>
        <w:tc>
          <w:tcPr>
            <w:tcW w:w="2612" w:type="dxa"/>
          </w:tcPr>
          <w:p w14:paraId="3E08E3A3">
            <w:pPr>
              <w:spacing w:line="360" w:lineRule="auto"/>
              <w:outlineLvl w:val="0"/>
              <w:rPr>
                <w:rFonts w:ascii="宋体" w:hAnsi="宋体" w:eastAsia="宋体" w:cs="宋体"/>
                <w:color w:val="auto"/>
                <w:sz w:val="24"/>
              </w:rPr>
            </w:pPr>
          </w:p>
        </w:tc>
        <w:tc>
          <w:tcPr>
            <w:tcW w:w="950" w:type="dxa"/>
          </w:tcPr>
          <w:p w14:paraId="24CE7381">
            <w:pPr>
              <w:spacing w:line="360" w:lineRule="auto"/>
              <w:outlineLvl w:val="0"/>
              <w:rPr>
                <w:rFonts w:ascii="宋体" w:hAnsi="宋体" w:eastAsia="宋体" w:cs="宋体"/>
                <w:color w:val="auto"/>
                <w:sz w:val="24"/>
              </w:rPr>
            </w:pPr>
          </w:p>
        </w:tc>
        <w:tc>
          <w:tcPr>
            <w:tcW w:w="669" w:type="dxa"/>
          </w:tcPr>
          <w:p w14:paraId="3CC8A235">
            <w:pPr>
              <w:spacing w:line="360" w:lineRule="auto"/>
              <w:outlineLvl w:val="0"/>
              <w:rPr>
                <w:rFonts w:ascii="宋体" w:hAnsi="宋体" w:eastAsia="宋体" w:cs="宋体"/>
                <w:color w:val="auto"/>
                <w:sz w:val="24"/>
              </w:rPr>
            </w:pPr>
          </w:p>
        </w:tc>
      </w:tr>
      <w:tr w14:paraId="0E61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74" w:type="dxa"/>
          </w:tcPr>
          <w:p w14:paraId="7D2FE5B0">
            <w:pPr>
              <w:spacing w:line="360" w:lineRule="auto"/>
              <w:outlineLvl w:val="0"/>
              <w:rPr>
                <w:rFonts w:ascii="宋体" w:hAnsi="宋体" w:eastAsia="宋体" w:cs="宋体"/>
                <w:color w:val="auto"/>
                <w:sz w:val="24"/>
              </w:rPr>
            </w:pPr>
          </w:p>
        </w:tc>
        <w:tc>
          <w:tcPr>
            <w:tcW w:w="940" w:type="dxa"/>
          </w:tcPr>
          <w:p w14:paraId="6D1446A2">
            <w:pPr>
              <w:spacing w:line="360" w:lineRule="auto"/>
              <w:outlineLvl w:val="0"/>
              <w:rPr>
                <w:rFonts w:ascii="宋体" w:hAnsi="宋体" w:eastAsia="宋体" w:cs="宋体"/>
                <w:color w:val="auto"/>
                <w:sz w:val="24"/>
              </w:rPr>
            </w:pPr>
          </w:p>
        </w:tc>
        <w:tc>
          <w:tcPr>
            <w:tcW w:w="2572" w:type="dxa"/>
          </w:tcPr>
          <w:p w14:paraId="3D2E442B">
            <w:pPr>
              <w:spacing w:line="360" w:lineRule="auto"/>
              <w:outlineLvl w:val="0"/>
              <w:rPr>
                <w:rFonts w:ascii="宋体" w:hAnsi="宋体" w:eastAsia="宋体" w:cs="宋体"/>
                <w:color w:val="auto"/>
                <w:sz w:val="24"/>
              </w:rPr>
            </w:pPr>
          </w:p>
        </w:tc>
        <w:tc>
          <w:tcPr>
            <w:tcW w:w="2612" w:type="dxa"/>
          </w:tcPr>
          <w:p w14:paraId="61F7F481">
            <w:pPr>
              <w:spacing w:line="360" w:lineRule="auto"/>
              <w:outlineLvl w:val="0"/>
              <w:rPr>
                <w:rFonts w:ascii="宋体" w:hAnsi="宋体" w:eastAsia="宋体" w:cs="宋体"/>
                <w:color w:val="auto"/>
                <w:sz w:val="24"/>
              </w:rPr>
            </w:pPr>
          </w:p>
        </w:tc>
        <w:tc>
          <w:tcPr>
            <w:tcW w:w="950" w:type="dxa"/>
          </w:tcPr>
          <w:p w14:paraId="78B84BDF">
            <w:pPr>
              <w:spacing w:line="360" w:lineRule="auto"/>
              <w:outlineLvl w:val="0"/>
              <w:rPr>
                <w:rFonts w:ascii="宋体" w:hAnsi="宋体" w:eastAsia="宋体" w:cs="宋体"/>
                <w:color w:val="auto"/>
                <w:sz w:val="24"/>
              </w:rPr>
            </w:pPr>
          </w:p>
        </w:tc>
        <w:tc>
          <w:tcPr>
            <w:tcW w:w="669" w:type="dxa"/>
          </w:tcPr>
          <w:p w14:paraId="50B5A3AA">
            <w:pPr>
              <w:spacing w:line="360" w:lineRule="auto"/>
              <w:outlineLvl w:val="0"/>
              <w:rPr>
                <w:rFonts w:ascii="宋体" w:hAnsi="宋体" w:eastAsia="宋体" w:cs="宋体"/>
                <w:color w:val="auto"/>
                <w:sz w:val="24"/>
              </w:rPr>
            </w:pPr>
          </w:p>
        </w:tc>
      </w:tr>
    </w:tbl>
    <w:p w14:paraId="20AEA013">
      <w:pPr>
        <w:spacing w:line="360" w:lineRule="auto"/>
        <w:ind w:firstLine="420" w:firstLineChars="200"/>
        <w:outlineLvl w:val="0"/>
        <w:rPr>
          <w:rFonts w:ascii="宋体" w:hAnsi="宋体" w:eastAsia="宋体" w:cs="宋体"/>
          <w:color w:val="auto"/>
          <w:szCs w:val="21"/>
        </w:rPr>
      </w:pPr>
    </w:p>
    <w:p w14:paraId="73C63BD0">
      <w:pPr>
        <w:spacing w:line="360" w:lineRule="auto"/>
        <w:rPr>
          <w:rFonts w:ascii="宋体" w:hAnsi="宋体" w:eastAsia="宋体" w:cs="宋体"/>
          <w:b/>
          <w:bCs/>
          <w:color w:val="auto"/>
          <w:szCs w:val="21"/>
        </w:rPr>
      </w:pPr>
      <w:r>
        <w:rPr>
          <w:rFonts w:hint="eastAsia" w:ascii="宋体" w:hAnsi="宋体" w:eastAsia="宋体" w:cs="宋体"/>
          <w:b/>
          <w:bCs/>
          <w:color w:val="auto"/>
          <w:szCs w:val="21"/>
        </w:rPr>
        <w:t>说明：对服务需求中的实质性要求部分逐条进行响应。</w:t>
      </w:r>
    </w:p>
    <w:p w14:paraId="5B09C555">
      <w:pPr>
        <w:spacing w:line="360" w:lineRule="auto"/>
        <w:ind w:firstLine="420" w:firstLineChars="200"/>
        <w:outlineLvl w:val="0"/>
        <w:rPr>
          <w:rFonts w:ascii="宋体" w:hAnsi="宋体" w:eastAsia="宋体" w:cs="宋体"/>
          <w:color w:val="auto"/>
          <w:szCs w:val="21"/>
        </w:rPr>
      </w:pPr>
    </w:p>
    <w:p w14:paraId="35D412B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投标单位全称（公章）：</w:t>
      </w:r>
    </w:p>
    <w:p w14:paraId="191C61A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单位负责人或授权代理人（签字）：</w:t>
      </w:r>
    </w:p>
    <w:p w14:paraId="462CA39E">
      <w:pPr>
        <w:spacing w:line="360" w:lineRule="auto"/>
        <w:ind w:firstLine="420" w:firstLineChars="200"/>
        <w:jc w:val="center"/>
        <w:rPr>
          <w:rFonts w:ascii="宋体" w:hAnsi="宋体" w:eastAsia="宋体" w:cs="宋体"/>
          <w:color w:val="auto"/>
          <w:szCs w:val="21"/>
        </w:rPr>
      </w:pPr>
      <w:r>
        <w:rPr>
          <w:rFonts w:hint="eastAsia" w:ascii="宋体" w:hAnsi="宋体" w:eastAsia="宋体" w:cs="宋体"/>
          <w:color w:val="auto"/>
          <w:szCs w:val="21"/>
        </w:rPr>
        <w:t>时间：     年  月  日</w:t>
      </w:r>
    </w:p>
    <w:p w14:paraId="7172515B">
      <w:pPr>
        <w:widowControl/>
        <w:spacing w:line="360" w:lineRule="auto"/>
        <w:jc w:val="center"/>
        <w:rPr>
          <w:rFonts w:ascii="宋体" w:hAnsi="宋体" w:eastAsia="宋体" w:cs="宋体"/>
          <w:b/>
          <w:bCs/>
          <w:color w:val="auto"/>
          <w:sz w:val="30"/>
          <w:szCs w:val="30"/>
          <w:lang w:val="zh-CN"/>
        </w:rPr>
      </w:pPr>
    </w:p>
    <w:p w14:paraId="1394E1B8">
      <w:pP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br w:type="page"/>
      </w:r>
    </w:p>
    <w:p w14:paraId="257033E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ascii="宋体" w:hAnsi="宋体" w:eastAsia="宋体" w:cs="宋体"/>
          <w:b/>
          <w:bCs/>
          <w:color w:val="auto"/>
          <w:kern w:val="0"/>
        </w:rPr>
      </w:pPr>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rPr>
        <w:t>、</w:t>
      </w:r>
      <w:r>
        <w:rPr>
          <w:rFonts w:hint="eastAsia" w:ascii="宋体" w:hAnsi="宋体" w:eastAsia="宋体" w:cs="宋体"/>
          <w:b/>
          <w:bCs/>
          <w:color w:val="auto"/>
          <w:sz w:val="30"/>
          <w:szCs w:val="30"/>
          <w:lang w:val="zh-CN"/>
        </w:rPr>
        <w:t>其他材料</w:t>
      </w:r>
    </w:p>
    <w:p w14:paraId="5FACFE14">
      <w:pPr>
        <w:spacing w:before="256" w:line="228" w:lineRule="auto"/>
        <w:ind w:left="9"/>
        <w:rPr>
          <w:rFonts w:ascii="宋体" w:hAnsi="宋体" w:eastAsia="宋体" w:cs="宋体"/>
          <w:color w:val="auto"/>
          <w:szCs w:val="21"/>
        </w:rPr>
      </w:pPr>
      <w:r>
        <w:rPr>
          <w:rFonts w:ascii="宋体" w:hAnsi="宋体" w:eastAsia="宋体" w:cs="宋体"/>
          <w:color w:val="auto"/>
          <w:spacing w:val="10"/>
          <w:szCs w:val="21"/>
        </w:rPr>
        <w:t>招标文件中要求的资料或供应商认为针对本项目有必要提供的资料，附后。</w:t>
      </w:r>
    </w:p>
    <w:p w14:paraId="48EF76F7">
      <w:pPr>
        <w:spacing w:line="360" w:lineRule="auto"/>
        <w:jc w:val="left"/>
        <w:rPr>
          <w:rFonts w:ascii="宋体" w:hAnsi="宋体" w:eastAsia="宋体" w:cs="宋体"/>
          <w:color w:val="auto"/>
          <w:szCs w:val="21"/>
        </w:rPr>
      </w:pPr>
    </w:p>
    <w:p w14:paraId="732C6523">
      <w:pPr>
        <w:spacing w:line="360" w:lineRule="auto"/>
        <w:jc w:val="center"/>
        <w:rPr>
          <w:rFonts w:ascii="宋体" w:hAnsi="宋体" w:eastAsia="宋体" w:cs="宋体"/>
          <w:b/>
          <w:color w:val="auto"/>
          <w:sz w:val="28"/>
          <w:szCs w:val="28"/>
        </w:rPr>
      </w:pPr>
      <w:r>
        <w:rPr>
          <w:rFonts w:hint="eastAsia" w:ascii="宋体" w:hAnsi="宋体" w:eastAsia="宋体" w:cs="宋体"/>
          <w:color w:val="auto"/>
          <w:szCs w:val="21"/>
        </w:rPr>
        <w:br w:type="page"/>
      </w:r>
      <w:r>
        <w:rPr>
          <w:rFonts w:hint="eastAsia" w:ascii="宋体" w:hAnsi="宋体" w:eastAsia="宋体" w:cs="宋体"/>
          <w:b/>
          <w:color w:val="auto"/>
          <w:sz w:val="28"/>
          <w:szCs w:val="28"/>
        </w:rPr>
        <w:t>十、中小企业声明函</w:t>
      </w:r>
    </w:p>
    <w:p w14:paraId="1FF516C4">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　　</w:t>
      </w:r>
    </w:p>
    <w:p w14:paraId="50C8F1D5">
      <w:pPr>
        <w:ind w:firstLine="420" w:firstLineChars="200"/>
        <w:rPr>
          <w:rFonts w:cs="宋体" w:asciiTheme="minorEastAsia" w:hAnsiTheme="minorEastAsia"/>
          <w:color w:val="auto"/>
          <w:szCs w:val="21"/>
        </w:rPr>
      </w:pPr>
      <w:r>
        <w:rPr>
          <w:rFonts w:hint="eastAsia" w:cs="宋体" w:asciiTheme="minorEastAsia" w:hAnsiTheme="minorEastAsia"/>
          <w:color w:val="auto"/>
          <w:szCs w:val="21"/>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B55EAA">
      <w:pPr>
        <w:rPr>
          <w:rFonts w:cs="宋体" w:asciiTheme="minorEastAsia" w:hAnsiTheme="minorEastAsia"/>
          <w:color w:val="auto"/>
          <w:szCs w:val="21"/>
        </w:rPr>
      </w:pPr>
      <w:r>
        <w:rPr>
          <w:rFonts w:hint="eastAsia" w:cs="宋体" w:asciiTheme="minorEastAsia" w:hAnsiTheme="minorEastAsia"/>
          <w:color w:val="auto"/>
          <w:szCs w:val="21"/>
          <w:lang w:bidi="ar"/>
        </w:rPr>
        <w:t xml:space="preserve">1. </w:t>
      </w:r>
      <w:r>
        <w:rPr>
          <w:rFonts w:hint="eastAsia" w:cs="宋体" w:asciiTheme="minorEastAsia" w:hAnsiTheme="minorEastAsia"/>
          <w:color w:val="auto"/>
          <w:szCs w:val="21"/>
          <w:u w:val="single"/>
          <w:lang w:bidi="ar"/>
        </w:rPr>
        <w:t>（标的名称）</w:t>
      </w:r>
      <w:r>
        <w:rPr>
          <w:rFonts w:hint="eastAsia" w:cs="宋体" w:asciiTheme="minorEastAsia" w:hAnsiTheme="minorEastAsia"/>
          <w:color w:val="auto"/>
          <w:szCs w:val="21"/>
          <w:lang w:bidi="ar"/>
        </w:rPr>
        <w:t xml:space="preserve"> ，属于</w:t>
      </w:r>
      <w:r>
        <w:rPr>
          <w:rFonts w:hint="eastAsia" w:cs="宋体" w:asciiTheme="minorEastAsia" w:hAnsiTheme="minorEastAsia"/>
          <w:color w:val="auto"/>
          <w:szCs w:val="21"/>
          <w:u w:val="single"/>
          <w:lang w:bidi="ar"/>
        </w:rPr>
        <w:t>（采购文件中明确的所属行业）</w:t>
      </w:r>
      <w:r>
        <w:rPr>
          <w:rFonts w:hint="eastAsia" w:cs="宋体" w:asciiTheme="minorEastAsia" w:hAnsiTheme="minorEastAsia"/>
          <w:color w:val="auto"/>
          <w:szCs w:val="21"/>
          <w:lang w:bidi="ar"/>
        </w:rPr>
        <w:t>；承建（承接）企业为（</w:t>
      </w:r>
      <w:r>
        <w:rPr>
          <w:rFonts w:hint="eastAsia" w:cs="宋体" w:asciiTheme="minorEastAsia" w:hAnsiTheme="minorEastAsia"/>
          <w:color w:val="auto"/>
          <w:szCs w:val="21"/>
          <w:u w:val="single"/>
          <w:lang w:bidi="ar"/>
        </w:rPr>
        <w:t>企业名称）</w:t>
      </w:r>
      <w:r>
        <w:rPr>
          <w:rFonts w:hint="eastAsia" w:cs="宋体" w:asciiTheme="minorEastAsia" w:hAnsiTheme="minorEastAsia"/>
          <w:color w:val="auto"/>
          <w:szCs w:val="21"/>
          <w:lang w:bidi="ar"/>
        </w:rPr>
        <w:t>，从业人员</w:t>
      </w:r>
      <w:r>
        <w:rPr>
          <w:rFonts w:hint="eastAsia" w:cs="宋体" w:asciiTheme="minorEastAsia" w:hAnsiTheme="minorEastAsia"/>
          <w:color w:val="auto"/>
          <w:szCs w:val="21"/>
          <w:u w:val="single"/>
          <w:lang w:bidi="ar"/>
        </w:rPr>
        <w:t xml:space="preserve">    </w:t>
      </w:r>
      <w:r>
        <w:rPr>
          <w:rFonts w:hint="eastAsia" w:cs="宋体" w:asciiTheme="minorEastAsia" w:hAnsiTheme="minorEastAsia"/>
          <w:color w:val="auto"/>
          <w:szCs w:val="21"/>
          <w:lang w:bidi="ar"/>
        </w:rPr>
        <w:t xml:space="preserve">人，营业收入为 </w:t>
      </w:r>
      <w:r>
        <w:rPr>
          <w:rFonts w:hint="eastAsia" w:cs="宋体" w:asciiTheme="minorEastAsia" w:hAnsiTheme="minorEastAsia"/>
          <w:color w:val="auto"/>
          <w:szCs w:val="21"/>
          <w:u w:val="single"/>
          <w:lang w:bidi="ar"/>
        </w:rPr>
        <w:t xml:space="preserve">   </w:t>
      </w:r>
      <w:r>
        <w:rPr>
          <w:rFonts w:hint="eastAsia" w:cs="宋体" w:asciiTheme="minorEastAsia" w:hAnsiTheme="minorEastAsia"/>
          <w:color w:val="auto"/>
          <w:szCs w:val="21"/>
          <w:lang w:bidi="ar"/>
        </w:rPr>
        <w:t>万元，资产总额为</w:t>
      </w:r>
      <w:r>
        <w:rPr>
          <w:rFonts w:hint="eastAsia" w:cs="宋体" w:asciiTheme="minorEastAsia" w:hAnsiTheme="minorEastAsia"/>
          <w:color w:val="auto"/>
          <w:szCs w:val="21"/>
          <w:u w:val="single"/>
          <w:lang w:bidi="ar"/>
        </w:rPr>
        <w:t xml:space="preserve">    </w:t>
      </w:r>
      <w:r>
        <w:rPr>
          <w:rFonts w:hint="eastAsia" w:cs="宋体" w:asciiTheme="minorEastAsia" w:hAnsiTheme="minorEastAsia"/>
          <w:color w:val="auto"/>
          <w:szCs w:val="21"/>
          <w:lang w:bidi="ar"/>
        </w:rPr>
        <w:t>万元1，属于</w:t>
      </w:r>
      <w:r>
        <w:rPr>
          <w:rFonts w:hint="eastAsia" w:cs="宋体" w:asciiTheme="minorEastAsia" w:hAnsiTheme="minorEastAsia"/>
          <w:color w:val="auto"/>
          <w:szCs w:val="21"/>
          <w:u w:val="single"/>
          <w:lang w:bidi="ar"/>
        </w:rPr>
        <w:t>（中型企业、小型企业、微型企业）</w:t>
      </w:r>
      <w:r>
        <w:rPr>
          <w:rFonts w:hint="eastAsia" w:cs="宋体" w:asciiTheme="minorEastAsia" w:hAnsiTheme="minorEastAsia"/>
          <w:color w:val="auto"/>
          <w:szCs w:val="21"/>
          <w:lang w:bidi="ar"/>
        </w:rPr>
        <w:t xml:space="preserve">； </w:t>
      </w:r>
    </w:p>
    <w:p w14:paraId="353EBA85">
      <w:pPr>
        <w:rPr>
          <w:rFonts w:cs="宋体" w:asciiTheme="minorEastAsia" w:hAnsiTheme="minorEastAsia"/>
          <w:color w:val="auto"/>
          <w:szCs w:val="21"/>
        </w:rPr>
      </w:pPr>
      <w:r>
        <w:rPr>
          <w:rFonts w:hint="eastAsia" w:cs="宋体" w:asciiTheme="minorEastAsia" w:hAnsiTheme="minorEastAsia"/>
          <w:color w:val="auto"/>
          <w:szCs w:val="21"/>
          <w:lang w:bidi="ar"/>
        </w:rPr>
        <w:t xml:space="preserve">2. </w:t>
      </w:r>
      <w:r>
        <w:rPr>
          <w:rFonts w:hint="eastAsia" w:cs="宋体" w:asciiTheme="minorEastAsia" w:hAnsiTheme="minorEastAsia"/>
          <w:color w:val="auto"/>
          <w:szCs w:val="21"/>
          <w:u w:val="single"/>
          <w:lang w:bidi="ar"/>
        </w:rPr>
        <w:t>（标的名称）</w:t>
      </w:r>
      <w:r>
        <w:rPr>
          <w:rFonts w:hint="eastAsia" w:cs="宋体" w:asciiTheme="minorEastAsia" w:hAnsiTheme="minorEastAsia"/>
          <w:color w:val="auto"/>
          <w:szCs w:val="21"/>
          <w:lang w:bidi="ar"/>
        </w:rPr>
        <w:t xml:space="preserve"> ，属于</w:t>
      </w:r>
      <w:r>
        <w:rPr>
          <w:rFonts w:hint="eastAsia" w:cs="宋体" w:asciiTheme="minorEastAsia" w:hAnsiTheme="minorEastAsia"/>
          <w:color w:val="auto"/>
          <w:szCs w:val="21"/>
          <w:u w:val="single"/>
          <w:lang w:bidi="ar"/>
        </w:rPr>
        <w:t>（采购文件中明确的所属行业）</w:t>
      </w:r>
      <w:r>
        <w:rPr>
          <w:rFonts w:hint="eastAsia" w:cs="宋体" w:asciiTheme="minorEastAsia" w:hAnsiTheme="minorEastAsia"/>
          <w:color w:val="auto"/>
          <w:szCs w:val="21"/>
          <w:lang w:bidi="ar"/>
        </w:rPr>
        <w:t>；承建（承接）企业为</w:t>
      </w:r>
      <w:r>
        <w:rPr>
          <w:rFonts w:hint="eastAsia" w:cs="宋体" w:asciiTheme="minorEastAsia" w:hAnsiTheme="minorEastAsia"/>
          <w:color w:val="auto"/>
          <w:szCs w:val="21"/>
          <w:u w:val="single"/>
          <w:lang w:bidi="ar"/>
        </w:rPr>
        <w:t>（企业名称）</w:t>
      </w:r>
      <w:r>
        <w:rPr>
          <w:rFonts w:hint="eastAsia" w:cs="宋体" w:asciiTheme="minorEastAsia" w:hAnsiTheme="minorEastAsia"/>
          <w:color w:val="auto"/>
          <w:szCs w:val="21"/>
          <w:lang w:bidi="ar"/>
        </w:rPr>
        <w:t>，从业人员</w:t>
      </w:r>
      <w:r>
        <w:rPr>
          <w:rFonts w:hint="eastAsia" w:cs="宋体" w:asciiTheme="minorEastAsia" w:hAnsiTheme="minorEastAsia"/>
          <w:color w:val="auto"/>
          <w:szCs w:val="21"/>
          <w:u w:val="single"/>
          <w:lang w:bidi="ar"/>
        </w:rPr>
        <w:t xml:space="preserve">    </w:t>
      </w:r>
      <w:r>
        <w:rPr>
          <w:rFonts w:hint="eastAsia" w:cs="宋体" w:asciiTheme="minorEastAsia" w:hAnsiTheme="minorEastAsia"/>
          <w:color w:val="auto"/>
          <w:szCs w:val="21"/>
          <w:lang w:bidi="ar"/>
        </w:rPr>
        <w:t>人，营业收入为</w:t>
      </w:r>
      <w:r>
        <w:rPr>
          <w:rFonts w:hint="eastAsia" w:cs="宋体" w:asciiTheme="minorEastAsia" w:hAnsiTheme="minorEastAsia"/>
          <w:color w:val="auto"/>
          <w:szCs w:val="21"/>
          <w:u w:val="single"/>
          <w:lang w:bidi="ar"/>
        </w:rPr>
        <w:t xml:space="preserve">     </w:t>
      </w:r>
      <w:r>
        <w:rPr>
          <w:rFonts w:hint="eastAsia" w:cs="宋体" w:asciiTheme="minorEastAsia" w:hAnsiTheme="minorEastAsia"/>
          <w:color w:val="auto"/>
          <w:szCs w:val="21"/>
          <w:lang w:bidi="ar"/>
        </w:rPr>
        <w:t>万元，资产总额为</w:t>
      </w:r>
      <w:r>
        <w:rPr>
          <w:rFonts w:hint="eastAsia" w:cs="宋体" w:asciiTheme="minorEastAsia" w:hAnsiTheme="minorEastAsia"/>
          <w:color w:val="auto"/>
          <w:szCs w:val="21"/>
          <w:u w:val="single"/>
          <w:lang w:bidi="ar"/>
        </w:rPr>
        <w:t xml:space="preserve">    </w:t>
      </w:r>
      <w:r>
        <w:rPr>
          <w:rFonts w:hint="eastAsia" w:cs="宋体" w:asciiTheme="minorEastAsia" w:hAnsiTheme="minorEastAsia"/>
          <w:color w:val="auto"/>
          <w:szCs w:val="21"/>
          <w:lang w:bidi="ar"/>
        </w:rPr>
        <w:t>万元，属于</w:t>
      </w:r>
      <w:r>
        <w:rPr>
          <w:rFonts w:hint="eastAsia" w:cs="宋体" w:asciiTheme="minorEastAsia" w:hAnsiTheme="minorEastAsia"/>
          <w:color w:val="auto"/>
          <w:szCs w:val="21"/>
          <w:u w:val="single"/>
          <w:lang w:bidi="ar"/>
        </w:rPr>
        <w:t>（中型企业、 小型企业、微型企业）</w:t>
      </w:r>
      <w:r>
        <w:rPr>
          <w:rFonts w:hint="eastAsia" w:cs="宋体" w:asciiTheme="minorEastAsia" w:hAnsiTheme="minorEastAsia"/>
          <w:color w:val="auto"/>
          <w:szCs w:val="21"/>
          <w:lang w:bidi="ar"/>
        </w:rPr>
        <w:t xml:space="preserve">； </w:t>
      </w:r>
    </w:p>
    <w:p w14:paraId="08706AAA">
      <w:pPr>
        <w:rPr>
          <w:rFonts w:cs="宋体" w:asciiTheme="minorEastAsia" w:hAnsiTheme="minorEastAsia"/>
          <w:color w:val="auto"/>
          <w:szCs w:val="21"/>
        </w:rPr>
      </w:pPr>
      <w:r>
        <w:rPr>
          <w:rFonts w:hint="eastAsia" w:cs="宋体" w:asciiTheme="minorEastAsia" w:hAnsiTheme="minorEastAsia"/>
          <w:color w:val="auto"/>
          <w:szCs w:val="21"/>
          <w:lang w:bidi="ar"/>
        </w:rPr>
        <w:t>……</w:t>
      </w:r>
    </w:p>
    <w:p w14:paraId="45786F23">
      <w:pPr>
        <w:ind w:firstLine="420" w:firstLineChars="200"/>
        <w:rPr>
          <w:rFonts w:cs="宋体" w:asciiTheme="minorEastAsia" w:hAnsiTheme="minorEastAsia"/>
          <w:color w:val="auto"/>
          <w:szCs w:val="21"/>
        </w:rPr>
      </w:pPr>
      <w:r>
        <w:rPr>
          <w:rFonts w:hint="eastAsia" w:cs="宋体" w:asciiTheme="minorEastAsia" w:hAnsiTheme="minorEastAsia"/>
          <w:color w:val="auto"/>
          <w:szCs w:val="21"/>
          <w:lang w:bidi="ar"/>
        </w:rPr>
        <w:t>以上企业，不属于大企业的分支机构，不存在控股股东为大企业的情形，也不存在与大企业的负责人为同一人的情形。</w:t>
      </w:r>
    </w:p>
    <w:p w14:paraId="143DE543">
      <w:pPr>
        <w:ind w:firstLine="420" w:firstLineChars="200"/>
        <w:rPr>
          <w:rFonts w:cs="宋体" w:asciiTheme="minorEastAsia" w:hAnsiTheme="minorEastAsia"/>
          <w:color w:val="auto"/>
          <w:szCs w:val="21"/>
          <w:lang w:bidi="ar"/>
        </w:rPr>
      </w:pPr>
      <w:r>
        <w:rPr>
          <w:rFonts w:hint="eastAsia" w:cs="宋体" w:asciiTheme="minorEastAsia" w:hAnsiTheme="minorEastAsia"/>
          <w:color w:val="auto"/>
          <w:szCs w:val="21"/>
          <w:lang w:bidi="ar"/>
        </w:rPr>
        <w:t xml:space="preserve">本企业对上述声明内容的真实性负责。如有虚假，将依法承担相应责任。 </w:t>
      </w:r>
    </w:p>
    <w:p w14:paraId="7AE80AEB">
      <w:pPr>
        <w:ind w:firstLine="420" w:firstLineChars="200"/>
        <w:rPr>
          <w:rFonts w:cs="宋体" w:asciiTheme="minorEastAsia" w:hAnsiTheme="minorEastAsia"/>
          <w:color w:val="auto"/>
          <w:szCs w:val="21"/>
          <w:lang w:bidi="ar"/>
        </w:rPr>
      </w:pPr>
    </w:p>
    <w:p w14:paraId="184E30C5">
      <w:pPr>
        <w:ind w:firstLine="420" w:firstLineChars="200"/>
        <w:rPr>
          <w:rFonts w:cs="宋体" w:asciiTheme="minorEastAsia" w:hAnsiTheme="minorEastAsia"/>
          <w:color w:val="auto"/>
          <w:szCs w:val="21"/>
        </w:rPr>
      </w:pPr>
    </w:p>
    <w:p w14:paraId="2E092066">
      <w:pPr>
        <w:pStyle w:val="11"/>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供应商名称（加盖公章）：</w:t>
      </w:r>
      <w:r>
        <w:rPr>
          <w:rFonts w:hint="eastAsia" w:cs="宋体" w:asciiTheme="minorEastAsia" w:hAnsiTheme="minorEastAsia"/>
          <w:color w:val="auto"/>
          <w:szCs w:val="21"/>
          <w:u w:val="single"/>
        </w:rPr>
        <w:t xml:space="preserve">                   </w:t>
      </w:r>
    </w:p>
    <w:p w14:paraId="6C224784">
      <w:pPr>
        <w:pStyle w:val="11"/>
        <w:ind w:firstLine="420" w:firstLineChars="200"/>
        <w:rPr>
          <w:rFonts w:cs="宋体" w:asciiTheme="minorEastAsia" w:hAnsiTheme="minorEastAsia"/>
          <w:color w:val="auto"/>
          <w:szCs w:val="21"/>
        </w:rPr>
      </w:pPr>
      <w:r>
        <w:rPr>
          <w:rFonts w:hint="eastAsia" w:cs="宋体" w:asciiTheme="minorEastAsia" w:hAnsiTheme="minorEastAsia"/>
          <w:color w:val="auto"/>
          <w:szCs w:val="21"/>
        </w:rPr>
        <w:t>供应商法定代表人</w:t>
      </w:r>
    </w:p>
    <w:p w14:paraId="1E1E7CB2">
      <w:pPr>
        <w:pStyle w:val="11"/>
        <w:ind w:firstLine="420" w:firstLineChars="200"/>
        <w:rPr>
          <w:rFonts w:cs="宋体" w:asciiTheme="minorEastAsia" w:hAnsiTheme="minorEastAsia"/>
          <w:color w:val="auto"/>
          <w:szCs w:val="21"/>
        </w:rPr>
      </w:pPr>
      <w:r>
        <w:rPr>
          <w:rFonts w:hint="eastAsia" w:cs="宋体" w:asciiTheme="minorEastAsia" w:hAnsiTheme="minorEastAsia"/>
          <w:color w:val="auto"/>
          <w:szCs w:val="21"/>
        </w:rPr>
        <w:t>或授权代表（签    字）：</w:t>
      </w:r>
      <w:r>
        <w:rPr>
          <w:rFonts w:hint="eastAsia" w:cs="宋体" w:asciiTheme="minorEastAsia" w:hAnsiTheme="minorEastAsia"/>
          <w:color w:val="auto"/>
          <w:szCs w:val="21"/>
          <w:u w:val="single"/>
        </w:rPr>
        <w:t xml:space="preserve">                   </w:t>
      </w:r>
    </w:p>
    <w:p w14:paraId="670C6828">
      <w:pPr>
        <w:pStyle w:val="11"/>
        <w:ind w:firstLine="2730" w:firstLineChars="1300"/>
        <w:rPr>
          <w:rFonts w:cs="宋体" w:asciiTheme="minorEastAsia" w:hAnsiTheme="minorEastAsia"/>
          <w:color w:val="auto"/>
          <w:szCs w:val="21"/>
        </w:rPr>
      </w:pPr>
    </w:p>
    <w:p w14:paraId="4D5B32C1">
      <w:pPr>
        <w:pStyle w:val="11"/>
        <w:ind w:firstLine="420" w:firstLineChars="200"/>
        <w:rPr>
          <w:rFonts w:cs="宋体" w:asciiTheme="minorEastAsia" w:hAnsiTheme="minorEastAsia"/>
          <w:color w:val="auto"/>
          <w:szCs w:val="21"/>
        </w:rPr>
      </w:pPr>
      <w:r>
        <w:rPr>
          <w:rFonts w:hint="eastAsia" w:cs="宋体" w:asciiTheme="minorEastAsia" w:hAnsiTheme="minorEastAsia"/>
          <w:color w:val="auto"/>
          <w:szCs w:val="21"/>
        </w:rPr>
        <w:t>日期：</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年</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月</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日</w:t>
      </w:r>
    </w:p>
    <w:p w14:paraId="2A834682">
      <w:pPr>
        <w:spacing w:line="360" w:lineRule="auto"/>
        <w:rPr>
          <w:rFonts w:ascii="宋体" w:hAnsi="宋体" w:eastAsia="宋体" w:cs="宋体"/>
          <w:color w:val="auto"/>
        </w:rPr>
      </w:pPr>
    </w:p>
    <w:p w14:paraId="3DB6E3FE">
      <w:pPr>
        <w:spacing w:line="360" w:lineRule="auto"/>
        <w:rPr>
          <w:rFonts w:ascii="宋体" w:hAnsi="宋体" w:eastAsia="宋体" w:cs="宋体"/>
          <w:color w:val="auto"/>
          <w:szCs w:val="21"/>
        </w:rPr>
      </w:pPr>
      <w:r>
        <w:rPr>
          <w:rFonts w:hint="eastAsia" w:ascii="宋体" w:hAnsi="宋体" w:eastAsia="宋体" w:cs="宋体"/>
          <w:color w:val="auto"/>
          <w:szCs w:val="21"/>
        </w:rPr>
        <w:t>注：1.从业人员、营业收入、资产总额填报上一年度数据，无上一年度数据的新成立企业可不填报。</w:t>
      </w:r>
    </w:p>
    <w:p w14:paraId="42E14785">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2.本项目所属行业为：租赁和商务服务业</w:t>
      </w:r>
    </w:p>
    <w:p w14:paraId="0B611834">
      <w:pPr>
        <w:jc w:val="left"/>
        <w:rPr>
          <w:rFonts w:ascii="宋体" w:hAnsi="宋体" w:eastAsia="宋体" w:cs="宋体"/>
          <w:b/>
          <w:bCs/>
          <w:color w:val="auto"/>
          <w:spacing w:val="12"/>
          <w:kern w:val="0"/>
          <w:sz w:val="32"/>
          <w:szCs w:val="32"/>
          <w:lang w:bidi="ar"/>
        </w:rPr>
      </w:pPr>
      <w:r>
        <w:rPr>
          <w:rFonts w:hint="eastAsia" w:ascii="宋体" w:hAnsi="宋体" w:eastAsia="宋体" w:cs="宋体"/>
          <w:color w:val="auto"/>
          <w:szCs w:val="21"/>
        </w:rPr>
        <w:br w:type="page"/>
      </w:r>
      <w:r>
        <w:rPr>
          <w:rFonts w:hint="eastAsia" w:ascii="宋体" w:hAnsi="宋体" w:eastAsia="宋体" w:cs="宋体"/>
          <w:b/>
          <w:bCs/>
          <w:color w:val="auto"/>
          <w:spacing w:val="12"/>
          <w:kern w:val="0"/>
          <w:sz w:val="32"/>
          <w:szCs w:val="32"/>
          <w:lang w:bidi="ar"/>
        </w:rPr>
        <w:t xml:space="preserve">附件一： </w:t>
      </w:r>
    </w:p>
    <w:p w14:paraId="3CC7E27D">
      <w:pPr>
        <w:jc w:val="center"/>
        <w:rPr>
          <w:rFonts w:ascii="宋体" w:hAnsi="宋体" w:eastAsia="宋体" w:cs="宋体"/>
          <w:color w:val="auto"/>
        </w:rPr>
      </w:pPr>
      <w:r>
        <w:rPr>
          <w:rFonts w:hint="eastAsia" w:ascii="宋体" w:hAnsi="宋体" w:eastAsia="宋体" w:cs="宋体"/>
          <w:b/>
          <w:bCs/>
          <w:color w:val="auto"/>
          <w:spacing w:val="12"/>
          <w:kern w:val="0"/>
          <w:sz w:val="32"/>
          <w:szCs w:val="32"/>
          <w:lang w:bidi="ar"/>
        </w:rPr>
        <w:t>残疾人福利性单位声明函（如是）</w:t>
      </w:r>
    </w:p>
    <w:p w14:paraId="5546C124">
      <w:pPr>
        <w:widowControl/>
        <w:spacing w:line="360" w:lineRule="auto"/>
        <w:ind w:firstLine="420" w:firstLineChars="200"/>
        <w:jc w:val="left"/>
        <w:rPr>
          <w:rFonts w:ascii="宋体" w:hAnsi="宋体" w:eastAsia="宋体" w:cs="宋体"/>
          <w:color w:val="auto"/>
          <w:kern w:val="0"/>
          <w:szCs w:val="21"/>
          <w:lang w:bidi="ar"/>
        </w:rPr>
      </w:pPr>
    </w:p>
    <w:p w14:paraId="354DBD7D">
      <w:pPr>
        <w:widowControl/>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u w:val="single"/>
          <w:lang w:bidi="ar"/>
        </w:rPr>
        <w:t xml:space="preserve">    （采购人名称）     </w:t>
      </w:r>
      <w:r>
        <w:rPr>
          <w:rFonts w:hint="eastAsia" w:ascii="宋体" w:hAnsi="宋体" w:eastAsia="宋体" w:cs="宋体"/>
          <w:color w:val="auto"/>
          <w:kern w:val="0"/>
          <w:szCs w:val="21"/>
          <w:lang w:bidi="ar"/>
        </w:rPr>
        <w:t>单位的</w:t>
      </w:r>
      <w:r>
        <w:rPr>
          <w:rFonts w:hint="eastAsia" w:ascii="宋体" w:hAnsi="宋体" w:eastAsia="宋体" w:cs="宋体"/>
          <w:color w:val="auto"/>
          <w:kern w:val="0"/>
          <w:szCs w:val="21"/>
          <w:u w:val="single"/>
          <w:lang w:bidi="ar"/>
        </w:rPr>
        <w:t xml:space="preserve">  （采购项目名称） </w:t>
      </w:r>
      <w:r>
        <w:rPr>
          <w:rFonts w:hint="eastAsia" w:ascii="宋体" w:hAnsi="宋体" w:eastAsia="宋体" w:cs="宋体"/>
          <w:color w:val="auto"/>
          <w:kern w:val="0"/>
          <w:szCs w:val="21"/>
          <w:lang w:bidi="ar"/>
        </w:rPr>
        <w:t xml:space="preserve">项目采购活动提供本单位制造的货物（由本单位承担工程/提供服务），或者提供其他残疾人福利性单位制造的货物（不包括使用非残疾人福利性单位注册商标的货物）。 </w:t>
      </w:r>
    </w:p>
    <w:p w14:paraId="1CFBD908">
      <w:pPr>
        <w:widowControl/>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本单位对上述声明的真实性负责。如有虚假，将依法承担相应责任。 </w:t>
      </w:r>
    </w:p>
    <w:p w14:paraId="1F9C8657">
      <w:pPr>
        <w:widowControl/>
        <w:spacing w:line="360" w:lineRule="auto"/>
        <w:ind w:firstLine="420" w:firstLineChars="200"/>
        <w:jc w:val="left"/>
        <w:rPr>
          <w:rFonts w:ascii="宋体" w:hAnsi="宋体" w:eastAsia="宋体" w:cs="宋体"/>
          <w:color w:val="auto"/>
          <w:kern w:val="0"/>
          <w:szCs w:val="21"/>
          <w:lang w:bidi="ar"/>
        </w:rPr>
      </w:pPr>
    </w:p>
    <w:p w14:paraId="5AFE8263">
      <w:pPr>
        <w:widowControl/>
        <w:spacing w:line="360" w:lineRule="auto"/>
        <w:ind w:firstLine="420" w:firstLineChars="200"/>
        <w:jc w:val="left"/>
        <w:rPr>
          <w:rFonts w:ascii="宋体" w:hAnsi="宋体" w:eastAsia="宋体" w:cs="宋体"/>
          <w:color w:val="auto"/>
          <w:kern w:val="0"/>
          <w:szCs w:val="21"/>
          <w:lang w:bidi="ar"/>
        </w:rPr>
      </w:pPr>
    </w:p>
    <w:p w14:paraId="1EC74F58">
      <w:pPr>
        <w:widowControl/>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单位名称（盖章）： </w:t>
      </w:r>
    </w:p>
    <w:p w14:paraId="37420913">
      <w:pPr>
        <w:widowControl/>
        <w:spacing w:line="360" w:lineRule="auto"/>
        <w:ind w:firstLine="420" w:firstLineChars="200"/>
        <w:jc w:val="left"/>
        <w:rPr>
          <w:rFonts w:ascii="宋体" w:hAnsi="宋体" w:eastAsia="宋体" w:cs="宋体"/>
          <w:color w:val="auto"/>
          <w:kern w:val="0"/>
          <w:szCs w:val="21"/>
          <w:lang w:bidi="ar"/>
        </w:rPr>
      </w:pPr>
    </w:p>
    <w:p w14:paraId="5E9FB4D3">
      <w:pPr>
        <w:widowControl/>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日期：</w:t>
      </w:r>
    </w:p>
    <w:p w14:paraId="28ED01D7">
      <w:pPr>
        <w:widowControl/>
        <w:spacing w:line="360" w:lineRule="auto"/>
        <w:jc w:val="left"/>
        <w:rPr>
          <w:rFonts w:ascii="宋体" w:hAnsi="宋体" w:eastAsia="宋体" w:cs="宋体"/>
          <w:color w:val="auto"/>
          <w:szCs w:val="21"/>
        </w:rPr>
      </w:pPr>
      <w:r>
        <w:rPr>
          <w:rFonts w:hint="eastAsia" w:ascii="宋体" w:hAnsi="宋体" w:eastAsia="宋体" w:cs="宋体"/>
          <w:b/>
          <w:bCs/>
          <w:color w:val="auto"/>
          <w:kern w:val="0"/>
          <w:szCs w:val="21"/>
          <w:lang w:bidi="ar"/>
        </w:rPr>
        <w:t xml:space="preserve">注： </w:t>
      </w:r>
    </w:p>
    <w:p w14:paraId="3AD74AC9">
      <w:pPr>
        <w:widowControl/>
        <w:spacing w:line="360" w:lineRule="auto"/>
        <w:jc w:val="left"/>
        <w:rPr>
          <w:rFonts w:ascii="宋体" w:hAnsi="宋体" w:eastAsia="宋体" w:cs="宋体"/>
          <w:color w:val="auto"/>
          <w:szCs w:val="21"/>
        </w:rPr>
      </w:pPr>
      <w:r>
        <w:rPr>
          <w:rFonts w:hint="eastAsia" w:ascii="宋体" w:hAnsi="宋体" w:eastAsia="宋体" w:cs="宋体"/>
          <w:b/>
          <w:bCs/>
          <w:color w:val="auto"/>
          <w:kern w:val="0"/>
          <w:szCs w:val="21"/>
          <w:lang w:bidi="ar"/>
        </w:rPr>
        <w:t xml:space="preserve">1、残疾人福利性单位视同小型、微型企业，享受预留份额、评审中价格扣除等促进中小企业发展的政府采购政策。残疾人福利性单位属于小型、微型企业的，不重复享受政策。 </w:t>
      </w:r>
    </w:p>
    <w:p w14:paraId="4D7BEECE">
      <w:pPr>
        <w:widowControl/>
        <w:spacing w:line="360" w:lineRule="auto"/>
        <w:jc w:val="left"/>
        <w:rPr>
          <w:rFonts w:ascii="宋体" w:hAnsi="宋体" w:eastAsia="宋体" w:cs="宋体"/>
          <w:color w:val="auto"/>
          <w:szCs w:val="21"/>
        </w:rPr>
      </w:pPr>
      <w:r>
        <w:rPr>
          <w:rFonts w:hint="eastAsia" w:ascii="宋体" w:hAnsi="宋体" w:eastAsia="宋体" w:cs="宋体"/>
          <w:b/>
          <w:bCs/>
          <w:color w:val="auto"/>
          <w:kern w:val="0"/>
          <w:szCs w:val="21"/>
          <w:lang w:bidi="ar"/>
        </w:rPr>
        <w:t>2、供应商为非残疾人福利性单位的，可不提供此声明。</w:t>
      </w:r>
    </w:p>
    <w:p w14:paraId="59FD5249">
      <w:pPr>
        <w:rPr>
          <w:rFonts w:ascii="宋体" w:hAnsi="宋体" w:eastAsia="宋体" w:cs="宋体"/>
          <w:color w:val="auto"/>
          <w:sz w:val="32"/>
          <w:szCs w:val="32"/>
        </w:rPr>
      </w:pPr>
      <w:r>
        <w:rPr>
          <w:rFonts w:hint="eastAsia" w:ascii="宋体" w:hAnsi="宋体" w:eastAsia="宋体" w:cs="宋体"/>
          <w:b/>
          <w:bCs/>
          <w:color w:val="auto"/>
          <w:kern w:val="0"/>
          <w:sz w:val="32"/>
          <w:szCs w:val="32"/>
          <w:lang w:bidi="ar"/>
        </w:rPr>
        <w:br w:type="page"/>
      </w:r>
      <w:r>
        <w:rPr>
          <w:rFonts w:hint="eastAsia" w:ascii="宋体" w:hAnsi="宋体" w:eastAsia="宋体" w:cs="宋体"/>
          <w:b/>
          <w:bCs/>
          <w:color w:val="auto"/>
          <w:kern w:val="0"/>
          <w:sz w:val="32"/>
          <w:szCs w:val="32"/>
          <w:lang w:bidi="ar"/>
        </w:rPr>
        <w:t xml:space="preserve">附件二： </w:t>
      </w:r>
    </w:p>
    <w:p w14:paraId="3A0673CE">
      <w:pPr>
        <w:widowControl/>
        <w:jc w:val="center"/>
        <w:rPr>
          <w:rFonts w:ascii="宋体" w:hAnsi="宋体" w:eastAsia="宋体" w:cs="宋体"/>
          <w:b/>
          <w:bCs/>
          <w:color w:val="auto"/>
          <w:kern w:val="0"/>
          <w:sz w:val="32"/>
          <w:szCs w:val="32"/>
          <w:lang w:bidi="ar"/>
        </w:rPr>
      </w:pPr>
    </w:p>
    <w:p w14:paraId="29B3089B">
      <w:pPr>
        <w:widowControl/>
        <w:jc w:val="center"/>
        <w:rPr>
          <w:rFonts w:ascii="宋体" w:hAnsi="宋体" w:eastAsia="宋体" w:cs="宋体"/>
          <w:color w:val="auto"/>
        </w:rPr>
      </w:pPr>
      <w:r>
        <w:rPr>
          <w:rFonts w:hint="eastAsia" w:ascii="宋体" w:hAnsi="宋体" w:eastAsia="宋体" w:cs="宋体"/>
          <w:b/>
          <w:bCs/>
          <w:color w:val="auto"/>
          <w:kern w:val="0"/>
          <w:sz w:val="32"/>
          <w:szCs w:val="32"/>
          <w:lang w:bidi="ar"/>
        </w:rPr>
        <w:t>监狱企业证明文件（如是）</w:t>
      </w:r>
    </w:p>
    <w:p w14:paraId="540DB969">
      <w:pPr>
        <w:widowControl/>
        <w:spacing w:line="360" w:lineRule="auto"/>
        <w:jc w:val="left"/>
        <w:rPr>
          <w:rFonts w:ascii="宋体" w:hAnsi="宋体" w:eastAsia="宋体" w:cs="宋体"/>
          <w:color w:val="auto"/>
          <w:kern w:val="0"/>
          <w:szCs w:val="21"/>
          <w:lang w:bidi="ar"/>
        </w:rPr>
      </w:pPr>
    </w:p>
    <w:p w14:paraId="7C70F857">
      <w:pPr>
        <w:widowControl/>
        <w:spacing w:line="360" w:lineRule="auto"/>
        <w:jc w:val="left"/>
        <w:rPr>
          <w:rFonts w:ascii="宋体" w:hAnsi="宋体" w:eastAsia="宋体" w:cs="宋体"/>
          <w:color w:val="auto"/>
          <w:kern w:val="0"/>
          <w:szCs w:val="21"/>
          <w:lang w:bidi="ar"/>
        </w:rPr>
      </w:pPr>
    </w:p>
    <w:p w14:paraId="591B5519">
      <w:pPr>
        <w:widowControl/>
        <w:spacing w:line="360" w:lineRule="auto"/>
        <w:jc w:val="left"/>
        <w:rPr>
          <w:rFonts w:ascii="宋体" w:hAnsi="宋体" w:eastAsia="宋体" w:cs="宋体"/>
          <w:color w:val="auto"/>
          <w:szCs w:val="21"/>
        </w:rPr>
      </w:pPr>
      <w:r>
        <w:rPr>
          <w:rFonts w:hint="eastAsia" w:ascii="宋体" w:hAnsi="宋体" w:eastAsia="宋体" w:cs="宋体"/>
          <w:color w:val="auto"/>
          <w:kern w:val="0"/>
          <w:szCs w:val="21"/>
          <w:lang w:bidi="ar"/>
        </w:rPr>
        <w:t xml:space="preserve">省级以上监狱管理局、戒毒管理局（含新疆生产建设兵团）出具的属于监狱企业的证明文件。 </w:t>
      </w:r>
    </w:p>
    <w:p w14:paraId="15E218CE">
      <w:pPr>
        <w:widowControl/>
        <w:spacing w:line="360" w:lineRule="auto"/>
        <w:jc w:val="left"/>
        <w:rPr>
          <w:rFonts w:ascii="宋体" w:hAnsi="宋体" w:eastAsia="宋体" w:cs="宋体"/>
          <w:b/>
          <w:bCs/>
          <w:color w:val="auto"/>
          <w:kern w:val="0"/>
          <w:szCs w:val="21"/>
          <w:lang w:bidi="ar"/>
        </w:rPr>
      </w:pPr>
    </w:p>
    <w:p w14:paraId="59617F90">
      <w:pPr>
        <w:widowControl/>
        <w:spacing w:line="360" w:lineRule="auto"/>
        <w:jc w:val="left"/>
        <w:rPr>
          <w:rFonts w:ascii="宋体" w:hAnsi="宋体" w:eastAsia="宋体" w:cs="宋体"/>
          <w:b/>
          <w:bCs/>
          <w:color w:val="auto"/>
          <w:kern w:val="0"/>
          <w:szCs w:val="21"/>
          <w:lang w:bidi="ar"/>
        </w:rPr>
      </w:pPr>
    </w:p>
    <w:p w14:paraId="6ACD3572">
      <w:pPr>
        <w:widowControl/>
        <w:spacing w:line="360" w:lineRule="auto"/>
        <w:jc w:val="left"/>
        <w:rPr>
          <w:rFonts w:ascii="宋体" w:hAnsi="宋体" w:eastAsia="宋体" w:cs="宋体"/>
          <w:color w:val="auto"/>
          <w:szCs w:val="21"/>
        </w:rPr>
      </w:pPr>
      <w:r>
        <w:rPr>
          <w:rFonts w:hint="eastAsia" w:ascii="宋体" w:hAnsi="宋体" w:eastAsia="宋体" w:cs="宋体"/>
          <w:b/>
          <w:bCs/>
          <w:color w:val="auto"/>
          <w:kern w:val="0"/>
          <w:szCs w:val="21"/>
          <w:lang w:bidi="ar"/>
        </w:rPr>
        <w:t xml:space="preserve">注： </w:t>
      </w:r>
    </w:p>
    <w:p w14:paraId="41CDF7E2">
      <w:pPr>
        <w:widowControl/>
        <w:spacing w:line="360" w:lineRule="auto"/>
        <w:jc w:val="left"/>
        <w:rPr>
          <w:rFonts w:ascii="宋体" w:hAnsi="宋体" w:eastAsia="宋体" w:cs="宋体"/>
          <w:color w:val="auto"/>
          <w:szCs w:val="21"/>
        </w:rPr>
      </w:pPr>
      <w:r>
        <w:rPr>
          <w:rFonts w:hint="eastAsia" w:ascii="宋体" w:hAnsi="宋体" w:eastAsia="宋体" w:cs="宋体"/>
          <w:b/>
          <w:bCs/>
          <w:color w:val="auto"/>
          <w:kern w:val="0"/>
          <w:szCs w:val="21"/>
          <w:lang w:bidi="ar"/>
        </w:rPr>
        <w:t xml:space="preserve">1、监狱企业视同小型、微型企业，享受预留份额、评审中价格扣除等促进中小企业发展的政府采购政策。监狱企业属于小型、微型企业的，不重复享受政策。 </w:t>
      </w:r>
    </w:p>
    <w:p w14:paraId="0686FB3E">
      <w:pPr>
        <w:spacing w:line="360" w:lineRule="auto"/>
        <w:rPr>
          <w:rFonts w:ascii="宋体" w:hAnsi="宋体" w:eastAsia="宋体" w:cs="宋体"/>
          <w:b/>
          <w:bCs/>
          <w:color w:val="auto"/>
          <w:sz w:val="24"/>
          <w:szCs w:val="13"/>
        </w:rPr>
      </w:pPr>
      <w:r>
        <w:rPr>
          <w:rFonts w:hint="eastAsia" w:ascii="宋体" w:hAnsi="宋体" w:eastAsia="宋体" w:cs="宋体"/>
          <w:b/>
          <w:bCs/>
          <w:color w:val="auto"/>
          <w:kern w:val="0"/>
          <w:szCs w:val="21"/>
          <w:lang w:bidi="ar"/>
        </w:rPr>
        <w:t>2、供应商为非监狱企业的，可不提供此证明。</w:t>
      </w:r>
    </w:p>
    <w:p w14:paraId="018336DD">
      <w:pPr>
        <w:rPr>
          <w:color w:val="auto"/>
        </w:rPr>
        <w:sectPr>
          <w:pgSz w:w="11906" w:h="16838"/>
          <w:pgMar w:top="1440" w:right="1800" w:bottom="1440" w:left="1800" w:header="851" w:footer="992" w:gutter="0"/>
          <w:pgNumType w:fmt="decimal"/>
          <w:cols w:space="720" w:num="1"/>
          <w:docGrid w:type="lines" w:linePitch="312" w:charSpace="0"/>
        </w:sectPr>
      </w:pPr>
    </w:p>
    <w:p w14:paraId="032B632D">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highlight w:val="none"/>
          <w:lang w:eastAsia="zh-CN"/>
        </w:rPr>
      </w:pPr>
      <w:bookmarkStart w:id="671" w:name="_Toc19276"/>
      <w:bookmarkStart w:id="672" w:name="_Toc492"/>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w:t>
      </w:r>
      <w:bookmarkEnd w:id="671"/>
      <w:bookmarkEnd w:id="672"/>
      <w:r>
        <w:rPr>
          <w:rFonts w:hint="eastAsia" w:ascii="宋体" w:hAnsi="宋体" w:cs="宋体"/>
          <w:b/>
          <w:bCs/>
          <w:sz w:val="32"/>
          <w:szCs w:val="32"/>
          <w:highlight w:val="none"/>
        </w:rPr>
        <w:t>技术方案</w:t>
      </w:r>
      <w:r>
        <w:rPr>
          <w:rFonts w:hint="eastAsia" w:ascii="宋体" w:hAnsi="宋体" w:cs="宋体"/>
          <w:b/>
          <w:bCs/>
          <w:sz w:val="32"/>
          <w:szCs w:val="32"/>
          <w:highlight w:val="none"/>
          <w:lang w:eastAsia="zh-CN"/>
        </w:rPr>
        <w:t>（暗标）</w:t>
      </w:r>
    </w:p>
    <w:p w14:paraId="3F2118B8">
      <w:pPr>
        <w:autoSpaceDE w:val="0"/>
        <w:autoSpaceDN w:val="0"/>
        <w:adjustRightInd w:val="0"/>
        <w:spacing w:line="360" w:lineRule="auto"/>
        <w:jc w:val="center"/>
        <w:rPr>
          <w:rFonts w:ascii="宋体" w:hAnsi="宋体" w:cs="宋体"/>
          <w:bCs/>
          <w:highlight w:val="none"/>
        </w:rPr>
      </w:pPr>
      <w:r>
        <w:rPr>
          <w:rFonts w:hint="eastAsia" w:ascii="宋体" w:hAnsi="宋体" w:cs="宋体"/>
          <w:b/>
          <w:sz w:val="28"/>
          <w:szCs w:val="28"/>
          <w:highlight w:val="none"/>
        </w:rPr>
        <w:t>（内容</w:t>
      </w:r>
      <w:r>
        <w:rPr>
          <w:rFonts w:hint="eastAsia" w:ascii="宋体" w:hAnsi="宋体" w:cs="宋体"/>
          <w:b/>
          <w:sz w:val="28"/>
          <w:szCs w:val="28"/>
          <w:highlight w:val="none"/>
          <w:lang w:eastAsia="zh-CN"/>
        </w:rPr>
        <w:t>根据详细评审</w:t>
      </w:r>
      <w:r>
        <w:rPr>
          <w:rFonts w:hint="eastAsia" w:ascii="宋体" w:hAnsi="宋体" w:cs="宋体"/>
          <w:b/>
          <w:sz w:val="28"/>
          <w:szCs w:val="28"/>
          <w:highlight w:val="none"/>
        </w:rPr>
        <w:t>自行编写）</w:t>
      </w:r>
    </w:p>
    <w:p w14:paraId="061DB281">
      <w:pPr>
        <w:snapToGrid w:val="0"/>
        <w:spacing w:line="360" w:lineRule="auto"/>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暗标要求如下：</w:t>
      </w:r>
    </w:p>
    <w:p w14:paraId="43E846AF">
      <w:pPr>
        <w:jc w:val="left"/>
        <w:rPr>
          <w:rFonts w:hint="eastAsia" w:ascii="宋体" w:hAnsi="宋体" w:cs="宋体"/>
          <w:sz w:val="28"/>
          <w:szCs w:val="28"/>
          <w:highlight w:val="none"/>
          <w:lang w:val="zh-CN"/>
        </w:rPr>
      </w:pPr>
      <w:r>
        <w:rPr>
          <w:rFonts w:hint="eastAsia" w:ascii="宋体" w:hAnsi="宋体" w:cs="宋体"/>
          <w:sz w:val="28"/>
          <w:szCs w:val="28"/>
          <w:highlight w:val="none"/>
          <w:lang w:val="zh-CN"/>
        </w:rPr>
        <w:t>投标文件技术标必须遵守的统一格式和规范。 技术标文件（暗标）未按以下“盲评”要求制作的，为无效投标，除下述要求外，不得因暗标格式问题认定为无效投标：</w:t>
      </w:r>
    </w:p>
    <w:p w14:paraId="2E23BDF6">
      <w:pPr>
        <w:jc w:val="left"/>
        <w:rPr>
          <w:rFonts w:hint="eastAsia" w:ascii="宋体" w:hAnsi="宋体" w:cs="宋体"/>
          <w:sz w:val="28"/>
          <w:szCs w:val="28"/>
          <w:highlight w:val="none"/>
          <w:lang w:val="zh-CN"/>
        </w:rPr>
      </w:pPr>
      <w:r>
        <w:rPr>
          <w:rFonts w:hint="eastAsia" w:ascii="宋体" w:hAnsi="宋体" w:cs="宋体"/>
          <w:sz w:val="28"/>
          <w:szCs w:val="28"/>
          <w:highlight w:val="none"/>
          <w:lang w:val="zh-CN"/>
        </w:rPr>
        <w:t xml:space="preserve">1.版面要求：A4纸张大小； </w:t>
      </w:r>
    </w:p>
    <w:p w14:paraId="295256EB">
      <w:pPr>
        <w:jc w:val="left"/>
        <w:rPr>
          <w:rFonts w:hint="eastAsia" w:ascii="宋体" w:hAnsi="宋体" w:cs="宋体"/>
          <w:sz w:val="28"/>
          <w:szCs w:val="28"/>
          <w:highlight w:val="none"/>
          <w:lang w:val="zh-CN"/>
        </w:rPr>
      </w:pPr>
      <w:r>
        <w:rPr>
          <w:rFonts w:hint="eastAsia" w:ascii="宋体" w:hAnsi="宋体" w:cs="宋体"/>
          <w:sz w:val="28"/>
          <w:szCs w:val="28"/>
          <w:highlight w:val="none"/>
          <w:lang w:val="zh-CN"/>
        </w:rPr>
        <w:t xml:space="preserve">2.颜色要求：所有文字、图表均为黑色； </w:t>
      </w:r>
    </w:p>
    <w:p w14:paraId="0007DF7C">
      <w:pPr>
        <w:jc w:val="left"/>
        <w:rPr>
          <w:rFonts w:hint="eastAsia" w:ascii="宋体" w:hAnsi="宋体" w:cs="宋体"/>
          <w:sz w:val="28"/>
          <w:szCs w:val="28"/>
          <w:highlight w:val="none"/>
          <w:lang w:val="zh-CN"/>
        </w:rPr>
      </w:pPr>
      <w:r>
        <w:rPr>
          <w:rFonts w:hint="eastAsia" w:ascii="宋体" w:hAnsi="宋体" w:cs="宋体"/>
          <w:sz w:val="28"/>
          <w:szCs w:val="28"/>
          <w:highlight w:val="none"/>
          <w:lang w:val="zh-CN"/>
        </w:rPr>
        <w:t xml:space="preserve">3.字体要求：标题及正文部分所用文字均采用“宋体”四号“常规”字；图、表内的字体及字号不作要求；全部使用中文标点符号；所有字体均不得出现加粗、加色、倾斜、下划线等标记； </w:t>
      </w:r>
    </w:p>
    <w:p w14:paraId="69156094">
      <w:pPr>
        <w:jc w:val="left"/>
        <w:rPr>
          <w:rFonts w:hint="eastAsia" w:ascii="宋体" w:hAnsi="宋体" w:cs="宋体"/>
          <w:sz w:val="28"/>
          <w:szCs w:val="28"/>
          <w:highlight w:val="none"/>
          <w:lang w:val="zh-CN"/>
        </w:rPr>
      </w:pPr>
      <w:r>
        <w:rPr>
          <w:rFonts w:hint="eastAsia" w:ascii="宋体" w:hAnsi="宋体" w:cs="宋体"/>
          <w:sz w:val="28"/>
          <w:szCs w:val="28"/>
          <w:highlight w:val="none"/>
          <w:lang w:val="zh-CN"/>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73968DCB">
      <w:pPr>
        <w:jc w:val="left"/>
        <w:rPr>
          <w:rFonts w:hint="eastAsia" w:ascii="宋体" w:hAnsi="宋体" w:cs="宋体"/>
          <w:sz w:val="28"/>
          <w:szCs w:val="28"/>
          <w:highlight w:val="none"/>
          <w:lang w:val="zh-CN"/>
        </w:rPr>
      </w:pPr>
      <w:r>
        <w:rPr>
          <w:rFonts w:hint="eastAsia" w:ascii="宋体" w:hAnsi="宋体" w:cs="宋体"/>
          <w:sz w:val="28"/>
          <w:szCs w:val="28"/>
          <w:highlight w:val="none"/>
          <w:lang w:val="zh-CN"/>
        </w:rPr>
        <w:t>5.其它：除满足上述各项要求外，构成投标文件的“技术暗标”的正文中均不得出现供应商的名称和其它可识别供应商身份的字符、徽标、人员名称以及其他可能被辨别出供应商身份的任何标记。</w:t>
      </w:r>
    </w:p>
    <w:p w14:paraId="5374D753">
      <w:pPr>
        <w:pStyle w:val="41"/>
        <w:ind w:left="0" w:leftChars="0" w:firstLine="0" w:firstLineChars="0"/>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6.投标人应尽量精炼文字，技术方案总页数应不超过200页。</w:t>
      </w:r>
    </w:p>
    <w:p w14:paraId="74D0E28E">
      <w:pPr>
        <w:pStyle w:val="41"/>
        <w:ind w:left="0" w:leftChars="0" w:firstLine="0" w:firstLineChars="0"/>
        <w:rPr>
          <w:rFonts w:hint="eastAsia" w:eastAsia="华文楷体"/>
          <w:lang w:val="en-US" w:eastAsia="zh-CN"/>
        </w:rPr>
      </w:pPr>
    </w:p>
    <w:p w14:paraId="2EAF7B63">
      <w:pPr>
        <w:spacing w:line="360" w:lineRule="auto"/>
        <w:jc w:val="left"/>
        <w:rPr>
          <w:rFonts w:hint="eastAsia" w:ascii="宋体" w:hAnsi="宋体" w:cs="宋体"/>
          <w:bCs/>
          <w:highlight w:val="none"/>
        </w:rPr>
      </w:pPr>
    </w:p>
    <w:p w14:paraId="6DF11D80">
      <w:pPr>
        <w:pStyle w:val="41"/>
        <w:rPr>
          <w:rFonts w:hint="default" w:eastAsia="华文楷体"/>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HelveticaNeueLT Std Lt Cn">
    <w:altName w:val="宋体"/>
    <w:panose1 w:val="00000000000000000000"/>
    <w:charset w:val="86"/>
    <w:family w:val="swiss"/>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3E1D3">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61BD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361BD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1769">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D9273">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5D9273">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4E7D">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58AA1">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158AA1">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3A32">
    <w:pPr>
      <w:pStyle w:val="15"/>
      <w:ind w:right="360"/>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CD89D">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5CD89D">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3AA3">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42B74">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C42B74">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4B45">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4939F">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B4939F">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585F">
    <w:pPr>
      <w:pStyle w:val="1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C793E">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4C793E">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23FA">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4483">
    <w:pPr>
      <w:spacing w:line="200" w:lineRule="exact"/>
      <w:jc w:val="left"/>
      <w:rPr>
        <w:rFonts w:ascii="宋体" w:hAnsi="宋体" w:eastAsia="宋体" w:cs="宋体"/>
        <w:b/>
        <w:b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7B07">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AE2E">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7F4A">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237F">
    <w:pPr>
      <w:pStyle w:val="16"/>
      <w:jc w:val="left"/>
      <w:rPr>
        <w:rFonts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3DB0">
    <w:pPr>
      <w:pStyle w:val="16"/>
      <w:jc w:val="left"/>
      <w:rPr>
        <w:rFonts w:eastAsia="宋体"/>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B8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86050"/>
    <w:multiLevelType w:val="singleLevel"/>
    <w:tmpl w:val="E7586050"/>
    <w:lvl w:ilvl="0" w:tentative="0">
      <w:start w:val="1"/>
      <w:numFmt w:val="chineseCounting"/>
      <w:suff w:val="nothing"/>
      <w:lvlText w:val="%1、"/>
      <w:lvlJc w:val="left"/>
      <w:rPr>
        <w:rFonts w:hint="eastAsia"/>
      </w:rPr>
    </w:lvl>
  </w:abstractNum>
  <w:abstractNum w:abstractNumId="1">
    <w:nsid w:val="00000012"/>
    <w:multiLevelType w:val="multilevel"/>
    <w:tmpl w:val="00000012"/>
    <w:lvl w:ilvl="0" w:tentative="0">
      <w:start w:val="1"/>
      <w:numFmt w:val="decimal"/>
      <w:pStyle w:val="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B8DBDEB"/>
    <w:multiLevelType w:val="singleLevel"/>
    <w:tmpl w:val="2B8DBDEB"/>
    <w:lvl w:ilvl="0" w:tentative="0">
      <w:start w:val="2"/>
      <w:numFmt w:val="chineseCounting"/>
      <w:suff w:val="nothing"/>
      <w:lvlText w:val="%1、"/>
      <w:lvlJc w:val="left"/>
      <w:rPr>
        <w:rFonts w:hint="eastAsia"/>
      </w:rPr>
    </w:lvl>
  </w:abstractNum>
  <w:abstractNum w:abstractNumId="3">
    <w:nsid w:val="4D516FE0"/>
    <w:multiLevelType w:val="multilevel"/>
    <w:tmpl w:val="4D516FE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E6F60E8"/>
    <w:multiLevelType w:val="multilevel"/>
    <w:tmpl w:val="6E6F60E8"/>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66"/>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75DB61E8"/>
    <w:multiLevelType w:val="singleLevel"/>
    <w:tmpl w:val="75DB61E8"/>
    <w:lvl w:ilvl="0" w:tentative="0">
      <w:start w:val="17"/>
      <w:numFmt w:val="chineseCounting"/>
      <w:suff w:val="space"/>
      <w:lvlText w:val="第%1条"/>
      <w:lvlJc w:val="left"/>
      <w:rPr>
        <w:rFonts w:hint="eastAsia"/>
      </w:rPr>
    </w:lvl>
  </w:abstractNum>
  <w:abstractNum w:abstractNumId="6">
    <w:nsid w:val="7B9D0FCE"/>
    <w:multiLevelType w:val="singleLevel"/>
    <w:tmpl w:val="7B9D0FCE"/>
    <w:lvl w:ilvl="0" w:tentative="0">
      <w:start w:val="1"/>
      <w:numFmt w:val="chineseCounting"/>
      <w:suff w:val="nothing"/>
      <w:lvlText w:val="%1、"/>
      <w:lvlJc w:val="left"/>
      <w:rPr>
        <w:rFonts w:hint="eastAsia"/>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NzdiMjliNGY0YWFiYTJmYzg2MWQzZmQ3MTc1NjUifQ=="/>
  </w:docVars>
  <w:rsids>
    <w:rsidRoot w:val="4AF633E3"/>
    <w:rsid w:val="0015243E"/>
    <w:rsid w:val="004E2D9A"/>
    <w:rsid w:val="005006CB"/>
    <w:rsid w:val="005673A7"/>
    <w:rsid w:val="005971E8"/>
    <w:rsid w:val="006D3C7A"/>
    <w:rsid w:val="008E6852"/>
    <w:rsid w:val="009558BD"/>
    <w:rsid w:val="009A28EA"/>
    <w:rsid w:val="00BB2EE4"/>
    <w:rsid w:val="00BF6050"/>
    <w:rsid w:val="00FF6CFE"/>
    <w:rsid w:val="018362EB"/>
    <w:rsid w:val="01E74ACC"/>
    <w:rsid w:val="01F36FCC"/>
    <w:rsid w:val="02104022"/>
    <w:rsid w:val="02693733"/>
    <w:rsid w:val="029562D6"/>
    <w:rsid w:val="030F42DA"/>
    <w:rsid w:val="03920A67"/>
    <w:rsid w:val="04770389"/>
    <w:rsid w:val="0488599B"/>
    <w:rsid w:val="048908F6"/>
    <w:rsid w:val="04F206E9"/>
    <w:rsid w:val="05AE78FB"/>
    <w:rsid w:val="068152E8"/>
    <w:rsid w:val="070457D8"/>
    <w:rsid w:val="08145EEF"/>
    <w:rsid w:val="08197BDA"/>
    <w:rsid w:val="08986C62"/>
    <w:rsid w:val="097430E9"/>
    <w:rsid w:val="09842C00"/>
    <w:rsid w:val="0A1D256D"/>
    <w:rsid w:val="0ABA6DE0"/>
    <w:rsid w:val="0ADC1DAA"/>
    <w:rsid w:val="0B680A2B"/>
    <w:rsid w:val="0BFA364D"/>
    <w:rsid w:val="0C28640C"/>
    <w:rsid w:val="0C5C1C12"/>
    <w:rsid w:val="0CAC4815"/>
    <w:rsid w:val="0D6E7E4F"/>
    <w:rsid w:val="0DE34399"/>
    <w:rsid w:val="0E032C8D"/>
    <w:rsid w:val="0E941B37"/>
    <w:rsid w:val="0F0F5662"/>
    <w:rsid w:val="0F143B17"/>
    <w:rsid w:val="10236A85"/>
    <w:rsid w:val="102869DB"/>
    <w:rsid w:val="10613C9B"/>
    <w:rsid w:val="10F6411B"/>
    <w:rsid w:val="118D0644"/>
    <w:rsid w:val="1198193E"/>
    <w:rsid w:val="1211524D"/>
    <w:rsid w:val="122D02D9"/>
    <w:rsid w:val="129640D0"/>
    <w:rsid w:val="12BB58E4"/>
    <w:rsid w:val="12FB3F33"/>
    <w:rsid w:val="1319085D"/>
    <w:rsid w:val="1350710E"/>
    <w:rsid w:val="138008DC"/>
    <w:rsid w:val="1406282C"/>
    <w:rsid w:val="146745CA"/>
    <w:rsid w:val="14787805"/>
    <w:rsid w:val="14FD9318"/>
    <w:rsid w:val="155935EE"/>
    <w:rsid w:val="165027E8"/>
    <w:rsid w:val="167A7865"/>
    <w:rsid w:val="16BA4105"/>
    <w:rsid w:val="16C86822"/>
    <w:rsid w:val="16E90F0C"/>
    <w:rsid w:val="172A128B"/>
    <w:rsid w:val="17400AAE"/>
    <w:rsid w:val="17626CA4"/>
    <w:rsid w:val="17C9293E"/>
    <w:rsid w:val="17E07B9B"/>
    <w:rsid w:val="18B757D0"/>
    <w:rsid w:val="18FE73BF"/>
    <w:rsid w:val="193004D0"/>
    <w:rsid w:val="19596D8C"/>
    <w:rsid w:val="19A54BF8"/>
    <w:rsid w:val="19B80DD0"/>
    <w:rsid w:val="19D03922"/>
    <w:rsid w:val="19F4792E"/>
    <w:rsid w:val="1A372EC1"/>
    <w:rsid w:val="1AAB4490"/>
    <w:rsid w:val="1B6A60FA"/>
    <w:rsid w:val="1B750C1C"/>
    <w:rsid w:val="1B9273FE"/>
    <w:rsid w:val="1BD17F27"/>
    <w:rsid w:val="1BFD6601"/>
    <w:rsid w:val="1C883E07"/>
    <w:rsid w:val="1D080DB7"/>
    <w:rsid w:val="1D0810A3"/>
    <w:rsid w:val="1D251EBE"/>
    <w:rsid w:val="1E14059F"/>
    <w:rsid w:val="1E9F88FB"/>
    <w:rsid w:val="1EC32B3A"/>
    <w:rsid w:val="1F117F76"/>
    <w:rsid w:val="1F226CEB"/>
    <w:rsid w:val="1F456AE8"/>
    <w:rsid w:val="1FA727AE"/>
    <w:rsid w:val="20635D86"/>
    <w:rsid w:val="208B7373"/>
    <w:rsid w:val="20914128"/>
    <w:rsid w:val="209B6D55"/>
    <w:rsid w:val="20B604F6"/>
    <w:rsid w:val="215A09BE"/>
    <w:rsid w:val="21925323"/>
    <w:rsid w:val="221F364A"/>
    <w:rsid w:val="223B44E0"/>
    <w:rsid w:val="22525B39"/>
    <w:rsid w:val="227B0BEC"/>
    <w:rsid w:val="23052BAC"/>
    <w:rsid w:val="23DE7685"/>
    <w:rsid w:val="2494329C"/>
    <w:rsid w:val="254734B9"/>
    <w:rsid w:val="257535D2"/>
    <w:rsid w:val="257858B7"/>
    <w:rsid w:val="25A066B6"/>
    <w:rsid w:val="266F6CBA"/>
    <w:rsid w:val="26BE379D"/>
    <w:rsid w:val="26BE72FA"/>
    <w:rsid w:val="28011B94"/>
    <w:rsid w:val="28AA3FD9"/>
    <w:rsid w:val="28D472A8"/>
    <w:rsid w:val="28E936A9"/>
    <w:rsid w:val="297F4510"/>
    <w:rsid w:val="29916F47"/>
    <w:rsid w:val="2C866B0B"/>
    <w:rsid w:val="2C9F7BCD"/>
    <w:rsid w:val="2D12039F"/>
    <w:rsid w:val="2D4F6EFD"/>
    <w:rsid w:val="2E100D83"/>
    <w:rsid w:val="2E13617D"/>
    <w:rsid w:val="2EA25753"/>
    <w:rsid w:val="2EFC1307"/>
    <w:rsid w:val="2FFD70E5"/>
    <w:rsid w:val="303B5E5F"/>
    <w:rsid w:val="30751371"/>
    <w:rsid w:val="30C776F3"/>
    <w:rsid w:val="31496359"/>
    <w:rsid w:val="31921AAF"/>
    <w:rsid w:val="320329AC"/>
    <w:rsid w:val="325154C6"/>
    <w:rsid w:val="32892EB1"/>
    <w:rsid w:val="32B51EF8"/>
    <w:rsid w:val="3337FE4C"/>
    <w:rsid w:val="33900270"/>
    <w:rsid w:val="341E11B6"/>
    <w:rsid w:val="342E4A3C"/>
    <w:rsid w:val="34DF61CE"/>
    <w:rsid w:val="35357321"/>
    <w:rsid w:val="35C14F2B"/>
    <w:rsid w:val="35FE3BB6"/>
    <w:rsid w:val="36D84EE3"/>
    <w:rsid w:val="37704640"/>
    <w:rsid w:val="378E0F6A"/>
    <w:rsid w:val="37C05D93"/>
    <w:rsid w:val="39662D74"/>
    <w:rsid w:val="39942DB0"/>
    <w:rsid w:val="39D07618"/>
    <w:rsid w:val="3A9E7716"/>
    <w:rsid w:val="3AAD1707"/>
    <w:rsid w:val="3B190B4B"/>
    <w:rsid w:val="3B194FEF"/>
    <w:rsid w:val="3B255741"/>
    <w:rsid w:val="3B5851A8"/>
    <w:rsid w:val="3B5D137F"/>
    <w:rsid w:val="3BB68494"/>
    <w:rsid w:val="3BDF328A"/>
    <w:rsid w:val="3CE37662"/>
    <w:rsid w:val="3D4E0F7F"/>
    <w:rsid w:val="3D7B1A05"/>
    <w:rsid w:val="3DB64D77"/>
    <w:rsid w:val="3DE21D07"/>
    <w:rsid w:val="3DF5101A"/>
    <w:rsid w:val="3F03223E"/>
    <w:rsid w:val="3F312907"/>
    <w:rsid w:val="3F47C3E6"/>
    <w:rsid w:val="3F5EED38"/>
    <w:rsid w:val="3F7722E4"/>
    <w:rsid w:val="3FCDB1BE"/>
    <w:rsid w:val="3FDE1127"/>
    <w:rsid w:val="3FE6171A"/>
    <w:rsid w:val="3FFE7681"/>
    <w:rsid w:val="40694322"/>
    <w:rsid w:val="40D376E1"/>
    <w:rsid w:val="41EC6FB9"/>
    <w:rsid w:val="42621029"/>
    <w:rsid w:val="42CE66BF"/>
    <w:rsid w:val="42EB101F"/>
    <w:rsid w:val="43095949"/>
    <w:rsid w:val="43233335"/>
    <w:rsid w:val="43811983"/>
    <w:rsid w:val="439D67BD"/>
    <w:rsid w:val="44110F59"/>
    <w:rsid w:val="446B0669"/>
    <w:rsid w:val="449458D8"/>
    <w:rsid w:val="44AE49FA"/>
    <w:rsid w:val="452151CC"/>
    <w:rsid w:val="45264590"/>
    <w:rsid w:val="452F2E14"/>
    <w:rsid w:val="459E4A6E"/>
    <w:rsid w:val="45DB181E"/>
    <w:rsid w:val="462140FF"/>
    <w:rsid w:val="468E063F"/>
    <w:rsid w:val="47723ABC"/>
    <w:rsid w:val="47BF4E76"/>
    <w:rsid w:val="47DDA13A"/>
    <w:rsid w:val="481334F1"/>
    <w:rsid w:val="48711A69"/>
    <w:rsid w:val="48CE18BC"/>
    <w:rsid w:val="493C44FB"/>
    <w:rsid w:val="49C56A6D"/>
    <w:rsid w:val="49F3BBC8"/>
    <w:rsid w:val="49FAD779"/>
    <w:rsid w:val="4AF633E3"/>
    <w:rsid w:val="4B15132F"/>
    <w:rsid w:val="4B7F836C"/>
    <w:rsid w:val="4C2A0E0A"/>
    <w:rsid w:val="4C40062D"/>
    <w:rsid w:val="4C4A7960"/>
    <w:rsid w:val="4D063625"/>
    <w:rsid w:val="4D5B4FF3"/>
    <w:rsid w:val="4D695962"/>
    <w:rsid w:val="4DFE60AA"/>
    <w:rsid w:val="4F551C23"/>
    <w:rsid w:val="4F9071D6"/>
    <w:rsid w:val="4F9C3DCC"/>
    <w:rsid w:val="4FF6049E"/>
    <w:rsid w:val="50636994"/>
    <w:rsid w:val="509251CF"/>
    <w:rsid w:val="50A13EB4"/>
    <w:rsid w:val="50A53155"/>
    <w:rsid w:val="512978E2"/>
    <w:rsid w:val="51402D94"/>
    <w:rsid w:val="5199001E"/>
    <w:rsid w:val="51C7193E"/>
    <w:rsid w:val="51CA2FE6"/>
    <w:rsid w:val="51EE28D9"/>
    <w:rsid w:val="52DC0984"/>
    <w:rsid w:val="531E3E98"/>
    <w:rsid w:val="5352531F"/>
    <w:rsid w:val="53F046E7"/>
    <w:rsid w:val="54330A77"/>
    <w:rsid w:val="54F226E1"/>
    <w:rsid w:val="557C1FAA"/>
    <w:rsid w:val="55AA4D69"/>
    <w:rsid w:val="5627460C"/>
    <w:rsid w:val="564D6442"/>
    <w:rsid w:val="565D1DDC"/>
    <w:rsid w:val="5677655D"/>
    <w:rsid w:val="567F61F6"/>
    <w:rsid w:val="56B22127"/>
    <w:rsid w:val="56FC33A3"/>
    <w:rsid w:val="572A6162"/>
    <w:rsid w:val="5765719A"/>
    <w:rsid w:val="57677173"/>
    <w:rsid w:val="58732168"/>
    <w:rsid w:val="59352B9C"/>
    <w:rsid w:val="593544B7"/>
    <w:rsid w:val="59768519"/>
    <w:rsid w:val="597D42DF"/>
    <w:rsid w:val="59B91A1F"/>
    <w:rsid w:val="59F740F7"/>
    <w:rsid w:val="5A186745"/>
    <w:rsid w:val="5A3E3CD2"/>
    <w:rsid w:val="5B36170C"/>
    <w:rsid w:val="5B835E40"/>
    <w:rsid w:val="5BC326E1"/>
    <w:rsid w:val="5BD743DE"/>
    <w:rsid w:val="5BDD5BE0"/>
    <w:rsid w:val="5BFFD050"/>
    <w:rsid w:val="5C7659A5"/>
    <w:rsid w:val="5CA64EAC"/>
    <w:rsid w:val="5CEEDB94"/>
    <w:rsid w:val="5CFB5EAA"/>
    <w:rsid w:val="5D9DF5E0"/>
    <w:rsid w:val="5E6C7E24"/>
    <w:rsid w:val="5EE72B8A"/>
    <w:rsid w:val="5F6571D3"/>
    <w:rsid w:val="5F731309"/>
    <w:rsid w:val="5F7BA6C6"/>
    <w:rsid w:val="5F7FC870"/>
    <w:rsid w:val="5FB5CE0B"/>
    <w:rsid w:val="5FDC0215"/>
    <w:rsid w:val="5FDFB85D"/>
    <w:rsid w:val="5FF785B9"/>
    <w:rsid w:val="6005151A"/>
    <w:rsid w:val="602A71D2"/>
    <w:rsid w:val="60C800E8"/>
    <w:rsid w:val="617E960D"/>
    <w:rsid w:val="62540537"/>
    <w:rsid w:val="63DDDBB1"/>
    <w:rsid w:val="63F43D7F"/>
    <w:rsid w:val="64E02555"/>
    <w:rsid w:val="653603C7"/>
    <w:rsid w:val="65B732B6"/>
    <w:rsid w:val="668A4527"/>
    <w:rsid w:val="668F5FE1"/>
    <w:rsid w:val="66B6561A"/>
    <w:rsid w:val="66EEB1C6"/>
    <w:rsid w:val="67454B5E"/>
    <w:rsid w:val="679A69EC"/>
    <w:rsid w:val="67C10B7D"/>
    <w:rsid w:val="681A5D7E"/>
    <w:rsid w:val="68A613C0"/>
    <w:rsid w:val="68B7181F"/>
    <w:rsid w:val="68C301C4"/>
    <w:rsid w:val="68D40A75"/>
    <w:rsid w:val="68DB4B77"/>
    <w:rsid w:val="696638FC"/>
    <w:rsid w:val="699FEAF3"/>
    <w:rsid w:val="69C02956"/>
    <w:rsid w:val="6A3610DA"/>
    <w:rsid w:val="6AACD002"/>
    <w:rsid w:val="6ADE3093"/>
    <w:rsid w:val="6AFAF230"/>
    <w:rsid w:val="6B221C26"/>
    <w:rsid w:val="6BAE22DC"/>
    <w:rsid w:val="6BD8139B"/>
    <w:rsid w:val="6C315445"/>
    <w:rsid w:val="6C557385"/>
    <w:rsid w:val="6CA558F6"/>
    <w:rsid w:val="6CB46566"/>
    <w:rsid w:val="6D5C4EEC"/>
    <w:rsid w:val="6D61658C"/>
    <w:rsid w:val="6D745F31"/>
    <w:rsid w:val="6DCE5641"/>
    <w:rsid w:val="6DEA61F3"/>
    <w:rsid w:val="6E6A1C06"/>
    <w:rsid w:val="6EBD7464"/>
    <w:rsid w:val="6EFEB72D"/>
    <w:rsid w:val="6F176B74"/>
    <w:rsid w:val="6F991C7F"/>
    <w:rsid w:val="6FFE6EEC"/>
    <w:rsid w:val="70025A76"/>
    <w:rsid w:val="706B0971"/>
    <w:rsid w:val="70C44AD9"/>
    <w:rsid w:val="71600CA6"/>
    <w:rsid w:val="71C77838"/>
    <w:rsid w:val="71DE05CD"/>
    <w:rsid w:val="73422CFE"/>
    <w:rsid w:val="73644352"/>
    <w:rsid w:val="738513B4"/>
    <w:rsid w:val="73C95280"/>
    <w:rsid w:val="73DE795E"/>
    <w:rsid w:val="73F62F1E"/>
    <w:rsid w:val="73FD7D07"/>
    <w:rsid w:val="74235FBB"/>
    <w:rsid w:val="742D7630"/>
    <w:rsid w:val="74755B51"/>
    <w:rsid w:val="750E7546"/>
    <w:rsid w:val="75267B11"/>
    <w:rsid w:val="75385A96"/>
    <w:rsid w:val="75CB690A"/>
    <w:rsid w:val="75D21A46"/>
    <w:rsid w:val="75DE1878"/>
    <w:rsid w:val="76A2766B"/>
    <w:rsid w:val="77B34444"/>
    <w:rsid w:val="77F02658"/>
    <w:rsid w:val="78C87131"/>
    <w:rsid w:val="797E9C35"/>
    <w:rsid w:val="7A2DC56B"/>
    <w:rsid w:val="7A681106"/>
    <w:rsid w:val="7AA30CAD"/>
    <w:rsid w:val="7ACD0A2E"/>
    <w:rsid w:val="7B0475C5"/>
    <w:rsid w:val="7B1D19B6"/>
    <w:rsid w:val="7B3ED4D6"/>
    <w:rsid w:val="7B4231CA"/>
    <w:rsid w:val="7B5762C7"/>
    <w:rsid w:val="7BCD518A"/>
    <w:rsid w:val="7BEB517D"/>
    <w:rsid w:val="7C243DD9"/>
    <w:rsid w:val="7C262AEC"/>
    <w:rsid w:val="7C7C095E"/>
    <w:rsid w:val="7CADF481"/>
    <w:rsid w:val="7CCF0B56"/>
    <w:rsid w:val="7CE8979F"/>
    <w:rsid w:val="7D9D6F38"/>
    <w:rsid w:val="7DAF9CC8"/>
    <w:rsid w:val="7DE22A43"/>
    <w:rsid w:val="7DF86704"/>
    <w:rsid w:val="7DFC1AF7"/>
    <w:rsid w:val="7EB67542"/>
    <w:rsid w:val="7EFF4AEA"/>
    <w:rsid w:val="7F2F4A1E"/>
    <w:rsid w:val="7F5BE24C"/>
    <w:rsid w:val="7F7E0F35"/>
    <w:rsid w:val="7F975385"/>
    <w:rsid w:val="7FAA9769"/>
    <w:rsid w:val="7FCCECA5"/>
    <w:rsid w:val="7FEB0F25"/>
    <w:rsid w:val="7FEE7C82"/>
    <w:rsid w:val="7FF5B3FA"/>
    <w:rsid w:val="7FF613F0"/>
    <w:rsid w:val="7FF67EDA"/>
    <w:rsid w:val="7FF77865"/>
    <w:rsid w:val="7FF901B9"/>
    <w:rsid w:val="7FFFD145"/>
    <w:rsid w:val="836FA4C5"/>
    <w:rsid w:val="8EF79F2A"/>
    <w:rsid w:val="9FEF8725"/>
    <w:rsid w:val="AA66CCF4"/>
    <w:rsid w:val="ADA50AF6"/>
    <w:rsid w:val="AEE7170E"/>
    <w:rsid w:val="B4D2744A"/>
    <w:rsid w:val="BBBD2A30"/>
    <w:rsid w:val="BE078B79"/>
    <w:rsid w:val="BEBCA827"/>
    <w:rsid w:val="BEFF5A1B"/>
    <w:rsid w:val="BFB958A1"/>
    <w:rsid w:val="BFDB29B3"/>
    <w:rsid w:val="BFDBACB9"/>
    <w:rsid w:val="BFFF3141"/>
    <w:rsid w:val="C2FF78F6"/>
    <w:rsid w:val="CEFBA86A"/>
    <w:rsid w:val="CEFF0BF0"/>
    <w:rsid w:val="CF8F25EB"/>
    <w:rsid w:val="D57F2E40"/>
    <w:rsid w:val="D6CF3AC2"/>
    <w:rsid w:val="D6E7122F"/>
    <w:rsid w:val="D7B76584"/>
    <w:rsid w:val="DF9B639F"/>
    <w:rsid w:val="DFBD82EE"/>
    <w:rsid w:val="DFFF759E"/>
    <w:rsid w:val="E3F38F0E"/>
    <w:rsid w:val="E696BF99"/>
    <w:rsid w:val="EBFF5890"/>
    <w:rsid w:val="ECBE3F6C"/>
    <w:rsid w:val="EDBF3A0F"/>
    <w:rsid w:val="EDE9ED98"/>
    <w:rsid w:val="EF9D631F"/>
    <w:rsid w:val="EFCA18C4"/>
    <w:rsid w:val="EFE5DBDA"/>
    <w:rsid w:val="EFE9144F"/>
    <w:rsid w:val="F3C7BCE7"/>
    <w:rsid w:val="F3CE6ED9"/>
    <w:rsid w:val="F5F98EB4"/>
    <w:rsid w:val="F6F4FCE8"/>
    <w:rsid w:val="F73D9B48"/>
    <w:rsid w:val="F9ED5586"/>
    <w:rsid w:val="F9EF8653"/>
    <w:rsid w:val="FAFE4850"/>
    <w:rsid w:val="FBEE1358"/>
    <w:rsid w:val="FC7572DC"/>
    <w:rsid w:val="FDAA75F0"/>
    <w:rsid w:val="FDB79C3B"/>
    <w:rsid w:val="FDEE97FE"/>
    <w:rsid w:val="FE7E912B"/>
    <w:rsid w:val="FF176BD5"/>
    <w:rsid w:val="FF6FEAAB"/>
    <w:rsid w:val="FFB3CE5B"/>
    <w:rsid w:val="FFC58ADA"/>
    <w:rsid w:val="FFEDAC0A"/>
    <w:rsid w:val="FFEF60EA"/>
    <w:rsid w:val="FFFD68F8"/>
    <w:rsid w:val="FFFFA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8"/>
    <w:qFormat/>
    <w:uiPriority w:val="0"/>
    <w:pPr>
      <w:keepNext/>
      <w:keepLines/>
      <w:spacing w:before="340" w:after="330"/>
      <w:jc w:val="center"/>
      <w:outlineLvl w:val="0"/>
    </w:pPr>
    <w:rPr>
      <w:b/>
      <w:bCs/>
      <w:kern w:val="44"/>
      <w:sz w:val="32"/>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rPr>
      <w:szCs w:val="20"/>
    </w:rPr>
  </w:style>
  <w:style w:type="paragraph" w:styleId="6">
    <w:name w:val="Normal Indent"/>
    <w:basedOn w:val="1"/>
    <w:qFormat/>
    <w:uiPriority w:val="0"/>
    <w:pPr>
      <w:widowControl/>
      <w:ind w:firstLine="420"/>
      <w:jc w:val="left"/>
    </w:pPr>
    <w:rPr>
      <w:kern w:val="0"/>
      <w:sz w:val="20"/>
    </w:rPr>
  </w:style>
  <w:style w:type="paragraph" w:styleId="7">
    <w:name w:val="index 5"/>
    <w:basedOn w:val="1"/>
    <w:next w:val="1"/>
    <w:unhideWhenUsed/>
    <w:qFormat/>
    <w:uiPriority w:val="99"/>
    <w:pPr>
      <w:ind w:left="800" w:leftChars="800"/>
    </w:pPr>
  </w:style>
  <w:style w:type="paragraph" w:styleId="8">
    <w:name w:val="annotation text"/>
    <w:basedOn w:val="1"/>
    <w:unhideWhenUsed/>
    <w:qFormat/>
    <w:uiPriority w:val="99"/>
    <w:pPr>
      <w:jc w:val="left"/>
    </w:pPr>
  </w:style>
  <w:style w:type="paragraph" w:styleId="9">
    <w:name w:val="Body Text 3"/>
    <w:basedOn w:val="1"/>
    <w:qFormat/>
    <w:uiPriority w:val="0"/>
    <w:rPr>
      <w:rFonts w:ascii="宋体"/>
      <w:sz w:val="24"/>
      <w:szCs w:val="20"/>
    </w:rPr>
  </w:style>
  <w:style w:type="paragraph" w:styleId="10">
    <w:name w:val="Body Text"/>
    <w:basedOn w:val="1"/>
    <w:qFormat/>
    <w:uiPriority w:val="0"/>
    <w:pPr>
      <w:spacing w:line="0" w:lineRule="atLeast"/>
    </w:pPr>
    <w:rPr>
      <w:b/>
      <w:sz w:val="30"/>
      <w:szCs w:val="20"/>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Plain Text"/>
    <w:basedOn w:val="1"/>
    <w:next w:val="5"/>
    <w:qFormat/>
    <w:uiPriority w:val="0"/>
    <w:rPr>
      <w:rFonts w:ascii="宋体" w:hAnsi="Courier New"/>
    </w:rPr>
  </w:style>
  <w:style w:type="paragraph" w:styleId="14">
    <w:name w:val="Date"/>
    <w:basedOn w:val="1"/>
    <w:next w:val="1"/>
    <w:qFormat/>
    <w:uiPriority w:val="0"/>
    <w:rPr>
      <w:sz w:val="24"/>
      <w:szCs w:val="20"/>
    </w:r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pPr>
      <w:spacing w:before="120" w:after="120"/>
      <w:jc w:val="left"/>
    </w:pPr>
    <w:rPr>
      <w:b/>
      <w:bCs/>
      <w:caps/>
      <w:sz w:val="20"/>
      <w:szCs w:val="20"/>
    </w:rPr>
  </w:style>
  <w:style w:type="paragraph" w:styleId="18">
    <w:name w:val="Body Text Indent 3"/>
    <w:basedOn w:val="1"/>
    <w:qFormat/>
    <w:uiPriority w:val="0"/>
    <w:pPr>
      <w:ind w:firstLine="570"/>
      <w:outlineLvl w:val="0"/>
    </w:pPr>
    <w:rPr>
      <w:rFonts w:ascii="宋体"/>
      <w:sz w:val="28"/>
      <w:szCs w:val="20"/>
    </w:rPr>
  </w:style>
  <w:style w:type="paragraph" w:styleId="19">
    <w:name w:val="Body Text 2"/>
    <w:basedOn w:val="1"/>
    <w:qFormat/>
    <w:uiPriority w:val="0"/>
    <w:pPr>
      <w:spacing w:after="120" w:line="480" w:lineRule="auto"/>
    </w:pPr>
  </w:style>
  <w:style w:type="paragraph" w:styleId="20">
    <w:name w:val="Normal (Web)"/>
    <w:basedOn w:val="1"/>
    <w:qFormat/>
    <w:uiPriority w:val="0"/>
    <w:pPr>
      <w:jc w:val="left"/>
    </w:pPr>
    <w:rPr>
      <w:rFonts w:cs="Times New Roman"/>
      <w:kern w:val="0"/>
      <w:sz w:val="24"/>
    </w:rPr>
  </w:style>
  <w:style w:type="paragraph" w:styleId="21">
    <w:name w:val="Title"/>
    <w:basedOn w:val="1"/>
    <w:next w:val="1"/>
    <w:qFormat/>
    <w:uiPriority w:val="0"/>
    <w:pPr>
      <w:widowControl/>
      <w:spacing w:before="240" w:after="60"/>
      <w:jc w:val="center"/>
      <w:outlineLvl w:val="0"/>
    </w:pPr>
    <w:rPr>
      <w:rFonts w:ascii="Arial" w:hAnsi="Arial" w:cs="Arial"/>
      <w:b/>
      <w:bCs/>
      <w:kern w:val="0"/>
      <w:sz w:val="44"/>
      <w:szCs w:val="32"/>
    </w:rPr>
  </w:style>
  <w:style w:type="paragraph" w:styleId="22">
    <w:name w:val="Body Text First Indent"/>
    <w:basedOn w:val="10"/>
    <w:qFormat/>
    <w:uiPriority w:val="0"/>
    <w:pPr>
      <w:spacing w:line="240" w:lineRule="auto"/>
      <w:ind w:firstLine="420" w:firstLineChars="100"/>
    </w:pPr>
    <w:rPr>
      <w:sz w:val="36"/>
    </w:rPr>
  </w:style>
  <w:style w:type="paragraph" w:styleId="23">
    <w:name w:val="Body Text First Indent 2"/>
    <w:basedOn w:val="11"/>
    <w:next w:val="1"/>
    <w:qFormat/>
    <w:uiPriority w:val="0"/>
    <w:pPr>
      <w:ind w:firstLine="420" w:firstLineChars="200"/>
    </w:pPr>
    <w:rPr>
      <w:rFonts w:ascii="Times New Roma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qFormat/>
    <w:uiPriority w:val="0"/>
    <w:rPr>
      <w:color w:val="0000FF"/>
      <w:u w:val="singl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HTML Keyboard"/>
    <w:basedOn w:val="26"/>
    <w:qFormat/>
    <w:uiPriority w:val="0"/>
    <w:rPr>
      <w:rFonts w:hint="default" w:ascii="monospace" w:hAnsi="monospace" w:eastAsia="monospace" w:cs="monospace"/>
      <w:sz w:val="20"/>
    </w:rPr>
  </w:style>
  <w:style w:type="character" w:styleId="40">
    <w:name w:val="HTML Sample"/>
    <w:basedOn w:val="26"/>
    <w:qFormat/>
    <w:uiPriority w:val="0"/>
    <w:rPr>
      <w:rFonts w:ascii="monospace" w:hAnsi="monospace" w:eastAsia="monospace" w:cs="monospace"/>
    </w:rPr>
  </w:style>
  <w:style w:type="paragraph" w:customStyle="1" w:styleId="41">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43">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44">
    <w:name w:val="正文格式"/>
    <w:basedOn w:val="1"/>
    <w:qFormat/>
    <w:uiPriority w:val="0"/>
    <w:pPr>
      <w:adjustRightInd w:val="0"/>
      <w:snapToGrid w:val="0"/>
      <w:spacing w:line="360" w:lineRule="auto"/>
      <w:ind w:firstLine="200" w:firstLineChars="200"/>
      <w:textAlignment w:val="baseline"/>
    </w:pPr>
    <w:rPr>
      <w:rFonts w:ascii="Times New Roman" w:hAnsi="Times New Roman"/>
      <w:kern w:val="0"/>
      <w:sz w:val="24"/>
      <w:szCs w:val="20"/>
    </w:rPr>
  </w:style>
  <w:style w:type="paragraph" w:customStyle="1" w:styleId="45">
    <w:name w:val="Default"/>
    <w:next w:val="1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_Style 3"/>
    <w:next w:val="4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7">
    <w:name w:val="Pa13"/>
    <w:basedOn w:val="45"/>
    <w:next w:val="45"/>
    <w:qFormat/>
    <w:uiPriority w:val="99"/>
    <w:pPr>
      <w:spacing w:line="241" w:lineRule="atLeast"/>
    </w:pPr>
    <w:rPr>
      <w:rFonts w:ascii="HelveticaNeueLT Std Lt Cn" w:hAnsi="Calibri" w:eastAsia="HelveticaNeueLT Std Lt Cn"/>
      <w:color w:val="auto"/>
    </w:rPr>
  </w:style>
  <w:style w:type="character" w:customStyle="1" w:styleId="48">
    <w:name w:val="标题 1 字符"/>
    <w:link w:val="2"/>
    <w:qFormat/>
    <w:uiPriority w:val="0"/>
    <w:rPr>
      <w:rFonts w:asciiTheme="minorHAnsi" w:hAnsiTheme="minorHAnsi" w:eastAsiaTheme="minorEastAsia"/>
      <w:b/>
      <w:bCs/>
      <w:kern w:val="44"/>
      <w:sz w:val="32"/>
      <w:szCs w:val="44"/>
    </w:rPr>
  </w:style>
  <w:style w:type="paragraph" w:customStyle="1" w:styleId="49">
    <w:name w:val="列出段落1"/>
    <w:basedOn w:val="1"/>
    <w:qFormat/>
    <w:uiPriority w:val="0"/>
    <w:pPr>
      <w:ind w:firstLine="420" w:firstLineChars="200"/>
    </w:pPr>
    <w:rPr>
      <w:rFonts w:eastAsia="宋体"/>
      <w:szCs w:val="22"/>
    </w:rPr>
  </w:style>
  <w:style w:type="paragraph" w:customStyle="1" w:styleId="50">
    <w:name w:val="列出段落11"/>
    <w:basedOn w:val="1"/>
    <w:qFormat/>
    <w:uiPriority w:val="34"/>
    <w:pPr>
      <w:ind w:firstLine="420" w:firstLineChars="200"/>
    </w:pPr>
    <w:rPr>
      <w:rFonts w:ascii="Times New Roman" w:hAnsi="Times New Roman"/>
      <w:szCs w:val="2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2">
    <w:name w:val="font41"/>
    <w:basedOn w:val="26"/>
    <w:qFormat/>
    <w:uiPriority w:val="0"/>
    <w:rPr>
      <w:rFonts w:hint="eastAsia" w:ascii="宋体" w:hAnsi="宋体" w:eastAsia="宋体" w:cs="宋体"/>
      <w:color w:val="000000"/>
      <w:sz w:val="20"/>
      <w:szCs w:val="20"/>
      <w:u w:val="none"/>
    </w:rPr>
  </w:style>
  <w:style w:type="character" w:customStyle="1" w:styleId="53">
    <w:name w:val="font11"/>
    <w:basedOn w:val="26"/>
    <w:qFormat/>
    <w:uiPriority w:val="0"/>
    <w:rPr>
      <w:rFonts w:hint="default" w:ascii="Times New Roman" w:hAnsi="Times New Roman" w:cs="Times New Roman"/>
      <w:color w:val="000000"/>
      <w:sz w:val="20"/>
      <w:szCs w:val="20"/>
      <w:u w:val="none"/>
    </w:rPr>
  </w:style>
  <w:style w:type="character" w:customStyle="1" w:styleId="54">
    <w:name w:val="font71"/>
    <w:basedOn w:val="26"/>
    <w:qFormat/>
    <w:uiPriority w:val="0"/>
    <w:rPr>
      <w:rFonts w:hint="eastAsia" w:ascii="宋体" w:hAnsi="宋体" w:eastAsia="宋体" w:cs="宋体"/>
      <w:color w:val="000000"/>
      <w:sz w:val="22"/>
      <w:szCs w:val="22"/>
      <w:u w:val="none"/>
    </w:rPr>
  </w:style>
  <w:style w:type="paragraph" w:customStyle="1" w:styleId="55">
    <w:name w:val="正文文本1"/>
    <w:basedOn w:val="1"/>
    <w:unhideWhenUsed/>
    <w:qFormat/>
    <w:uiPriority w:val="99"/>
    <w:pPr>
      <w:shd w:val="clear" w:color="auto" w:fill="FFFFFF"/>
      <w:spacing w:after="140" w:line="283" w:lineRule="auto"/>
      <w:ind w:firstLine="400"/>
    </w:pPr>
    <w:rPr>
      <w:rFonts w:hint="eastAsia" w:ascii="MingLiU" w:hAnsi="MingLiU" w:eastAsia="MingLiU"/>
      <w:sz w:val="22"/>
      <w:lang w:val="zh-CN"/>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layui-layer-tabnow"/>
    <w:basedOn w:val="26"/>
    <w:qFormat/>
    <w:uiPriority w:val="0"/>
    <w:rPr>
      <w:bdr w:val="single" w:color="CCCCCC" w:sz="6" w:space="0"/>
      <w:shd w:val="clear" w:color="auto" w:fill="FFFFFF"/>
    </w:rPr>
  </w:style>
  <w:style w:type="character" w:customStyle="1" w:styleId="58">
    <w:name w:val="first-child"/>
    <w:basedOn w:val="26"/>
    <w:qFormat/>
    <w:uiPriority w:val="0"/>
  </w:style>
  <w:style w:type="paragraph" w:customStyle="1" w:styleId="59">
    <w:name w:val="Table Text"/>
    <w:basedOn w:val="1"/>
    <w:semiHidden/>
    <w:qFormat/>
    <w:uiPriority w:val="0"/>
    <w:rPr>
      <w:rFonts w:ascii="宋体" w:hAnsi="宋体" w:eastAsia="宋体" w:cs="宋体"/>
      <w:sz w:val="20"/>
      <w:szCs w:val="20"/>
      <w:lang w:eastAsia="en-US"/>
    </w:rPr>
  </w:style>
  <w:style w:type="character" w:customStyle="1" w:styleId="60">
    <w:name w:val="标题 2 字符"/>
    <w:link w:val="3"/>
    <w:qFormat/>
    <w:uiPriority w:val="0"/>
    <w:rPr>
      <w:rFonts w:ascii="Arial" w:hAnsi="Arial" w:eastAsia="黑体"/>
      <w:b/>
      <w:bCs/>
      <w:sz w:val="32"/>
      <w:szCs w:val="32"/>
    </w:rPr>
  </w:style>
  <w:style w:type="paragraph" w:customStyle="1" w:styleId="61">
    <w:name w:val="Normal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标题 21"/>
    <w:basedOn w:val="61"/>
    <w:next w:val="61"/>
    <w:unhideWhenUsed/>
    <w:qFormat/>
    <w:uiPriority w:val="0"/>
    <w:pPr>
      <w:keepNext/>
      <w:keepLines/>
      <w:spacing w:before="260" w:after="260" w:line="415" w:lineRule="auto"/>
      <w:outlineLvl w:val="1"/>
    </w:pPr>
    <w:rPr>
      <w:rFonts w:ascii="Cambria" w:hAnsi="Cambria"/>
      <w:b/>
      <w:bCs/>
      <w:kern w:val="0"/>
      <w:sz w:val="32"/>
      <w:szCs w:val="32"/>
    </w:rPr>
  </w:style>
  <w:style w:type="paragraph" w:customStyle="1" w:styleId="63">
    <w:name w:val="目录"/>
    <w:basedOn w:val="1"/>
    <w:qFormat/>
    <w:uiPriority w:val="0"/>
    <w:pPr>
      <w:widowControl/>
      <w:jc w:val="center"/>
    </w:pPr>
    <w:rPr>
      <w:rFonts w:ascii="宋体"/>
      <w:b/>
      <w:kern w:val="0"/>
      <w:sz w:val="36"/>
      <w:szCs w:val="20"/>
    </w:rPr>
  </w:style>
  <w:style w:type="paragraph" w:customStyle="1" w:styleId="6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标题 3_0"/>
    <w:basedOn w:val="65"/>
    <w:next w:val="65"/>
    <w:unhideWhenUsed/>
    <w:qFormat/>
    <w:uiPriority w:val="9"/>
    <w:pPr>
      <w:keepNext/>
      <w:keepLines/>
      <w:numPr>
        <w:ilvl w:val="2"/>
        <w:numId w:val="1"/>
      </w:numPr>
      <w:spacing w:before="260" w:after="260" w:line="416" w:lineRule="auto"/>
      <w:outlineLvl w:val="2"/>
    </w:pPr>
    <w:rPr>
      <w:rFonts w:ascii="Calibri" w:hAnsi="Calibri"/>
      <w:b/>
      <w:bCs/>
      <w:kern w:val="0"/>
      <w:sz w:val="32"/>
      <w:szCs w:val="32"/>
    </w:rPr>
  </w:style>
  <w:style w:type="paragraph" w:customStyle="1" w:styleId="67">
    <w:name w:val="样式1"/>
    <w:basedOn w:val="1"/>
    <w:qFormat/>
    <w:uiPriority w:val="0"/>
    <w:pPr>
      <w:numPr>
        <w:ilvl w:val="0"/>
        <w:numId w:val="2"/>
      </w:numPr>
    </w:pPr>
    <w:rPr>
      <w:rFonts w:ascii="宋体" w:hAnsi="宋体"/>
    </w:rPr>
  </w:style>
  <w:style w:type="paragraph" w:customStyle="1" w:styleId="68">
    <w:name w:val="正文_16"/>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35408</Words>
  <Characters>37731</Characters>
  <Lines>1</Lines>
  <Paragraphs>1</Paragraphs>
  <TotalTime>2</TotalTime>
  <ScaleCrop>false</ScaleCrop>
  <LinksUpToDate>false</LinksUpToDate>
  <CharactersWithSpaces>38522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2022-09-10T16:36:00Z</dcterms:created>
  <dc:creator>袁晶晶</dc:creator>
  <cp:lastModifiedBy>AA</cp:lastModifiedBy>
  <cp:lastPrinted>2024-05-26T17:17:00Z</cp:lastPrinted>
  <dcterms:modified xsi:type="dcterms:W3CDTF">2026-05-27T00:57:23Z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A1A77BEC5D3446A6BBA331FB937A6E88_13</vt:lpwstr>
  </property>
  <property fmtid="{D5CDD505-2E9C-101B-9397-08002B2CF9AE}" pid="4" name="KSOTemplateDocerSaveRecord">
    <vt:lpwstr>eyJoZGlkIjoiYzMwZDY5MzMyNzhmMDkyZDczNjVlZjcwZTE2M2ZhN2QiLCJ1c2VySWQiOiIyNjkxMzk3MjUifQ==</vt:lpwstr>
  </property>
</Properties>
</file>