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053CB">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auto"/>
        <w:jc w:val="center"/>
        <w:textAlignment w:val="auto"/>
        <w:rPr>
          <w:rFonts w:hint="eastAsia"/>
          <w:color w:val="auto"/>
          <w:sz w:val="36"/>
          <w:szCs w:val="36"/>
        </w:rPr>
      </w:pPr>
      <w:bookmarkStart w:id="0" w:name="_Toc21407"/>
      <w:r>
        <w:rPr>
          <w:rFonts w:hint="eastAsia"/>
          <w:color w:val="auto"/>
          <w:sz w:val="36"/>
          <w:szCs w:val="36"/>
        </w:rPr>
        <w:t>采购</w:t>
      </w:r>
      <w:r>
        <w:rPr>
          <w:rFonts w:hint="eastAsia"/>
          <w:color w:val="auto"/>
          <w:sz w:val="36"/>
          <w:szCs w:val="36"/>
          <w:lang w:val="en-US" w:eastAsia="zh-CN"/>
        </w:rPr>
        <w:t>需</w:t>
      </w:r>
      <w:r>
        <w:rPr>
          <w:rFonts w:hint="eastAsia"/>
          <w:color w:val="auto"/>
          <w:sz w:val="36"/>
          <w:szCs w:val="36"/>
        </w:rPr>
        <w:t>求</w:t>
      </w:r>
      <w:bookmarkEnd w:id="0"/>
    </w:p>
    <w:p w14:paraId="129BEB46">
      <w:pPr>
        <w:pStyle w:val="3"/>
        <w:keepNext/>
        <w:keepLines/>
        <w:pageBreakBefore w:val="0"/>
        <w:widowControl w:val="0"/>
        <w:tabs>
          <w:tab w:val="left" w:pos="1152"/>
        </w:tabs>
        <w:kinsoku/>
        <w:wordWrap/>
        <w:overflowPunct/>
        <w:topLinePunct w:val="0"/>
        <w:autoSpaceDE/>
        <w:autoSpaceDN/>
        <w:bidi w:val="0"/>
        <w:adjustRightInd/>
        <w:snapToGrid/>
        <w:spacing w:before="0" w:after="0" w:line="360" w:lineRule="auto"/>
        <w:ind w:left="572" w:leftChars="200" w:hanging="92" w:hangingChars="38"/>
        <w:textAlignment w:val="auto"/>
        <w:outlineLvl w:val="1"/>
        <w:rPr>
          <w:rFonts w:hint="eastAsia" w:ascii="宋体" w:hAnsi="宋体" w:eastAsia="宋体" w:cs="宋体"/>
          <w:color w:val="auto"/>
          <w:sz w:val="24"/>
          <w:szCs w:val="24"/>
        </w:rPr>
      </w:pPr>
      <w:bookmarkStart w:id="1" w:name="_Toc17625"/>
      <w:r>
        <w:rPr>
          <w:rFonts w:hint="eastAsia" w:ascii="宋体" w:hAnsi="宋体" w:eastAsia="宋体" w:cs="宋体"/>
          <w:color w:val="auto"/>
          <w:sz w:val="24"/>
          <w:szCs w:val="24"/>
          <w:lang w:val="en-US"/>
        </w:rPr>
        <w:t>一、项目背景</w:t>
      </w:r>
      <w:bookmarkEnd w:id="1"/>
    </w:p>
    <w:p w14:paraId="516EB0E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color w:val="auto"/>
          <w:lang w:val="en-US"/>
        </w:rPr>
      </w:pPr>
      <w:r>
        <w:rPr>
          <w:rFonts w:hint="eastAsia" w:ascii="宋体" w:hAnsi="宋体" w:eastAsia="宋体" w:cs="宋体"/>
          <w:b w:val="0"/>
          <w:bCs w:val="0"/>
          <w:color w:val="auto"/>
          <w:sz w:val="24"/>
          <w:szCs w:val="24"/>
          <w:lang w:val="en-US" w:eastAsia="zh-CN"/>
        </w:rPr>
        <w:t>根据《中华人民共和国审计法》《中华人民共和国审计法实施条例》及国家、省、市关于审计工作的相关部署，为加强对</w:t>
      </w:r>
      <w:r>
        <w:rPr>
          <w:rFonts w:hint="eastAsia" w:cs="宋体"/>
          <w:b w:val="0"/>
          <w:bCs w:val="0"/>
          <w:color w:val="auto"/>
          <w:sz w:val="24"/>
          <w:szCs w:val="24"/>
          <w:lang w:val="en-US" w:eastAsia="zh-CN"/>
        </w:rPr>
        <w:t>武定县</w:t>
      </w:r>
      <w:r>
        <w:rPr>
          <w:rFonts w:hint="eastAsia" w:ascii="宋体" w:hAnsi="宋体" w:eastAsia="宋体" w:cs="宋体"/>
          <w:b w:val="0"/>
          <w:bCs w:val="0"/>
          <w:color w:val="auto"/>
          <w:sz w:val="24"/>
          <w:szCs w:val="24"/>
          <w:lang w:val="en-US" w:eastAsia="zh-CN"/>
        </w:rPr>
        <w:t>医疗保险基金、中小学校膳食经费、养老服务领域等重点民生资金和项目的审计监督，规范资金管理使用，保障民生政策落地见效，</w:t>
      </w:r>
      <w:r>
        <w:rPr>
          <w:rFonts w:hint="eastAsia" w:cs="宋体"/>
          <w:b w:val="0"/>
          <w:bCs w:val="0"/>
          <w:color w:val="auto"/>
          <w:sz w:val="24"/>
          <w:szCs w:val="24"/>
          <w:lang w:val="en-US" w:eastAsia="zh-CN"/>
        </w:rPr>
        <w:t>武定</w:t>
      </w:r>
      <w:r>
        <w:rPr>
          <w:rFonts w:hint="eastAsia" w:ascii="宋体" w:hAnsi="宋体" w:eastAsia="宋体" w:cs="宋体"/>
          <w:b w:val="0"/>
          <w:bCs w:val="0"/>
          <w:color w:val="auto"/>
          <w:sz w:val="24"/>
          <w:szCs w:val="24"/>
          <w:lang w:val="en-US" w:eastAsia="zh-CN"/>
        </w:rPr>
        <w:t>县审计局</w:t>
      </w:r>
      <w:r>
        <w:rPr>
          <w:rFonts w:hint="eastAsia" w:cs="宋体"/>
          <w:b w:val="0"/>
          <w:bCs w:val="0"/>
          <w:color w:val="auto"/>
          <w:sz w:val="24"/>
          <w:szCs w:val="24"/>
          <w:lang w:val="en-US" w:eastAsia="zh-CN"/>
        </w:rPr>
        <w:t>拟委托第三方</w:t>
      </w:r>
      <w:r>
        <w:rPr>
          <w:rFonts w:hint="eastAsia" w:ascii="宋体" w:hAnsi="宋体" w:eastAsia="宋体" w:cs="宋体"/>
          <w:b w:val="0"/>
          <w:bCs w:val="0"/>
          <w:color w:val="auto"/>
          <w:sz w:val="24"/>
          <w:szCs w:val="24"/>
          <w:lang w:val="en-US" w:eastAsia="zh-CN"/>
        </w:rPr>
        <w:t>具备相应资质的审计中介机构对上述三个领域开展专项审计调查服务</w:t>
      </w:r>
      <w:r>
        <w:rPr>
          <w:rFonts w:hint="eastAsia" w:cs="宋体"/>
          <w:b w:val="0"/>
          <w:bCs w:val="0"/>
          <w:color w:val="auto"/>
          <w:sz w:val="24"/>
          <w:szCs w:val="24"/>
          <w:lang w:val="en-US" w:eastAsia="zh-CN"/>
        </w:rPr>
        <w:t>。</w:t>
      </w:r>
    </w:p>
    <w:p w14:paraId="4DEDCDB4">
      <w:pPr>
        <w:pStyle w:val="3"/>
        <w:keepNext/>
        <w:keepLines/>
        <w:pageBreakBefore w:val="0"/>
        <w:widowControl w:val="0"/>
        <w:tabs>
          <w:tab w:val="left" w:pos="1152"/>
        </w:tabs>
        <w:kinsoku/>
        <w:wordWrap/>
        <w:overflowPunct/>
        <w:topLinePunct w:val="0"/>
        <w:autoSpaceDE/>
        <w:autoSpaceDN/>
        <w:bidi w:val="0"/>
        <w:adjustRightInd/>
        <w:snapToGrid/>
        <w:spacing w:before="0" w:after="0" w:line="360" w:lineRule="auto"/>
        <w:ind w:left="0" w:leftChars="0" w:firstLine="482" w:firstLineChars="200"/>
        <w:textAlignment w:val="auto"/>
        <w:outlineLvl w:val="1"/>
        <w:rPr>
          <w:rFonts w:hint="eastAsia" w:ascii="宋体" w:hAnsi="宋体" w:eastAsia="宋体" w:cs="宋体"/>
          <w:color w:val="auto"/>
          <w:sz w:val="24"/>
          <w:szCs w:val="24"/>
          <w:lang w:val="en-US" w:eastAsia="zh-CN"/>
        </w:rPr>
      </w:pPr>
      <w:bookmarkStart w:id="2" w:name="_Toc24859"/>
      <w:r>
        <w:rPr>
          <w:rFonts w:hint="eastAsia" w:ascii="宋体" w:hAnsi="宋体" w:eastAsia="宋体" w:cs="宋体"/>
          <w:color w:val="auto"/>
          <w:sz w:val="24"/>
          <w:szCs w:val="24"/>
          <w:lang w:val="en-US" w:eastAsia="zh-CN"/>
        </w:rPr>
        <w:t>二、项目目标</w:t>
      </w:r>
      <w:bookmarkEnd w:id="2"/>
    </w:p>
    <w:p w14:paraId="46E077F7">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本次采购旨在引入具有专业资质和丰富经验的社会审计力量，协助完成以下工作目标：</w:t>
      </w:r>
    </w:p>
    <w:p w14:paraId="66800470">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1.揭示医疗保险基金、中小学校膳食经费、养老服务领域资金筹集、管理和使用中存在的突出问题；</w:t>
      </w:r>
    </w:p>
    <w:p w14:paraId="4936A140">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2.分析体制机制层面的薄弱环节，提出完善政策制度、强化监督管理的审计建议；</w:t>
      </w:r>
    </w:p>
    <w:p w14:paraId="23E8E0E9">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3.促进民生资金安全高效使用，保障人民群众的切身利益；</w:t>
      </w:r>
    </w:p>
    <w:p w14:paraId="7704042A">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4.为县委、县政府决策提供参考依据，推动民生领域治理体系和治理能力现代化。</w:t>
      </w:r>
    </w:p>
    <w:p w14:paraId="167E12A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三、采购标的及采购包划分</w:t>
      </w:r>
    </w:p>
    <w:p w14:paraId="1C93051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rPr>
      </w:pPr>
      <w:bookmarkStart w:id="3" w:name="_Toc26546"/>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 xml:space="preserve"> 采购包划分说明</w:t>
      </w:r>
      <w:bookmarkEnd w:id="3"/>
    </w:p>
    <w:p w14:paraId="0CE55B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共划分为3个采购包，投标人可以对其中一个采购包进行投标，也可同时对多个采购包进行投标，但只允许中选其中一个采购包，即“兼投不兼中”。评审顺序按采购包1、采购包2、采购包3依次进行。投标人已在先评审的采购包中被推荐为第一中标候选人的，仍可参加后续采购包的评审，但不再被推荐为中标候选人。</w:t>
      </w:r>
    </w:p>
    <w:p w14:paraId="473E180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rPr>
      </w:pPr>
      <w:bookmarkStart w:id="4" w:name="_Toc72"/>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 xml:space="preserve"> 采购包一览表</w:t>
      </w:r>
      <w:bookmarkEnd w:id="4"/>
    </w:p>
    <w:tbl>
      <w:tblPr>
        <w:tblStyle w:val="5"/>
        <w:tblW w:w="5051" w:type="pct"/>
        <w:jc w:val="center"/>
        <w:tblBorders>
          <w:top w:val="none" w:color="1A365D" w:sz="12" w:space="0"/>
          <w:left w:val="none" w:color="auto" w:sz="0" w:space="0"/>
          <w:bottom w:val="none" w:color="1A365D" w:sz="12" w:space="0"/>
          <w:right w:val="none" w:color="auto" w:sz="0" w:space="0"/>
          <w:insideH w:val="none" w:color="C9D1DC" w:sz="4" w:space="0"/>
          <w:insideV w:val="none" w:color="auto" w:sz="0" w:space="0"/>
        </w:tblBorders>
        <w:tblLayout w:type="autofit"/>
        <w:tblCellMar>
          <w:top w:w="0" w:type="dxa"/>
          <w:left w:w="10" w:type="dxa"/>
          <w:bottom w:w="0" w:type="dxa"/>
          <w:right w:w="10" w:type="dxa"/>
        </w:tblCellMar>
      </w:tblPr>
      <w:tblGrid>
        <w:gridCol w:w="782"/>
        <w:gridCol w:w="3518"/>
        <w:gridCol w:w="1173"/>
        <w:gridCol w:w="1176"/>
        <w:gridCol w:w="1772"/>
      </w:tblGrid>
      <w:tr w14:paraId="215CC030">
        <w:tblPrEx>
          <w:tblBorders>
            <w:top w:val="none" w:color="1A365D" w:sz="12" w:space="0"/>
            <w:left w:val="none" w:color="auto" w:sz="0" w:space="0"/>
            <w:bottom w:val="none" w:color="1A365D" w:sz="12" w:space="0"/>
            <w:right w:val="none" w:color="auto" w:sz="0" w:space="0"/>
            <w:insideH w:val="none" w:color="C9D1DC" w:sz="4" w:space="0"/>
            <w:insideV w:val="none" w:color="auto" w:sz="0" w:space="0"/>
          </w:tblBorders>
          <w:tblCellMar>
            <w:top w:w="0" w:type="dxa"/>
            <w:left w:w="10" w:type="dxa"/>
            <w:bottom w:w="0" w:type="dxa"/>
            <w:right w:w="10" w:type="dxa"/>
          </w:tblCellMar>
        </w:tblPrEx>
        <w:trPr>
          <w:trHeight w:val="0" w:hRule="atLeast"/>
          <w:tblHeader/>
          <w:jc w:val="center"/>
        </w:trPr>
        <w:tc>
          <w:tcPr>
            <w:tcW w:w="464" w:type="pct"/>
            <w:tcBorders>
              <w:top w:val="single" w:color="auto" w:sz="12" w:space="0"/>
              <w:left w:val="single" w:color="auto" w:sz="12" w:space="0"/>
              <w:bottom w:val="nil"/>
              <w:right w:val="nil"/>
            </w:tcBorders>
            <w:shd w:val="clear" w:color="auto" w:fill="EDF2F7"/>
            <w:noWrap w:val="0"/>
            <w:tcMar>
              <w:top w:w="-1" w:type="dxa"/>
              <w:left w:w="-1" w:type="dxa"/>
              <w:bottom w:w="-1" w:type="dxa"/>
              <w:right w:w="-1" w:type="dxa"/>
            </w:tcMar>
            <w:vAlign w:val="center"/>
          </w:tcPr>
          <w:p w14:paraId="677F2B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包号</w:t>
            </w:r>
          </w:p>
        </w:tc>
        <w:tc>
          <w:tcPr>
            <w:tcW w:w="2088" w:type="pct"/>
            <w:tcBorders>
              <w:top w:val="single" w:color="auto" w:sz="12" w:space="0"/>
              <w:left w:val="single" w:color="auto" w:sz="4" w:space="0"/>
              <w:bottom w:val="nil"/>
              <w:right w:val="nil"/>
            </w:tcBorders>
            <w:shd w:val="clear" w:color="auto" w:fill="EDF2F7"/>
            <w:noWrap w:val="0"/>
            <w:tcMar>
              <w:top w:w="-1" w:type="dxa"/>
              <w:left w:w="-1" w:type="dxa"/>
              <w:bottom w:w="-1" w:type="dxa"/>
              <w:right w:w="-1" w:type="dxa"/>
            </w:tcMar>
            <w:vAlign w:val="center"/>
          </w:tcPr>
          <w:p w14:paraId="7A4BDD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标的名称</w:t>
            </w:r>
          </w:p>
        </w:tc>
        <w:tc>
          <w:tcPr>
            <w:tcW w:w="696" w:type="pct"/>
            <w:tcBorders>
              <w:top w:val="single" w:color="auto" w:sz="12" w:space="0"/>
              <w:left w:val="single" w:color="auto" w:sz="4" w:space="0"/>
              <w:bottom w:val="nil"/>
              <w:right w:val="nil"/>
            </w:tcBorders>
            <w:shd w:val="clear" w:color="auto" w:fill="EDF2F7"/>
            <w:noWrap w:val="0"/>
            <w:tcMar>
              <w:top w:w="-1" w:type="dxa"/>
              <w:left w:w="-1" w:type="dxa"/>
              <w:bottom w:w="-1" w:type="dxa"/>
              <w:right w:w="-1" w:type="dxa"/>
            </w:tcMar>
            <w:vAlign w:val="center"/>
          </w:tcPr>
          <w:p w14:paraId="17FE60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lang w:val="en-US" w:eastAsia="zh-CN"/>
              </w:rPr>
              <w:t>采购包</w:t>
            </w:r>
            <w:r>
              <w:rPr>
                <w:rFonts w:hint="eastAsia" w:ascii="宋体" w:hAnsi="宋体" w:eastAsia="宋体" w:cs="宋体"/>
                <w:b/>
                <w:bCs/>
                <w:color w:val="auto"/>
                <w:sz w:val="22"/>
                <w:szCs w:val="22"/>
              </w:rPr>
              <w:t>预算</w:t>
            </w:r>
            <w:r>
              <w:rPr>
                <w:rFonts w:hint="eastAsia" w:ascii="宋体" w:hAnsi="宋体" w:eastAsia="宋体" w:cs="宋体"/>
                <w:b/>
                <w:bCs/>
                <w:color w:val="auto"/>
                <w:sz w:val="22"/>
                <w:szCs w:val="22"/>
                <w:lang w:val="en-US" w:eastAsia="zh-CN"/>
              </w:rPr>
              <w:t>金额</w:t>
            </w:r>
            <w:r>
              <w:rPr>
                <w:rFonts w:hint="eastAsia" w:ascii="宋体" w:hAnsi="宋体" w:eastAsia="宋体" w:cs="宋体"/>
                <w:b/>
                <w:bCs/>
                <w:color w:val="auto"/>
                <w:sz w:val="22"/>
                <w:szCs w:val="22"/>
              </w:rPr>
              <w:t>（万元）</w:t>
            </w:r>
          </w:p>
        </w:tc>
        <w:tc>
          <w:tcPr>
            <w:tcW w:w="698" w:type="pct"/>
            <w:tcBorders>
              <w:top w:val="single" w:color="auto" w:sz="12" w:space="0"/>
              <w:left w:val="single" w:color="auto" w:sz="4" w:space="0"/>
              <w:bottom w:val="nil"/>
              <w:right w:val="nil"/>
            </w:tcBorders>
            <w:shd w:val="clear" w:color="auto" w:fill="EDF2F7"/>
            <w:noWrap w:val="0"/>
            <w:tcMar>
              <w:top w:w="-1" w:type="dxa"/>
              <w:left w:w="-1" w:type="dxa"/>
              <w:bottom w:w="-1" w:type="dxa"/>
              <w:right w:w="-1" w:type="dxa"/>
            </w:tcMar>
            <w:vAlign w:val="center"/>
          </w:tcPr>
          <w:p w14:paraId="6ECA2A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服务期限</w:t>
            </w:r>
          </w:p>
        </w:tc>
        <w:tc>
          <w:tcPr>
            <w:tcW w:w="1052" w:type="pct"/>
            <w:tcBorders>
              <w:top w:val="single" w:color="auto" w:sz="12" w:space="0"/>
              <w:left w:val="single" w:color="auto" w:sz="4" w:space="0"/>
              <w:bottom w:val="nil"/>
              <w:right w:val="single" w:color="auto" w:sz="12" w:space="0"/>
            </w:tcBorders>
            <w:shd w:val="clear" w:color="auto" w:fill="EDF2F7"/>
            <w:noWrap w:val="0"/>
            <w:tcMar>
              <w:top w:w="-1" w:type="dxa"/>
              <w:left w:w="-1" w:type="dxa"/>
              <w:bottom w:w="-1" w:type="dxa"/>
              <w:right w:w="-1" w:type="dxa"/>
            </w:tcMar>
            <w:vAlign w:val="center"/>
          </w:tcPr>
          <w:p w14:paraId="5C7FF2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服务</w:t>
            </w:r>
            <w:r>
              <w:rPr>
                <w:rFonts w:hint="eastAsia" w:ascii="宋体" w:hAnsi="宋体" w:eastAsia="宋体" w:cs="宋体"/>
                <w:b/>
                <w:bCs/>
                <w:color w:val="auto"/>
                <w:sz w:val="22"/>
                <w:szCs w:val="22"/>
                <w:lang w:val="en-US" w:eastAsia="zh-CN"/>
              </w:rPr>
              <w:t>起止时间</w:t>
            </w:r>
          </w:p>
        </w:tc>
      </w:tr>
      <w:tr w14:paraId="511AA999">
        <w:tblPrEx>
          <w:tblBorders>
            <w:top w:val="none" w:color="1A365D" w:sz="12" w:space="0"/>
            <w:left w:val="none" w:color="auto" w:sz="0" w:space="0"/>
            <w:bottom w:val="none" w:color="1A365D" w:sz="12" w:space="0"/>
            <w:right w:val="none" w:color="auto" w:sz="0" w:space="0"/>
            <w:insideH w:val="none" w:color="C9D1DC" w:sz="4" w:space="0"/>
            <w:insideV w:val="none" w:color="auto" w:sz="0" w:space="0"/>
          </w:tblBorders>
          <w:tblCellMar>
            <w:top w:w="0" w:type="dxa"/>
            <w:left w:w="10" w:type="dxa"/>
            <w:bottom w:w="0" w:type="dxa"/>
            <w:right w:w="10" w:type="dxa"/>
          </w:tblCellMar>
        </w:tblPrEx>
        <w:trPr>
          <w:trHeight w:val="0" w:hRule="atLeast"/>
          <w:jc w:val="center"/>
        </w:trPr>
        <w:tc>
          <w:tcPr>
            <w:tcW w:w="464" w:type="pc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26D80F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2088"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5539ED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武定</w:t>
            </w:r>
            <w:r>
              <w:rPr>
                <w:rFonts w:hint="eastAsia" w:ascii="宋体" w:hAnsi="宋体" w:eastAsia="宋体" w:cs="宋体"/>
                <w:color w:val="auto"/>
                <w:sz w:val="22"/>
                <w:szCs w:val="22"/>
              </w:rPr>
              <w:t>县2023年至2025年医疗保险基金专项审计调查</w:t>
            </w:r>
          </w:p>
        </w:tc>
        <w:tc>
          <w:tcPr>
            <w:tcW w:w="696"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58D489BF">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12.78</w:t>
            </w:r>
          </w:p>
        </w:tc>
        <w:tc>
          <w:tcPr>
            <w:tcW w:w="698"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47C07ED9">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45天</w:t>
            </w:r>
          </w:p>
        </w:tc>
        <w:tc>
          <w:tcPr>
            <w:tcW w:w="1052" w:type="pc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529FE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2026年7月—9月</w:t>
            </w:r>
          </w:p>
        </w:tc>
      </w:tr>
      <w:tr w14:paraId="4B51226B">
        <w:tblPrEx>
          <w:tblBorders>
            <w:top w:val="none" w:color="1A365D" w:sz="12" w:space="0"/>
            <w:left w:val="none" w:color="auto" w:sz="0" w:space="0"/>
            <w:bottom w:val="none" w:color="1A365D" w:sz="12" w:space="0"/>
            <w:right w:val="none" w:color="auto" w:sz="0" w:space="0"/>
            <w:insideH w:val="none" w:color="C9D1DC" w:sz="4" w:space="0"/>
            <w:insideV w:val="none" w:color="auto" w:sz="0" w:space="0"/>
          </w:tblBorders>
          <w:tblCellMar>
            <w:top w:w="0" w:type="dxa"/>
            <w:left w:w="10" w:type="dxa"/>
            <w:bottom w:w="0" w:type="dxa"/>
            <w:right w:w="10" w:type="dxa"/>
          </w:tblCellMar>
        </w:tblPrEx>
        <w:trPr>
          <w:trHeight w:val="0" w:hRule="atLeast"/>
          <w:jc w:val="center"/>
        </w:trPr>
        <w:tc>
          <w:tcPr>
            <w:tcW w:w="464" w:type="pc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BEB42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2088"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0120AB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武定</w:t>
            </w:r>
            <w:r>
              <w:rPr>
                <w:rFonts w:hint="eastAsia" w:ascii="宋体" w:hAnsi="宋体" w:eastAsia="宋体" w:cs="宋体"/>
                <w:color w:val="auto"/>
                <w:sz w:val="22"/>
                <w:szCs w:val="22"/>
              </w:rPr>
              <w:t>县中小学校2024年至2025年膳食经费管理使用情况审计调查</w:t>
            </w:r>
          </w:p>
        </w:tc>
        <w:tc>
          <w:tcPr>
            <w:tcW w:w="696"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76D0EA84">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12.78</w:t>
            </w:r>
          </w:p>
        </w:tc>
        <w:tc>
          <w:tcPr>
            <w:tcW w:w="698"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27962E73">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45天</w:t>
            </w:r>
          </w:p>
        </w:tc>
        <w:tc>
          <w:tcPr>
            <w:tcW w:w="1052" w:type="pc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BACA5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2026年9月—11月</w:t>
            </w:r>
          </w:p>
        </w:tc>
      </w:tr>
      <w:tr w14:paraId="746E32E9">
        <w:tblPrEx>
          <w:tblBorders>
            <w:top w:val="none" w:color="1A365D" w:sz="12" w:space="0"/>
            <w:left w:val="none" w:color="auto" w:sz="0" w:space="0"/>
            <w:bottom w:val="none" w:color="1A365D" w:sz="12" w:space="0"/>
            <w:right w:val="none" w:color="auto" w:sz="0" w:space="0"/>
            <w:insideH w:val="none" w:color="C9D1DC" w:sz="4" w:space="0"/>
            <w:insideV w:val="none" w:color="auto" w:sz="0" w:space="0"/>
          </w:tblBorders>
          <w:tblCellMar>
            <w:top w:w="0" w:type="dxa"/>
            <w:left w:w="10" w:type="dxa"/>
            <w:bottom w:w="0" w:type="dxa"/>
            <w:right w:w="10" w:type="dxa"/>
          </w:tblCellMar>
        </w:tblPrEx>
        <w:trPr>
          <w:trHeight w:val="0" w:hRule="atLeast"/>
          <w:jc w:val="center"/>
        </w:trPr>
        <w:tc>
          <w:tcPr>
            <w:tcW w:w="464" w:type="pct"/>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74952D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w:t>
            </w:r>
          </w:p>
        </w:tc>
        <w:tc>
          <w:tcPr>
            <w:tcW w:w="2088" w:type="pct"/>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166960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武定</w:t>
            </w:r>
            <w:r>
              <w:rPr>
                <w:rFonts w:hint="eastAsia" w:ascii="宋体" w:hAnsi="宋体" w:eastAsia="宋体" w:cs="宋体"/>
                <w:color w:val="auto"/>
                <w:sz w:val="22"/>
                <w:szCs w:val="22"/>
              </w:rPr>
              <w:t>县养老服务领域专项审计调查</w:t>
            </w:r>
          </w:p>
        </w:tc>
        <w:tc>
          <w:tcPr>
            <w:tcW w:w="696" w:type="pct"/>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5B40F107">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7.488</w:t>
            </w:r>
          </w:p>
        </w:tc>
        <w:tc>
          <w:tcPr>
            <w:tcW w:w="698" w:type="pct"/>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5D6BEE28">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36天</w:t>
            </w:r>
          </w:p>
        </w:tc>
        <w:tc>
          <w:tcPr>
            <w:tcW w:w="1052" w:type="pct"/>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5F9486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2026年9月—10月</w:t>
            </w:r>
          </w:p>
        </w:tc>
      </w:tr>
    </w:tbl>
    <w:p w14:paraId="795D34E2">
      <w:pPr>
        <w:keepNext w:val="0"/>
        <w:keepLines w:val="0"/>
        <w:pageBreakBefore w:val="0"/>
        <w:widowControl w:val="0"/>
        <w:kinsoku/>
        <w:wordWrap/>
        <w:overflowPunct/>
        <w:topLinePunct w:val="0"/>
        <w:autoSpaceDE/>
        <w:autoSpaceDN/>
        <w:bidi w:val="0"/>
        <w:adjustRightInd/>
        <w:snapToGrid/>
        <w:spacing w:before="233" w:beforeLines="50" w:line="360" w:lineRule="auto"/>
        <w:ind w:firstLine="482" w:firstLineChars="200"/>
        <w:textAlignment w:val="auto"/>
        <w:outlineLvl w:val="1"/>
        <w:rPr>
          <w:rFonts w:hint="eastAsia" w:ascii="宋体" w:hAnsi="宋体" w:eastAsia="宋体" w:cs="宋体"/>
          <w:b/>
          <w:bCs/>
          <w:color w:val="auto"/>
          <w:sz w:val="32"/>
          <w:szCs w:val="32"/>
        </w:rPr>
      </w:pPr>
      <w:bookmarkStart w:id="5" w:name="_Toc13866"/>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、采购包1：医疗保险基金专项审计调查</w:t>
      </w:r>
      <w:bookmarkEnd w:id="5"/>
      <w:bookmarkStart w:id="6" w:name="_Toc003"/>
      <w:bookmarkEnd w:id="6"/>
    </w:p>
    <w:p w14:paraId="589407E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rPr>
      </w:pPr>
      <w:bookmarkStart w:id="7" w:name="_Toc18311"/>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项目概述</w:t>
      </w:r>
      <w:bookmarkEnd w:id="7"/>
    </w:p>
    <w:p w14:paraId="434D4E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w:t>
      </w:r>
      <w:r>
        <w:rPr>
          <w:rFonts w:hint="eastAsia" w:ascii="宋体" w:hAnsi="宋体" w:eastAsia="宋体" w:cs="宋体"/>
          <w:color w:val="auto"/>
          <w:sz w:val="24"/>
          <w:szCs w:val="24"/>
          <w:lang w:val="en-US" w:eastAsia="zh-CN"/>
        </w:rPr>
        <w:t>武定</w:t>
      </w:r>
      <w:r>
        <w:rPr>
          <w:rFonts w:hint="eastAsia" w:ascii="宋体" w:hAnsi="宋体" w:eastAsia="宋体" w:cs="宋体"/>
          <w:color w:val="auto"/>
          <w:sz w:val="24"/>
          <w:szCs w:val="24"/>
        </w:rPr>
        <w:t>县2023年至2025年医疗保险基金的筹集、管理、使用情况进行专项审计调查，重点关注基金运行的安全性、合规性和有效性，揭示存在的风险隐患和突出问题。</w:t>
      </w:r>
    </w:p>
    <w:p w14:paraId="25D5C7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rPr>
      </w:pPr>
      <w:bookmarkStart w:id="8" w:name="_Toc9361"/>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审计范围和对象</w:t>
      </w:r>
      <w:bookmarkEnd w:id="8"/>
    </w:p>
    <w:p w14:paraId="6863C0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审计时间范围：2023年1月1日至2025年12月31日。</w:t>
      </w:r>
    </w:p>
    <w:p w14:paraId="0CA568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审计对象：</w:t>
      </w:r>
      <w:r>
        <w:rPr>
          <w:rFonts w:hint="eastAsia" w:ascii="宋体" w:hAnsi="宋体" w:eastAsia="宋体" w:cs="宋体"/>
          <w:color w:val="auto"/>
          <w:sz w:val="24"/>
          <w:szCs w:val="24"/>
          <w:lang w:val="en-US" w:eastAsia="zh-CN"/>
        </w:rPr>
        <w:t>武定</w:t>
      </w:r>
      <w:r>
        <w:rPr>
          <w:rFonts w:hint="eastAsia" w:ascii="宋体" w:hAnsi="宋体" w:eastAsia="宋体" w:cs="宋体"/>
          <w:color w:val="auto"/>
          <w:sz w:val="24"/>
          <w:szCs w:val="24"/>
        </w:rPr>
        <w:t>县医疗保障局、医疗保险经办机构、定点医疗机构、定点零售药店，以及涉及医疗保险基金管理的其他相关部门和单位。</w:t>
      </w:r>
    </w:p>
    <w:p w14:paraId="44D5670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rPr>
      </w:pPr>
      <w:bookmarkStart w:id="9" w:name="_Toc7039"/>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审计内容</w:t>
      </w:r>
      <w:bookmarkEnd w:id="9"/>
    </w:p>
    <w:p w14:paraId="022EC1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医疗保险基金筹集情况。审查基金收入来源是否合规，征缴是否及时足额，是否存在少缴、漏缴、欠缴等问题。</w:t>
      </w:r>
    </w:p>
    <w:p w14:paraId="253FA9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医疗保险基金使用情况。审查基金支出是否符合政策规定，是否存在违规支付、虚假报销、过度医疗等问题。</w:t>
      </w:r>
    </w:p>
    <w:p w14:paraId="2895CF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定点医疗机构和药店管理情况。审查定点机构的准入退出、协议管理、费用结算等环节是否规范。</w:t>
      </w:r>
    </w:p>
    <w:p w14:paraId="11D346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医保信息系统数据管理情况。审查数据采集、传输、存储、使用的安全性和准确性。</w:t>
      </w:r>
    </w:p>
    <w:p w14:paraId="113E7E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医保政策执行情况。审查国家及地方医保政策的贯彻落实情况，分析政策执行偏差的原因及影响。</w:t>
      </w:r>
    </w:p>
    <w:p w14:paraId="516D6BE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rPr>
      </w:pPr>
      <w:bookmarkStart w:id="10" w:name="_Toc2116"/>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技术要求</w:t>
      </w:r>
      <w:bookmarkEnd w:id="10"/>
    </w:p>
    <w:p w14:paraId="2ADDDB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审计方法。采取大数据分析与传统审计相结合的方式，运用SQL查询、Python数据分析等技术手段，对医保系统数据进行全量筛查和疑点分析。</w:t>
      </w:r>
    </w:p>
    <w:p w14:paraId="607688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数据分析能力。投标人须具备对医保信息系统（HIS系统、医保结算系统等）数据进行采集、清洗、分析和挖掘的能力，能够建立数据分析模型识别异常行为和风险点。</w:t>
      </w:r>
    </w:p>
    <w:p w14:paraId="371FB6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审计质量控制。按照国家审计准则和相关行业规范执行审计工作，建立三级复核制度，确保审计结论准确、审计证据充分、审计底稿规范。</w:t>
      </w:r>
    </w:p>
    <w:p w14:paraId="07AF41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现场审计要求。现场审计须采用“进点会—现场审计—阶段性汇报—离场会”的工作模式，重大事项须及时向采购人报告。</w:t>
      </w:r>
    </w:p>
    <w:p w14:paraId="57DF64B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rPr>
      </w:pPr>
      <w:bookmarkStart w:id="11" w:name="_Toc6713"/>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人员要求</w:t>
      </w:r>
      <w:bookmarkEnd w:id="11"/>
    </w:p>
    <w:p w14:paraId="09B5B2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服务期限：2026年7月至9月。投标人须派出审计人员4名，具体配置如下：</w:t>
      </w:r>
    </w:p>
    <w:tbl>
      <w:tblPr>
        <w:tblStyle w:val="5"/>
        <w:tblW w:w="9126" w:type="dxa"/>
        <w:jc w:val="center"/>
        <w:tblBorders>
          <w:top w:val="none" w:color="1A365D" w:sz="12" w:space="0"/>
          <w:left w:val="none" w:color="auto" w:sz="0" w:space="0"/>
          <w:bottom w:val="none" w:color="1A365D" w:sz="12" w:space="0"/>
          <w:right w:val="none" w:color="auto" w:sz="0" w:space="0"/>
          <w:insideH w:val="none" w:color="C9D1DC" w:sz="4" w:space="0"/>
          <w:insideV w:val="none" w:color="auto" w:sz="0" w:space="0"/>
        </w:tblBorders>
        <w:tblLayout w:type="autofit"/>
        <w:tblCellMar>
          <w:top w:w="0" w:type="dxa"/>
          <w:left w:w="10" w:type="dxa"/>
          <w:bottom w:w="0" w:type="dxa"/>
          <w:right w:w="10" w:type="dxa"/>
        </w:tblCellMar>
      </w:tblPr>
      <w:tblGrid>
        <w:gridCol w:w="1700"/>
        <w:gridCol w:w="7426"/>
      </w:tblGrid>
      <w:tr w14:paraId="0F5F9011">
        <w:tblPrEx>
          <w:tblBorders>
            <w:top w:val="none" w:color="1A365D" w:sz="12" w:space="0"/>
            <w:left w:val="none" w:color="auto" w:sz="0" w:space="0"/>
            <w:bottom w:val="none" w:color="1A365D" w:sz="12" w:space="0"/>
            <w:right w:val="none" w:color="auto" w:sz="0" w:space="0"/>
            <w:insideH w:val="none" w:color="C9D1DC" w:sz="4" w:space="0"/>
            <w:insideV w:val="none" w:color="auto" w:sz="0" w:space="0"/>
          </w:tblBorders>
          <w:tblCellMar>
            <w:top w:w="0" w:type="dxa"/>
            <w:left w:w="10" w:type="dxa"/>
            <w:bottom w:w="0" w:type="dxa"/>
            <w:right w:w="10" w:type="dxa"/>
          </w:tblCellMar>
        </w:tblPrEx>
        <w:trPr>
          <w:trHeight w:val="567" w:hRule="atLeast"/>
          <w:tblHeader/>
          <w:jc w:val="center"/>
        </w:trPr>
        <w:tc>
          <w:tcPr>
            <w:tcW w:w="0" w:type="auto"/>
            <w:tcBorders>
              <w:top w:val="single" w:color="auto" w:sz="12" w:space="0"/>
              <w:left w:val="single" w:color="auto" w:sz="12" w:space="0"/>
              <w:bottom w:val="nil"/>
              <w:right w:val="nil"/>
            </w:tcBorders>
            <w:shd w:val="clear" w:color="auto" w:fill="EDF2F7"/>
            <w:noWrap w:val="0"/>
            <w:tcMar>
              <w:top w:w="-1" w:type="dxa"/>
              <w:left w:w="-1" w:type="dxa"/>
              <w:bottom w:w="-1" w:type="dxa"/>
              <w:right w:w="-1" w:type="dxa"/>
            </w:tcMar>
            <w:vAlign w:val="center"/>
          </w:tcPr>
          <w:p w14:paraId="1CC7881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岗位类别</w:t>
            </w:r>
          </w:p>
        </w:tc>
        <w:tc>
          <w:tcPr>
            <w:tcW w:w="7426" w:type="dxa"/>
            <w:tcBorders>
              <w:top w:val="single" w:color="auto" w:sz="12" w:space="0"/>
              <w:left w:val="single" w:color="auto" w:sz="4" w:space="0"/>
              <w:bottom w:val="nil"/>
              <w:right w:val="single" w:color="auto" w:sz="12" w:space="0"/>
            </w:tcBorders>
            <w:shd w:val="clear" w:color="auto" w:fill="EDF2F7"/>
            <w:noWrap w:val="0"/>
            <w:tcMar>
              <w:top w:w="-1" w:type="dxa"/>
              <w:left w:w="-1" w:type="dxa"/>
              <w:bottom w:w="-1" w:type="dxa"/>
              <w:right w:w="-1" w:type="dxa"/>
            </w:tcMar>
            <w:vAlign w:val="center"/>
          </w:tcPr>
          <w:p w14:paraId="79ECCB2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具体要求</w:t>
            </w:r>
          </w:p>
        </w:tc>
      </w:tr>
      <w:tr w14:paraId="3D385AC6">
        <w:tblPrEx>
          <w:tblBorders>
            <w:top w:val="none" w:color="1A365D" w:sz="12" w:space="0"/>
            <w:left w:val="none" w:color="auto" w:sz="0" w:space="0"/>
            <w:bottom w:val="none" w:color="1A365D" w:sz="12" w:space="0"/>
            <w:right w:val="none" w:color="auto" w:sz="0" w:space="0"/>
            <w:insideH w:val="none" w:color="C9D1DC" w:sz="4" w:space="0"/>
            <w:insideV w:val="none" w:color="auto" w:sz="0" w:space="0"/>
          </w:tblBorders>
          <w:tblCellMar>
            <w:top w:w="0" w:type="dxa"/>
            <w:left w:w="10" w:type="dxa"/>
            <w:bottom w:w="0" w:type="dxa"/>
            <w:right w:w="10" w:type="dxa"/>
          </w:tblCellMar>
        </w:tblPrEx>
        <w:trPr>
          <w:trHeight w:val="567"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272ED4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7426"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53BE7E8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会计</w:t>
            </w:r>
            <w:r>
              <w:rPr>
                <w:rFonts w:hint="eastAsia" w:ascii="宋体" w:hAnsi="宋体" w:eastAsia="宋体" w:cs="宋体"/>
                <w:color w:val="auto"/>
                <w:sz w:val="24"/>
                <w:szCs w:val="24"/>
                <w:lang w:val="en-US" w:eastAsia="zh-CN"/>
              </w:rPr>
              <w:t>专业</w:t>
            </w:r>
            <w:r>
              <w:rPr>
                <w:rFonts w:hint="eastAsia" w:ascii="宋体" w:hAnsi="宋体" w:eastAsia="宋体" w:cs="宋体"/>
                <w:color w:val="auto"/>
                <w:sz w:val="24"/>
                <w:szCs w:val="24"/>
              </w:rPr>
              <w:t>中级及以上职称人员1名，负责项目整体统筹和质量把控</w:t>
            </w:r>
          </w:p>
        </w:tc>
      </w:tr>
      <w:tr w14:paraId="366E4FC0">
        <w:tblPrEx>
          <w:tblBorders>
            <w:top w:val="none" w:color="1A365D" w:sz="12" w:space="0"/>
            <w:left w:val="none" w:color="auto" w:sz="0" w:space="0"/>
            <w:bottom w:val="none" w:color="1A365D" w:sz="12" w:space="0"/>
            <w:right w:val="none" w:color="auto" w:sz="0" w:space="0"/>
            <w:insideH w:val="none" w:color="C9D1DC" w:sz="4" w:space="0"/>
            <w:insideV w:val="none" w:color="auto" w:sz="0" w:space="0"/>
          </w:tblBorders>
          <w:tblCellMar>
            <w:top w:w="0" w:type="dxa"/>
            <w:left w:w="10" w:type="dxa"/>
            <w:bottom w:w="0" w:type="dxa"/>
            <w:right w:w="10" w:type="dxa"/>
          </w:tblCellMar>
        </w:tblPrEx>
        <w:trPr>
          <w:trHeight w:val="567"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B62D09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数据分析人员</w:t>
            </w:r>
          </w:p>
        </w:tc>
        <w:tc>
          <w:tcPr>
            <w:tcW w:w="7426"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54B169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持有计算机中级专业职称</w:t>
            </w:r>
            <w:r>
              <w:rPr>
                <w:rFonts w:hint="eastAsia" w:cs="宋体"/>
                <w:color w:val="auto"/>
                <w:sz w:val="24"/>
                <w:szCs w:val="24"/>
                <w:lang w:val="en-US" w:eastAsia="zh-CN"/>
              </w:rPr>
              <w:t>或具有相关</w:t>
            </w:r>
            <w:r>
              <w:rPr>
                <w:rFonts w:hint="eastAsia" w:ascii="宋体" w:hAnsi="宋体" w:eastAsia="宋体" w:cs="宋体"/>
                <w:color w:val="auto"/>
                <w:sz w:val="24"/>
                <w:szCs w:val="24"/>
              </w:rPr>
              <w:t>能力水平，熟悉医保系统数据分析1名</w:t>
            </w:r>
          </w:p>
        </w:tc>
      </w:tr>
      <w:tr w14:paraId="4CD9F68D">
        <w:tblPrEx>
          <w:tblBorders>
            <w:top w:val="none" w:color="1A365D" w:sz="12" w:space="0"/>
            <w:left w:val="none" w:color="auto" w:sz="0" w:space="0"/>
            <w:bottom w:val="none" w:color="1A365D" w:sz="12" w:space="0"/>
            <w:right w:val="none" w:color="auto" w:sz="0" w:space="0"/>
            <w:insideH w:val="none" w:color="C9D1DC" w:sz="4" w:space="0"/>
            <w:insideV w:val="none" w:color="auto" w:sz="0" w:space="0"/>
          </w:tblBorders>
          <w:tblCellMar>
            <w:top w:w="0" w:type="dxa"/>
            <w:left w:w="10" w:type="dxa"/>
            <w:bottom w:w="0" w:type="dxa"/>
            <w:right w:w="10" w:type="dxa"/>
          </w:tblCellMar>
        </w:tblPrEx>
        <w:trPr>
          <w:trHeight w:val="567" w:hRule="atLeast"/>
          <w:jc w:val="center"/>
        </w:trPr>
        <w:tc>
          <w:tcPr>
            <w:tcW w:w="1700" w:type="dxa"/>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6671709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审计人员</w:t>
            </w:r>
          </w:p>
        </w:tc>
        <w:tc>
          <w:tcPr>
            <w:tcW w:w="7426" w:type="dxa"/>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268AB0B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其他审计人员2名，具备审计或会计相关专业背景</w:t>
            </w:r>
          </w:p>
        </w:tc>
      </w:tr>
    </w:tbl>
    <w:p w14:paraId="179B3C9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rPr>
      </w:pPr>
      <w:bookmarkStart w:id="12" w:name="_Toc13501"/>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交付成果</w:t>
      </w:r>
      <w:bookmarkEnd w:id="12"/>
    </w:p>
    <w:p w14:paraId="2D5908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武定</w:t>
      </w:r>
      <w:r>
        <w:rPr>
          <w:rFonts w:hint="eastAsia" w:ascii="宋体" w:hAnsi="宋体" w:eastAsia="宋体" w:cs="宋体"/>
          <w:color w:val="auto"/>
          <w:sz w:val="24"/>
          <w:szCs w:val="24"/>
        </w:rPr>
        <w:t>县2023年至2025年医疗保险基金专项审计调查报告》（正式报告10份、电子文档1份）</w:t>
      </w:r>
      <w:r>
        <w:rPr>
          <w:rFonts w:hint="eastAsia" w:ascii="宋体" w:hAnsi="宋体" w:eastAsia="宋体" w:cs="宋体"/>
          <w:color w:val="auto"/>
          <w:sz w:val="24"/>
          <w:szCs w:val="24"/>
          <w:lang w:eastAsia="zh-CN"/>
        </w:rPr>
        <w:t>。</w:t>
      </w:r>
    </w:p>
    <w:p w14:paraId="152D1F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审计工作底稿及相关证据材料（纸质版和电子版各1套）</w:t>
      </w:r>
      <w:r>
        <w:rPr>
          <w:rFonts w:hint="eastAsia" w:ascii="宋体" w:hAnsi="宋体" w:eastAsia="宋体" w:cs="宋体"/>
          <w:color w:val="auto"/>
          <w:sz w:val="24"/>
          <w:szCs w:val="24"/>
          <w:lang w:eastAsia="zh-CN"/>
        </w:rPr>
        <w:t>。</w:t>
      </w:r>
    </w:p>
    <w:p w14:paraId="011811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数据分析报告及疑点清单（电子版1份）</w:t>
      </w:r>
      <w:r>
        <w:rPr>
          <w:rFonts w:hint="eastAsia" w:ascii="宋体" w:hAnsi="宋体" w:eastAsia="宋体" w:cs="宋体"/>
          <w:color w:val="auto"/>
          <w:sz w:val="24"/>
          <w:szCs w:val="24"/>
          <w:lang w:eastAsia="zh-CN"/>
        </w:rPr>
        <w:t>。</w:t>
      </w:r>
    </w:p>
    <w:p w14:paraId="516B35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被审计单位整改建议书（电子版1份）。</w:t>
      </w:r>
    </w:p>
    <w:p w14:paraId="23B271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auto"/>
          <w:sz w:val="24"/>
          <w:szCs w:val="24"/>
        </w:rPr>
      </w:pPr>
      <w:bookmarkStart w:id="13" w:name="_Toc10361"/>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采购包2：中小学校膳食经费审计调查</w:t>
      </w:r>
      <w:bookmarkEnd w:id="13"/>
      <w:bookmarkStart w:id="14" w:name="_Toc004"/>
      <w:bookmarkEnd w:id="14"/>
    </w:p>
    <w:p w14:paraId="214C2AA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rPr>
      </w:pPr>
      <w:bookmarkStart w:id="15" w:name="_Toc9756"/>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项目概述</w:t>
      </w:r>
      <w:bookmarkEnd w:id="15"/>
    </w:p>
    <w:p w14:paraId="022753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w:t>
      </w:r>
      <w:r>
        <w:rPr>
          <w:rFonts w:hint="eastAsia" w:ascii="宋体" w:hAnsi="宋体" w:eastAsia="宋体" w:cs="宋体"/>
          <w:color w:val="auto"/>
          <w:sz w:val="24"/>
          <w:szCs w:val="24"/>
          <w:lang w:val="en-US" w:eastAsia="zh-CN"/>
        </w:rPr>
        <w:t>武定</w:t>
      </w:r>
      <w:r>
        <w:rPr>
          <w:rFonts w:hint="eastAsia" w:ascii="宋体" w:hAnsi="宋体" w:eastAsia="宋体" w:cs="宋体"/>
          <w:color w:val="auto"/>
          <w:sz w:val="24"/>
          <w:szCs w:val="24"/>
        </w:rPr>
        <w:t>县中小学校2024年至2025年膳食经费的管理使用情况进行专项审计调查，重点关注膳食经费的拨付、使用、管理全过程，揭示存在的违规违纪问题，保障学生饮食安全。</w:t>
      </w:r>
    </w:p>
    <w:p w14:paraId="30C550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rPr>
      </w:pPr>
      <w:bookmarkStart w:id="16" w:name="_Toc31395"/>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审计范围和对象</w:t>
      </w:r>
      <w:bookmarkEnd w:id="16"/>
    </w:p>
    <w:p w14:paraId="2C26E4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审计时间范围：2024年1月1日至2025年12月31日。</w:t>
      </w:r>
    </w:p>
    <w:p w14:paraId="325AEC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审计对象：</w:t>
      </w:r>
      <w:r>
        <w:rPr>
          <w:rFonts w:hint="eastAsia" w:ascii="宋体" w:hAnsi="宋体" w:eastAsia="宋体" w:cs="宋体"/>
          <w:color w:val="auto"/>
          <w:sz w:val="24"/>
          <w:szCs w:val="24"/>
          <w:lang w:val="en-US" w:eastAsia="zh-CN"/>
        </w:rPr>
        <w:t>武定</w:t>
      </w:r>
      <w:r>
        <w:rPr>
          <w:rFonts w:hint="eastAsia" w:ascii="宋体" w:hAnsi="宋体" w:eastAsia="宋体" w:cs="宋体"/>
          <w:color w:val="auto"/>
          <w:sz w:val="24"/>
          <w:szCs w:val="24"/>
        </w:rPr>
        <w:t>县教育体育局、各中小学校、学校食堂承包经营企业（如有），以及涉及膳食经费管理的其他相关单位和部门。</w:t>
      </w:r>
    </w:p>
    <w:p w14:paraId="6DFB79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rPr>
      </w:pPr>
      <w:bookmarkStart w:id="17" w:name="_Toc19693"/>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审计内容</w:t>
      </w:r>
      <w:bookmarkEnd w:id="17"/>
    </w:p>
    <w:p w14:paraId="4F1F0A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膳食经费拨付情况。审查经费是否及时足额拨付到学校，是否存在截留、挪用、挤占等问题。</w:t>
      </w:r>
    </w:p>
    <w:p w14:paraId="55587F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膳食经费使用情况。审查经费支出是否符合规定用途，采购程序是否合规，食材质量是否达标，膳食标准是否落实。</w:t>
      </w:r>
    </w:p>
    <w:p w14:paraId="2FC754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食堂经营管理情况。审查食堂承包经营的招投标程序、合同执行、食品安全管理等情况。</w:t>
      </w:r>
    </w:p>
    <w:p w14:paraId="141EE4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财务核算管理情况。审查膳食经费的会计核算是否规范，账簿凭证是否齐全，财务公开是否及时。</w:t>
      </w:r>
    </w:p>
    <w:p w14:paraId="263698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制度建设和执行情况。审查学校膳食管理制度的建立和落实情况，分析存在的问题和不足。</w:t>
      </w:r>
    </w:p>
    <w:p w14:paraId="3C3D045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rPr>
      </w:pPr>
      <w:bookmarkStart w:id="18" w:name="_Toc32224"/>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技术要求</w:t>
      </w:r>
      <w:bookmarkEnd w:id="18"/>
    </w:p>
    <w:p w14:paraId="5CF085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审计方法。采用账表审查与实地调查相结合的方式，综合运用财务审计、数据分析、访谈询问、现场盘点等方法。</w:t>
      </w:r>
    </w:p>
    <w:p w14:paraId="33C080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数据分析能力。投标人须具备对教育系统财务数据和食堂经营数据进行采集和分析的能力，运用数据分析技术识别异常支出和风险点。</w:t>
      </w:r>
    </w:p>
    <w:p w14:paraId="65E60C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审计质量控制。严格执行审计准则，建立审计底稿复核制度，确保审计工作质量。重大审计发现须形成专项报告及时上报。</w:t>
      </w:r>
    </w:p>
    <w:p w14:paraId="751A19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现场工作要求。审计组须深入学校食堂一线，实地查看食材采购、贮存、加工、供餐等各个环节，必要时开展学生和家长满意度调查。</w:t>
      </w:r>
    </w:p>
    <w:p w14:paraId="2300D35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rPr>
      </w:pPr>
      <w:bookmarkStart w:id="19" w:name="_Toc27497"/>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人员要求</w:t>
      </w:r>
      <w:bookmarkEnd w:id="19"/>
    </w:p>
    <w:p w14:paraId="0A3FFA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服务期限：2026年9月至11月。投标人须派出审计人员4名，具体配置如下：</w:t>
      </w:r>
    </w:p>
    <w:tbl>
      <w:tblPr>
        <w:tblStyle w:val="5"/>
        <w:tblW w:w="9031" w:type="dxa"/>
        <w:jc w:val="center"/>
        <w:tblBorders>
          <w:top w:val="none" w:color="1A365D" w:sz="12" w:space="0"/>
          <w:left w:val="none" w:color="auto" w:sz="0" w:space="0"/>
          <w:bottom w:val="none" w:color="1A365D" w:sz="12" w:space="0"/>
          <w:right w:val="none" w:color="auto" w:sz="0" w:space="0"/>
          <w:insideH w:val="none" w:color="C9D1DC" w:sz="4" w:space="0"/>
          <w:insideV w:val="none" w:color="auto" w:sz="0" w:space="0"/>
        </w:tblBorders>
        <w:tblLayout w:type="autofit"/>
        <w:tblCellMar>
          <w:top w:w="0" w:type="dxa"/>
          <w:left w:w="10" w:type="dxa"/>
          <w:bottom w:w="0" w:type="dxa"/>
          <w:right w:w="10" w:type="dxa"/>
        </w:tblCellMar>
      </w:tblPr>
      <w:tblGrid>
        <w:gridCol w:w="1700"/>
        <w:gridCol w:w="7331"/>
      </w:tblGrid>
      <w:tr w14:paraId="4DAEDA5B">
        <w:tblPrEx>
          <w:tblBorders>
            <w:top w:val="none" w:color="1A365D" w:sz="12" w:space="0"/>
            <w:left w:val="none" w:color="auto" w:sz="0" w:space="0"/>
            <w:bottom w:val="none" w:color="1A365D" w:sz="12" w:space="0"/>
            <w:right w:val="none" w:color="auto" w:sz="0" w:space="0"/>
            <w:insideH w:val="none" w:color="C9D1DC" w:sz="4" w:space="0"/>
            <w:insideV w:val="none" w:color="auto" w:sz="0" w:space="0"/>
          </w:tblBorders>
          <w:tblCellMar>
            <w:top w:w="0" w:type="dxa"/>
            <w:left w:w="10" w:type="dxa"/>
            <w:bottom w:w="0" w:type="dxa"/>
            <w:right w:w="10" w:type="dxa"/>
          </w:tblCellMar>
        </w:tblPrEx>
        <w:trPr>
          <w:trHeight w:val="510" w:hRule="atLeast"/>
          <w:tblHeader/>
          <w:jc w:val="center"/>
        </w:trPr>
        <w:tc>
          <w:tcPr>
            <w:tcW w:w="0" w:type="auto"/>
            <w:tcBorders>
              <w:top w:val="single" w:color="auto" w:sz="12" w:space="0"/>
              <w:left w:val="single" w:color="auto" w:sz="12" w:space="0"/>
              <w:bottom w:val="nil"/>
              <w:right w:val="nil"/>
            </w:tcBorders>
            <w:shd w:val="clear" w:color="auto" w:fill="EDF2F7"/>
            <w:noWrap w:val="0"/>
            <w:tcMar>
              <w:top w:w="-1" w:type="dxa"/>
              <w:left w:w="-1" w:type="dxa"/>
              <w:bottom w:w="-1" w:type="dxa"/>
              <w:right w:w="-1" w:type="dxa"/>
            </w:tcMar>
            <w:vAlign w:val="center"/>
          </w:tcPr>
          <w:p w14:paraId="1B7668A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岗位类别</w:t>
            </w:r>
          </w:p>
        </w:tc>
        <w:tc>
          <w:tcPr>
            <w:tcW w:w="7331" w:type="dxa"/>
            <w:tcBorders>
              <w:top w:val="single" w:color="auto" w:sz="12" w:space="0"/>
              <w:left w:val="single" w:color="auto" w:sz="4" w:space="0"/>
              <w:bottom w:val="nil"/>
              <w:right w:val="single" w:color="auto" w:sz="12" w:space="0"/>
            </w:tcBorders>
            <w:shd w:val="clear" w:color="auto" w:fill="EDF2F7"/>
            <w:noWrap w:val="0"/>
            <w:tcMar>
              <w:top w:w="-1" w:type="dxa"/>
              <w:left w:w="-1" w:type="dxa"/>
              <w:bottom w:w="-1" w:type="dxa"/>
              <w:right w:w="-1" w:type="dxa"/>
            </w:tcMar>
            <w:vAlign w:val="center"/>
          </w:tcPr>
          <w:p w14:paraId="648B65B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具体要求</w:t>
            </w:r>
          </w:p>
        </w:tc>
      </w:tr>
      <w:tr w14:paraId="1D5FA3F1">
        <w:tblPrEx>
          <w:tblBorders>
            <w:top w:val="none" w:color="1A365D" w:sz="12" w:space="0"/>
            <w:left w:val="none" w:color="auto" w:sz="0" w:space="0"/>
            <w:bottom w:val="none" w:color="1A365D" w:sz="12" w:space="0"/>
            <w:right w:val="none" w:color="auto" w:sz="0" w:space="0"/>
            <w:insideH w:val="none" w:color="C9D1DC" w:sz="4" w:space="0"/>
            <w:insideV w:val="none" w:color="auto" w:sz="0" w:space="0"/>
          </w:tblBorders>
          <w:tblCellMar>
            <w:top w:w="0" w:type="dxa"/>
            <w:left w:w="10" w:type="dxa"/>
            <w:bottom w:w="0" w:type="dxa"/>
            <w:right w:w="10" w:type="dxa"/>
          </w:tblCellMar>
        </w:tblPrEx>
        <w:trPr>
          <w:trHeight w:val="51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7ADB74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7331"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21A735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会计</w:t>
            </w:r>
            <w:r>
              <w:rPr>
                <w:rFonts w:hint="eastAsia" w:ascii="宋体" w:hAnsi="宋体" w:eastAsia="宋体" w:cs="宋体"/>
                <w:color w:val="auto"/>
                <w:sz w:val="24"/>
                <w:szCs w:val="24"/>
                <w:lang w:val="en-US" w:eastAsia="zh-CN"/>
              </w:rPr>
              <w:t>专业</w:t>
            </w:r>
            <w:r>
              <w:rPr>
                <w:rFonts w:hint="eastAsia" w:ascii="宋体" w:hAnsi="宋体" w:eastAsia="宋体" w:cs="宋体"/>
                <w:color w:val="auto"/>
                <w:sz w:val="24"/>
                <w:szCs w:val="24"/>
              </w:rPr>
              <w:t>中级及以上职称人员1名，负责项目整体统筹和质量把控</w:t>
            </w:r>
          </w:p>
        </w:tc>
      </w:tr>
      <w:tr w14:paraId="46C51F21">
        <w:tblPrEx>
          <w:tblBorders>
            <w:top w:val="none" w:color="1A365D" w:sz="12" w:space="0"/>
            <w:left w:val="none" w:color="auto" w:sz="0" w:space="0"/>
            <w:bottom w:val="none" w:color="1A365D" w:sz="12" w:space="0"/>
            <w:right w:val="none" w:color="auto" w:sz="0" w:space="0"/>
            <w:insideH w:val="none" w:color="C9D1DC" w:sz="4" w:space="0"/>
            <w:insideV w:val="none" w:color="auto" w:sz="0" w:space="0"/>
          </w:tblBorders>
          <w:tblCellMar>
            <w:top w:w="0" w:type="dxa"/>
            <w:left w:w="10" w:type="dxa"/>
            <w:bottom w:w="0" w:type="dxa"/>
            <w:right w:w="10" w:type="dxa"/>
          </w:tblCellMar>
        </w:tblPrEx>
        <w:trPr>
          <w:trHeight w:val="51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BCDBFE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数据分析人员</w:t>
            </w:r>
          </w:p>
        </w:tc>
        <w:tc>
          <w:tcPr>
            <w:tcW w:w="7331"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194A9B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持有计算机中级专业职称</w:t>
            </w:r>
            <w:r>
              <w:rPr>
                <w:rFonts w:hint="eastAsia" w:cs="宋体"/>
                <w:color w:val="auto"/>
                <w:sz w:val="24"/>
                <w:szCs w:val="24"/>
                <w:lang w:val="en-US" w:eastAsia="zh-CN"/>
              </w:rPr>
              <w:t>或具有相关</w:t>
            </w:r>
            <w:r>
              <w:rPr>
                <w:rFonts w:hint="eastAsia" w:ascii="宋体" w:hAnsi="宋体" w:eastAsia="宋体" w:cs="宋体"/>
                <w:color w:val="auto"/>
                <w:sz w:val="24"/>
                <w:szCs w:val="24"/>
              </w:rPr>
              <w:t>能力水平的数据分析人员1名</w:t>
            </w:r>
          </w:p>
        </w:tc>
      </w:tr>
      <w:tr w14:paraId="26652A23">
        <w:tblPrEx>
          <w:tblBorders>
            <w:top w:val="none" w:color="1A365D" w:sz="12" w:space="0"/>
            <w:left w:val="none" w:color="auto" w:sz="0" w:space="0"/>
            <w:bottom w:val="none" w:color="1A365D" w:sz="12" w:space="0"/>
            <w:right w:val="none" w:color="auto" w:sz="0" w:space="0"/>
            <w:insideH w:val="none" w:color="C9D1DC" w:sz="4" w:space="0"/>
            <w:insideV w:val="none" w:color="auto" w:sz="0" w:space="0"/>
          </w:tblBorders>
          <w:tblCellMar>
            <w:top w:w="0" w:type="dxa"/>
            <w:left w:w="10" w:type="dxa"/>
            <w:bottom w:w="0" w:type="dxa"/>
            <w:right w:w="10" w:type="dxa"/>
          </w:tblCellMar>
        </w:tblPrEx>
        <w:trPr>
          <w:trHeight w:val="510" w:hRule="atLeast"/>
          <w:jc w:val="center"/>
        </w:trPr>
        <w:tc>
          <w:tcPr>
            <w:tcW w:w="1700" w:type="dxa"/>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13E6E2D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审计人员</w:t>
            </w:r>
          </w:p>
        </w:tc>
        <w:tc>
          <w:tcPr>
            <w:tcW w:w="7331" w:type="dxa"/>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5A1649D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其他审计人员2名，具备审计或会计相关专业背景</w:t>
            </w:r>
          </w:p>
        </w:tc>
      </w:tr>
    </w:tbl>
    <w:p w14:paraId="3DE416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交付成果</w:t>
      </w:r>
    </w:p>
    <w:p w14:paraId="099EB0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武定</w:t>
      </w:r>
      <w:r>
        <w:rPr>
          <w:rFonts w:hint="eastAsia" w:ascii="宋体" w:hAnsi="宋体" w:eastAsia="宋体" w:cs="宋体"/>
          <w:color w:val="auto"/>
          <w:sz w:val="24"/>
          <w:szCs w:val="24"/>
        </w:rPr>
        <w:t>县中小学校2024年至2025年膳食经费管理使用情况审计调查报告》（正式报告10份、电子文档1份）</w:t>
      </w:r>
      <w:r>
        <w:rPr>
          <w:rFonts w:hint="eastAsia" w:ascii="宋体" w:hAnsi="宋体" w:eastAsia="宋体" w:cs="宋体"/>
          <w:color w:val="auto"/>
          <w:sz w:val="24"/>
          <w:szCs w:val="24"/>
          <w:lang w:eastAsia="zh-CN"/>
        </w:rPr>
        <w:t>。</w:t>
      </w:r>
    </w:p>
    <w:p w14:paraId="56D3A5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审计工作底稿及相关证据材料（纸质版和电子版各1套）</w:t>
      </w:r>
      <w:r>
        <w:rPr>
          <w:rFonts w:hint="eastAsia" w:ascii="宋体" w:hAnsi="宋体" w:eastAsia="宋体" w:cs="宋体"/>
          <w:color w:val="auto"/>
          <w:sz w:val="24"/>
          <w:szCs w:val="24"/>
          <w:lang w:eastAsia="zh-CN"/>
        </w:rPr>
        <w:t>。</w:t>
      </w:r>
    </w:p>
    <w:p w14:paraId="2FF5F6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分学校审计情况明细表（电子版1份）</w:t>
      </w:r>
      <w:r>
        <w:rPr>
          <w:rFonts w:hint="eastAsia" w:ascii="宋体" w:hAnsi="宋体" w:eastAsia="宋体" w:cs="宋体"/>
          <w:color w:val="auto"/>
          <w:sz w:val="24"/>
          <w:szCs w:val="24"/>
          <w:lang w:eastAsia="zh-CN"/>
        </w:rPr>
        <w:t>。</w:t>
      </w:r>
    </w:p>
    <w:p w14:paraId="67BA84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被审计单位整改建议书（电子版1份）。</w:t>
      </w:r>
    </w:p>
    <w:p w14:paraId="0A7AF60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auto"/>
          <w:sz w:val="24"/>
          <w:szCs w:val="24"/>
        </w:rPr>
      </w:pPr>
      <w:bookmarkStart w:id="20" w:name="_Toc21316"/>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、采购包3：养老服务领域专项审计调查</w:t>
      </w:r>
      <w:bookmarkEnd w:id="20"/>
      <w:bookmarkStart w:id="21" w:name="_Toc005"/>
      <w:bookmarkEnd w:id="21"/>
    </w:p>
    <w:p w14:paraId="7F6194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rPr>
      </w:pPr>
      <w:bookmarkStart w:id="22" w:name="_Toc24348"/>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项目概述</w:t>
      </w:r>
      <w:bookmarkEnd w:id="22"/>
    </w:p>
    <w:p w14:paraId="028478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w:t>
      </w:r>
      <w:r>
        <w:rPr>
          <w:rFonts w:hint="eastAsia" w:ascii="宋体" w:hAnsi="宋体" w:eastAsia="宋体" w:cs="宋体"/>
          <w:color w:val="auto"/>
          <w:sz w:val="24"/>
          <w:szCs w:val="24"/>
          <w:lang w:val="en-US" w:eastAsia="zh-CN"/>
        </w:rPr>
        <w:t>武定</w:t>
      </w:r>
      <w:r>
        <w:rPr>
          <w:rFonts w:hint="eastAsia" w:ascii="宋体" w:hAnsi="宋体" w:eastAsia="宋体" w:cs="宋体"/>
          <w:color w:val="auto"/>
          <w:sz w:val="24"/>
          <w:szCs w:val="24"/>
        </w:rPr>
        <w:t>县养老服务领域进行专项审计调查，重点关注养老服务机构运营、养老补贴资金使用、养老服务政策执行等方面，揭示存在的问题，促进养老服务事业健康发展。</w:t>
      </w:r>
    </w:p>
    <w:p w14:paraId="1847FAA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rPr>
      </w:pPr>
      <w:bookmarkStart w:id="23" w:name="_Toc29196"/>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审计范围和对象</w:t>
      </w:r>
      <w:bookmarkEnd w:id="23"/>
    </w:p>
    <w:p w14:paraId="63B988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审计时间范围：以2023年至2025年为主，重大事项可追溯至以前年度。</w:t>
      </w:r>
    </w:p>
    <w:p w14:paraId="3A340E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审计对象：</w:t>
      </w:r>
      <w:r>
        <w:rPr>
          <w:rFonts w:hint="eastAsia" w:ascii="宋体" w:hAnsi="宋体" w:eastAsia="宋体" w:cs="宋体"/>
          <w:color w:val="auto"/>
          <w:sz w:val="24"/>
          <w:szCs w:val="24"/>
          <w:lang w:val="en-US" w:eastAsia="zh-CN"/>
        </w:rPr>
        <w:t>武定</w:t>
      </w:r>
      <w:r>
        <w:rPr>
          <w:rFonts w:hint="eastAsia" w:ascii="宋体" w:hAnsi="宋体" w:eastAsia="宋体" w:cs="宋体"/>
          <w:color w:val="auto"/>
          <w:sz w:val="24"/>
          <w:szCs w:val="24"/>
        </w:rPr>
        <w:t>县民政局、养老服务机构、养老服务企业、涉及养老补贴发放的相关部门和单位。</w:t>
      </w:r>
    </w:p>
    <w:p w14:paraId="61AE6DF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rPr>
      </w:pPr>
      <w:bookmarkStart w:id="24" w:name="_Toc21446"/>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审计内容</w:t>
      </w:r>
      <w:bookmarkEnd w:id="24"/>
    </w:p>
    <w:p w14:paraId="0495C4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养老服务机构建设运营情况。审查机构的建设标准、服务资质、运营管理、服务质量等是否合规。</w:t>
      </w:r>
    </w:p>
    <w:p w14:paraId="5E0A75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养老补贴资金管理使用情况。审查各类养老补贴（建设补贴、运营补贴、困难老人补贴等）的发放、使用和管理是否规范。</w:t>
      </w:r>
    </w:p>
    <w:p w14:paraId="436CA4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养老服务政策执行情况。审查国家和地方养老服务优惠政策的落实效果，评估政策执行中存在的困难和问题。</w:t>
      </w:r>
    </w:p>
    <w:p w14:paraId="46C923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养老服务机构财务管理情况。审查机构的会计核算、资金使用、资产管理是否规范。</w:t>
      </w:r>
    </w:p>
    <w:p w14:paraId="705784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老年人权益保障情况。审查养老机构是否存在侵害老年人合法权益的行为，评估老年人满意度。</w:t>
      </w:r>
    </w:p>
    <w:p w14:paraId="703D45E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rPr>
      </w:pPr>
      <w:bookmarkStart w:id="25" w:name="_Toc25894"/>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技术要求</w:t>
      </w:r>
      <w:bookmarkEnd w:id="25"/>
    </w:p>
    <w:p w14:paraId="6DBBBB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审计方法。采取“全面审计与重点抽查相结合”的方式，对养老服务机构进行全面排查，对重点机构和重点项目进行深入审计。</w:t>
      </w:r>
    </w:p>
    <w:p w14:paraId="3BC69D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现场调查要求。</w:t>
      </w:r>
      <w:r>
        <w:rPr>
          <w:rFonts w:hint="eastAsia" w:ascii="宋体" w:hAnsi="宋体" w:eastAsia="宋体" w:cs="宋体"/>
          <w:color w:val="auto"/>
          <w:sz w:val="24"/>
          <w:szCs w:val="24"/>
          <w:lang w:val="en-US" w:eastAsia="zh-CN"/>
        </w:rPr>
        <w:t>调查</w:t>
      </w:r>
      <w:r>
        <w:rPr>
          <w:rFonts w:hint="eastAsia" w:ascii="宋体" w:hAnsi="宋体" w:eastAsia="宋体" w:cs="宋体"/>
          <w:color w:val="auto"/>
          <w:sz w:val="24"/>
          <w:szCs w:val="24"/>
        </w:rPr>
        <w:t>组须实地走访养老服务机构，查看服务设施、查阅管理台账、访谈入住老人和工作人员。</w:t>
      </w:r>
    </w:p>
    <w:p w14:paraId="14306E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审计质量控制。严格执行审计准则，审计底稿须经组长复核签字，重大问题须经项目总负责人审核确认。</w:t>
      </w:r>
    </w:p>
    <w:p w14:paraId="2BDCF3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报告要求。审计报告须做到事实清楚、定性准确、建议可行，并附详细的问题清单和整改建议。</w:t>
      </w:r>
    </w:p>
    <w:p w14:paraId="5D36B85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rPr>
      </w:pPr>
      <w:bookmarkStart w:id="26" w:name="_Toc15057"/>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人员要求</w:t>
      </w:r>
      <w:bookmarkEnd w:id="26"/>
    </w:p>
    <w:p w14:paraId="5CA394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服务期限：2026年9月至10月。投标人须派出审计人员3名，具体配置如下：</w:t>
      </w:r>
    </w:p>
    <w:tbl>
      <w:tblPr>
        <w:tblStyle w:val="5"/>
        <w:tblW w:w="9019" w:type="dxa"/>
        <w:jc w:val="center"/>
        <w:tblBorders>
          <w:top w:val="none" w:color="1A365D" w:sz="12" w:space="0"/>
          <w:left w:val="none" w:color="auto" w:sz="0" w:space="0"/>
          <w:bottom w:val="none" w:color="1A365D" w:sz="12" w:space="0"/>
          <w:right w:val="none" w:color="auto" w:sz="0" w:space="0"/>
          <w:insideH w:val="none" w:color="C9D1DC" w:sz="4" w:space="0"/>
          <w:insideV w:val="none" w:color="auto" w:sz="0" w:space="0"/>
        </w:tblBorders>
        <w:tblLayout w:type="autofit"/>
        <w:tblCellMar>
          <w:top w:w="0" w:type="dxa"/>
          <w:left w:w="10" w:type="dxa"/>
          <w:bottom w:w="0" w:type="dxa"/>
          <w:right w:w="10" w:type="dxa"/>
        </w:tblCellMar>
      </w:tblPr>
      <w:tblGrid>
        <w:gridCol w:w="1460"/>
        <w:gridCol w:w="7559"/>
      </w:tblGrid>
      <w:tr w14:paraId="12C5B5F8">
        <w:tblPrEx>
          <w:tblBorders>
            <w:top w:val="none" w:color="1A365D" w:sz="12" w:space="0"/>
            <w:left w:val="none" w:color="auto" w:sz="0" w:space="0"/>
            <w:bottom w:val="none" w:color="1A365D" w:sz="12" w:space="0"/>
            <w:right w:val="none" w:color="auto" w:sz="0" w:space="0"/>
            <w:insideH w:val="none" w:color="C9D1DC" w:sz="4" w:space="0"/>
            <w:insideV w:val="none" w:color="auto" w:sz="0" w:space="0"/>
          </w:tblBorders>
          <w:tblCellMar>
            <w:top w:w="0" w:type="dxa"/>
            <w:left w:w="10" w:type="dxa"/>
            <w:bottom w:w="0" w:type="dxa"/>
            <w:right w:w="10" w:type="dxa"/>
          </w:tblCellMar>
        </w:tblPrEx>
        <w:trPr>
          <w:trHeight w:val="454" w:hRule="atLeast"/>
          <w:tblHeader/>
          <w:jc w:val="center"/>
        </w:trPr>
        <w:tc>
          <w:tcPr>
            <w:tcW w:w="0" w:type="auto"/>
            <w:tcBorders>
              <w:top w:val="single" w:color="auto" w:sz="12" w:space="0"/>
              <w:left w:val="single" w:color="auto" w:sz="12" w:space="0"/>
              <w:bottom w:val="nil"/>
              <w:right w:val="nil"/>
            </w:tcBorders>
            <w:shd w:val="clear" w:color="auto" w:fill="EDF2F7"/>
            <w:noWrap w:val="0"/>
            <w:tcMar>
              <w:top w:w="-1" w:type="dxa"/>
              <w:left w:w="-1" w:type="dxa"/>
              <w:bottom w:w="-1" w:type="dxa"/>
              <w:right w:w="-1" w:type="dxa"/>
            </w:tcMar>
            <w:vAlign w:val="center"/>
          </w:tcPr>
          <w:p w14:paraId="4AB5EA3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岗位类别</w:t>
            </w:r>
          </w:p>
        </w:tc>
        <w:tc>
          <w:tcPr>
            <w:tcW w:w="7559" w:type="dxa"/>
            <w:tcBorders>
              <w:top w:val="single" w:color="auto" w:sz="12" w:space="0"/>
              <w:left w:val="single" w:color="auto" w:sz="4" w:space="0"/>
              <w:bottom w:val="nil"/>
              <w:right w:val="single" w:color="auto" w:sz="12" w:space="0"/>
            </w:tcBorders>
            <w:shd w:val="clear" w:color="auto" w:fill="EDF2F7"/>
            <w:noWrap w:val="0"/>
            <w:tcMar>
              <w:top w:w="-1" w:type="dxa"/>
              <w:left w:w="-1" w:type="dxa"/>
              <w:bottom w:w="-1" w:type="dxa"/>
              <w:right w:w="-1" w:type="dxa"/>
            </w:tcMar>
            <w:vAlign w:val="center"/>
          </w:tcPr>
          <w:p w14:paraId="2E01A1B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具体要求</w:t>
            </w:r>
          </w:p>
        </w:tc>
      </w:tr>
      <w:tr w14:paraId="4DAB5C3E">
        <w:tblPrEx>
          <w:tblBorders>
            <w:top w:val="none" w:color="1A365D" w:sz="12" w:space="0"/>
            <w:left w:val="none" w:color="auto" w:sz="0" w:space="0"/>
            <w:bottom w:val="none" w:color="1A365D" w:sz="12" w:space="0"/>
            <w:right w:val="none" w:color="auto" w:sz="0" w:space="0"/>
            <w:insideH w:val="none" w:color="C9D1DC" w:sz="4" w:space="0"/>
            <w:insideV w:val="none" w:color="auto" w:sz="0" w:space="0"/>
          </w:tblBorders>
          <w:tblCellMar>
            <w:top w:w="0" w:type="dxa"/>
            <w:left w:w="10" w:type="dxa"/>
            <w:bottom w:w="0" w:type="dxa"/>
            <w:right w:w="10" w:type="dxa"/>
          </w:tblCellMar>
        </w:tblPrEx>
        <w:trPr>
          <w:trHeight w:val="454"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9864C9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7559"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544130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会计</w:t>
            </w:r>
            <w:r>
              <w:rPr>
                <w:rFonts w:hint="eastAsia" w:ascii="宋体" w:hAnsi="宋体" w:eastAsia="宋体" w:cs="宋体"/>
                <w:color w:val="auto"/>
                <w:sz w:val="24"/>
                <w:szCs w:val="24"/>
                <w:lang w:val="en-US" w:eastAsia="zh-CN"/>
              </w:rPr>
              <w:t>专业</w:t>
            </w:r>
            <w:r>
              <w:rPr>
                <w:rFonts w:hint="eastAsia" w:ascii="宋体" w:hAnsi="宋体" w:eastAsia="宋体" w:cs="宋体"/>
                <w:color w:val="auto"/>
                <w:sz w:val="24"/>
                <w:szCs w:val="24"/>
              </w:rPr>
              <w:t>中级及以上职称人员1名，负责项目整体统筹和质量把控</w:t>
            </w:r>
          </w:p>
        </w:tc>
      </w:tr>
      <w:tr w14:paraId="612E8AA7">
        <w:tblPrEx>
          <w:tblBorders>
            <w:top w:val="none" w:color="1A365D" w:sz="12" w:space="0"/>
            <w:left w:val="none" w:color="auto" w:sz="0" w:space="0"/>
            <w:bottom w:val="none" w:color="1A365D" w:sz="12" w:space="0"/>
            <w:right w:val="none" w:color="auto" w:sz="0" w:space="0"/>
            <w:insideH w:val="none" w:color="C9D1DC" w:sz="4" w:space="0"/>
            <w:insideV w:val="none" w:color="auto" w:sz="0" w:space="0"/>
          </w:tblBorders>
          <w:tblCellMar>
            <w:top w:w="0" w:type="dxa"/>
            <w:left w:w="10" w:type="dxa"/>
            <w:bottom w:w="0" w:type="dxa"/>
            <w:right w:w="10" w:type="dxa"/>
          </w:tblCellMar>
        </w:tblPrEx>
        <w:trPr>
          <w:trHeight w:val="454" w:hRule="atLeast"/>
          <w:jc w:val="center"/>
        </w:trPr>
        <w:tc>
          <w:tcPr>
            <w:tcW w:w="1460" w:type="dxa"/>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6808974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审计人员</w:t>
            </w:r>
          </w:p>
        </w:tc>
        <w:tc>
          <w:tcPr>
            <w:tcW w:w="7559" w:type="dxa"/>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7532C09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其他审计人员2名，具备审计或会计相关专业背景</w:t>
            </w:r>
          </w:p>
        </w:tc>
      </w:tr>
    </w:tbl>
    <w:p w14:paraId="7E0E5EC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rPr>
      </w:pPr>
      <w:bookmarkStart w:id="27" w:name="_Toc21537"/>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交付成果</w:t>
      </w:r>
      <w:bookmarkEnd w:id="27"/>
    </w:p>
    <w:p w14:paraId="2203DA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武定</w:t>
      </w:r>
      <w:r>
        <w:rPr>
          <w:rFonts w:hint="eastAsia" w:ascii="宋体" w:hAnsi="宋体" w:eastAsia="宋体" w:cs="宋体"/>
          <w:color w:val="auto"/>
          <w:sz w:val="24"/>
          <w:szCs w:val="24"/>
        </w:rPr>
        <w:t>县养老服务领域专项审计调查报告》（正式报告10份、电子文档1份）</w:t>
      </w:r>
      <w:r>
        <w:rPr>
          <w:rFonts w:hint="eastAsia" w:ascii="宋体" w:hAnsi="宋体" w:eastAsia="宋体" w:cs="宋体"/>
          <w:color w:val="auto"/>
          <w:sz w:val="24"/>
          <w:szCs w:val="24"/>
          <w:lang w:eastAsia="zh-CN"/>
        </w:rPr>
        <w:t>。</w:t>
      </w:r>
    </w:p>
    <w:p w14:paraId="1DAB55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审计工作底稿及相关证据材料（纸质版和电子版各1套）</w:t>
      </w:r>
      <w:r>
        <w:rPr>
          <w:rFonts w:hint="eastAsia" w:ascii="宋体" w:hAnsi="宋体" w:eastAsia="宋体" w:cs="宋体"/>
          <w:color w:val="auto"/>
          <w:sz w:val="24"/>
          <w:szCs w:val="24"/>
          <w:lang w:eastAsia="zh-CN"/>
        </w:rPr>
        <w:t>。</w:t>
      </w:r>
    </w:p>
    <w:p w14:paraId="4A1063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养老服务机构问题清单及整改建议（电子版1份）</w:t>
      </w:r>
      <w:r>
        <w:rPr>
          <w:rFonts w:hint="eastAsia" w:ascii="宋体" w:hAnsi="宋体" w:eastAsia="宋体" w:cs="宋体"/>
          <w:color w:val="auto"/>
          <w:sz w:val="24"/>
          <w:szCs w:val="24"/>
          <w:lang w:eastAsia="zh-CN"/>
        </w:rPr>
        <w:t>。</w:t>
      </w:r>
    </w:p>
    <w:p w14:paraId="6B71C7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政策建议专题报告（电子版1份）。</w:t>
      </w:r>
    </w:p>
    <w:p w14:paraId="16FD679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auto"/>
          <w:sz w:val="24"/>
          <w:szCs w:val="24"/>
        </w:rPr>
      </w:pPr>
      <w:bookmarkStart w:id="28" w:name="_Toc21036"/>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、验收标准和方法</w:t>
      </w:r>
      <w:bookmarkEnd w:id="28"/>
    </w:p>
    <w:p w14:paraId="02AE333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rPr>
      </w:pPr>
      <w:bookmarkStart w:id="29" w:name="_Toc28489"/>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验收标准</w:t>
      </w:r>
      <w:bookmarkEnd w:id="29"/>
    </w:p>
    <w:p w14:paraId="55C9D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完整性。审计报告须涵盖采购需求规定的全部审计内容，审计底稿须完整规范，支撑材料须充分有力。</w:t>
      </w:r>
    </w:p>
    <w:p w14:paraId="02807C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准确性。审计发现的事实须有据可查，审计定性须准确恰当，审计建议须具有针对性和可操作性。</w:t>
      </w:r>
    </w:p>
    <w:p w14:paraId="5B9395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及时性。投标人须在约定的服务期限内完成全部审计工作并提交成果文件。</w:t>
      </w:r>
    </w:p>
    <w:p w14:paraId="33C4B2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规范性。审计报告的格式、内容、文字表达须符合审计报告编制规范，审计底稿须符合审计准则要求。</w:t>
      </w:r>
    </w:p>
    <w:p w14:paraId="1C1DF25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rPr>
      </w:pPr>
      <w:bookmarkStart w:id="30" w:name="_Toc12968"/>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验收方法</w:t>
      </w:r>
      <w:bookmarkEnd w:id="30"/>
    </w:p>
    <w:p w14:paraId="697CB7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采购人组织验收小组对投标人提交的成果文件进行审核验收。</w:t>
      </w:r>
    </w:p>
    <w:p w14:paraId="08D50D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验收内容包括：审计报告的完整性、准确性、规范性；审计底稿的充分性、逻辑性；数据分析成果的可靠性。</w:t>
      </w:r>
    </w:p>
    <w:p w14:paraId="19D932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验收结论分为“合格”和“不合格”两种。验收不合格的，投标人须在采购人指定期限内补充完善，直至验收合格。</w:t>
      </w:r>
    </w:p>
    <w:p w14:paraId="6CD156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验收合格后，采购人出具验收合格证明，并办理合同尾款支付手续。</w:t>
      </w:r>
    </w:p>
    <w:p w14:paraId="14A77DB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auto"/>
          <w:sz w:val="24"/>
          <w:szCs w:val="24"/>
        </w:rPr>
      </w:pPr>
      <w:bookmarkStart w:id="31" w:name="_Toc14099"/>
      <w:r>
        <w:rPr>
          <w:rFonts w:hint="eastAsia" w:ascii="宋体" w:hAnsi="宋体" w:eastAsia="宋体" w:cs="宋体"/>
          <w:b/>
          <w:bCs/>
          <w:color w:val="auto"/>
          <w:sz w:val="24"/>
          <w:szCs w:val="24"/>
          <w:lang w:val="en-US" w:eastAsia="zh-CN"/>
        </w:rPr>
        <w:t>八、</w:t>
      </w:r>
      <w:r>
        <w:rPr>
          <w:rFonts w:hint="eastAsia" w:ascii="宋体" w:hAnsi="宋体" w:eastAsia="宋体" w:cs="宋体"/>
          <w:b/>
          <w:bCs/>
          <w:color w:val="auto"/>
          <w:sz w:val="24"/>
          <w:szCs w:val="24"/>
        </w:rPr>
        <w:t>商务要求</w:t>
      </w:r>
      <w:bookmarkEnd w:id="31"/>
      <w:bookmarkStart w:id="32" w:name="_Toc006"/>
      <w:bookmarkEnd w:id="32"/>
    </w:p>
    <w:p w14:paraId="798FCC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rPr>
      </w:pPr>
      <w:bookmarkStart w:id="33" w:name="_Toc8746"/>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一）</w:t>
      </w:r>
      <w:r>
        <w:rPr>
          <w:rFonts w:hint="default" w:ascii="Segoe UI Symbol" w:hAnsi="Segoe UI Symbol" w:cs="Segoe UI Symbol"/>
          <w:color w:val="auto"/>
          <w:kern w:val="0"/>
          <w:sz w:val="24"/>
        </w:rPr>
        <w:t>★</w:t>
      </w:r>
      <w:r>
        <w:rPr>
          <w:rFonts w:hint="eastAsia" w:ascii="宋体" w:hAnsi="宋体" w:eastAsia="宋体" w:cs="宋体"/>
          <w:b/>
          <w:bCs/>
          <w:color w:val="auto"/>
          <w:sz w:val="24"/>
          <w:szCs w:val="24"/>
        </w:rPr>
        <w:t>服务期限和地点</w:t>
      </w:r>
      <w:bookmarkEnd w:id="33"/>
    </w:p>
    <w:p w14:paraId="328FCA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各采购包的服务期限详见第</w:t>
      </w:r>
      <w:r>
        <w:rPr>
          <w:rFonts w:hint="eastAsia" w:ascii="宋体" w:hAnsi="宋体" w:eastAsia="宋体" w:cs="宋体"/>
          <w:color w:val="auto"/>
          <w:sz w:val="24"/>
          <w:szCs w:val="24"/>
          <w:lang w:val="en-US" w:eastAsia="zh-CN"/>
        </w:rPr>
        <w:t>四条</w:t>
      </w:r>
      <w:r>
        <w:rPr>
          <w:rFonts w:hint="eastAsia" w:ascii="宋体" w:hAnsi="宋体" w:eastAsia="宋体" w:cs="宋体"/>
          <w:color w:val="auto"/>
          <w:sz w:val="24"/>
          <w:szCs w:val="24"/>
        </w:rPr>
        <w:t>至第</w:t>
      </w:r>
      <w:r>
        <w:rPr>
          <w:rFonts w:hint="eastAsia" w:ascii="宋体" w:hAnsi="宋体" w:eastAsia="宋体" w:cs="宋体"/>
          <w:color w:val="auto"/>
          <w:sz w:val="24"/>
          <w:szCs w:val="24"/>
          <w:lang w:val="en-US" w:eastAsia="zh-CN"/>
        </w:rPr>
        <w:t>六条</w:t>
      </w:r>
      <w:r>
        <w:rPr>
          <w:rFonts w:hint="eastAsia" w:ascii="宋体" w:hAnsi="宋体" w:eastAsia="宋体" w:cs="宋体"/>
          <w:color w:val="auto"/>
          <w:sz w:val="24"/>
          <w:szCs w:val="24"/>
        </w:rPr>
        <w:t>的人员要求部分。服务地</w:t>
      </w:r>
      <w:r>
        <w:rPr>
          <w:rFonts w:hint="eastAsia" w:cs="宋体"/>
          <w:color w:val="auto"/>
          <w:sz w:val="24"/>
          <w:szCs w:val="24"/>
          <w:lang w:eastAsia="zh-CN"/>
        </w:rPr>
        <w:t>点在</w:t>
      </w:r>
      <w:r>
        <w:rPr>
          <w:rFonts w:hint="eastAsia" w:ascii="宋体" w:hAnsi="宋体" w:eastAsia="宋体" w:cs="宋体"/>
          <w:color w:val="auto"/>
          <w:sz w:val="24"/>
          <w:szCs w:val="24"/>
          <w:lang w:val="en-US" w:eastAsia="zh-CN"/>
        </w:rPr>
        <w:t>武定</w:t>
      </w:r>
      <w:r>
        <w:rPr>
          <w:rFonts w:hint="eastAsia" w:ascii="宋体" w:hAnsi="宋体" w:eastAsia="宋体" w:cs="宋体"/>
          <w:color w:val="auto"/>
          <w:sz w:val="24"/>
          <w:szCs w:val="24"/>
        </w:rPr>
        <w:t>县行政区域范围内，包括但不限于采购人办公地点及各被审计单位所在地。</w:t>
      </w:r>
    </w:p>
    <w:p w14:paraId="0F7FCA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cs="宋体"/>
          <w:color w:val="auto"/>
          <w:sz w:val="24"/>
          <w:szCs w:val="24"/>
          <w:lang w:val="en-US" w:eastAsia="zh-CN"/>
        </w:rPr>
        <w:t>中</w:t>
      </w:r>
      <w:r>
        <w:rPr>
          <w:rFonts w:hint="eastAsia" w:ascii="宋体" w:hAnsi="宋体" w:eastAsia="宋体" w:cs="宋体"/>
          <w:color w:val="auto"/>
          <w:sz w:val="24"/>
          <w:szCs w:val="24"/>
        </w:rPr>
        <w:t>标人须按照采购人要求的时间节点进场开展工作，非因采购人原因不得擅自延期。如因特殊情况确需延期的，须提前5个工作日向采购人提出书面申请，经批准后方可延期。</w:t>
      </w:r>
    </w:p>
    <w:p w14:paraId="6AB14C1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rPr>
      </w:pPr>
      <w:bookmarkStart w:id="34" w:name="_Toc3087"/>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二）</w:t>
      </w:r>
      <w:r>
        <w:rPr>
          <w:rFonts w:hint="default" w:ascii="Segoe UI Symbol" w:hAnsi="Segoe UI Symbol" w:cs="Segoe UI Symbol"/>
          <w:color w:val="auto"/>
          <w:kern w:val="0"/>
          <w:sz w:val="24"/>
        </w:rPr>
        <w:t>★</w:t>
      </w:r>
      <w:r>
        <w:rPr>
          <w:rFonts w:hint="eastAsia" w:ascii="宋体" w:hAnsi="宋体" w:eastAsia="宋体" w:cs="宋体"/>
          <w:b/>
          <w:bCs/>
          <w:color w:val="auto"/>
          <w:sz w:val="24"/>
          <w:szCs w:val="24"/>
        </w:rPr>
        <w:t>付款方式</w:t>
      </w:r>
      <w:bookmarkEnd w:id="34"/>
    </w:p>
    <w:p w14:paraId="7984FD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本项目审计报告定稿并经采购人验收合格后，支付合同金额的</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w:t>
      </w:r>
    </w:p>
    <w:p w14:paraId="3D8D03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付款前，</w:t>
      </w: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rPr>
        <w:t>标人须向采购人提交等额增值税普通发票。</w:t>
      </w:r>
    </w:p>
    <w:p w14:paraId="051A211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rPr>
      </w:pPr>
      <w:bookmarkStart w:id="35" w:name="_Toc20563"/>
      <w:r>
        <w:rPr>
          <w:rFonts w:hint="eastAsia" w:cs="宋体"/>
          <w:b/>
          <w:bCs/>
          <w:color w:val="auto"/>
          <w:sz w:val="24"/>
          <w:szCs w:val="24"/>
          <w:lang w:eastAsia="zh-CN"/>
        </w:rPr>
        <w:t>（</w:t>
      </w:r>
      <w:r>
        <w:rPr>
          <w:rFonts w:hint="eastAsia" w:cs="宋体"/>
          <w:b/>
          <w:bCs/>
          <w:color w:val="auto"/>
          <w:sz w:val="24"/>
          <w:szCs w:val="24"/>
          <w:lang w:val="en-US" w:eastAsia="zh-CN"/>
        </w:rPr>
        <w:t>三）质量保证与后续服务</w:t>
      </w:r>
      <w:bookmarkEnd w:id="35"/>
    </w:p>
    <w:p w14:paraId="3BDD9F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cs="宋体"/>
          <w:color w:val="auto"/>
          <w:sz w:val="24"/>
          <w:szCs w:val="24"/>
          <w:lang w:val="en-US" w:eastAsia="zh-CN"/>
        </w:rPr>
        <w:t>1.中标人应</w:t>
      </w:r>
      <w:r>
        <w:rPr>
          <w:rFonts w:hint="eastAsia" w:ascii="宋体" w:hAnsi="宋体" w:eastAsia="宋体" w:cs="宋体"/>
          <w:color w:val="auto"/>
          <w:sz w:val="24"/>
          <w:szCs w:val="24"/>
        </w:rPr>
        <w:t>对其出具的审计报告承担质量保证责任。自审计报告正式交付之日起12个月内，如</w:t>
      </w:r>
      <w:r>
        <w:rPr>
          <w:rFonts w:hint="eastAsia" w:cs="宋体"/>
          <w:color w:val="auto"/>
          <w:sz w:val="24"/>
          <w:szCs w:val="24"/>
          <w:lang w:val="en-US" w:eastAsia="zh-CN"/>
        </w:rPr>
        <w:t>采购人</w:t>
      </w:r>
      <w:r>
        <w:rPr>
          <w:rFonts w:hint="eastAsia" w:ascii="宋体" w:hAnsi="宋体" w:eastAsia="宋体" w:cs="宋体"/>
          <w:color w:val="auto"/>
          <w:sz w:val="24"/>
          <w:szCs w:val="24"/>
        </w:rPr>
        <w:t>发现审计报告存在因</w:t>
      </w:r>
      <w:r>
        <w:rPr>
          <w:rFonts w:hint="eastAsia" w:cs="宋体"/>
          <w:color w:val="auto"/>
          <w:sz w:val="24"/>
          <w:szCs w:val="24"/>
          <w:lang w:val="en-US" w:eastAsia="zh-CN"/>
        </w:rPr>
        <w:t>中标人</w:t>
      </w:r>
      <w:r>
        <w:rPr>
          <w:rFonts w:hint="eastAsia" w:ascii="宋体" w:hAnsi="宋体" w:eastAsia="宋体" w:cs="宋体"/>
          <w:color w:val="auto"/>
          <w:sz w:val="24"/>
          <w:szCs w:val="24"/>
        </w:rPr>
        <w:t>原因导致的重大事实错误或遗漏，</w:t>
      </w:r>
      <w:r>
        <w:rPr>
          <w:rFonts w:hint="eastAsia" w:cs="宋体"/>
          <w:color w:val="auto"/>
          <w:sz w:val="24"/>
          <w:szCs w:val="24"/>
          <w:lang w:val="en-US" w:eastAsia="zh-CN"/>
        </w:rPr>
        <w:t>中标人</w:t>
      </w:r>
      <w:r>
        <w:rPr>
          <w:rFonts w:hint="eastAsia" w:ascii="宋体" w:hAnsi="宋体" w:eastAsia="宋体" w:cs="宋体"/>
          <w:color w:val="auto"/>
          <w:sz w:val="24"/>
          <w:szCs w:val="24"/>
        </w:rPr>
        <w:t>应当免费予以补充、更正或重新审计。</w:t>
      </w:r>
    </w:p>
    <w:p w14:paraId="180E63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cs="宋体"/>
          <w:color w:val="auto"/>
          <w:sz w:val="24"/>
          <w:szCs w:val="24"/>
          <w:lang w:val="en-US" w:eastAsia="zh-CN"/>
        </w:rPr>
        <w:t>2.</w:t>
      </w:r>
      <w:r>
        <w:rPr>
          <w:rFonts w:hint="eastAsia" w:ascii="宋体" w:hAnsi="宋体" w:eastAsia="宋体" w:cs="宋体"/>
          <w:color w:val="auto"/>
          <w:sz w:val="24"/>
          <w:szCs w:val="24"/>
        </w:rPr>
        <w:t>质量保</w:t>
      </w:r>
      <w:r>
        <w:rPr>
          <w:rFonts w:hint="eastAsia" w:cs="宋体"/>
          <w:color w:val="auto"/>
          <w:sz w:val="24"/>
          <w:szCs w:val="24"/>
          <w:lang w:val="en-US" w:eastAsia="zh-CN"/>
        </w:rPr>
        <w:t>证</w:t>
      </w:r>
      <w:r>
        <w:rPr>
          <w:rFonts w:hint="eastAsia" w:ascii="宋体" w:hAnsi="宋体" w:eastAsia="宋体" w:cs="宋体"/>
          <w:color w:val="auto"/>
          <w:sz w:val="24"/>
          <w:szCs w:val="24"/>
        </w:rPr>
        <w:t>范围包括：审计发现的事实错误、审计定性错误、审计数据错误、审计结论存在重大遗漏等。</w:t>
      </w:r>
    </w:p>
    <w:p w14:paraId="01D9BF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cs="宋体"/>
          <w:color w:val="auto"/>
          <w:sz w:val="24"/>
          <w:szCs w:val="24"/>
          <w:lang w:val="en-US" w:eastAsia="zh-CN"/>
        </w:rPr>
        <w:t>3.</w:t>
      </w:r>
      <w:r>
        <w:rPr>
          <w:rFonts w:hint="eastAsia" w:ascii="宋体" w:hAnsi="宋体" w:eastAsia="宋体" w:cs="宋体"/>
          <w:color w:val="auto"/>
          <w:sz w:val="24"/>
          <w:szCs w:val="24"/>
        </w:rPr>
        <w:t>因</w:t>
      </w:r>
      <w:r>
        <w:rPr>
          <w:rFonts w:hint="eastAsia" w:cs="宋体"/>
          <w:color w:val="auto"/>
          <w:sz w:val="24"/>
          <w:szCs w:val="24"/>
          <w:lang w:val="en-US" w:eastAsia="zh-CN"/>
        </w:rPr>
        <w:t>采购人</w:t>
      </w:r>
      <w:r>
        <w:rPr>
          <w:rFonts w:hint="eastAsia" w:ascii="宋体" w:hAnsi="宋体" w:eastAsia="宋体" w:cs="宋体"/>
          <w:color w:val="auto"/>
          <w:sz w:val="24"/>
          <w:szCs w:val="24"/>
        </w:rPr>
        <w:t>提供资料不完整、不真实，或被审计单位事后补充提供的资料导致的审计结论变化，不属于</w:t>
      </w:r>
      <w:r>
        <w:rPr>
          <w:rFonts w:hint="eastAsia" w:cs="宋体"/>
          <w:color w:val="auto"/>
          <w:sz w:val="24"/>
          <w:szCs w:val="24"/>
          <w:lang w:val="en-US" w:eastAsia="zh-CN"/>
        </w:rPr>
        <w:t>中标人</w:t>
      </w:r>
      <w:r>
        <w:rPr>
          <w:rFonts w:hint="eastAsia" w:ascii="宋体" w:hAnsi="宋体" w:eastAsia="宋体" w:cs="宋体"/>
          <w:color w:val="auto"/>
          <w:sz w:val="24"/>
          <w:szCs w:val="24"/>
        </w:rPr>
        <w:t>质量保</w:t>
      </w:r>
      <w:r>
        <w:rPr>
          <w:rFonts w:hint="eastAsia" w:cs="宋体"/>
          <w:color w:val="auto"/>
          <w:sz w:val="24"/>
          <w:szCs w:val="24"/>
          <w:lang w:val="en-US" w:eastAsia="zh-CN"/>
        </w:rPr>
        <w:t>证</w:t>
      </w:r>
      <w:r>
        <w:rPr>
          <w:rFonts w:hint="eastAsia" w:ascii="宋体" w:hAnsi="宋体" w:eastAsia="宋体" w:cs="宋体"/>
          <w:color w:val="auto"/>
          <w:sz w:val="24"/>
          <w:szCs w:val="24"/>
        </w:rPr>
        <w:t>范围。</w:t>
      </w:r>
    </w:p>
    <w:p w14:paraId="6AD0820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rPr>
      </w:pPr>
      <w:bookmarkStart w:id="36" w:name="_Toc13154"/>
      <w:r>
        <w:rPr>
          <w:rFonts w:hint="eastAsia" w:ascii="宋体" w:hAnsi="宋体" w:eastAsia="宋体" w:cs="宋体"/>
          <w:b/>
          <w:bCs/>
          <w:color w:val="auto"/>
          <w:sz w:val="24"/>
          <w:szCs w:val="24"/>
        </w:rPr>
        <w:t>（</w:t>
      </w:r>
      <w:r>
        <w:rPr>
          <w:rFonts w:hint="eastAsia" w:cs="宋体"/>
          <w:b/>
          <w:bCs/>
          <w:color w:val="auto"/>
          <w:sz w:val="24"/>
          <w:szCs w:val="24"/>
          <w:lang w:val="en-US" w:eastAsia="zh-CN"/>
        </w:rPr>
        <w:t>四</w:t>
      </w:r>
      <w:r>
        <w:rPr>
          <w:rFonts w:hint="eastAsia" w:ascii="宋体" w:hAnsi="宋体" w:eastAsia="宋体" w:cs="宋体"/>
          <w:b/>
          <w:bCs/>
          <w:color w:val="auto"/>
          <w:sz w:val="24"/>
          <w:szCs w:val="24"/>
        </w:rPr>
        <w:t>）保密要求</w:t>
      </w:r>
      <w:bookmarkEnd w:id="36"/>
    </w:p>
    <w:p w14:paraId="2DB82B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cs="宋体"/>
          <w:color w:val="auto"/>
          <w:sz w:val="24"/>
          <w:szCs w:val="24"/>
          <w:lang w:val="en-US" w:eastAsia="zh-CN"/>
        </w:rPr>
        <w:t>中</w:t>
      </w:r>
      <w:r>
        <w:rPr>
          <w:rFonts w:hint="eastAsia" w:ascii="宋体" w:hAnsi="宋体" w:eastAsia="宋体" w:cs="宋体"/>
          <w:color w:val="auto"/>
          <w:sz w:val="24"/>
          <w:szCs w:val="24"/>
        </w:rPr>
        <w:t>标人及其派出人员须严格遵守《中华人民共和国保守国家秘密法》《中华人民共和国审计法》等法律法规，对在审计过程中知悉的国家秘密、商业秘密和个人隐私负有保密义务。</w:t>
      </w:r>
    </w:p>
    <w:p w14:paraId="05657E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cs="宋体"/>
          <w:color w:val="auto"/>
          <w:sz w:val="24"/>
          <w:szCs w:val="24"/>
          <w:lang w:val="en-US" w:eastAsia="zh-CN"/>
        </w:rPr>
        <w:t>中</w:t>
      </w:r>
      <w:r>
        <w:rPr>
          <w:rFonts w:hint="eastAsia" w:ascii="宋体" w:hAnsi="宋体" w:eastAsia="宋体" w:cs="宋体"/>
          <w:color w:val="auto"/>
          <w:sz w:val="24"/>
          <w:szCs w:val="24"/>
        </w:rPr>
        <w:t>标人须与采购人签订保密协议，未经采购人书面同意，不得向任何第三方披露审计相关信息。</w:t>
      </w:r>
    </w:p>
    <w:p w14:paraId="0193D5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3.审计工作结束后，</w:t>
      </w:r>
      <w:r>
        <w:rPr>
          <w:rFonts w:hint="eastAsia" w:cs="宋体"/>
          <w:color w:val="auto"/>
          <w:sz w:val="24"/>
          <w:szCs w:val="24"/>
          <w:lang w:val="en-US" w:eastAsia="zh-CN"/>
        </w:rPr>
        <w:t>中</w:t>
      </w:r>
      <w:r>
        <w:rPr>
          <w:rFonts w:hint="eastAsia" w:ascii="宋体" w:hAnsi="宋体" w:eastAsia="宋体" w:cs="宋体"/>
          <w:color w:val="auto"/>
          <w:sz w:val="24"/>
          <w:szCs w:val="24"/>
        </w:rPr>
        <w:t>标人须将所有涉密资料归还采购人，不得留存任何形式的副本或复印件。</w:t>
      </w:r>
    </w:p>
    <w:p w14:paraId="28743B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cs="宋体"/>
          <w:color w:val="auto"/>
          <w:sz w:val="24"/>
          <w:szCs w:val="24"/>
          <w:lang w:val="en-US" w:eastAsia="zh-CN"/>
        </w:rPr>
        <w:t>中</w:t>
      </w:r>
      <w:r>
        <w:rPr>
          <w:rFonts w:hint="eastAsia" w:ascii="宋体" w:hAnsi="宋体" w:eastAsia="宋体" w:cs="宋体"/>
          <w:color w:val="auto"/>
          <w:sz w:val="24"/>
          <w:szCs w:val="24"/>
        </w:rPr>
        <w:t>标人应对其派出人员的保密行为承担连带责任，如发生泄密事件，采购人有权追究</w:t>
      </w:r>
      <w:r>
        <w:rPr>
          <w:rFonts w:hint="eastAsia" w:cs="宋体"/>
          <w:color w:val="auto"/>
          <w:sz w:val="24"/>
          <w:szCs w:val="24"/>
          <w:lang w:val="en-US" w:eastAsia="zh-CN"/>
        </w:rPr>
        <w:t>中</w:t>
      </w:r>
      <w:r>
        <w:rPr>
          <w:rFonts w:hint="eastAsia" w:ascii="宋体" w:hAnsi="宋体" w:eastAsia="宋体" w:cs="宋体"/>
          <w:color w:val="auto"/>
          <w:sz w:val="24"/>
          <w:szCs w:val="24"/>
        </w:rPr>
        <w:t>标人的法律责任和经济赔偿责任。</w:t>
      </w:r>
    </w:p>
    <w:p w14:paraId="43C62A5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rPr>
      </w:pPr>
      <w:bookmarkStart w:id="37" w:name="_Toc6547"/>
      <w:r>
        <w:rPr>
          <w:rFonts w:hint="eastAsia" w:ascii="宋体" w:hAnsi="宋体" w:eastAsia="宋体" w:cs="宋体"/>
          <w:b/>
          <w:bCs/>
          <w:color w:val="auto"/>
          <w:sz w:val="24"/>
          <w:szCs w:val="24"/>
        </w:rPr>
        <w:t>（</w:t>
      </w:r>
      <w:r>
        <w:rPr>
          <w:rFonts w:hint="eastAsia" w:cs="宋体"/>
          <w:b/>
          <w:bCs/>
          <w:color w:val="auto"/>
          <w:sz w:val="24"/>
          <w:szCs w:val="24"/>
          <w:lang w:val="en-US" w:eastAsia="zh-CN"/>
        </w:rPr>
        <w:t>五</w:t>
      </w:r>
      <w:r>
        <w:rPr>
          <w:rFonts w:hint="eastAsia" w:ascii="宋体" w:hAnsi="宋体" w:eastAsia="宋体" w:cs="宋体"/>
          <w:b/>
          <w:bCs/>
          <w:color w:val="auto"/>
          <w:sz w:val="24"/>
          <w:szCs w:val="24"/>
        </w:rPr>
        <w:t>）知识产权</w:t>
      </w:r>
      <w:bookmarkEnd w:id="37"/>
    </w:p>
    <w:p w14:paraId="204C24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审计过程中形成的所有报告、底稿、数据、分析成果等知识产权归采购人所有。</w:t>
      </w:r>
      <w:r>
        <w:rPr>
          <w:rFonts w:hint="eastAsia" w:cs="宋体"/>
          <w:color w:val="auto"/>
          <w:spacing w:val="-6"/>
          <w:sz w:val="24"/>
          <w:szCs w:val="24"/>
          <w:lang w:val="en-US" w:eastAsia="zh-CN"/>
        </w:rPr>
        <w:t>中</w:t>
      </w:r>
      <w:r>
        <w:rPr>
          <w:rFonts w:hint="eastAsia" w:ascii="宋体" w:hAnsi="宋体" w:eastAsia="宋体" w:cs="宋体"/>
          <w:color w:val="auto"/>
          <w:spacing w:val="-6"/>
          <w:sz w:val="24"/>
          <w:szCs w:val="24"/>
        </w:rPr>
        <w:t>标人不得在未经采购人书面同意的情况下，将上述成果用于其他商业目的或公开发表。</w:t>
      </w:r>
    </w:p>
    <w:p w14:paraId="4C27A12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lang w:val="en-US" w:eastAsia="zh-CN"/>
        </w:rPr>
      </w:pPr>
      <w:bookmarkStart w:id="38" w:name="_Toc7187"/>
      <w:r>
        <w:rPr>
          <w:rFonts w:hint="eastAsia" w:ascii="宋体" w:hAnsi="宋体" w:eastAsia="宋体" w:cs="宋体"/>
          <w:b/>
          <w:bCs/>
          <w:color w:val="auto"/>
          <w:sz w:val="24"/>
          <w:szCs w:val="24"/>
          <w:lang w:eastAsia="zh-CN"/>
        </w:rPr>
        <w:t>（</w:t>
      </w:r>
      <w:r>
        <w:rPr>
          <w:rFonts w:hint="eastAsia" w:cs="宋体"/>
          <w:b/>
          <w:bCs/>
          <w:color w:val="auto"/>
          <w:sz w:val="24"/>
          <w:szCs w:val="24"/>
          <w:lang w:val="en-US" w:eastAsia="zh-CN"/>
        </w:rPr>
        <w:t>六</w:t>
      </w:r>
      <w:r>
        <w:rPr>
          <w:rFonts w:hint="eastAsia" w:ascii="宋体" w:hAnsi="宋体" w:eastAsia="宋体" w:cs="宋体"/>
          <w:b/>
          <w:bCs/>
          <w:color w:val="auto"/>
          <w:sz w:val="24"/>
          <w:szCs w:val="24"/>
          <w:lang w:val="en-US" w:eastAsia="zh-CN"/>
        </w:rPr>
        <w:t>）违约责任</w:t>
      </w:r>
      <w:bookmarkEnd w:id="38"/>
    </w:p>
    <w:p w14:paraId="7AB84B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中</w:t>
      </w:r>
      <w:r>
        <w:rPr>
          <w:rFonts w:hint="eastAsia" w:ascii="宋体" w:hAnsi="宋体" w:eastAsia="宋体" w:cs="宋体"/>
          <w:color w:val="auto"/>
          <w:sz w:val="24"/>
          <w:szCs w:val="24"/>
        </w:rPr>
        <w:t>标人未按合同约定时间完成审计工作的，每延期一日，扣减合同金额的0.5%，但累计扣减不超过合同金额的10%。</w:t>
      </w:r>
    </w:p>
    <w:p w14:paraId="10D365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审计报告经两次修改仍不能达到验收标准的，采购人有权解除合同，并要求</w:t>
      </w:r>
      <w:r>
        <w:rPr>
          <w:rFonts w:hint="eastAsia" w:cs="宋体"/>
          <w:color w:val="auto"/>
          <w:sz w:val="24"/>
          <w:szCs w:val="24"/>
          <w:lang w:val="en-US" w:eastAsia="zh-CN"/>
        </w:rPr>
        <w:t>中</w:t>
      </w:r>
      <w:r>
        <w:rPr>
          <w:rFonts w:hint="eastAsia" w:ascii="宋体" w:hAnsi="宋体" w:eastAsia="宋体" w:cs="宋体"/>
          <w:color w:val="auto"/>
          <w:sz w:val="24"/>
          <w:szCs w:val="24"/>
        </w:rPr>
        <w:t>标人退还已支付款项并赔偿损失。</w:t>
      </w:r>
    </w:p>
    <w:p w14:paraId="3E9A9F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中</w:t>
      </w:r>
      <w:r>
        <w:rPr>
          <w:rFonts w:hint="eastAsia" w:ascii="宋体" w:hAnsi="宋体" w:eastAsia="宋体" w:cs="宋体"/>
          <w:color w:val="auto"/>
          <w:sz w:val="24"/>
          <w:szCs w:val="24"/>
        </w:rPr>
        <w:t>标人违反保密义务造成损失的，应承担相应的法律责任和经济赔偿责任。</w:t>
      </w:r>
    </w:p>
    <w:p w14:paraId="3C38CD4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auto"/>
          <w:sz w:val="24"/>
          <w:szCs w:val="24"/>
        </w:rPr>
      </w:pPr>
      <w:bookmarkStart w:id="39" w:name="_Toc3019"/>
      <w:r>
        <w:rPr>
          <w:rFonts w:hint="eastAsia" w:ascii="宋体" w:hAnsi="宋体" w:eastAsia="宋体" w:cs="宋体"/>
          <w:b/>
          <w:bCs/>
          <w:color w:val="auto"/>
          <w:sz w:val="24"/>
          <w:szCs w:val="24"/>
          <w:lang w:val="en-US" w:eastAsia="zh-CN"/>
        </w:rPr>
        <w:t>九</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工作纪律</w:t>
      </w:r>
      <w:r>
        <w:rPr>
          <w:rFonts w:hint="eastAsia" w:ascii="宋体" w:hAnsi="宋体" w:eastAsia="宋体" w:cs="宋体"/>
          <w:b/>
          <w:bCs/>
          <w:color w:val="auto"/>
          <w:sz w:val="24"/>
          <w:szCs w:val="24"/>
        </w:rPr>
        <w:t>要求</w:t>
      </w:r>
      <w:bookmarkEnd w:id="39"/>
      <w:bookmarkStart w:id="40" w:name="_Toc009"/>
      <w:bookmarkEnd w:id="40"/>
    </w:p>
    <w:p w14:paraId="5BA1AC9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ascii="宋体" w:hAnsi="宋体" w:eastAsia="宋体" w:cs="宋体"/>
          <w:b/>
          <w:bCs/>
          <w:color w:val="auto"/>
          <w:sz w:val="24"/>
          <w:szCs w:val="24"/>
          <w:lang w:val="en-US" w:eastAsia="zh-CN"/>
        </w:rPr>
      </w:pPr>
      <w:bookmarkStart w:id="41" w:name="_Toc21420"/>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一）一般纪律规定</w:t>
      </w:r>
      <w:bookmarkEnd w:id="41"/>
    </w:p>
    <w:p w14:paraId="716F40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cs="宋体"/>
          <w:b w:val="0"/>
          <w:bCs w:val="0"/>
          <w:color w:val="auto"/>
          <w:sz w:val="24"/>
          <w:szCs w:val="24"/>
          <w:lang w:val="en-US" w:eastAsia="zh-CN"/>
        </w:rPr>
        <w:t>中</w:t>
      </w:r>
      <w:r>
        <w:rPr>
          <w:rFonts w:hint="default" w:ascii="宋体" w:hAnsi="宋体" w:eastAsia="宋体" w:cs="宋体"/>
          <w:b w:val="0"/>
          <w:bCs w:val="0"/>
          <w:color w:val="auto"/>
          <w:sz w:val="24"/>
          <w:szCs w:val="24"/>
          <w:lang w:val="en-US" w:eastAsia="zh-CN"/>
        </w:rPr>
        <w:t>标人派出的审计人员须严格遵守国家法律法规和采购人的各项规章制度，服从采购人的工作安排和管理。</w:t>
      </w:r>
    </w:p>
    <w:p w14:paraId="375C0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default" w:ascii="宋体" w:hAnsi="宋体" w:eastAsia="宋体" w:cs="宋体"/>
          <w:b w:val="0"/>
          <w:bCs w:val="0"/>
          <w:color w:val="auto"/>
          <w:sz w:val="24"/>
          <w:szCs w:val="24"/>
          <w:lang w:val="en-US" w:eastAsia="zh-CN"/>
        </w:rPr>
        <w:t>审计人员须</w:t>
      </w:r>
      <w:r>
        <w:rPr>
          <w:rFonts w:hint="eastAsia" w:cs="宋体"/>
          <w:b w:val="0"/>
          <w:bCs w:val="0"/>
          <w:color w:val="auto"/>
          <w:sz w:val="24"/>
          <w:szCs w:val="24"/>
          <w:lang w:val="en-US" w:eastAsia="zh-CN"/>
        </w:rPr>
        <w:t>保持通信畅通</w:t>
      </w:r>
      <w:r>
        <w:rPr>
          <w:rFonts w:hint="default" w:ascii="宋体" w:hAnsi="宋体" w:eastAsia="宋体" w:cs="宋体"/>
          <w:b w:val="0"/>
          <w:bCs w:val="0"/>
          <w:color w:val="auto"/>
          <w:sz w:val="24"/>
          <w:szCs w:val="24"/>
          <w:lang w:val="en-US" w:eastAsia="zh-CN"/>
        </w:rPr>
        <w:t>，确保采购人能够随时与其取得联系。</w:t>
      </w:r>
    </w:p>
    <w:p w14:paraId="66E9E0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default" w:ascii="宋体" w:hAnsi="宋体" w:eastAsia="宋体" w:cs="宋体"/>
          <w:b w:val="0"/>
          <w:bCs w:val="0"/>
          <w:color w:val="auto"/>
          <w:sz w:val="24"/>
          <w:szCs w:val="24"/>
          <w:lang w:val="en-US" w:eastAsia="zh-CN"/>
        </w:rPr>
        <w:t>审计人员须严格遵守工作秩序，不得从事与审计工作无关的活动，不得干扰被审计单位的正常工作秩序。</w:t>
      </w:r>
    </w:p>
    <w:p w14:paraId="45318C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lang w:val="en-US" w:eastAsia="zh-CN"/>
        </w:rPr>
      </w:pPr>
      <w:bookmarkStart w:id="42" w:name="_Toc221"/>
      <w:r>
        <w:rPr>
          <w:rFonts w:hint="eastAsia" w:ascii="宋体" w:hAnsi="宋体" w:eastAsia="宋体" w:cs="宋体"/>
          <w:b/>
          <w:bCs/>
          <w:color w:val="auto"/>
          <w:sz w:val="24"/>
          <w:szCs w:val="24"/>
          <w:lang w:val="en-US" w:eastAsia="zh-CN"/>
        </w:rPr>
        <w:t>（二）考勤管理</w:t>
      </w:r>
      <w:bookmarkEnd w:id="42"/>
    </w:p>
    <w:p w14:paraId="2E7990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default" w:ascii="宋体" w:hAnsi="宋体" w:eastAsia="宋体" w:cs="宋体"/>
          <w:b w:val="0"/>
          <w:bCs w:val="0"/>
          <w:color w:val="auto"/>
          <w:sz w:val="24"/>
          <w:szCs w:val="24"/>
          <w:lang w:val="en-US" w:eastAsia="zh-CN"/>
        </w:rPr>
        <w:t>审计人员须严格遵守考勤制度，按照采购人规定的工作时间上下班，不得迟到、早退、无故缺勤。</w:t>
      </w:r>
    </w:p>
    <w:p w14:paraId="676658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default" w:ascii="宋体" w:hAnsi="宋体" w:eastAsia="宋体" w:cs="宋体"/>
          <w:b w:val="0"/>
          <w:bCs w:val="0"/>
          <w:color w:val="auto"/>
          <w:sz w:val="24"/>
          <w:szCs w:val="24"/>
          <w:lang w:val="en-US" w:eastAsia="zh-CN"/>
        </w:rPr>
        <w:t>审计人员因故需要请假的，须提前向采购人提交书面请假申请，经批准后方可离岗。</w:t>
      </w:r>
    </w:p>
    <w:p w14:paraId="39F8BC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default" w:ascii="宋体" w:hAnsi="宋体" w:eastAsia="宋体" w:cs="宋体"/>
          <w:b w:val="0"/>
          <w:bCs w:val="0"/>
          <w:color w:val="auto"/>
          <w:sz w:val="24"/>
          <w:szCs w:val="24"/>
          <w:lang w:val="en-US" w:eastAsia="zh-CN"/>
        </w:rPr>
        <w:t>审计人员临时离开工作岗位的，须向审计组负责人报告，说明去向和预计返回时间。</w:t>
      </w:r>
    </w:p>
    <w:p w14:paraId="3A9178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r>
        <w:rPr>
          <w:rFonts w:hint="default" w:ascii="宋体" w:hAnsi="宋体" w:eastAsia="宋体" w:cs="宋体"/>
          <w:b w:val="0"/>
          <w:bCs w:val="0"/>
          <w:color w:val="auto"/>
          <w:sz w:val="24"/>
          <w:szCs w:val="24"/>
          <w:lang w:val="en-US" w:eastAsia="zh-CN"/>
        </w:rPr>
        <w:t>审计期间，审计组负责人须对组内成员的出勤情况进行记录，每周向采购人报送考勤报表。</w:t>
      </w:r>
    </w:p>
    <w:p w14:paraId="23CBF0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w:t>
      </w:r>
      <w:r>
        <w:rPr>
          <w:rFonts w:hint="default" w:ascii="宋体" w:hAnsi="宋体" w:eastAsia="宋体" w:cs="宋体"/>
          <w:b w:val="0"/>
          <w:bCs w:val="0"/>
          <w:color w:val="auto"/>
          <w:sz w:val="24"/>
          <w:szCs w:val="24"/>
          <w:lang w:val="en-US" w:eastAsia="zh-CN"/>
        </w:rPr>
        <w:t>未经批准擅自离岗超过3个工作日，或在审计期间累计缺勤超过5个工作日的，采购人有权要求</w:t>
      </w:r>
      <w:r>
        <w:rPr>
          <w:rFonts w:hint="eastAsia" w:cs="宋体"/>
          <w:b w:val="0"/>
          <w:bCs w:val="0"/>
          <w:color w:val="auto"/>
          <w:sz w:val="24"/>
          <w:szCs w:val="24"/>
          <w:lang w:val="en-US" w:eastAsia="zh-CN"/>
        </w:rPr>
        <w:t>中</w:t>
      </w:r>
      <w:r>
        <w:rPr>
          <w:rFonts w:hint="default" w:ascii="宋体" w:hAnsi="宋体" w:eastAsia="宋体" w:cs="宋体"/>
          <w:b w:val="0"/>
          <w:bCs w:val="0"/>
          <w:color w:val="auto"/>
          <w:sz w:val="24"/>
          <w:szCs w:val="24"/>
          <w:lang w:val="en-US" w:eastAsia="zh-CN"/>
        </w:rPr>
        <w:t>标人更换相关人员。</w:t>
      </w:r>
    </w:p>
    <w:p w14:paraId="4B4E5DD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color w:val="auto"/>
          <w:sz w:val="24"/>
          <w:szCs w:val="24"/>
        </w:rPr>
      </w:pPr>
      <w:bookmarkStart w:id="43" w:name="_Toc19713"/>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廉政纪律</w:t>
      </w:r>
      <w:bookmarkEnd w:id="43"/>
    </w:p>
    <w:p w14:paraId="7757DF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1.审计</w:t>
      </w:r>
      <w:r>
        <w:rPr>
          <w:rFonts w:hint="eastAsia" w:ascii="宋体" w:hAnsi="宋体" w:eastAsia="宋体" w:cs="宋体"/>
          <w:color w:val="auto"/>
          <w:sz w:val="24"/>
          <w:szCs w:val="24"/>
        </w:rPr>
        <w:t>人</w:t>
      </w:r>
      <w:r>
        <w:rPr>
          <w:rFonts w:hint="eastAsia" w:cs="宋体"/>
          <w:color w:val="auto"/>
          <w:sz w:val="24"/>
          <w:szCs w:val="24"/>
          <w:lang w:eastAsia="zh-CN"/>
        </w:rPr>
        <w:t>员必</w:t>
      </w:r>
      <w:r>
        <w:rPr>
          <w:rFonts w:hint="eastAsia" w:ascii="宋体" w:hAnsi="宋体" w:eastAsia="宋体" w:cs="宋体"/>
          <w:color w:val="auto"/>
          <w:sz w:val="24"/>
          <w:szCs w:val="24"/>
        </w:rPr>
        <w:t>须严格遵守廉政纪律，自觉抵制各种不正之风和腐败行为。</w:t>
      </w:r>
    </w:p>
    <w:p w14:paraId="7B007D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审计人员不得接受被审计单位及其相关人员的宴请、礼品、礼金、有价证券和其他任何形式的利益输送。</w:t>
      </w:r>
    </w:p>
    <w:p w14:paraId="666B2B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审计人员不得在被审计单位报销任何应由个人承担的费用。</w:t>
      </w:r>
    </w:p>
    <w:p w14:paraId="24BF98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审计人员不得利用审计职权为自己或他人谋取私利，不得干预被审计单位的正常经济活动。</w:t>
      </w:r>
    </w:p>
    <w:p w14:paraId="7FF5BB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审计人员须严格执行审计回避制度，与审计事项或审计对象有利害关系的，应当主动申请回避。</w:t>
      </w:r>
    </w:p>
    <w:p w14:paraId="1C2BF3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cs="宋体"/>
          <w:color w:val="auto"/>
          <w:sz w:val="24"/>
          <w:szCs w:val="24"/>
          <w:lang w:val="en-US" w:eastAsia="zh-CN"/>
        </w:rPr>
        <w:t>中</w:t>
      </w:r>
      <w:r>
        <w:rPr>
          <w:rFonts w:hint="eastAsia" w:ascii="宋体" w:hAnsi="宋体" w:eastAsia="宋体" w:cs="宋体"/>
          <w:color w:val="auto"/>
          <w:sz w:val="24"/>
          <w:szCs w:val="24"/>
        </w:rPr>
        <w:t>标人须在进场前与所有派出人员签订廉政承诺书，并报采购人备案。</w:t>
      </w:r>
    </w:p>
    <w:p w14:paraId="01E113E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lang w:val="en-US" w:eastAsia="zh-CN"/>
        </w:rPr>
      </w:pPr>
      <w:bookmarkStart w:id="44" w:name="_Toc1756"/>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四）保密纪律</w:t>
      </w:r>
      <w:bookmarkEnd w:id="44"/>
    </w:p>
    <w:p w14:paraId="70E1A7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审计人员须严格遵守保密纪律，对在审计工作中知悉的国家秘密、工作秘密、商业秘密和个人隐私予以保密。</w:t>
      </w:r>
    </w:p>
    <w:p w14:paraId="7C74E8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审计人员不得通过任何渠道（包括但不限于电话、微信、电子邮件、社交媒体等）向无关人员透露审计工作进展、审计发现和审计结论。</w:t>
      </w:r>
    </w:p>
    <w:p w14:paraId="2305EB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default" w:ascii="宋体" w:hAnsi="宋体" w:eastAsia="宋体" w:cs="宋体"/>
          <w:color w:val="auto"/>
          <w:sz w:val="24"/>
          <w:szCs w:val="24"/>
          <w:lang w:val="en-US" w:eastAsia="zh-CN"/>
        </w:rPr>
        <w:t>审计人员不得私自复制、拍照、留存审计资料，不得将审计资料带离指定的工作场所。</w:t>
      </w:r>
    </w:p>
    <w:p w14:paraId="078650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default" w:ascii="宋体" w:hAnsi="宋体" w:eastAsia="宋体" w:cs="宋体"/>
          <w:color w:val="auto"/>
          <w:sz w:val="24"/>
          <w:szCs w:val="24"/>
          <w:lang w:val="en-US" w:eastAsia="zh-CN"/>
        </w:rPr>
        <w:t>审计数据须存储在采购人指定的设备或平台中，严禁使用个人存储设备或私人云盘存储涉密数据。</w:t>
      </w:r>
    </w:p>
    <w:p w14:paraId="1DD8CE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default" w:ascii="宋体" w:hAnsi="宋体" w:eastAsia="宋体" w:cs="宋体"/>
          <w:color w:val="auto"/>
          <w:sz w:val="24"/>
          <w:szCs w:val="24"/>
          <w:lang w:val="en-US" w:eastAsia="zh-CN"/>
        </w:rPr>
        <w:t>审计报告在正式发布前属于内部工作信息，任何人不得以任何形式对外泄露。</w:t>
      </w:r>
    </w:p>
    <w:p w14:paraId="40742ED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ascii="宋体" w:hAnsi="宋体" w:eastAsia="宋体" w:cs="宋体"/>
          <w:b/>
          <w:bCs/>
          <w:color w:val="auto"/>
          <w:sz w:val="24"/>
          <w:szCs w:val="24"/>
          <w:lang w:val="en-US" w:eastAsia="zh-CN"/>
        </w:rPr>
      </w:pPr>
      <w:bookmarkStart w:id="45" w:name="_Toc29216"/>
      <w:r>
        <w:rPr>
          <w:rFonts w:hint="eastAsia" w:ascii="宋体" w:hAnsi="宋体" w:eastAsia="宋体" w:cs="宋体"/>
          <w:b/>
          <w:bCs/>
          <w:color w:val="auto"/>
          <w:sz w:val="24"/>
          <w:szCs w:val="24"/>
          <w:lang w:val="en-US" w:eastAsia="zh-CN"/>
        </w:rPr>
        <w:t>（五）</w:t>
      </w:r>
      <w:r>
        <w:rPr>
          <w:rFonts w:hint="default" w:ascii="宋体" w:hAnsi="宋体" w:eastAsia="宋体" w:cs="宋体"/>
          <w:b/>
          <w:bCs/>
          <w:color w:val="auto"/>
          <w:sz w:val="24"/>
          <w:szCs w:val="24"/>
          <w:lang w:val="en-US" w:eastAsia="zh-CN"/>
        </w:rPr>
        <w:t>报告纪律</w:t>
      </w:r>
      <w:bookmarkEnd w:id="45"/>
    </w:p>
    <w:p w14:paraId="299CC8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审计人员须严格按照规定的程序和渠道报告工作进展和重大事项，不得越级或越权报告。</w:t>
      </w:r>
    </w:p>
    <w:p w14:paraId="3909FC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审计过程中发现的重大违法违规问题、重大风险隐患和需要紧急处理的事项，审计组须在24小时内向采购人报告。</w:t>
      </w:r>
    </w:p>
    <w:p w14:paraId="166225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default" w:ascii="宋体" w:hAnsi="宋体" w:eastAsia="宋体" w:cs="宋体"/>
          <w:color w:val="auto"/>
          <w:sz w:val="24"/>
          <w:szCs w:val="24"/>
          <w:lang w:val="en-US" w:eastAsia="zh-CN"/>
        </w:rPr>
        <w:t>审计人员不得以个人名义对外发布审计信息或就审计事项接受媒体采访。</w:t>
      </w:r>
    </w:p>
    <w:p w14:paraId="4F5097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default" w:ascii="宋体" w:hAnsi="宋体" w:eastAsia="宋体" w:cs="宋体"/>
          <w:color w:val="auto"/>
          <w:sz w:val="24"/>
          <w:szCs w:val="24"/>
          <w:lang w:val="en-US" w:eastAsia="zh-CN"/>
        </w:rPr>
        <w:t>审计组内部须建立定期报告制度，每周向采购人提交工作周报，内容包括工作进展、发现问题、下周计划等。</w:t>
      </w:r>
    </w:p>
    <w:p w14:paraId="520672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default" w:ascii="宋体" w:hAnsi="宋体" w:eastAsia="宋体" w:cs="宋体"/>
          <w:color w:val="auto"/>
          <w:sz w:val="24"/>
          <w:szCs w:val="24"/>
          <w:lang w:val="en-US" w:eastAsia="zh-CN"/>
        </w:rPr>
        <w:t>审计报告提交前，须经采购人审核同意，未经审核不得擅自将报告送交被审计单位或其他单位和个人。</w:t>
      </w:r>
    </w:p>
    <w:p w14:paraId="0E77887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auto"/>
          <w:sz w:val="24"/>
          <w:szCs w:val="24"/>
          <w:lang w:val="en-US" w:eastAsia="zh-CN"/>
        </w:rPr>
      </w:pPr>
      <w:bookmarkStart w:id="46" w:name="_Toc19143"/>
      <w:r>
        <w:rPr>
          <w:rFonts w:hint="eastAsia" w:ascii="宋体" w:hAnsi="宋体" w:eastAsia="宋体" w:cs="宋体"/>
          <w:b/>
          <w:bCs/>
          <w:color w:val="auto"/>
          <w:sz w:val="24"/>
          <w:szCs w:val="24"/>
          <w:lang w:val="en-US" w:eastAsia="zh-CN"/>
        </w:rPr>
        <w:t>十、禁止行为</w:t>
      </w:r>
      <w:bookmarkEnd w:id="46"/>
    </w:p>
    <w:p w14:paraId="792AEB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lang w:val="en-US" w:eastAsia="zh-CN"/>
        </w:rPr>
      </w:pPr>
      <w:bookmarkStart w:id="47" w:name="_Toc684"/>
      <w:r>
        <w:rPr>
          <w:rFonts w:hint="eastAsia" w:ascii="宋体" w:hAnsi="宋体" w:eastAsia="宋体" w:cs="宋体"/>
          <w:b/>
          <w:bCs/>
          <w:color w:val="auto"/>
          <w:sz w:val="24"/>
          <w:szCs w:val="24"/>
          <w:lang w:val="en-US" w:eastAsia="zh-CN"/>
        </w:rPr>
        <w:t>（一）利益冲突类禁止行为</w:t>
      </w:r>
      <w:bookmarkEnd w:id="47"/>
    </w:p>
    <w:p w14:paraId="660C79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投标人及其派出人员在审计期间严禁从事以下利益冲突类行为：</w:t>
      </w:r>
    </w:p>
    <w:p w14:paraId="73AAAD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1.严禁由</w:t>
      </w:r>
      <w:r>
        <w:rPr>
          <w:rFonts w:hint="eastAsia" w:cs="宋体"/>
          <w:color w:val="auto"/>
          <w:sz w:val="24"/>
          <w:szCs w:val="24"/>
          <w:lang w:val="en-US" w:eastAsia="zh-CN"/>
        </w:rPr>
        <w:t>中</w:t>
      </w:r>
      <w:r>
        <w:rPr>
          <w:rFonts w:hint="eastAsia" w:ascii="宋体" w:hAnsi="宋体" w:eastAsia="宋体" w:cs="宋体"/>
          <w:color w:val="auto"/>
          <w:sz w:val="24"/>
          <w:szCs w:val="24"/>
          <w:lang w:val="en-US" w:eastAsia="zh-CN"/>
        </w:rPr>
        <w:t>标人及其派出人员承担同一项目或同一被审计单位的审计服务与会计、咨询、评估等其他可能产生利益冲突的服务。</w:t>
      </w:r>
    </w:p>
    <w:p w14:paraId="56902C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2.严禁</w:t>
      </w:r>
      <w:r>
        <w:rPr>
          <w:rFonts w:hint="eastAsia" w:cs="宋体"/>
          <w:color w:val="auto"/>
          <w:sz w:val="24"/>
          <w:szCs w:val="24"/>
          <w:lang w:val="en-US" w:eastAsia="zh-CN"/>
        </w:rPr>
        <w:t>中</w:t>
      </w:r>
      <w:r>
        <w:rPr>
          <w:rFonts w:hint="eastAsia" w:ascii="宋体" w:hAnsi="宋体" w:eastAsia="宋体" w:cs="宋体"/>
          <w:color w:val="auto"/>
          <w:sz w:val="24"/>
          <w:szCs w:val="24"/>
          <w:lang w:val="en-US" w:eastAsia="zh-CN"/>
        </w:rPr>
        <w:t>标人及其派出人员与被审计单位存在投资关系、关联关系或其他可能影响审计独立性的经济利益关系。</w:t>
      </w:r>
    </w:p>
    <w:p w14:paraId="04D2F4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3.严禁审计人员在与本次审计项目相关的经济实体中任职或兼职，或为其提供有偿服务。</w:t>
      </w:r>
    </w:p>
    <w:p w14:paraId="765B90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4.严禁审计人员推荐或介绍被审计单位到其本人或亲属投资入股、担任高级管理职务的机构办理业务。</w:t>
      </w:r>
    </w:p>
    <w:p w14:paraId="287DCF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5.严禁审计人员的近亲属在与本次审计项目相关的单位中担任可能影响审计独立性的职务。</w:t>
      </w:r>
    </w:p>
    <w:p w14:paraId="0F8912D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lang w:val="en-US" w:eastAsia="zh-CN"/>
        </w:rPr>
      </w:pPr>
      <w:bookmarkStart w:id="48" w:name="_Toc8676"/>
      <w:r>
        <w:rPr>
          <w:rFonts w:hint="eastAsia" w:ascii="宋体" w:hAnsi="宋体" w:eastAsia="宋体" w:cs="宋体"/>
          <w:b/>
          <w:bCs/>
          <w:color w:val="auto"/>
          <w:sz w:val="24"/>
          <w:szCs w:val="24"/>
          <w:lang w:val="en-US" w:eastAsia="zh-CN"/>
        </w:rPr>
        <w:t>（二）信息保密类禁止行为</w:t>
      </w:r>
      <w:bookmarkEnd w:id="48"/>
    </w:p>
    <w:p w14:paraId="43F174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cs="宋体"/>
          <w:color w:val="auto"/>
          <w:sz w:val="24"/>
          <w:szCs w:val="24"/>
          <w:lang w:val="en-US" w:eastAsia="zh-CN"/>
        </w:rPr>
        <w:t>中</w:t>
      </w:r>
      <w:r>
        <w:rPr>
          <w:rFonts w:hint="eastAsia" w:ascii="宋体" w:hAnsi="宋体" w:eastAsia="宋体" w:cs="宋体"/>
          <w:color w:val="auto"/>
          <w:sz w:val="24"/>
          <w:szCs w:val="24"/>
          <w:lang w:val="en-US" w:eastAsia="zh-CN"/>
        </w:rPr>
        <w:t>标人及其派出人员在审计期间严禁从事以下信息保密类行为：</w:t>
      </w:r>
    </w:p>
    <w:p w14:paraId="4FA749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1.严禁以任何形式将审计工作中获取的国家秘密、工作秘密、商业秘密和个人隐私泄露给无关第三方。</w:t>
      </w:r>
    </w:p>
    <w:p w14:paraId="2BB93E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2.严禁通过口头、书面、电子或其他任何方式向被审计单位通风报信、透露审计动向和审计发现。</w:t>
      </w:r>
    </w:p>
    <w:p w14:paraId="3D9108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3.严禁私自复制、打印、拍照、录音、录像审计资料和被审计单位的内部文件、数据。</w:t>
      </w:r>
    </w:p>
    <w:p w14:paraId="191181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4.严禁将审计资料和数据存储在非采购人指定的个人设备、移动存储介质或网络平台中。</w:t>
      </w:r>
    </w:p>
    <w:p w14:paraId="1759AA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5.严禁在公共场所或非保密环境中讨论、处理涉密的审计信息和数据。</w:t>
      </w:r>
    </w:p>
    <w:p w14:paraId="1F0B04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6.严禁利用审计获取的信息为自己或他人谋取商业利益或其他不正当利益。</w:t>
      </w:r>
    </w:p>
    <w:p w14:paraId="4346F41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lang w:val="en-US" w:eastAsia="zh-CN"/>
        </w:rPr>
      </w:pPr>
      <w:bookmarkStart w:id="49" w:name="_Toc2614"/>
      <w:r>
        <w:rPr>
          <w:rFonts w:hint="eastAsia" w:ascii="宋体" w:hAnsi="宋体" w:eastAsia="宋体" w:cs="宋体"/>
          <w:b/>
          <w:bCs/>
          <w:color w:val="auto"/>
          <w:sz w:val="24"/>
          <w:szCs w:val="24"/>
          <w:lang w:val="en-US" w:eastAsia="zh-CN"/>
        </w:rPr>
        <w:t>（三）廉洁自律类禁止行为</w:t>
      </w:r>
      <w:bookmarkEnd w:id="49"/>
    </w:p>
    <w:p w14:paraId="5A3F86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cs="宋体"/>
          <w:color w:val="auto"/>
          <w:sz w:val="24"/>
          <w:szCs w:val="24"/>
          <w:lang w:val="en-US" w:eastAsia="zh-CN"/>
        </w:rPr>
        <w:t>中</w:t>
      </w:r>
      <w:r>
        <w:rPr>
          <w:rFonts w:hint="eastAsia" w:ascii="宋体" w:hAnsi="宋体" w:eastAsia="宋体" w:cs="宋体"/>
          <w:color w:val="auto"/>
          <w:sz w:val="24"/>
          <w:szCs w:val="24"/>
          <w:lang w:val="en-US" w:eastAsia="zh-CN"/>
        </w:rPr>
        <w:t>标人及其派出人员在审计期间严禁从事以下廉洁自律类行为：</w:t>
      </w:r>
    </w:p>
    <w:p w14:paraId="4C9EB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1.严禁接受被审计单位及其相关人员的任何形式的宴请、娱乐安排和超标准接待。</w:t>
      </w:r>
    </w:p>
    <w:p w14:paraId="3472F0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2.严禁收受或索取被审计单位及其相关人员的礼品、礼金、有价证券、支付凭证和其他财物。</w:t>
      </w:r>
    </w:p>
    <w:p w14:paraId="498222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3.严禁接受被审计单位及其相关人员提供的旅游、健身、娱乐等消费活动安排。</w:t>
      </w:r>
    </w:p>
    <w:p w14:paraId="1B7F71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4.严禁在被审计单位报销应由个人承担的交通、通讯、餐饮、住宿等费用。</w:t>
      </w:r>
    </w:p>
    <w:p w14:paraId="479C0A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5.严禁向被审计单位及其相关人员推销商品、介绍业务或提供担保。</w:t>
      </w:r>
    </w:p>
    <w:p w14:paraId="54EDFD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6.严禁以任何理由向被审计单位提出个人借款、借物要求。</w:t>
      </w:r>
    </w:p>
    <w:p w14:paraId="4311D8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7.严禁利用审计职权干预被审计单位的正常经济活动，或为其谋取不正当利益。</w:t>
      </w:r>
    </w:p>
    <w:p w14:paraId="55B4729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（四）操作规范类禁止行为</w:t>
      </w:r>
    </w:p>
    <w:p w14:paraId="03385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cs="宋体"/>
          <w:color w:val="auto"/>
          <w:sz w:val="24"/>
          <w:szCs w:val="24"/>
          <w:lang w:val="en-US" w:eastAsia="zh-CN"/>
        </w:rPr>
        <w:t>中</w:t>
      </w:r>
      <w:r>
        <w:rPr>
          <w:rFonts w:hint="eastAsia" w:ascii="宋体" w:hAnsi="宋体" w:eastAsia="宋体" w:cs="宋体"/>
          <w:color w:val="auto"/>
          <w:sz w:val="24"/>
          <w:szCs w:val="24"/>
          <w:lang w:val="en-US" w:eastAsia="zh-CN"/>
        </w:rPr>
        <w:t>标人及其派出人员在审计期间严禁从事以下操作规范类行为：</w:t>
      </w:r>
    </w:p>
    <w:p w14:paraId="24EB70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1.严禁无审计方案或未经批准擅自开展审计工作。</w:t>
      </w:r>
    </w:p>
    <w:p w14:paraId="3C44C0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2.严禁超越审计权限，擅自查询、冻结、划拨被审计单位的资金和资产。</w:t>
      </w:r>
    </w:p>
    <w:p w14:paraId="644F08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3.严禁在审计工作中弄虚作假、伪造、篡改审计证据和审计底稿。</w:t>
      </w:r>
    </w:p>
    <w:p w14:paraId="353579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4.严禁对审计发现的问题隐瞒不报、擅自减轻或加重问题的定性处理。</w:t>
      </w:r>
    </w:p>
    <w:p w14:paraId="6D55B0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6"/>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pacing w:val="-6"/>
          <w:sz w:val="24"/>
          <w:szCs w:val="24"/>
          <w:lang w:val="en-US" w:eastAsia="zh-CN"/>
        </w:rPr>
        <w:t>严禁擅自以审计组或审计人员个人名义对外发布审计信息或就审计事项发表意见。</w:t>
      </w:r>
    </w:p>
    <w:p w14:paraId="7348BE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6.严禁在审计结论未正式出具前，擅自将审计发现的问题告知被审计单位以外的单位或个人。</w:t>
      </w:r>
    </w:p>
    <w:p w14:paraId="658E77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7.严禁未经采购人批准擅自更换项目负责人或主要审计人员。</w:t>
      </w:r>
    </w:p>
    <w:p w14:paraId="341472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8.严禁将审计工作整体或主体部分转包、分包给其他机构或个人。</w:t>
      </w:r>
    </w:p>
    <w:p w14:paraId="057D1E9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lang w:val="en-US" w:eastAsia="zh-CN"/>
        </w:rPr>
      </w:pPr>
      <w:bookmarkStart w:id="50" w:name="_Toc28478"/>
      <w:r>
        <w:rPr>
          <w:rFonts w:hint="eastAsia" w:ascii="宋体" w:hAnsi="宋体" w:eastAsia="宋体" w:cs="宋体"/>
          <w:b/>
          <w:bCs/>
          <w:color w:val="auto"/>
          <w:sz w:val="24"/>
          <w:szCs w:val="24"/>
          <w:lang w:val="en-US" w:eastAsia="zh-CN"/>
        </w:rPr>
        <w:t>（五）违规处理</w:t>
      </w:r>
      <w:bookmarkEnd w:id="50"/>
    </w:p>
    <w:p w14:paraId="560E48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中</w:t>
      </w:r>
      <w:r>
        <w:rPr>
          <w:rFonts w:hint="eastAsia" w:ascii="宋体" w:hAnsi="宋体" w:eastAsia="宋体" w:cs="宋体"/>
          <w:color w:val="auto"/>
          <w:sz w:val="24"/>
          <w:szCs w:val="24"/>
          <w:lang w:val="en-US" w:eastAsia="zh-CN"/>
        </w:rPr>
        <w:t>标人或其派出人员违反本章禁止行为规定的，一经查实，采购人有权采取以下措施：</w:t>
      </w:r>
    </w:p>
    <w:p w14:paraId="2E2C91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 责令立即停止违规行为，限期整改；</w:t>
      </w:r>
    </w:p>
    <w:p w14:paraId="25E930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 责令更换相关违规人员；</w:t>
      </w:r>
    </w:p>
    <w:p w14:paraId="1AA8F6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 扣减合同款项，扣减金额视情节轻重为合同金额的5%-20%；</w:t>
      </w:r>
    </w:p>
    <w:p w14:paraId="63B6FB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 解除合同，取消中标资格；</w:t>
      </w:r>
    </w:p>
    <w:p w14:paraId="6B0652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 将违规行为记入不良信用记录</w:t>
      </w:r>
      <w:r>
        <w:rPr>
          <w:rFonts w:hint="eastAsia" w:cs="宋体"/>
          <w:color w:val="auto"/>
          <w:sz w:val="24"/>
          <w:szCs w:val="24"/>
          <w:lang w:val="en-US" w:eastAsia="zh-CN"/>
        </w:rPr>
        <w:t>，并</w:t>
      </w:r>
      <w:r>
        <w:rPr>
          <w:rFonts w:hint="eastAsia" w:ascii="宋体" w:hAnsi="宋体" w:eastAsia="宋体" w:cs="宋体"/>
          <w:color w:val="auto"/>
          <w:sz w:val="24"/>
          <w:szCs w:val="24"/>
          <w:lang w:val="en-US" w:eastAsia="zh-CN"/>
        </w:rPr>
        <w:t>向相关行业主管部门通报；</w:t>
      </w:r>
    </w:p>
    <w:p w14:paraId="450E57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⑥ 涉嫌违法犯罪的，移送司法机关依法处理。</w:t>
      </w:r>
    </w:p>
    <w:p w14:paraId="76033A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2.因</w:t>
      </w:r>
      <w:r>
        <w:rPr>
          <w:rFonts w:hint="eastAsia" w:cs="宋体"/>
          <w:color w:val="auto"/>
          <w:sz w:val="24"/>
          <w:szCs w:val="24"/>
          <w:lang w:val="en-US" w:eastAsia="zh-CN"/>
        </w:rPr>
        <w:t>中</w:t>
      </w:r>
      <w:r>
        <w:rPr>
          <w:rFonts w:hint="eastAsia" w:ascii="宋体" w:hAnsi="宋体" w:eastAsia="宋体" w:cs="宋体"/>
          <w:color w:val="auto"/>
          <w:sz w:val="24"/>
          <w:szCs w:val="24"/>
          <w:lang w:val="en-US" w:eastAsia="zh-CN"/>
        </w:rPr>
        <w:t>标人或其派出人员的违规行为给采购人、被审计单位或其他第三方造成损失的，</w:t>
      </w:r>
      <w:r>
        <w:rPr>
          <w:rFonts w:hint="eastAsia" w:cs="宋体"/>
          <w:color w:val="auto"/>
          <w:sz w:val="24"/>
          <w:szCs w:val="24"/>
          <w:lang w:val="en-US" w:eastAsia="zh-CN"/>
        </w:rPr>
        <w:t>中</w:t>
      </w:r>
      <w:r>
        <w:rPr>
          <w:rFonts w:hint="eastAsia" w:ascii="宋体" w:hAnsi="宋体" w:eastAsia="宋体" w:cs="宋体"/>
          <w:color w:val="auto"/>
          <w:sz w:val="24"/>
          <w:szCs w:val="24"/>
          <w:lang w:val="en-US" w:eastAsia="zh-CN"/>
        </w:rPr>
        <w:t>标人应承担全部赔偿责任。</w:t>
      </w:r>
    </w:p>
    <w:p w14:paraId="40167B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3.采购人有权将</w:t>
      </w:r>
      <w:r>
        <w:rPr>
          <w:rFonts w:hint="eastAsia" w:cs="宋体"/>
          <w:color w:val="auto"/>
          <w:sz w:val="24"/>
          <w:szCs w:val="24"/>
          <w:lang w:val="en-US" w:eastAsia="zh-CN"/>
        </w:rPr>
        <w:t>中</w:t>
      </w:r>
      <w:r>
        <w:rPr>
          <w:rFonts w:hint="eastAsia" w:ascii="宋体" w:hAnsi="宋体" w:eastAsia="宋体" w:cs="宋体"/>
          <w:color w:val="auto"/>
          <w:sz w:val="24"/>
          <w:szCs w:val="24"/>
          <w:lang w:val="en-US" w:eastAsia="zh-CN"/>
        </w:rPr>
        <w:t>标人的违规情况通报财政部门和相关行业协会，由有关部门依法依规进行处理。</w:t>
      </w:r>
    </w:p>
    <w:p w14:paraId="28FCAD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cs="宋体"/>
          <w:color w:val="auto"/>
          <w:sz w:val="24"/>
          <w:szCs w:val="24"/>
          <w:lang w:val="en-US" w:eastAsia="zh-CN"/>
        </w:rPr>
        <w:t>中</w:t>
      </w:r>
      <w:r>
        <w:rPr>
          <w:rFonts w:hint="eastAsia" w:ascii="宋体" w:hAnsi="宋体" w:eastAsia="宋体" w:cs="宋体"/>
          <w:color w:val="auto"/>
          <w:sz w:val="24"/>
          <w:szCs w:val="24"/>
          <w:lang w:val="en-US" w:eastAsia="zh-CN"/>
        </w:rPr>
        <w:t>标人应在项目结束后将工作纪律和禁止行为的遵守情况纳入项目总结报告，接受采购人的监督检查。</w:t>
      </w:r>
    </w:p>
    <w:p w14:paraId="55AD8EB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auto"/>
          <w:sz w:val="24"/>
          <w:szCs w:val="24"/>
          <w:lang w:val="en-US" w:eastAsia="zh-CN"/>
        </w:rPr>
      </w:pPr>
      <w:bookmarkStart w:id="51" w:name="_Toc22106"/>
      <w:r>
        <w:rPr>
          <w:rFonts w:hint="eastAsia" w:ascii="宋体" w:hAnsi="宋体" w:eastAsia="宋体" w:cs="宋体"/>
          <w:b/>
          <w:bCs/>
          <w:color w:val="auto"/>
          <w:sz w:val="24"/>
          <w:szCs w:val="24"/>
          <w:lang w:val="en-US" w:eastAsia="zh-CN"/>
        </w:rPr>
        <w:t>十一、落实政府采购政策要求</w:t>
      </w:r>
      <w:bookmarkEnd w:id="51"/>
    </w:p>
    <w:p w14:paraId="46FCDD1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lang w:val="en-US" w:eastAsia="zh-CN"/>
        </w:rPr>
      </w:pPr>
      <w:bookmarkStart w:id="52" w:name="_Toc19928"/>
      <w:r>
        <w:rPr>
          <w:rFonts w:hint="eastAsia" w:ascii="宋体" w:hAnsi="宋体" w:eastAsia="宋体" w:cs="宋体"/>
          <w:b/>
          <w:bCs/>
          <w:color w:val="auto"/>
          <w:sz w:val="24"/>
          <w:szCs w:val="24"/>
          <w:lang w:val="en-US" w:eastAsia="zh-CN"/>
        </w:rPr>
        <w:t>（一）促进中小企业发展</w:t>
      </w:r>
      <w:bookmarkEnd w:id="52"/>
    </w:p>
    <w:p w14:paraId="2A3CA6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项目专门面向中小企业采购。根据《政府采购促进中小企业发展管理办法》（财库〔2020〕46号），投标人须为符合本办法规定的中小企业，并提供《中小企业声明函》。残疾人福利性单位、监狱企业视同小型、微型企业，享受预留份额、评审价格扣除等促进中小企业发展的政府采购政策。</w:t>
      </w:r>
    </w:p>
    <w:p w14:paraId="39C6868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lang w:val="en-US" w:eastAsia="zh-CN"/>
        </w:rPr>
      </w:pPr>
      <w:bookmarkStart w:id="53" w:name="_Toc21149"/>
      <w:r>
        <w:rPr>
          <w:rFonts w:hint="eastAsia" w:ascii="宋体" w:hAnsi="宋体" w:eastAsia="宋体" w:cs="宋体"/>
          <w:b/>
          <w:bCs/>
          <w:color w:val="auto"/>
          <w:sz w:val="24"/>
          <w:szCs w:val="24"/>
          <w:lang w:val="en-US" w:eastAsia="zh-CN"/>
        </w:rPr>
        <w:t>（二）绿色发展要求</w:t>
      </w:r>
      <w:bookmarkEnd w:id="53"/>
    </w:p>
    <w:p w14:paraId="517EE3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投标人应积极践行绿色低碳理念，在审计过程中优先采用电子化办公方式，减少纸质材料使用，降低能源消耗。</w:t>
      </w:r>
    </w:p>
    <w:p w14:paraId="1EDAA9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lang w:val="en-US" w:eastAsia="zh-CN"/>
        </w:rPr>
      </w:pPr>
      <w:bookmarkStart w:id="54" w:name="_Toc28034"/>
      <w:r>
        <w:rPr>
          <w:rFonts w:hint="eastAsia" w:ascii="宋体" w:hAnsi="宋体" w:eastAsia="宋体" w:cs="宋体"/>
          <w:b/>
          <w:bCs/>
          <w:color w:val="auto"/>
          <w:sz w:val="24"/>
          <w:szCs w:val="24"/>
          <w:lang w:val="en-US" w:eastAsia="zh-CN"/>
        </w:rPr>
        <w:t>（三）诚信要求</w:t>
      </w:r>
      <w:bookmarkEnd w:id="54"/>
    </w:p>
    <w:p w14:paraId="22BF5A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lang w:val="en-US" w:eastAsia="zh-CN"/>
        </w:rPr>
      </w:pPr>
      <w:r>
        <w:rPr>
          <w:rFonts w:hint="eastAsia" w:ascii="宋体" w:hAnsi="宋体" w:eastAsia="宋体" w:cs="宋体"/>
          <w:b w:val="0"/>
          <w:bCs w:val="0"/>
          <w:color w:val="auto"/>
          <w:sz w:val="24"/>
          <w:szCs w:val="24"/>
          <w:lang w:val="en-US" w:eastAsia="zh-CN"/>
        </w:rPr>
        <w:t>投标人须具有良好的商业信誉和健全的财务会计制度，在参加政府采购活动前三年内没有重大违法记录，未被列入失信被执行人、重大税收违法案件当事人名单、政府采购严重违法失信行为记录名单。</w:t>
      </w:r>
    </w:p>
    <w:p w14:paraId="426B4789">
      <w:bookmarkStart w:id="55" w:name="_GoBack"/>
      <w:bookmarkEnd w:id="5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F586E2"/>
    <w:multiLevelType w:val="singleLevel"/>
    <w:tmpl w:val="67F586E2"/>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F2612"/>
    <w:rsid w:val="04DA0FBD"/>
    <w:rsid w:val="28DF2612"/>
    <w:rsid w:val="2DB5742B"/>
    <w:rsid w:val="30CE56C2"/>
    <w:rsid w:val="3B4A27E8"/>
    <w:rsid w:val="3B734F09"/>
    <w:rsid w:val="4D0805AE"/>
    <w:rsid w:val="6830177A"/>
    <w:rsid w:val="7ADF5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9"/>
    <w:pPr>
      <w:keepNext/>
      <w:keepLines/>
      <w:tabs>
        <w:tab w:val="left" w:pos="432"/>
      </w:tabs>
      <w:spacing w:before="340" w:after="330" w:line="578" w:lineRule="auto"/>
      <w:ind w:left="432" w:hanging="432"/>
      <w:outlineLvl w:val="0"/>
    </w:pPr>
    <w:rPr>
      <w:rFonts w:ascii="Times New Roman" w:hAnsi="Times New Roman"/>
      <w:b/>
      <w:kern w:val="44"/>
      <w:sz w:val="44"/>
      <w:szCs w:val="20"/>
    </w:rPr>
  </w:style>
  <w:style w:type="paragraph" w:styleId="3">
    <w:name w:val="heading 2"/>
    <w:basedOn w:val="1"/>
    <w:next w:val="1"/>
    <w:semiHidden/>
    <w:unhideWhenUsed/>
    <w:qFormat/>
    <w:uiPriority w:val="0"/>
    <w:pPr>
      <w:spacing w:before="0" w:beforeAutospacing="1" w:after="0" w:afterAutospacing="1"/>
      <w:jc w:val="left"/>
      <w:outlineLvl w:val="1"/>
    </w:pPr>
    <w:rPr>
      <w:rFonts w:hint="eastAsia" w:ascii="宋体" w:hAnsi="宋体" w:eastAsia="宋体" w:cs="宋体"/>
      <w:b/>
      <w:bCs/>
      <w:snapToGrid w:val="0"/>
      <w:kern w:val="0"/>
      <w:sz w:val="30"/>
      <w:szCs w:val="36"/>
      <w:lang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金山软件</Company>
  <Pages>12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2026-05-22T10:13:00Z</dcterms:created>
  <dc:creator>秦岚</dc:creator>
  <cp:lastModifiedBy>秦岚</cp:lastModifiedBy>
  <dcterms:modified xsi:type="dcterms:W3CDTF">2026-05-22T10:13:14Z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03025AE95F4A4D909DBC03E77BF411BA_11</vt:lpwstr>
  </property>
  <property fmtid="{D5CDD505-2E9C-101B-9397-08002B2CF9AE}" pid="4" name="KSOTemplateDocerSaveRecord">
    <vt:lpwstr>eyJoZGlkIjoiOTZiM2Q3NzBkNjk5ODBhZmU4M2ZjNmU0MzVhN2M1OWMiLCJ1c2VySWQiOiIxNDUxOTM0Mzc3In0=</vt:lpwstr>
  </property>
</Properties>
</file>