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5C960">
      <w:pPr>
        <w:pageBreakBefore w:val="0"/>
        <w:tabs>
          <w:tab w:val="left" w:pos="2070"/>
          <w:tab w:val="center" w:pos="4365"/>
        </w:tabs>
        <w:kinsoku/>
        <w:wordWrap/>
        <w:overflowPunct/>
        <w:topLinePunct w:val="0"/>
        <w:bidi w:val="0"/>
        <w:snapToGrid w:val="0"/>
        <w:spacing w:line="360" w:lineRule="auto"/>
        <w:jc w:val="center"/>
        <w:rPr>
          <w:rFonts w:hint="eastAsia" w:ascii="宋体" w:hAnsi="宋体"/>
          <w:color w:val="auto"/>
          <w:sz w:val="52"/>
          <w:szCs w:val="52"/>
          <w:highlight w:val="none"/>
        </w:rPr>
      </w:pPr>
      <w:bookmarkStart w:id="0" w:name="_Toc335843074"/>
      <w:bookmarkStart w:id="1" w:name="_Toc299028424"/>
    </w:p>
    <w:p w14:paraId="0D13DAE6">
      <w:pPr>
        <w:pageBreakBefore w:val="0"/>
        <w:tabs>
          <w:tab w:val="left" w:pos="2070"/>
          <w:tab w:val="center" w:pos="4365"/>
        </w:tabs>
        <w:kinsoku/>
        <w:wordWrap/>
        <w:overflowPunct/>
        <w:topLinePunct w:val="0"/>
        <w:bidi w:val="0"/>
        <w:snapToGrid w:val="0"/>
        <w:spacing w:line="360" w:lineRule="auto"/>
        <w:jc w:val="center"/>
        <w:rPr>
          <w:rFonts w:hint="eastAsia" w:ascii="宋体" w:hAnsi="宋体"/>
          <w:b/>
          <w:bCs/>
          <w:color w:val="auto"/>
          <w:sz w:val="40"/>
          <w:szCs w:val="40"/>
          <w:highlight w:val="none"/>
          <w:lang w:eastAsia="zh-CN"/>
        </w:rPr>
      </w:pPr>
      <w:r>
        <w:rPr>
          <w:rFonts w:hint="eastAsia" w:ascii="宋体" w:hAnsi="宋体"/>
          <w:b/>
          <w:bCs/>
          <w:color w:val="auto"/>
          <w:sz w:val="40"/>
          <w:szCs w:val="40"/>
          <w:highlight w:val="none"/>
          <w:lang w:eastAsia="zh-CN"/>
        </w:rPr>
        <w:t>杏花村南环街东延道路改造工程项目</w:t>
      </w:r>
    </w:p>
    <w:p w14:paraId="3DE37AE5">
      <w:pPr>
        <w:pageBreakBefore w:val="0"/>
        <w:tabs>
          <w:tab w:val="left" w:pos="2070"/>
          <w:tab w:val="center" w:pos="4365"/>
        </w:tabs>
        <w:kinsoku/>
        <w:wordWrap/>
        <w:overflowPunct/>
        <w:topLinePunct w:val="0"/>
        <w:bidi w:val="0"/>
        <w:snapToGrid w:val="0"/>
        <w:spacing w:line="360" w:lineRule="auto"/>
        <w:jc w:val="center"/>
        <w:rPr>
          <w:rFonts w:hint="eastAsia" w:ascii="宋体" w:hAnsi="宋体" w:eastAsia="宋体"/>
          <w:b/>
          <w:bCs/>
          <w:color w:val="auto"/>
          <w:sz w:val="48"/>
          <w:szCs w:val="48"/>
          <w:highlight w:val="none"/>
          <w:lang w:eastAsia="zh-CN"/>
        </w:rPr>
      </w:pPr>
      <w:r>
        <w:rPr>
          <w:rFonts w:hint="eastAsia" w:ascii="宋体" w:hAnsi="宋体"/>
          <w:b/>
          <w:bCs/>
          <w:color w:val="auto"/>
          <w:sz w:val="40"/>
          <w:szCs w:val="40"/>
          <w:highlight w:val="none"/>
          <w:lang w:eastAsia="zh-CN"/>
        </w:rPr>
        <w:t>用地预审手续办理服务</w:t>
      </w:r>
    </w:p>
    <w:p w14:paraId="5AEE8918">
      <w:pPr>
        <w:pStyle w:val="20"/>
        <w:pageBreakBefore w:val="0"/>
        <w:kinsoku/>
        <w:wordWrap/>
        <w:overflowPunct/>
        <w:topLinePunct w:val="0"/>
        <w:bidi w:val="0"/>
        <w:spacing w:line="360" w:lineRule="auto"/>
        <w:rPr>
          <w:rFonts w:hint="eastAsia" w:ascii="宋体" w:hAnsi="宋体"/>
          <w:b/>
          <w:bCs/>
          <w:color w:val="auto"/>
          <w:sz w:val="48"/>
          <w:szCs w:val="48"/>
          <w:highlight w:val="none"/>
        </w:rPr>
      </w:pPr>
    </w:p>
    <w:p w14:paraId="0C0E38C3">
      <w:pPr>
        <w:pageBreakBefore w:val="0"/>
        <w:kinsoku/>
        <w:wordWrap/>
        <w:overflowPunct/>
        <w:topLinePunct w:val="0"/>
        <w:bidi w:val="0"/>
        <w:spacing w:line="360" w:lineRule="auto"/>
        <w:rPr>
          <w:rFonts w:hint="eastAsia" w:ascii="宋体" w:hAnsi="宋体"/>
          <w:b/>
          <w:bCs/>
          <w:color w:val="auto"/>
          <w:sz w:val="48"/>
          <w:szCs w:val="48"/>
          <w:highlight w:val="none"/>
        </w:rPr>
      </w:pPr>
      <w:bookmarkStart w:id="37" w:name="_GoBack"/>
      <w:bookmarkEnd w:id="37"/>
    </w:p>
    <w:p w14:paraId="18A4388E">
      <w:pPr>
        <w:pStyle w:val="20"/>
        <w:pageBreakBefore w:val="0"/>
        <w:kinsoku/>
        <w:wordWrap/>
        <w:overflowPunct/>
        <w:topLinePunct w:val="0"/>
        <w:bidi w:val="0"/>
        <w:spacing w:line="360" w:lineRule="auto"/>
        <w:rPr>
          <w:rFonts w:hint="eastAsia" w:ascii="宋体" w:hAnsi="宋体"/>
          <w:b/>
          <w:bCs/>
          <w:color w:val="auto"/>
          <w:sz w:val="48"/>
          <w:szCs w:val="48"/>
          <w:highlight w:val="none"/>
        </w:rPr>
      </w:pPr>
    </w:p>
    <w:p w14:paraId="6F1A5D66">
      <w:pPr>
        <w:pageBreakBefore w:val="0"/>
        <w:kinsoku/>
        <w:wordWrap/>
        <w:overflowPunct/>
        <w:topLinePunct w:val="0"/>
        <w:bidi w:val="0"/>
        <w:spacing w:line="360" w:lineRule="auto"/>
        <w:jc w:val="center"/>
        <w:rPr>
          <w:rFonts w:hint="eastAsia" w:ascii="宋体" w:hAnsi="宋体"/>
          <w:b/>
          <w:bCs/>
          <w:color w:val="auto"/>
          <w:sz w:val="56"/>
          <w:szCs w:val="56"/>
          <w:highlight w:val="none"/>
        </w:rPr>
      </w:pPr>
    </w:p>
    <w:p w14:paraId="617E0CA3">
      <w:pPr>
        <w:pageBreakBefore w:val="0"/>
        <w:kinsoku/>
        <w:wordWrap/>
        <w:overflowPunct/>
        <w:topLinePunct w:val="0"/>
        <w:bidi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竞争性磋商文件</w:t>
      </w:r>
    </w:p>
    <w:p w14:paraId="3BB7A959">
      <w:pPr>
        <w:pStyle w:val="20"/>
        <w:pageBreakBefore w:val="0"/>
        <w:kinsoku/>
        <w:wordWrap/>
        <w:overflowPunct/>
        <w:topLinePunct w:val="0"/>
        <w:bidi w:val="0"/>
        <w:spacing w:line="360" w:lineRule="auto"/>
        <w:ind w:left="0" w:leftChars="0"/>
        <w:jc w:val="center"/>
        <w:rPr>
          <w:rFonts w:hint="eastAsia" w:eastAsiaTheme="minorEastAsia"/>
          <w:b/>
          <w:bCs/>
          <w:color w:val="auto"/>
          <w:sz w:val="24"/>
          <w:highlight w:val="none"/>
          <w:lang w:eastAsia="zh-CN"/>
        </w:rPr>
      </w:pPr>
      <w:r>
        <w:rPr>
          <w:rFonts w:hint="eastAsia"/>
          <w:b/>
          <w:bCs/>
          <w:color w:val="auto"/>
          <w:sz w:val="24"/>
          <w:highlight w:val="none"/>
          <w:lang w:val="en-US" w:eastAsia="zh-CN"/>
        </w:rPr>
        <w:t>采购</w:t>
      </w:r>
      <w:r>
        <w:rPr>
          <w:rFonts w:hint="eastAsia"/>
          <w:b/>
          <w:bCs/>
          <w:color w:val="auto"/>
          <w:sz w:val="24"/>
          <w:highlight w:val="none"/>
        </w:rPr>
        <w:t>编号：</w:t>
      </w:r>
      <w:r>
        <w:rPr>
          <w:rFonts w:hint="eastAsia"/>
          <w:b/>
          <w:bCs/>
          <w:color w:val="auto"/>
          <w:sz w:val="24"/>
          <w:highlight w:val="none"/>
          <w:lang w:eastAsia="zh-CN"/>
        </w:rPr>
        <w:t>1411822026CCS00096</w:t>
      </w:r>
    </w:p>
    <w:p w14:paraId="0FE896E6">
      <w:pPr>
        <w:pageBreakBefore w:val="0"/>
        <w:kinsoku/>
        <w:wordWrap/>
        <w:overflowPunct/>
        <w:topLinePunct w:val="0"/>
        <w:bidi w:val="0"/>
        <w:spacing w:line="360" w:lineRule="auto"/>
        <w:jc w:val="center"/>
        <w:rPr>
          <w:b/>
          <w:bCs/>
          <w:color w:val="auto"/>
          <w:highlight w:val="none"/>
        </w:rPr>
      </w:pPr>
    </w:p>
    <w:p w14:paraId="68F1A7AE">
      <w:pPr>
        <w:pStyle w:val="20"/>
        <w:pageBreakBefore w:val="0"/>
        <w:kinsoku/>
        <w:wordWrap/>
        <w:overflowPunct/>
        <w:topLinePunct w:val="0"/>
        <w:bidi w:val="0"/>
        <w:spacing w:line="360" w:lineRule="auto"/>
        <w:rPr>
          <w:b/>
          <w:bCs/>
          <w:color w:val="auto"/>
          <w:highlight w:val="none"/>
        </w:rPr>
      </w:pPr>
    </w:p>
    <w:p w14:paraId="51769D18">
      <w:pPr>
        <w:pageBreakBefore w:val="0"/>
        <w:kinsoku/>
        <w:wordWrap/>
        <w:overflowPunct/>
        <w:topLinePunct w:val="0"/>
        <w:bidi w:val="0"/>
        <w:spacing w:line="360" w:lineRule="auto"/>
        <w:rPr>
          <w:b/>
          <w:bCs/>
          <w:color w:val="auto"/>
          <w:highlight w:val="none"/>
        </w:rPr>
      </w:pPr>
    </w:p>
    <w:p w14:paraId="4E75873F">
      <w:pPr>
        <w:pageBreakBefore w:val="0"/>
        <w:kinsoku/>
        <w:wordWrap/>
        <w:overflowPunct/>
        <w:topLinePunct w:val="0"/>
        <w:bidi w:val="0"/>
        <w:spacing w:line="360" w:lineRule="auto"/>
        <w:rPr>
          <w:b/>
          <w:bCs/>
          <w:color w:val="auto"/>
          <w:highlight w:val="none"/>
        </w:rPr>
      </w:pPr>
    </w:p>
    <w:p w14:paraId="0DD25A73">
      <w:pPr>
        <w:pStyle w:val="20"/>
        <w:pageBreakBefore w:val="0"/>
        <w:kinsoku/>
        <w:wordWrap/>
        <w:overflowPunct/>
        <w:topLinePunct w:val="0"/>
        <w:bidi w:val="0"/>
        <w:spacing w:line="360" w:lineRule="auto"/>
        <w:jc w:val="center"/>
        <w:rPr>
          <w:b/>
          <w:bCs/>
          <w:color w:val="auto"/>
          <w:sz w:val="36"/>
          <w:szCs w:val="44"/>
          <w:highlight w:val="none"/>
        </w:rPr>
      </w:pPr>
    </w:p>
    <w:p w14:paraId="59E4AA18">
      <w:pPr>
        <w:pStyle w:val="20"/>
        <w:pageBreakBefore w:val="0"/>
        <w:kinsoku/>
        <w:wordWrap/>
        <w:overflowPunct/>
        <w:topLinePunct w:val="0"/>
        <w:bidi w:val="0"/>
        <w:spacing w:line="360" w:lineRule="auto"/>
        <w:jc w:val="center"/>
        <w:rPr>
          <w:b/>
          <w:bCs/>
          <w:color w:val="auto"/>
          <w:sz w:val="36"/>
          <w:szCs w:val="44"/>
          <w:highlight w:val="none"/>
        </w:rPr>
      </w:pPr>
    </w:p>
    <w:p w14:paraId="345E3D07">
      <w:pPr>
        <w:pStyle w:val="20"/>
        <w:pageBreakBefore w:val="0"/>
        <w:kinsoku/>
        <w:wordWrap/>
        <w:overflowPunct/>
        <w:topLinePunct w:val="0"/>
        <w:bidi w:val="0"/>
        <w:spacing w:line="360" w:lineRule="auto"/>
        <w:jc w:val="center"/>
        <w:rPr>
          <w:b/>
          <w:bCs/>
          <w:color w:val="auto"/>
          <w:sz w:val="36"/>
          <w:szCs w:val="44"/>
          <w:highlight w:val="none"/>
        </w:rPr>
      </w:pPr>
    </w:p>
    <w:p w14:paraId="00E54070">
      <w:pPr>
        <w:rPr>
          <w:color w:val="auto"/>
          <w:highlight w:val="none"/>
        </w:rPr>
      </w:pPr>
    </w:p>
    <w:p w14:paraId="4CEC5DF2">
      <w:pPr>
        <w:rPr>
          <w:b/>
          <w:bCs/>
          <w:color w:val="auto"/>
          <w:highlight w:val="none"/>
        </w:rPr>
      </w:pPr>
    </w:p>
    <w:p w14:paraId="062A35FF">
      <w:pPr>
        <w:pStyle w:val="20"/>
        <w:pageBreakBefore w:val="0"/>
        <w:kinsoku/>
        <w:wordWrap/>
        <w:overflowPunct/>
        <w:topLinePunct w:val="0"/>
        <w:bidi w:val="0"/>
        <w:spacing w:line="480" w:lineRule="auto"/>
        <w:ind w:left="0" w:leftChars="0" w:firstLine="0" w:firstLineChars="0"/>
        <w:jc w:val="center"/>
        <w:rPr>
          <w:rFonts w:hint="eastAsia"/>
          <w:b/>
          <w:bCs/>
          <w:color w:val="auto"/>
          <w:sz w:val="36"/>
          <w:szCs w:val="44"/>
          <w:highlight w:val="none"/>
          <w:lang w:eastAsia="zh-CN"/>
        </w:rPr>
      </w:pPr>
    </w:p>
    <w:p w14:paraId="49DEECBC">
      <w:pPr>
        <w:pStyle w:val="20"/>
        <w:pageBreakBefore w:val="0"/>
        <w:kinsoku/>
        <w:wordWrap/>
        <w:overflowPunct/>
        <w:topLinePunct w:val="0"/>
        <w:bidi w:val="0"/>
        <w:spacing w:line="360" w:lineRule="auto"/>
        <w:ind w:left="0" w:leftChars="0"/>
        <w:jc w:val="center"/>
        <w:rPr>
          <w:b/>
          <w:bCs/>
          <w:color w:val="auto"/>
          <w:sz w:val="30"/>
          <w:szCs w:val="30"/>
          <w:highlight w:val="none"/>
        </w:rPr>
      </w:pPr>
      <w:r>
        <w:rPr>
          <w:rFonts w:hint="eastAsia"/>
          <w:b/>
          <w:bCs/>
          <w:color w:val="auto"/>
          <w:sz w:val="30"/>
          <w:szCs w:val="30"/>
          <w:highlight w:val="none"/>
        </w:rPr>
        <w:t>采购人：</w:t>
      </w:r>
      <w:r>
        <w:rPr>
          <w:rFonts w:hint="eastAsia"/>
          <w:b/>
          <w:bCs/>
          <w:color w:val="auto"/>
          <w:sz w:val="30"/>
          <w:szCs w:val="30"/>
          <w:highlight w:val="none"/>
          <w:lang w:eastAsia="zh-CN"/>
        </w:rPr>
        <w:t>汾阳杏花村经济技术开发区管理委员会</w:t>
      </w:r>
    </w:p>
    <w:p w14:paraId="0EC2E45F">
      <w:pPr>
        <w:pStyle w:val="20"/>
        <w:pageBreakBefore w:val="0"/>
        <w:kinsoku/>
        <w:wordWrap/>
        <w:overflowPunct/>
        <w:topLinePunct w:val="0"/>
        <w:bidi w:val="0"/>
        <w:spacing w:line="360" w:lineRule="auto"/>
        <w:ind w:left="0" w:leftChars="0"/>
        <w:jc w:val="center"/>
        <w:rPr>
          <w:b/>
          <w:bCs/>
          <w:color w:val="auto"/>
          <w:sz w:val="30"/>
          <w:szCs w:val="30"/>
          <w:highlight w:val="none"/>
        </w:rPr>
      </w:pPr>
      <w:r>
        <w:rPr>
          <w:rFonts w:hint="eastAsia"/>
          <w:b/>
          <w:bCs/>
          <w:color w:val="auto"/>
          <w:sz w:val="30"/>
          <w:szCs w:val="30"/>
          <w:highlight w:val="none"/>
        </w:rPr>
        <w:t>采购代理机构：</w:t>
      </w:r>
      <w:r>
        <w:rPr>
          <w:rFonts w:hint="eastAsia"/>
          <w:b/>
          <w:bCs/>
          <w:color w:val="auto"/>
          <w:sz w:val="30"/>
          <w:szCs w:val="30"/>
          <w:highlight w:val="none"/>
          <w:lang w:eastAsia="zh-CN"/>
        </w:rPr>
        <w:t>孝义市正华工程项目管理有限公司</w:t>
      </w:r>
    </w:p>
    <w:p w14:paraId="76C1D123">
      <w:pPr>
        <w:pStyle w:val="20"/>
        <w:pageBreakBefore w:val="0"/>
        <w:kinsoku/>
        <w:wordWrap/>
        <w:overflowPunct/>
        <w:topLinePunct w:val="0"/>
        <w:bidi w:val="0"/>
        <w:spacing w:line="480" w:lineRule="auto"/>
        <w:ind w:left="0" w:leftChars="0" w:firstLine="0" w:firstLineChars="0"/>
        <w:jc w:val="center"/>
        <w:rPr>
          <w:b/>
          <w:bCs/>
          <w:color w:val="auto"/>
          <w:sz w:val="30"/>
          <w:szCs w:val="30"/>
          <w:highlight w:val="none"/>
        </w:rPr>
      </w:pPr>
      <w:r>
        <w:rPr>
          <w:rFonts w:hint="eastAsia"/>
          <w:b/>
          <w:bCs/>
          <w:color w:val="auto"/>
          <w:sz w:val="30"/>
          <w:szCs w:val="30"/>
          <w:highlight w:val="none"/>
        </w:rPr>
        <w:t>二〇二</w:t>
      </w:r>
      <w:r>
        <w:rPr>
          <w:rFonts w:hint="eastAsia"/>
          <w:b/>
          <w:bCs/>
          <w:color w:val="auto"/>
          <w:sz w:val="30"/>
          <w:szCs w:val="30"/>
          <w:highlight w:val="none"/>
          <w:lang w:val="en-US" w:eastAsia="zh-CN"/>
        </w:rPr>
        <w:t>六</w:t>
      </w:r>
      <w:r>
        <w:rPr>
          <w:rFonts w:hint="eastAsia"/>
          <w:b/>
          <w:bCs/>
          <w:color w:val="auto"/>
          <w:sz w:val="30"/>
          <w:szCs w:val="30"/>
          <w:highlight w:val="none"/>
        </w:rPr>
        <w:t>年</w:t>
      </w:r>
      <w:r>
        <w:rPr>
          <w:rFonts w:hint="eastAsia"/>
          <w:b/>
          <w:bCs/>
          <w:color w:val="auto"/>
          <w:sz w:val="30"/>
          <w:szCs w:val="30"/>
          <w:highlight w:val="none"/>
          <w:lang w:val="en-US" w:eastAsia="zh-CN"/>
        </w:rPr>
        <w:t>五</w:t>
      </w:r>
      <w:r>
        <w:rPr>
          <w:rFonts w:hint="eastAsia"/>
          <w:b/>
          <w:bCs/>
          <w:color w:val="auto"/>
          <w:sz w:val="30"/>
          <w:szCs w:val="30"/>
          <w:highlight w:val="none"/>
        </w:rPr>
        <w:t>月</w:t>
      </w:r>
    </w:p>
    <w:p w14:paraId="048129D3">
      <w:pPr>
        <w:pageBreakBefore w:val="0"/>
        <w:tabs>
          <w:tab w:val="left" w:pos="2070"/>
          <w:tab w:val="center" w:pos="4365"/>
        </w:tabs>
        <w:kinsoku/>
        <w:wordWrap/>
        <w:overflowPunct/>
        <w:topLinePunct w:val="0"/>
        <w:bidi w:val="0"/>
        <w:snapToGrid w:val="0"/>
        <w:spacing w:line="360" w:lineRule="auto"/>
        <w:jc w:val="center"/>
        <w:rPr>
          <w:rFonts w:hint="eastAsia" w:ascii="宋体" w:hAnsi="宋体"/>
          <w:b/>
          <w:bCs/>
          <w:color w:val="auto"/>
          <w:sz w:val="44"/>
          <w:szCs w:val="44"/>
          <w:highlight w:val="none"/>
        </w:rPr>
      </w:pPr>
      <w:r>
        <w:rPr>
          <w:rFonts w:hint="eastAsia"/>
          <w:b/>
          <w:bCs/>
          <w:color w:val="auto"/>
          <w:sz w:val="36"/>
          <w:szCs w:val="44"/>
          <w:highlight w:val="none"/>
        </w:rPr>
        <w:br w:type="page"/>
      </w:r>
    </w:p>
    <w:p w14:paraId="52603314">
      <w:pPr>
        <w:pageBreakBefore w:val="0"/>
        <w:tabs>
          <w:tab w:val="left" w:pos="2070"/>
          <w:tab w:val="center" w:pos="4365"/>
        </w:tabs>
        <w:kinsoku/>
        <w:wordWrap/>
        <w:overflowPunct/>
        <w:topLinePunct w:val="0"/>
        <w:bidi w:val="0"/>
        <w:snapToGrid w:val="0"/>
        <w:spacing w:line="360" w:lineRule="auto"/>
        <w:jc w:val="both"/>
        <w:rPr>
          <w:rFonts w:hint="eastAsia" w:ascii="宋体" w:hAnsi="宋体"/>
          <w:b/>
          <w:bCs/>
          <w:color w:val="auto"/>
          <w:sz w:val="48"/>
          <w:szCs w:val="48"/>
          <w:highlight w:val="none"/>
          <w:lang w:eastAsia="zh-CN"/>
        </w:rPr>
        <w:sectPr>
          <w:headerReference r:id="rId3" w:type="default"/>
          <w:footerReference r:id="rId5" w:type="default"/>
          <w:headerReference r:id="rId4" w:type="even"/>
          <w:footerReference r:id="rId6" w:type="even"/>
          <w:pgSz w:w="11906" w:h="16838"/>
          <w:pgMar w:top="1418" w:right="1474" w:bottom="1418" w:left="1304" w:header="1021" w:footer="1021" w:gutter="0"/>
          <w:pgNumType w:fmt="decimal"/>
          <w:cols w:space="720" w:num="1"/>
          <w:docGrid w:type="lines" w:linePitch="312" w:charSpace="0"/>
        </w:sectPr>
      </w:pPr>
    </w:p>
    <w:p w14:paraId="76C4737D">
      <w:pPr>
        <w:pageBreakBefore w:val="0"/>
        <w:tabs>
          <w:tab w:val="left" w:pos="2070"/>
          <w:tab w:val="center" w:pos="4365"/>
        </w:tabs>
        <w:kinsoku/>
        <w:wordWrap/>
        <w:overflowPunct/>
        <w:topLinePunct w:val="0"/>
        <w:bidi w:val="0"/>
        <w:snapToGrid w:val="0"/>
        <w:spacing w:line="360" w:lineRule="auto"/>
        <w:jc w:val="both"/>
        <w:rPr>
          <w:rFonts w:hint="eastAsia" w:ascii="宋体" w:hAnsi="宋体"/>
          <w:b/>
          <w:bCs/>
          <w:color w:val="auto"/>
          <w:sz w:val="48"/>
          <w:szCs w:val="48"/>
          <w:highlight w:val="none"/>
          <w:lang w:eastAsia="zh-CN"/>
        </w:rPr>
        <w:sectPr>
          <w:footerReference r:id="rId7" w:type="default"/>
          <w:pgSz w:w="11906" w:h="16838"/>
          <w:pgMar w:top="1418" w:right="1474" w:bottom="1418" w:left="1304" w:header="1021" w:footer="1021" w:gutter="0"/>
          <w:pgNumType w:fmt="decimal"/>
          <w:cols w:space="720" w:num="1"/>
          <w:docGrid w:type="lines" w:linePitch="312" w:charSpace="0"/>
        </w:sectPr>
      </w:pPr>
    </w:p>
    <w:p w14:paraId="0B09A0A2">
      <w:pPr>
        <w:pageBreakBefore w:val="0"/>
        <w:tabs>
          <w:tab w:val="left" w:pos="2070"/>
          <w:tab w:val="center" w:pos="4365"/>
        </w:tabs>
        <w:kinsoku/>
        <w:wordWrap/>
        <w:overflowPunct/>
        <w:topLinePunct w:val="0"/>
        <w:bidi w:val="0"/>
        <w:snapToGrid w:val="0"/>
        <w:spacing w:line="360" w:lineRule="auto"/>
        <w:jc w:val="both"/>
        <w:rPr>
          <w:rFonts w:hint="eastAsia" w:ascii="宋体" w:hAnsi="宋体"/>
          <w:b/>
          <w:bCs/>
          <w:color w:val="auto"/>
          <w:sz w:val="48"/>
          <w:szCs w:val="48"/>
          <w:highlight w:val="none"/>
          <w:lang w:eastAsia="zh-CN"/>
        </w:rPr>
      </w:pPr>
    </w:p>
    <w:p w14:paraId="0047994F">
      <w:pPr>
        <w:pageBreakBefore w:val="0"/>
        <w:tabs>
          <w:tab w:val="left" w:pos="2070"/>
          <w:tab w:val="center" w:pos="4365"/>
        </w:tabs>
        <w:kinsoku/>
        <w:wordWrap/>
        <w:overflowPunct/>
        <w:topLinePunct w:val="0"/>
        <w:bidi w:val="0"/>
        <w:snapToGrid w:val="0"/>
        <w:spacing w:line="360" w:lineRule="auto"/>
        <w:jc w:val="center"/>
        <w:rPr>
          <w:rFonts w:hint="eastAsia" w:ascii="宋体" w:hAnsi="宋体"/>
          <w:b/>
          <w:bCs/>
          <w:color w:val="auto"/>
          <w:sz w:val="40"/>
          <w:szCs w:val="40"/>
          <w:highlight w:val="none"/>
          <w:lang w:eastAsia="zh-CN"/>
        </w:rPr>
      </w:pPr>
      <w:r>
        <w:rPr>
          <w:rFonts w:hint="eastAsia" w:ascii="宋体" w:hAnsi="宋体"/>
          <w:b/>
          <w:bCs/>
          <w:color w:val="auto"/>
          <w:sz w:val="40"/>
          <w:szCs w:val="40"/>
          <w:highlight w:val="none"/>
          <w:lang w:eastAsia="zh-CN"/>
        </w:rPr>
        <w:t>杏花村南环街东延道路改造工程项目</w:t>
      </w:r>
    </w:p>
    <w:p w14:paraId="57055183">
      <w:pPr>
        <w:pageBreakBefore w:val="0"/>
        <w:tabs>
          <w:tab w:val="left" w:pos="2070"/>
          <w:tab w:val="center" w:pos="4365"/>
        </w:tabs>
        <w:kinsoku/>
        <w:wordWrap/>
        <w:overflowPunct/>
        <w:topLinePunct w:val="0"/>
        <w:bidi w:val="0"/>
        <w:snapToGrid w:val="0"/>
        <w:spacing w:line="360" w:lineRule="auto"/>
        <w:jc w:val="center"/>
        <w:rPr>
          <w:rFonts w:hint="eastAsia" w:ascii="宋体" w:hAnsi="宋体" w:eastAsia="宋体"/>
          <w:b/>
          <w:bCs/>
          <w:color w:val="auto"/>
          <w:sz w:val="48"/>
          <w:szCs w:val="48"/>
          <w:highlight w:val="none"/>
          <w:lang w:eastAsia="zh-CN"/>
        </w:rPr>
      </w:pPr>
      <w:r>
        <w:rPr>
          <w:rFonts w:hint="eastAsia" w:ascii="宋体" w:hAnsi="宋体"/>
          <w:b/>
          <w:bCs/>
          <w:color w:val="auto"/>
          <w:sz w:val="40"/>
          <w:szCs w:val="40"/>
          <w:highlight w:val="none"/>
          <w:lang w:eastAsia="zh-CN"/>
        </w:rPr>
        <w:t>用地预审手续办理服务</w:t>
      </w:r>
    </w:p>
    <w:p w14:paraId="787E0A8F">
      <w:pPr>
        <w:pStyle w:val="20"/>
        <w:pageBreakBefore w:val="0"/>
        <w:kinsoku/>
        <w:wordWrap/>
        <w:overflowPunct/>
        <w:topLinePunct w:val="0"/>
        <w:bidi w:val="0"/>
        <w:spacing w:line="360" w:lineRule="auto"/>
        <w:rPr>
          <w:rFonts w:hint="eastAsia" w:ascii="宋体" w:hAnsi="宋体"/>
          <w:b/>
          <w:bCs/>
          <w:color w:val="auto"/>
          <w:sz w:val="48"/>
          <w:szCs w:val="48"/>
          <w:highlight w:val="none"/>
        </w:rPr>
      </w:pPr>
    </w:p>
    <w:p w14:paraId="72F422FD">
      <w:pPr>
        <w:pageBreakBefore w:val="0"/>
        <w:kinsoku/>
        <w:wordWrap/>
        <w:overflowPunct/>
        <w:topLinePunct w:val="0"/>
        <w:bidi w:val="0"/>
        <w:spacing w:line="360" w:lineRule="auto"/>
        <w:rPr>
          <w:rFonts w:hint="eastAsia" w:ascii="宋体" w:hAnsi="宋体"/>
          <w:b/>
          <w:bCs/>
          <w:color w:val="auto"/>
          <w:sz w:val="48"/>
          <w:szCs w:val="48"/>
          <w:highlight w:val="none"/>
        </w:rPr>
      </w:pPr>
    </w:p>
    <w:p w14:paraId="1AEF35E1">
      <w:pPr>
        <w:pStyle w:val="20"/>
        <w:pageBreakBefore w:val="0"/>
        <w:kinsoku/>
        <w:wordWrap/>
        <w:overflowPunct/>
        <w:topLinePunct w:val="0"/>
        <w:bidi w:val="0"/>
        <w:spacing w:line="360" w:lineRule="auto"/>
        <w:rPr>
          <w:rFonts w:hint="eastAsia" w:ascii="宋体" w:hAnsi="宋体"/>
          <w:b/>
          <w:bCs/>
          <w:color w:val="auto"/>
          <w:sz w:val="48"/>
          <w:szCs w:val="48"/>
          <w:highlight w:val="none"/>
        </w:rPr>
      </w:pPr>
    </w:p>
    <w:p w14:paraId="1F7D7446">
      <w:pPr>
        <w:pageBreakBefore w:val="0"/>
        <w:kinsoku/>
        <w:wordWrap/>
        <w:overflowPunct/>
        <w:topLinePunct w:val="0"/>
        <w:bidi w:val="0"/>
        <w:spacing w:line="360" w:lineRule="auto"/>
        <w:jc w:val="center"/>
        <w:rPr>
          <w:rFonts w:hint="eastAsia" w:ascii="宋体" w:hAnsi="宋体"/>
          <w:b/>
          <w:bCs/>
          <w:color w:val="auto"/>
          <w:sz w:val="56"/>
          <w:szCs w:val="56"/>
          <w:highlight w:val="none"/>
        </w:rPr>
      </w:pPr>
    </w:p>
    <w:p w14:paraId="65F2B6DA">
      <w:pPr>
        <w:pageBreakBefore w:val="0"/>
        <w:kinsoku/>
        <w:wordWrap/>
        <w:overflowPunct/>
        <w:topLinePunct w:val="0"/>
        <w:bidi w:val="0"/>
        <w:spacing w:line="360" w:lineRule="auto"/>
        <w:jc w:val="center"/>
        <w:rPr>
          <w:rFonts w:hint="eastAsia" w:ascii="宋体" w:hAnsi="宋体"/>
          <w:b/>
          <w:bCs/>
          <w:color w:val="auto"/>
          <w:sz w:val="56"/>
          <w:szCs w:val="56"/>
          <w:highlight w:val="none"/>
        </w:rPr>
      </w:pPr>
      <w:r>
        <w:rPr>
          <w:rFonts w:hint="eastAsia" w:ascii="宋体" w:hAnsi="宋体"/>
          <w:b/>
          <w:bCs/>
          <w:color w:val="auto"/>
          <w:sz w:val="56"/>
          <w:szCs w:val="56"/>
          <w:highlight w:val="none"/>
        </w:rPr>
        <w:t>竞争性磋商文件</w:t>
      </w:r>
    </w:p>
    <w:p w14:paraId="2B5DB94A">
      <w:pPr>
        <w:pageBreakBefore w:val="0"/>
        <w:kinsoku/>
        <w:wordWrap/>
        <w:overflowPunct/>
        <w:topLinePunct w:val="0"/>
        <w:bidi w:val="0"/>
        <w:spacing w:line="360" w:lineRule="auto"/>
        <w:jc w:val="center"/>
        <w:rPr>
          <w:rFonts w:hint="eastAsia" w:eastAsia="宋体"/>
          <w:b/>
          <w:bCs/>
          <w:color w:val="auto"/>
          <w:sz w:val="24"/>
          <w:highlight w:val="none"/>
          <w:lang w:eastAsia="zh-CN"/>
        </w:rPr>
      </w:pPr>
      <w:r>
        <w:rPr>
          <w:rFonts w:hint="eastAsia"/>
          <w:b/>
          <w:bCs/>
          <w:color w:val="auto"/>
          <w:sz w:val="24"/>
          <w:highlight w:val="none"/>
          <w:lang w:val="en-US" w:eastAsia="zh-CN"/>
        </w:rPr>
        <w:t>采购</w:t>
      </w:r>
      <w:r>
        <w:rPr>
          <w:rFonts w:hint="eastAsia"/>
          <w:b/>
          <w:bCs/>
          <w:color w:val="auto"/>
          <w:sz w:val="24"/>
          <w:highlight w:val="none"/>
        </w:rPr>
        <w:t>编号：</w:t>
      </w:r>
      <w:r>
        <w:rPr>
          <w:rFonts w:hint="eastAsia"/>
          <w:b/>
          <w:bCs/>
          <w:color w:val="auto"/>
          <w:sz w:val="24"/>
          <w:highlight w:val="none"/>
          <w:lang w:eastAsia="zh-CN"/>
        </w:rPr>
        <w:t>1411822026CCS00096</w:t>
      </w:r>
    </w:p>
    <w:p w14:paraId="459A1B88">
      <w:pPr>
        <w:pStyle w:val="20"/>
        <w:pageBreakBefore w:val="0"/>
        <w:kinsoku/>
        <w:wordWrap/>
        <w:overflowPunct/>
        <w:topLinePunct w:val="0"/>
        <w:bidi w:val="0"/>
        <w:spacing w:line="360" w:lineRule="auto"/>
        <w:jc w:val="center"/>
        <w:rPr>
          <w:rFonts w:hint="eastAsia" w:ascii="宋体" w:hAnsi="宋体"/>
          <w:b/>
          <w:bCs/>
          <w:color w:val="auto"/>
          <w:sz w:val="48"/>
          <w:szCs w:val="48"/>
          <w:highlight w:val="none"/>
        </w:rPr>
      </w:pPr>
    </w:p>
    <w:p w14:paraId="441F0D78">
      <w:pPr>
        <w:pageBreakBefore w:val="0"/>
        <w:kinsoku/>
        <w:wordWrap/>
        <w:overflowPunct/>
        <w:topLinePunct w:val="0"/>
        <w:bidi w:val="0"/>
        <w:spacing w:line="360" w:lineRule="auto"/>
        <w:rPr>
          <w:b/>
          <w:bCs/>
          <w:color w:val="auto"/>
          <w:highlight w:val="none"/>
        </w:rPr>
      </w:pPr>
    </w:p>
    <w:p w14:paraId="7B4ADDCC">
      <w:pPr>
        <w:pStyle w:val="12"/>
        <w:rPr>
          <w:color w:val="auto"/>
          <w:highlight w:val="none"/>
        </w:rPr>
      </w:pPr>
    </w:p>
    <w:p w14:paraId="034D0A22">
      <w:pPr>
        <w:pStyle w:val="20"/>
        <w:pageBreakBefore w:val="0"/>
        <w:kinsoku/>
        <w:wordWrap/>
        <w:overflowPunct/>
        <w:topLinePunct w:val="0"/>
        <w:bidi w:val="0"/>
        <w:spacing w:line="360" w:lineRule="auto"/>
        <w:ind w:left="0" w:leftChars="0"/>
        <w:jc w:val="left"/>
        <w:rPr>
          <w:rFonts w:hint="eastAsia"/>
          <w:b/>
          <w:bCs/>
          <w:color w:val="auto"/>
          <w:sz w:val="36"/>
          <w:szCs w:val="44"/>
          <w:highlight w:val="none"/>
        </w:rPr>
      </w:pPr>
    </w:p>
    <w:p w14:paraId="434B3DE1">
      <w:pPr>
        <w:rPr>
          <w:rFonts w:hint="eastAsia"/>
          <w:color w:val="auto"/>
          <w:highlight w:val="none"/>
        </w:rPr>
      </w:pPr>
    </w:p>
    <w:p w14:paraId="6AFA487C">
      <w:pPr>
        <w:spacing w:line="360" w:lineRule="auto"/>
        <w:ind w:left="298" w:leftChars="142" w:firstLine="0" w:firstLineChars="0"/>
        <w:jc w:val="left"/>
        <w:rPr>
          <w:rFonts w:hint="eastAsia" w:ascii="宋体" w:hAnsi="宋体" w:eastAsia="宋体" w:cs="宋体"/>
          <w:b/>
          <w:bCs/>
          <w:color w:val="auto"/>
          <w:sz w:val="30"/>
          <w:szCs w:val="30"/>
          <w:highlight w:val="none"/>
        </w:rPr>
      </w:pPr>
      <w:r>
        <w:rPr>
          <w:rFonts w:hint="eastAsia" w:ascii="宋体" w:hAnsi="宋体" w:eastAsia="宋体" w:cs="宋体"/>
          <w:b/>
          <w:bCs/>
          <w:color w:val="auto"/>
          <w:spacing w:val="37"/>
          <w:sz w:val="30"/>
          <w:szCs w:val="30"/>
          <w:highlight w:val="none"/>
          <w:lang w:eastAsia="zh-CN"/>
        </w:rPr>
        <w:t>采购</w:t>
      </w:r>
      <w:r>
        <w:rPr>
          <w:rFonts w:hint="eastAsia" w:ascii="宋体" w:hAnsi="宋体" w:eastAsia="宋体" w:cs="宋体"/>
          <w:b/>
          <w:bCs/>
          <w:color w:val="auto"/>
          <w:spacing w:val="2"/>
          <w:sz w:val="30"/>
          <w:szCs w:val="30"/>
          <w:highlight w:val="none"/>
        </w:rPr>
        <w:t>人</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u w:val="single"/>
          <w:lang w:val="en-US" w:eastAsia="zh-CN"/>
        </w:rPr>
        <w:t xml:space="preserve">     汾阳杏花村经济技术开发区管理委员会    </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eastAsia="zh-CN"/>
        </w:rPr>
        <w:t>盖</w:t>
      </w:r>
      <w:r>
        <w:rPr>
          <w:rFonts w:hint="eastAsia" w:ascii="宋体" w:hAnsi="宋体" w:eastAsia="宋体" w:cs="宋体"/>
          <w:b/>
          <w:bCs/>
          <w:color w:val="auto"/>
          <w:sz w:val="30"/>
          <w:szCs w:val="30"/>
          <w:highlight w:val="none"/>
        </w:rPr>
        <w:t>章）</w:t>
      </w:r>
    </w:p>
    <w:p w14:paraId="560A27E2">
      <w:pPr>
        <w:spacing w:line="360" w:lineRule="auto"/>
        <w:ind w:firstLine="301" w:firstLineChars="10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法定代表人</w:t>
      </w:r>
      <w:r>
        <w:rPr>
          <w:rFonts w:hint="eastAsia" w:ascii="宋体" w:hAnsi="宋体" w:eastAsia="宋体" w:cs="宋体"/>
          <w:b/>
          <w:bCs/>
          <w:color w:val="auto"/>
          <w:sz w:val="30"/>
          <w:szCs w:val="30"/>
          <w:highlight w:val="none"/>
          <w:lang w:eastAsia="zh-CN"/>
        </w:rPr>
        <w:t>或</w:t>
      </w:r>
    </w:p>
    <w:p w14:paraId="2B589438">
      <w:pPr>
        <w:spacing w:line="360" w:lineRule="auto"/>
        <w:ind w:firstLine="301" w:firstLineChars="100"/>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委托代理人</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u w:val="single"/>
          <w:lang w:val="en-US" w:eastAsia="zh-CN"/>
        </w:rPr>
        <w:t xml:space="preserve">   </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eastAsia="zh-CN"/>
        </w:rPr>
        <w:t>签字或盖章</w:t>
      </w:r>
      <w:r>
        <w:rPr>
          <w:rFonts w:hint="eastAsia" w:ascii="宋体" w:hAnsi="宋体" w:eastAsia="宋体" w:cs="宋体"/>
          <w:b/>
          <w:bCs/>
          <w:color w:val="auto"/>
          <w:sz w:val="30"/>
          <w:szCs w:val="30"/>
          <w:highlight w:val="none"/>
        </w:rPr>
        <w:t>）</w:t>
      </w:r>
    </w:p>
    <w:p w14:paraId="1CD3C366">
      <w:pPr>
        <w:spacing w:line="360" w:lineRule="auto"/>
        <w:ind w:firstLine="301" w:firstLineChars="100"/>
        <w:jc w:val="left"/>
        <w:rPr>
          <w:rFonts w:hint="eastAsia" w:ascii="宋体" w:hAnsi="宋体" w:eastAsia="宋体" w:cs="宋体"/>
          <w:b/>
          <w:bCs/>
          <w:color w:val="auto"/>
          <w:sz w:val="30"/>
          <w:szCs w:val="30"/>
          <w:highlight w:val="none"/>
          <w:lang w:eastAsia="zh-CN"/>
        </w:rPr>
      </w:pPr>
    </w:p>
    <w:p w14:paraId="4B0D5597">
      <w:pPr>
        <w:spacing w:line="360" w:lineRule="auto"/>
        <w:ind w:firstLine="301" w:firstLineChars="100"/>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采购代理机构</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u w:val="single"/>
          <w:lang w:val="en-US" w:eastAsia="zh-CN"/>
        </w:rPr>
        <w:t xml:space="preserve">  孝义市正华工程项目管理有限公司   </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eastAsia="zh-CN"/>
        </w:rPr>
        <w:t>盖</w:t>
      </w:r>
      <w:r>
        <w:rPr>
          <w:rFonts w:hint="eastAsia" w:ascii="宋体" w:hAnsi="宋体" w:eastAsia="宋体" w:cs="宋体"/>
          <w:b/>
          <w:bCs/>
          <w:color w:val="auto"/>
          <w:sz w:val="30"/>
          <w:szCs w:val="30"/>
          <w:highlight w:val="none"/>
        </w:rPr>
        <w:t>章）</w:t>
      </w:r>
    </w:p>
    <w:p w14:paraId="53ED2314">
      <w:pPr>
        <w:spacing w:line="360" w:lineRule="auto"/>
        <w:ind w:firstLine="301" w:firstLineChars="10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法定代表人</w:t>
      </w:r>
      <w:r>
        <w:rPr>
          <w:rFonts w:hint="eastAsia" w:ascii="宋体" w:hAnsi="宋体" w:eastAsia="宋体" w:cs="宋体"/>
          <w:b/>
          <w:bCs/>
          <w:color w:val="auto"/>
          <w:sz w:val="30"/>
          <w:szCs w:val="30"/>
          <w:highlight w:val="none"/>
          <w:lang w:eastAsia="zh-CN"/>
        </w:rPr>
        <w:t>或</w:t>
      </w:r>
    </w:p>
    <w:p w14:paraId="74163D8E">
      <w:pPr>
        <w:spacing w:line="360" w:lineRule="auto"/>
        <w:ind w:firstLine="301" w:firstLineChars="100"/>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委托代理人</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u w:val="single"/>
          <w:lang w:val="en-US" w:eastAsia="zh-CN"/>
        </w:rPr>
        <w:t xml:space="preserve">   </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eastAsia="zh-CN"/>
        </w:rPr>
        <w:t>签字或盖章</w:t>
      </w:r>
      <w:r>
        <w:rPr>
          <w:rFonts w:hint="eastAsia" w:ascii="宋体" w:hAnsi="宋体" w:eastAsia="宋体" w:cs="宋体"/>
          <w:b/>
          <w:bCs/>
          <w:color w:val="auto"/>
          <w:sz w:val="30"/>
          <w:szCs w:val="30"/>
          <w:highlight w:val="none"/>
        </w:rPr>
        <w:t>）</w:t>
      </w:r>
    </w:p>
    <w:p w14:paraId="506175AB">
      <w:pPr>
        <w:jc w:val="center"/>
        <w:rPr>
          <w:rFonts w:hint="eastAsia" w:ascii="宋体" w:hAnsi="宋体" w:eastAsia="宋体" w:cs="宋体"/>
          <w:b/>
          <w:bCs/>
          <w:color w:val="auto"/>
          <w:kern w:val="44"/>
          <w:sz w:val="40"/>
          <w:szCs w:val="32"/>
          <w:highlight w:val="none"/>
          <w:lang w:eastAsia="zh-CN"/>
        </w:rPr>
      </w:pPr>
      <w:r>
        <w:rPr>
          <w:rFonts w:hint="eastAsia" w:ascii="宋体" w:hAnsi="宋体" w:eastAsia="宋体" w:cs="宋体"/>
          <w:b/>
          <w:bCs/>
          <w:color w:val="auto"/>
          <w:sz w:val="30"/>
          <w:szCs w:val="30"/>
          <w:highlight w:val="none"/>
        </w:rPr>
        <w:t>日期：二〇二</w:t>
      </w:r>
      <w:r>
        <w:rPr>
          <w:rFonts w:hint="eastAsia" w:ascii="宋体" w:hAnsi="宋体" w:eastAsia="宋体" w:cs="宋体"/>
          <w:b/>
          <w:bCs/>
          <w:color w:val="auto"/>
          <w:sz w:val="30"/>
          <w:szCs w:val="30"/>
          <w:highlight w:val="none"/>
          <w:lang w:eastAsia="zh-CN"/>
        </w:rPr>
        <w:t>六</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lang w:eastAsia="zh-CN"/>
        </w:rPr>
        <w:t>月</w:t>
      </w:r>
    </w:p>
    <w:p w14:paraId="331DE320">
      <w:pPr>
        <w:pageBreakBefore w:val="0"/>
        <w:kinsoku/>
        <w:wordWrap/>
        <w:overflowPunct/>
        <w:topLinePunct w:val="0"/>
        <w:bidi w:val="0"/>
        <w:snapToGrid w:val="0"/>
        <w:spacing w:line="360" w:lineRule="auto"/>
        <w:jc w:val="center"/>
        <w:rPr>
          <w:rFonts w:hint="eastAsia" w:ascii="宋体" w:hAnsi="宋体" w:cs="宋体"/>
          <w:b/>
          <w:bCs/>
          <w:color w:val="auto"/>
          <w:kern w:val="44"/>
          <w:sz w:val="44"/>
          <w:szCs w:val="44"/>
          <w:highlight w:val="none"/>
        </w:rPr>
        <w:sectPr>
          <w:footerReference r:id="rId8" w:type="default"/>
          <w:pgSz w:w="11906" w:h="16838"/>
          <w:pgMar w:top="1418" w:right="1474" w:bottom="1418" w:left="1304" w:header="1021" w:footer="1021" w:gutter="0"/>
          <w:pgNumType w:fmt="decimal"/>
          <w:cols w:space="720" w:num="1"/>
          <w:docGrid w:type="lines" w:linePitch="312" w:charSpace="0"/>
        </w:sectPr>
      </w:pPr>
    </w:p>
    <w:p w14:paraId="4448C3FA">
      <w:pPr>
        <w:pageBreakBefore w:val="0"/>
        <w:kinsoku/>
        <w:wordWrap/>
        <w:overflowPunct/>
        <w:topLinePunct w:val="0"/>
        <w:bidi w:val="0"/>
        <w:snapToGrid w:val="0"/>
        <w:spacing w:line="360" w:lineRule="auto"/>
        <w:jc w:val="center"/>
        <w:rPr>
          <w:rFonts w:hint="eastAsia" w:ascii="宋体" w:hAnsi="宋体" w:cs="宋体"/>
          <w:b/>
          <w:bCs/>
          <w:color w:val="auto"/>
          <w:kern w:val="44"/>
          <w:sz w:val="44"/>
          <w:szCs w:val="44"/>
          <w:highlight w:val="none"/>
        </w:rPr>
        <w:sectPr>
          <w:footerReference r:id="rId9" w:type="default"/>
          <w:pgSz w:w="11906" w:h="16838"/>
          <w:pgMar w:top="1418" w:right="1474" w:bottom="1418" w:left="1304" w:header="1021" w:footer="1021" w:gutter="0"/>
          <w:pgNumType w:fmt="decimal"/>
          <w:cols w:space="720" w:num="1"/>
          <w:docGrid w:type="lines" w:linePitch="312" w:charSpace="0"/>
        </w:sectPr>
      </w:pPr>
    </w:p>
    <w:p w14:paraId="5A1CE7C9">
      <w:pPr>
        <w:pageBreakBefore w:val="0"/>
        <w:kinsoku/>
        <w:wordWrap/>
        <w:overflowPunct/>
        <w:topLinePunct w:val="0"/>
        <w:bidi w:val="0"/>
        <w:snapToGrid w:val="0"/>
        <w:spacing w:line="360" w:lineRule="auto"/>
        <w:jc w:val="center"/>
        <w:rPr>
          <w:rFonts w:hint="eastAsia" w:ascii="宋体" w:hAnsi="宋体" w:cs="宋体"/>
          <w:b/>
          <w:bCs/>
          <w:color w:val="auto"/>
          <w:kern w:val="44"/>
          <w:sz w:val="44"/>
          <w:szCs w:val="44"/>
          <w:highlight w:val="none"/>
        </w:rPr>
      </w:pPr>
      <w:r>
        <w:rPr>
          <w:rFonts w:hint="eastAsia" w:ascii="宋体" w:hAnsi="宋体" w:cs="宋体"/>
          <w:b/>
          <w:bCs/>
          <w:color w:val="auto"/>
          <w:kern w:val="44"/>
          <w:sz w:val="44"/>
          <w:szCs w:val="44"/>
          <w:highlight w:val="none"/>
        </w:rPr>
        <w:t>目  录</w:t>
      </w:r>
      <w:bookmarkEnd w:id="0"/>
      <w:bookmarkEnd w:id="1"/>
    </w:p>
    <w:p w14:paraId="21F4E98E">
      <w:pPr>
        <w:pStyle w:val="27"/>
        <w:pageBreakBefore w:val="0"/>
        <w:tabs>
          <w:tab w:val="right" w:leader="dot" w:pos="9060"/>
        </w:tabs>
        <w:kinsoku/>
        <w:wordWrap/>
        <w:overflowPunct/>
        <w:topLinePunct w:val="0"/>
        <w:bidi w:val="0"/>
        <w:spacing w:line="360" w:lineRule="auto"/>
        <w:rPr>
          <w:rFonts w:ascii="Calibri" w:hAnsi="Calibri"/>
          <w:color w:val="auto"/>
          <w:sz w:val="24"/>
          <w:szCs w:val="24"/>
          <w:highlight w:val="none"/>
        </w:rPr>
      </w:pPr>
      <w:r>
        <w:rPr>
          <w:rFonts w:hint="eastAsia" w:ascii="宋体" w:hAnsi="宋体" w:cs="宋体"/>
          <w:b/>
          <w:color w:val="auto"/>
          <w:spacing w:val="10"/>
          <w:sz w:val="24"/>
          <w:szCs w:val="24"/>
          <w:highlight w:val="none"/>
        </w:rPr>
        <w:fldChar w:fldCharType="begin"/>
      </w:r>
      <w:r>
        <w:rPr>
          <w:rFonts w:hint="eastAsia" w:ascii="宋体" w:hAnsi="宋体" w:cs="宋体"/>
          <w:b/>
          <w:color w:val="auto"/>
          <w:spacing w:val="10"/>
          <w:sz w:val="24"/>
          <w:szCs w:val="24"/>
          <w:highlight w:val="none"/>
        </w:rPr>
        <w:instrText xml:space="preserve"> TOC \o "1-2" \h \z \u </w:instrText>
      </w:r>
      <w:r>
        <w:rPr>
          <w:rFonts w:hint="eastAsia" w:ascii="宋体" w:hAnsi="宋体" w:cs="宋体"/>
          <w:b/>
          <w:color w:val="auto"/>
          <w:spacing w:val="10"/>
          <w:sz w:val="24"/>
          <w:szCs w:val="24"/>
          <w:highlight w:val="none"/>
        </w:rPr>
        <w:fldChar w:fldCharType="separate"/>
      </w:r>
      <w:r>
        <w:rPr>
          <w:color w:val="auto"/>
          <w:highlight w:val="none"/>
        </w:rPr>
        <w:fldChar w:fldCharType="begin"/>
      </w:r>
      <w:r>
        <w:rPr>
          <w:color w:val="auto"/>
          <w:highlight w:val="none"/>
        </w:rPr>
        <w:instrText xml:space="preserve"> HYPERLINK \l "_Toc107306634" </w:instrText>
      </w:r>
      <w:r>
        <w:rPr>
          <w:color w:val="auto"/>
          <w:highlight w:val="none"/>
        </w:rPr>
        <w:fldChar w:fldCharType="separate"/>
      </w:r>
      <w:r>
        <w:rPr>
          <w:rStyle w:val="43"/>
          <w:rFonts w:hint="eastAsia" w:ascii="宋体" w:hAnsi="宋体"/>
          <w:b/>
          <w:color w:val="auto"/>
          <w:sz w:val="24"/>
          <w:szCs w:val="24"/>
          <w:highlight w:val="none"/>
        </w:rPr>
        <w:t>第一部分</w:t>
      </w:r>
      <w:r>
        <w:rPr>
          <w:rStyle w:val="43"/>
          <w:rFonts w:ascii="宋体" w:hAnsi="宋体"/>
          <w:b/>
          <w:color w:val="auto"/>
          <w:sz w:val="24"/>
          <w:szCs w:val="24"/>
          <w:highlight w:val="none"/>
        </w:rPr>
        <w:t xml:space="preserve">  </w:t>
      </w:r>
      <w:r>
        <w:rPr>
          <w:rStyle w:val="43"/>
          <w:rFonts w:hint="eastAsia" w:ascii="宋体" w:hAnsi="宋体"/>
          <w:b/>
          <w:color w:val="auto"/>
          <w:sz w:val="24"/>
          <w:szCs w:val="24"/>
          <w:highlight w:val="none"/>
        </w:rPr>
        <w:t>磋商公告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_Toc107306634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4BB0B6C4">
      <w:pPr>
        <w:pStyle w:val="27"/>
        <w:pageBreakBefore w:val="0"/>
        <w:tabs>
          <w:tab w:val="right" w:leader="dot" w:pos="9060"/>
        </w:tabs>
        <w:kinsoku/>
        <w:wordWrap/>
        <w:overflowPunct/>
        <w:topLinePunct w:val="0"/>
        <w:bidi w:val="0"/>
        <w:spacing w:line="360" w:lineRule="auto"/>
        <w:rPr>
          <w:rFonts w:ascii="Calibri" w:hAnsi="Calibri"/>
          <w:color w:val="auto"/>
          <w:sz w:val="24"/>
          <w:szCs w:val="24"/>
          <w:highlight w:val="none"/>
        </w:rPr>
      </w:pPr>
      <w:r>
        <w:rPr>
          <w:color w:val="auto"/>
          <w:highlight w:val="none"/>
        </w:rPr>
        <w:fldChar w:fldCharType="begin"/>
      </w:r>
      <w:r>
        <w:rPr>
          <w:color w:val="auto"/>
          <w:highlight w:val="none"/>
        </w:rPr>
        <w:instrText xml:space="preserve"> HYPERLINK \l "_Toc107306635" </w:instrText>
      </w:r>
      <w:r>
        <w:rPr>
          <w:color w:val="auto"/>
          <w:highlight w:val="none"/>
        </w:rPr>
        <w:fldChar w:fldCharType="separate"/>
      </w:r>
      <w:r>
        <w:rPr>
          <w:rStyle w:val="43"/>
          <w:rFonts w:hint="eastAsia" w:ascii="宋体" w:hAnsi="宋体"/>
          <w:b/>
          <w:color w:val="auto"/>
          <w:sz w:val="24"/>
          <w:szCs w:val="24"/>
          <w:highlight w:val="none"/>
        </w:rPr>
        <w:t>第二部分</w:t>
      </w:r>
      <w:r>
        <w:rPr>
          <w:rStyle w:val="43"/>
          <w:rFonts w:ascii="宋体" w:hAnsi="宋体"/>
          <w:b/>
          <w:color w:val="auto"/>
          <w:sz w:val="24"/>
          <w:szCs w:val="24"/>
          <w:highlight w:val="none"/>
        </w:rPr>
        <w:t xml:space="preserve">  </w:t>
      </w:r>
      <w:r>
        <w:rPr>
          <w:rStyle w:val="43"/>
          <w:rFonts w:hint="eastAsia" w:ascii="宋体" w:hAnsi="宋体"/>
          <w:b/>
          <w:color w:val="auto"/>
          <w:sz w:val="24"/>
          <w:szCs w:val="24"/>
          <w:highlight w:val="none"/>
        </w:rPr>
        <w:t>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_Toc107306635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color w:val="auto"/>
          <w:sz w:val="24"/>
          <w:szCs w:val="24"/>
          <w:highlight w:val="none"/>
        </w:rPr>
        <w:fldChar w:fldCharType="end"/>
      </w:r>
    </w:p>
    <w:p w14:paraId="5560504C">
      <w:pPr>
        <w:pStyle w:val="27"/>
        <w:pageBreakBefore w:val="0"/>
        <w:tabs>
          <w:tab w:val="right" w:leader="dot" w:pos="9060"/>
        </w:tabs>
        <w:kinsoku/>
        <w:wordWrap/>
        <w:overflowPunct/>
        <w:topLinePunct w:val="0"/>
        <w:bidi w:val="0"/>
        <w:spacing w:line="360" w:lineRule="auto"/>
        <w:rPr>
          <w:rFonts w:ascii="Calibri" w:hAnsi="Calibri"/>
          <w:color w:val="auto"/>
          <w:sz w:val="24"/>
          <w:szCs w:val="24"/>
          <w:highlight w:val="none"/>
        </w:rPr>
      </w:pPr>
      <w:r>
        <w:rPr>
          <w:color w:val="auto"/>
          <w:highlight w:val="none"/>
        </w:rPr>
        <w:fldChar w:fldCharType="begin"/>
      </w:r>
      <w:r>
        <w:rPr>
          <w:color w:val="auto"/>
          <w:highlight w:val="none"/>
        </w:rPr>
        <w:instrText xml:space="preserve"> HYPERLINK \l "_Toc107306636" </w:instrText>
      </w:r>
      <w:r>
        <w:rPr>
          <w:color w:val="auto"/>
          <w:highlight w:val="none"/>
        </w:rPr>
        <w:fldChar w:fldCharType="separate"/>
      </w:r>
      <w:r>
        <w:rPr>
          <w:rStyle w:val="43"/>
          <w:rFonts w:hint="eastAsia" w:ascii="宋体" w:hAnsi="宋体"/>
          <w:b/>
          <w:color w:val="auto"/>
          <w:sz w:val="24"/>
          <w:szCs w:val="24"/>
          <w:highlight w:val="none"/>
        </w:rPr>
        <w:t>第三部分</w:t>
      </w:r>
      <w:r>
        <w:rPr>
          <w:rStyle w:val="43"/>
          <w:rFonts w:ascii="宋体" w:hAnsi="宋体"/>
          <w:b/>
          <w:color w:val="auto"/>
          <w:sz w:val="24"/>
          <w:szCs w:val="24"/>
          <w:highlight w:val="none"/>
        </w:rPr>
        <w:t xml:space="preserve">  </w:t>
      </w:r>
      <w:r>
        <w:rPr>
          <w:rStyle w:val="43"/>
          <w:rFonts w:hint="eastAsia" w:ascii="宋体" w:hAnsi="宋体"/>
          <w:b/>
          <w:color w:val="auto"/>
          <w:sz w:val="24"/>
          <w:szCs w:val="24"/>
          <w:highlight w:val="none"/>
        </w:rPr>
        <w:t>评标办法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_Toc107306636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14:paraId="6AF55E4E">
      <w:pPr>
        <w:pStyle w:val="27"/>
        <w:pageBreakBefore w:val="0"/>
        <w:tabs>
          <w:tab w:val="right" w:leader="dot" w:pos="9060"/>
        </w:tabs>
        <w:kinsoku/>
        <w:wordWrap/>
        <w:overflowPunct/>
        <w:topLinePunct w:val="0"/>
        <w:bidi w:val="0"/>
        <w:spacing w:line="360" w:lineRule="auto"/>
        <w:rPr>
          <w:rFonts w:ascii="Calibri" w:hAnsi="Calibri"/>
          <w:color w:val="auto"/>
          <w:sz w:val="24"/>
          <w:szCs w:val="24"/>
          <w:highlight w:val="none"/>
        </w:rPr>
      </w:pPr>
      <w:r>
        <w:rPr>
          <w:color w:val="auto"/>
          <w:highlight w:val="none"/>
        </w:rPr>
        <w:fldChar w:fldCharType="begin"/>
      </w:r>
      <w:r>
        <w:rPr>
          <w:color w:val="auto"/>
          <w:highlight w:val="none"/>
        </w:rPr>
        <w:instrText xml:space="preserve"> HYPERLINK \l "_Toc107306637" </w:instrText>
      </w:r>
      <w:r>
        <w:rPr>
          <w:color w:val="auto"/>
          <w:highlight w:val="none"/>
        </w:rPr>
        <w:fldChar w:fldCharType="separate"/>
      </w:r>
      <w:r>
        <w:rPr>
          <w:rStyle w:val="43"/>
          <w:rFonts w:hint="eastAsia" w:ascii="宋体" w:hAnsi="宋体"/>
          <w:b/>
          <w:color w:val="auto"/>
          <w:sz w:val="24"/>
          <w:szCs w:val="24"/>
          <w:highlight w:val="none"/>
        </w:rPr>
        <w:t>第四部分</w:t>
      </w:r>
      <w:r>
        <w:rPr>
          <w:rStyle w:val="43"/>
          <w:rFonts w:ascii="宋体" w:hAnsi="宋体"/>
          <w:b/>
          <w:color w:val="auto"/>
          <w:sz w:val="24"/>
          <w:szCs w:val="24"/>
          <w:highlight w:val="none"/>
        </w:rPr>
        <w:t xml:space="preserve">  </w:t>
      </w:r>
      <w:r>
        <w:rPr>
          <w:rStyle w:val="43"/>
          <w:rFonts w:hint="eastAsia" w:ascii="宋体" w:hAnsi="宋体"/>
          <w:b/>
          <w:color w:val="auto"/>
          <w:sz w:val="24"/>
          <w:szCs w:val="24"/>
          <w:highlight w:val="none"/>
        </w:rPr>
        <w:t>商务、技术要</w:t>
      </w:r>
      <w:bookmarkStart w:id="2" w:name="_Hlt134464233"/>
      <w:bookmarkStart w:id="3" w:name="_Hlt134464234"/>
      <w:r>
        <w:rPr>
          <w:rStyle w:val="43"/>
          <w:rFonts w:hint="eastAsia" w:ascii="宋体" w:hAnsi="宋体"/>
          <w:b/>
          <w:color w:val="auto"/>
          <w:sz w:val="24"/>
          <w:szCs w:val="24"/>
          <w:highlight w:val="none"/>
        </w:rPr>
        <w:t>求</w:t>
      </w:r>
      <w:bookmarkEnd w:id="2"/>
      <w:bookmarkEnd w:id="3"/>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_Toc107306637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color w:val="auto"/>
          <w:sz w:val="24"/>
          <w:szCs w:val="24"/>
          <w:highlight w:val="none"/>
        </w:rPr>
        <w:fldChar w:fldCharType="end"/>
      </w:r>
    </w:p>
    <w:p w14:paraId="622FC959">
      <w:pPr>
        <w:pStyle w:val="27"/>
        <w:pageBreakBefore w:val="0"/>
        <w:tabs>
          <w:tab w:val="right" w:leader="dot" w:pos="9060"/>
        </w:tabs>
        <w:kinsoku/>
        <w:wordWrap/>
        <w:overflowPunct/>
        <w:topLinePunct w:val="0"/>
        <w:bidi w:val="0"/>
        <w:spacing w:line="360" w:lineRule="auto"/>
        <w:rPr>
          <w:rFonts w:ascii="Calibri" w:hAnsi="Calibri"/>
          <w:color w:val="auto"/>
          <w:sz w:val="24"/>
          <w:szCs w:val="24"/>
          <w:highlight w:val="none"/>
        </w:rPr>
      </w:pPr>
      <w:r>
        <w:rPr>
          <w:color w:val="auto"/>
          <w:highlight w:val="none"/>
        </w:rPr>
        <w:fldChar w:fldCharType="begin"/>
      </w:r>
      <w:r>
        <w:rPr>
          <w:color w:val="auto"/>
          <w:highlight w:val="none"/>
        </w:rPr>
        <w:instrText xml:space="preserve"> HYPERLINK \l "_Toc107306638" </w:instrText>
      </w:r>
      <w:r>
        <w:rPr>
          <w:color w:val="auto"/>
          <w:highlight w:val="none"/>
        </w:rPr>
        <w:fldChar w:fldCharType="separate"/>
      </w:r>
      <w:r>
        <w:rPr>
          <w:rStyle w:val="43"/>
          <w:rFonts w:hint="eastAsia" w:ascii="宋体" w:hAnsi="宋体"/>
          <w:b/>
          <w:color w:val="auto"/>
          <w:sz w:val="24"/>
          <w:szCs w:val="24"/>
          <w:highlight w:val="none"/>
        </w:rPr>
        <w:t>第五部分</w:t>
      </w:r>
      <w:r>
        <w:rPr>
          <w:rStyle w:val="43"/>
          <w:rFonts w:ascii="宋体" w:hAnsi="宋体"/>
          <w:b/>
          <w:color w:val="auto"/>
          <w:sz w:val="24"/>
          <w:szCs w:val="24"/>
          <w:highlight w:val="none"/>
        </w:rPr>
        <w:t xml:space="preserve">  </w:t>
      </w:r>
      <w:r>
        <w:rPr>
          <w:rStyle w:val="43"/>
          <w:rFonts w:hint="eastAsia" w:ascii="宋体" w:hAnsi="宋体"/>
          <w:b/>
          <w:color w:val="auto"/>
          <w:sz w:val="24"/>
          <w:szCs w:val="24"/>
          <w:highlight w:val="none"/>
        </w:rPr>
        <w:t>合同原则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_Toc107306638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color w:val="auto"/>
          <w:sz w:val="24"/>
          <w:szCs w:val="24"/>
          <w:highlight w:val="none"/>
        </w:rPr>
        <w:fldChar w:fldCharType="end"/>
      </w:r>
    </w:p>
    <w:p w14:paraId="5E4C54A4">
      <w:pPr>
        <w:pStyle w:val="27"/>
        <w:pageBreakBefore w:val="0"/>
        <w:tabs>
          <w:tab w:val="right" w:leader="dot" w:pos="9060"/>
        </w:tabs>
        <w:kinsoku/>
        <w:wordWrap/>
        <w:overflowPunct/>
        <w:topLinePunct w:val="0"/>
        <w:bidi w:val="0"/>
        <w:spacing w:line="360" w:lineRule="auto"/>
        <w:rPr>
          <w:rFonts w:ascii="Calibri" w:hAnsi="Calibri"/>
          <w:color w:val="auto"/>
          <w:sz w:val="24"/>
          <w:szCs w:val="24"/>
          <w:highlight w:val="none"/>
        </w:rPr>
      </w:pPr>
      <w:r>
        <w:rPr>
          <w:color w:val="auto"/>
          <w:highlight w:val="none"/>
        </w:rPr>
        <w:fldChar w:fldCharType="begin"/>
      </w:r>
      <w:r>
        <w:rPr>
          <w:color w:val="auto"/>
          <w:highlight w:val="none"/>
        </w:rPr>
        <w:instrText xml:space="preserve"> HYPERLINK \l "_Toc107306639" </w:instrText>
      </w:r>
      <w:r>
        <w:rPr>
          <w:color w:val="auto"/>
          <w:highlight w:val="none"/>
        </w:rPr>
        <w:fldChar w:fldCharType="separate"/>
      </w:r>
      <w:r>
        <w:rPr>
          <w:rStyle w:val="43"/>
          <w:rFonts w:hint="eastAsia" w:ascii="宋体" w:hAnsi="宋体"/>
          <w:b/>
          <w:color w:val="auto"/>
          <w:sz w:val="24"/>
          <w:szCs w:val="24"/>
          <w:highlight w:val="none"/>
        </w:rPr>
        <w:t>第六部分</w:t>
      </w:r>
      <w:r>
        <w:rPr>
          <w:rStyle w:val="43"/>
          <w:rFonts w:ascii="宋体" w:hAnsi="宋体"/>
          <w:b/>
          <w:color w:val="auto"/>
          <w:sz w:val="24"/>
          <w:szCs w:val="24"/>
          <w:highlight w:val="none"/>
        </w:rPr>
        <w:t xml:space="preserve">  </w:t>
      </w:r>
      <w:r>
        <w:rPr>
          <w:rStyle w:val="43"/>
          <w:rFonts w:hint="eastAsia" w:ascii="宋体" w:hAnsi="宋体"/>
          <w:b/>
          <w:color w:val="auto"/>
          <w:sz w:val="24"/>
          <w:szCs w:val="24"/>
          <w:highlight w:val="none"/>
        </w:rPr>
        <w:t>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_Toc107306639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color w:val="auto"/>
          <w:sz w:val="24"/>
          <w:szCs w:val="24"/>
          <w:highlight w:val="none"/>
        </w:rPr>
        <w:fldChar w:fldCharType="end"/>
      </w:r>
    </w:p>
    <w:p w14:paraId="3157F457">
      <w:pPr>
        <w:pageBreakBefore w:val="0"/>
        <w:kinsoku/>
        <w:wordWrap/>
        <w:overflowPunct/>
        <w:topLinePunct w:val="0"/>
        <w:bidi w:val="0"/>
        <w:spacing w:line="360" w:lineRule="auto"/>
        <w:ind w:firstLine="616" w:firstLineChars="236"/>
        <w:rPr>
          <w:rFonts w:hint="eastAsia" w:ascii="宋体" w:hAnsi="宋体"/>
          <w:color w:val="auto"/>
          <w:kern w:val="0"/>
          <w:szCs w:val="21"/>
          <w:highlight w:val="none"/>
        </w:rPr>
      </w:pPr>
      <w:r>
        <w:rPr>
          <w:rFonts w:hint="eastAsia" w:ascii="宋体" w:hAnsi="宋体" w:cs="宋体"/>
          <w:b/>
          <w:color w:val="auto"/>
          <w:spacing w:val="10"/>
          <w:sz w:val="24"/>
          <w:szCs w:val="24"/>
          <w:highlight w:val="none"/>
        </w:rPr>
        <w:fldChar w:fldCharType="end"/>
      </w:r>
    </w:p>
    <w:p w14:paraId="0151C29A">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sectPr>
          <w:footerReference r:id="rId10" w:type="default"/>
          <w:pgSz w:w="11906" w:h="16838"/>
          <w:pgMar w:top="1418" w:right="1474" w:bottom="1418" w:left="1304" w:header="1021" w:footer="1021" w:gutter="0"/>
          <w:pgNumType w:fmt="decimal"/>
          <w:cols w:space="720" w:num="1"/>
          <w:docGrid w:type="lines" w:linePitch="312" w:charSpace="0"/>
        </w:sectPr>
      </w:pPr>
    </w:p>
    <w:p w14:paraId="14E8984F">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38A34372">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sectPr>
          <w:footerReference r:id="rId11" w:type="default"/>
          <w:pgSz w:w="11906" w:h="16838"/>
          <w:pgMar w:top="1418" w:right="1474" w:bottom="1418" w:left="1304" w:header="1021" w:footer="1021" w:gutter="0"/>
          <w:pgNumType w:fmt="decimal"/>
          <w:cols w:space="720" w:num="1"/>
          <w:docGrid w:type="lines" w:linePitch="312" w:charSpace="0"/>
        </w:sectPr>
      </w:pPr>
    </w:p>
    <w:p w14:paraId="61D2686D">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6A5F3A6A">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6250DD2E">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53422466">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2B7B2C1B">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2F57D37D">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5759276B">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124A18E1">
      <w:pPr>
        <w:keepNext/>
        <w:keepLines/>
        <w:pageBreakBefore w:val="0"/>
        <w:kinsoku/>
        <w:wordWrap/>
        <w:overflowPunct/>
        <w:topLinePunct w:val="0"/>
        <w:bidi w:val="0"/>
        <w:spacing w:before="340" w:after="330" w:line="360" w:lineRule="auto"/>
        <w:jc w:val="center"/>
        <w:outlineLvl w:val="0"/>
        <w:rPr>
          <w:rFonts w:hint="eastAsia" w:ascii="宋体" w:hAnsi="宋体"/>
          <w:b/>
          <w:color w:val="auto"/>
          <w:sz w:val="44"/>
          <w:szCs w:val="44"/>
          <w:highlight w:val="none"/>
        </w:rPr>
      </w:pPr>
      <w:bookmarkStart w:id="4" w:name="_Toc107306634"/>
      <w:r>
        <w:rPr>
          <w:rFonts w:hint="eastAsia" w:ascii="宋体" w:hAnsi="宋体"/>
          <w:b/>
          <w:color w:val="auto"/>
          <w:sz w:val="44"/>
          <w:szCs w:val="44"/>
          <w:highlight w:val="none"/>
        </w:rPr>
        <w:t>第一部分  磋商公告</w:t>
      </w:r>
      <w:bookmarkEnd w:id="4"/>
    </w:p>
    <w:p w14:paraId="3FA91D85">
      <w:pPr>
        <w:pageBreakBefore w:val="0"/>
        <w:widowControl/>
        <w:kinsoku/>
        <w:wordWrap/>
        <w:overflowPunct/>
        <w:topLinePunct w:val="0"/>
        <w:bidi w:val="0"/>
        <w:snapToGrid w:val="0"/>
        <w:spacing w:line="360" w:lineRule="auto"/>
        <w:rPr>
          <w:rFonts w:hint="eastAsia" w:ascii="宋体" w:hAnsi="宋体"/>
          <w:b/>
          <w:color w:val="auto"/>
          <w:sz w:val="32"/>
          <w:szCs w:val="32"/>
          <w:highlight w:val="none"/>
        </w:rPr>
      </w:pPr>
    </w:p>
    <w:p w14:paraId="0AD3976E">
      <w:pPr>
        <w:pageBreakBefore w:val="0"/>
        <w:widowControl/>
        <w:kinsoku/>
        <w:wordWrap/>
        <w:overflowPunct/>
        <w:topLinePunct w:val="0"/>
        <w:bidi w:val="0"/>
        <w:spacing w:line="360" w:lineRule="auto"/>
        <w:jc w:val="center"/>
        <w:rPr>
          <w:rFonts w:hint="eastAsia" w:ascii="宋体" w:hAnsi="宋体" w:cs="宋体"/>
          <w:b/>
          <w:color w:val="auto"/>
          <w:kern w:val="0"/>
          <w:sz w:val="28"/>
          <w:szCs w:val="28"/>
          <w:highlight w:val="none"/>
          <w:lang w:eastAsia="zh-CN"/>
        </w:rPr>
      </w:pPr>
      <w:r>
        <w:rPr>
          <w:rFonts w:ascii="宋体" w:hAnsi="宋体" w:cs="宋体"/>
          <w:b/>
          <w:color w:val="auto"/>
          <w:kern w:val="0"/>
          <w:sz w:val="32"/>
          <w:szCs w:val="32"/>
          <w:highlight w:val="none"/>
        </w:rPr>
        <w:br w:type="page"/>
      </w:r>
      <w:r>
        <w:rPr>
          <w:rFonts w:hint="eastAsia" w:ascii="宋体" w:hAnsi="宋体" w:cs="宋体"/>
          <w:b/>
          <w:color w:val="auto"/>
          <w:kern w:val="0"/>
          <w:sz w:val="28"/>
          <w:szCs w:val="28"/>
          <w:highlight w:val="none"/>
        </w:rPr>
        <w:t>杏花村南环街东延道路改造工程项目用地预审手续办理服务</w:t>
      </w:r>
    </w:p>
    <w:p w14:paraId="55DE507B">
      <w:pPr>
        <w:pageBreakBefore w:val="0"/>
        <w:widowControl/>
        <w:kinsoku/>
        <w:wordWrap/>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磋商公告</w:t>
      </w:r>
    </w:p>
    <w:tbl>
      <w:tblPr>
        <w:tblStyle w:val="3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5935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shd w:val="clear" w:color="auto" w:fill="auto"/>
          </w:tcPr>
          <w:p w14:paraId="4CC25E5E">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项目概况</w:t>
            </w:r>
          </w:p>
          <w:p w14:paraId="57AB1443">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eastAsia="zh-CN"/>
              </w:rPr>
              <w:t>杏花村南环街东延道路改造工程项目用地预审手续办理服务</w:t>
            </w:r>
            <w:r>
              <w:rPr>
                <w:rFonts w:hint="eastAsia" w:ascii="宋体" w:hAnsi="宋体" w:cs="宋体"/>
                <w:color w:val="auto"/>
                <w:kern w:val="0"/>
                <w:szCs w:val="21"/>
                <w:highlight w:val="none"/>
              </w:rPr>
              <w:t>的潜在供应商应在</w:t>
            </w:r>
            <w:r>
              <w:rPr>
                <w:rFonts w:hint="eastAsia" w:ascii="宋体" w:hAnsi="宋体" w:cs="宋体"/>
                <w:color w:val="auto"/>
                <w:kern w:val="0"/>
                <w:szCs w:val="21"/>
                <w:highlight w:val="none"/>
                <w:u w:val="single"/>
              </w:rPr>
              <w:t>政采</w:t>
            </w:r>
            <w:r>
              <w:rPr>
                <w:rFonts w:hint="eastAsia" w:ascii="宋体" w:hAnsi="宋体" w:cs="宋体"/>
                <w:color w:val="auto"/>
                <w:kern w:val="0"/>
                <w:szCs w:val="21"/>
                <w:highlight w:val="none"/>
                <w:u w:val="single"/>
                <w:lang w:val="en-US" w:eastAsia="zh-CN"/>
              </w:rPr>
              <w:t>云</w:t>
            </w:r>
            <w:r>
              <w:rPr>
                <w:rFonts w:hint="eastAsia" w:ascii="宋体" w:hAnsi="宋体" w:cs="宋体"/>
                <w:color w:val="auto"/>
                <w:kern w:val="0"/>
                <w:szCs w:val="21"/>
                <w:highlight w:val="none"/>
                <w:u w:val="single"/>
              </w:rPr>
              <w:t>平台</w:t>
            </w:r>
            <w:r>
              <w:rPr>
                <w:rFonts w:hint="eastAsia" w:ascii="宋体" w:hAnsi="宋体" w:cs="宋体"/>
                <w:color w:val="auto"/>
                <w:kern w:val="0"/>
                <w:szCs w:val="21"/>
                <w:highlight w:val="none"/>
                <w:u w:val="single"/>
                <w:lang w:val="en-US" w:eastAsia="zh-CN"/>
              </w:rPr>
              <w:t>线上</w:t>
            </w:r>
            <w:r>
              <w:rPr>
                <w:rFonts w:hint="eastAsia" w:ascii="宋体" w:hAnsi="宋体" w:cs="宋体"/>
                <w:color w:val="auto"/>
                <w:kern w:val="0"/>
                <w:szCs w:val="21"/>
                <w:highlight w:val="none"/>
              </w:rPr>
              <w:t>（北京时间）前提交响应文件。</w:t>
            </w:r>
          </w:p>
        </w:tc>
      </w:tr>
    </w:tbl>
    <w:p w14:paraId="6AD41608">
      <w:pPr>
        <w:pageBreakBefore w:val="0"/>
        <w:widowControl/>
        <w:kinsoku/>
        <w:wordWrap/>
        <w:overflowPunct/>
        <w:topLinePunct w:val="0"/>
        <w:bidi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一、项目基本情况</w:t>
      </w:r>
    </w:p>
    <w:p w14:paraId="7CEC372F">
      <w:pPr>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lang w:eastAsia="zh-CN"/>
        </w:rPr>
        <w:t>1411822026CCS00096</w:t>
      </w:r>
    </w:p>
    <w:p w14:paraId="6686B3D6">
      <w:pPr>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项目名称：</w:t>
      </w:r>
      <w:r>
        <w:rPr>
          <w:rFonts w:hint="eastAsia" w:ascii="宋体" w:hAnsi="宋体" w:cs="宋体"/>
          <w:color w:val="auto"/>
          <w:kern w:val="0"/>
          <w:szCs w:val="21"/>
          <w:highlight w:val="none"/>
          <w:lang w:eastAsia="zh-CN"/>
        </w:rPr>
        <w:t>杏花村南环街东延道路改造工程项目用地预审手续办理服务</w:t>
      </w:r>
    </w:p>
    <w:p w14:paraId="253FE44B">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预算金额</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lang w:val="en-US" w:eastAsia="zh-CN"/>
        </w:rPr>
        <w:t>392450.00</w:t>
      </w:r>
    </w:p>
    <w:p w14:paraId="1F25D522">
      <w:pPr>
        <w:pageBreakBefore w:val="0"/>
        <w:widowControl/>
        <w:numPr>
          <w:ilvl w:val="0"/>
          <w:numId w:val="0"/>
        </w:numPr>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最高限价</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lang w:val="en-US" w:eastAsia="zh-CN"/>
        </w:rPr>
        <w:t>392450.00</w:t>
      </w:r>
    </w:p>
    <w:p w14:paraId="469FA612">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采购需求</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本项目用地预审技术服务内容包括：用地预审办理过程中需要编制的相关报告包含勘测定界报告、节地评价报告、节约集约用地专章报告，最终取得建设项目用地预审与选址意见书</w:t>
      </w:r>
      <w:r>
        <w:rPr>
          <w:rFonts w:hint="eastAsia" w:ascii="宋体" w:hAnsi="宋体" w:cs="宋体"/>
          <w:color w:val="auto"/>
          <w:kern w:val="0"/>
          <w:szCs w:val="21"/>
          <w:highlight w:val="none"/>
        </w:rPr>
        <w:t>。</w:t>
      </w:r>
    </w:p>
    <w:p w14:paraId="37B5DA50">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标项名称：</w:t>
      </w:r>
      <w:r>
        <w:rPr>
          <w:rFonts w:hint="eastAsia" w:ascii="宋体" w:hAnsi="宋体" w:cs="宋体"/>
          <w:color w:val="auto"/>
          <w:kern w:val="0"/>
          <w:szCs w:val="21"/>
          <w:highlight w:val="none"/>
          <w:lang w:eastAsia="zh-CN"/>
        </w:rPr>
        <w:t>杏花村南环街东延道路改造工程项目用地预审手续办理服务</w:t>
      </w:r>
    </w:p>
    <w:p w14:paraId="51E8F102">
      <w:pPr>
        <w:pageBreakBefore w:val="0"/>
        <w:widowControl/>
        <w:kinsoku/>
        <w:wordWrap/>
        <w:overflowPunct/>
        <w:topLinePunct w:val="0"/>
        <w:bidi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服务期限</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自合同签订之日起</w:t>
      </w:r>
      <w:r>
        <w:rPr>
          <w:rFonts w:hint="eastAsia" w:ascii="宋体" w:hAnsi="宋体" w:cs="宋体"/>
          <w:color w:val="auto"/>
          <w:kern w:val="0"/>
          <w:szCs w:val="21"/>
          <w:highlight w:val="none"/>
          <w:lang w:eastAsia="zh-CN"/>
        </w:rPr>
        <w:t>120个日历天</w:t>
      </w:r>
    </w:p>
    <w:p w14:paraId="43376B90">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服务标准</w:t>
      </w:r>
      <w:r>
        <w:rPr>
          <w:rFonts w:hint="eastAsia" w:ascii="宋体" w:hAnsi="宋体" w:cs="宋体"/>
          <w:color w:val="auto"/>
          <w:kern w:val="0"/>
          <w:szCs w:val="21"/>
          <w:highlight w:val="none"/>
        </w:rPr>
        <w:t>：满足采购人要求且符合国家相关标准。</w:t>
      </w:r>
    </w:p>
    <w:p w14:paraId="6B33E490">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本项目</w:t>
      </w:r>
      <w:r>
        <w:rPr>
          <w:rFonts w:hint="eastAsia" w:ascii="宋体" w:hAnsi="宋体" w:cs="宋体"/>
          <w:color w:val="auto"/>
          <w:kern w:val="0"/>
          <w:szCs w:val="21"/>
          <w:highlight w:val="none"/>
          <w:u w:val="none"/>
          <w:lang w:val="en-US" w:eastAsia="zh-CN"/>
        </w:rPr>
        <w:t>不</w:t>
      </w:r>
      <w:r>
        <w:rPr>
          <w:rFonts w:hint="eastAsia" w:ascii="宋体" w:hAnsi="宋体" w:cs="宋体"/>
          <w:color w:val="auto"/>
          <w:kern w:val="0"/>
          <w:szCs w:val="21"/>
          <w:highlight w:val="none"/>
          <w:u w:val="none"/>
        </w:rPr>
        <w:t>接受</w:t>
      </w:r>
      <w:r>
        <w:rPr>
          <w:rFonts w:hint="eastAsia" w:ascii="宋体" w:hAnsi="宋体" w:cs="宋体"/>
          <w:color w:val="auto"/>
          <w:kern w:val="0"/>
          <w:szCs w:val="21"/>
          <w:highlight w:val="none"/>
        </w:rPr>
        <w:t>联合体。</w:t>
      </w:r>
    </w:p>
    <w:p w14:paraId="05912A80">
      <w:pPr>
        <w:pageBreakBefore w:val="0"/>
        <w:widowControl/>
        <w:kinsoku/>
        <w:wordWrap/>
        <w:overflowPunct/>
        <w:topLinePunct w:val="0"/>
        <w:bidi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二、申请人的资格要求</w:t>
      </w:r>
    </w:p>
    <w:p w14:paraId="2D182720">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1、满足《中华人民共和国政府采购法》第二十二条规定；</w:t>
      </w:r>
    </w:p>
    <w:p w14:paraId="12A1BA10">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2、落实政府采购政策需满足的资格要求：本项目专门面向中小企业采购；</w:t>
      </w:r>
    </w:p>
    <w:p w14:paraId="616BBD92">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3、本项目的特定资格要求：</w:t>
      </w:r>
      <w:r>
        <w:rPr>
          <w:rFonts w:hint="eastAsia" w:ascii="宋体" w:hAnsi="宋体" w:cs="宋体"/>
          <w:color w:val="auto"/>
          <w:kern w:val="0"/>
          <w:szCs w:val="21"/>
          <w:highlight w:val="none"/>
          <w:lang w:eastAsia="zh-CN"/>
        </w:rPr>
        <w:t>投标人须同时具备行政主管部门颁发的测绘乙级及以上资质，项目负责人具有相关专业中级及以上职称证</w:t>
      </w:r>
      <w:r>
        <w:rPr>
          <w:rFonts w:hint="eastAsia" w:ascii="宋体" w:hAnsi="宋体" w:cs="宋体"/>
          <w:color w:val="auto"/>
          <w:kern w:val="0"/>
          <w:szCs w:val="21"/>
          <w:highlight w:val="none"/>
        </w:rPr>
        <w:t>。</w:t>
      </w:r>
    </w:p>
    <w:p w14:paraId="7D5467FF">
      <w:pPr>
        <w:pageBreakBefore w:val="0"/>
        <w:widowControl/>
        <w:kinsoku/>
        <w:wordWrap/>
        <w:overflowPunct/>
        <w:topLinePunct w:val="0"/>
        <w:bidi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三、获取采购文件</w:t>
      </w:r>
    </w:p>
    <w:p w14:paraId="1092411E">
      <w:pPr>
        <w:pageBreakBefore w:val="0"/>
        <w:kinsoku/>
        <w:wordWrap/>
        <w:overflowPunct/>
        <w:topLinePunct w:val="0"/>
        <w:bidi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时间：202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05</w:t>
      </w:r>
      <w:r>
        <w:rPr>
          <w:rFonts w:hint="eastAsia" w:ascii="宋体" w:hAnsi="宋体"/>
          <w:color w:val="auto"/>
          <w:szCs w:val="21"/>
          <w:highlight w:val="none"/>
        </w:rPr>
        <w:t>月</w:t>
      </w:r>
      <w:r>
        <w:rPr>
          <w:rFonts w:hint="eastAsia" w:ascii="宋体" w:hAnsi="宋体"/>
          <w:color w:val="auto"/>
          <w:szCs w:val="21"/>
          <w:highlight w:val="none"/>
          <w:lang w:val="en-US" w:eastAsia="zh-CN"/>
        </w:rPr>
        <w:t>09</w:t>
      </w:r>
      <w:r>
        <w:rPr>
          <w:rFonts w:hint="eastAsia" w:ascii="宋体" w:hAnsi="宋体"/>
          <w:color w:val="auto"/>
          <w:szCs w:val="21"/>
          <w:highlight w:val="none"/>
        </w:rPr>
        <w:t>日00:00至202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05</w:t>
      </w:r>
      <w:r>
        <w:rPr>
          <w:rFonts w:hint="eastAsia" w:ascii="宋体" w:hAnsi="宋体"/>
          <w:color w:val="auto"/>
          <w:szCs w:val="21"/>
          <w:highlight w:val="none"/>
        </w:rPr>
        <w:t>月</w:t>
      </w:r>
      <w:r>
        <w:rPr>
          <w:rFonts w:hint="eastAsia" w:ascii="宋体" w:hAnsi="宋体"/>
          <w:color w:val="auto"/>
          <w:szCs w:val="21"/>
          <w:highlight w:val="none"/>
          <w:lang w:val="en-US" w:eastAsia="zh-CN"/>
        </w:rPr>
        <w:t>14</w:t>
      </w:r>
      <w:r>
        <w:rPr>
          <w:rFonts w:hint="eastAsia" w:ascii="宋体" w:hAnsi="宋体"/>
          <w:color w:val="auto"/>
          <w:szCs w:val="21"/>
          <w:highlight w:val="none"/>
        </w:rPr>
        <w:t>日23:59（北京时间，法定节假日除外）</w:t>
      </w:r>
    </w:p>
    <w:p w14:paraId="6D8B0F0E">
      <w:pPr>
        <w:pageBreakBefore w:val="0"/>
        <w:kinsoku/>
        <w:wordWrap/>
        <w:overflowPunct/>
        <w:topLinePunct w:val="0"/>
        <w:bidi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地点：政采云平台线上获取</w:t>
      </w:r>
    </w:p>
    <w:p w14:paraId="71F77BF2">
      <w:pPr>
        <w:pageBreakBefore w:val="0"/>
        <w:kinsoku/>
        <w:wordWrap/>
        <w:overflowPunct/>
        <w:topLinePunct w:val="0"/>
        <w:bidi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方式：在线获取</w:t>
      </w:r>
    </w:p>
    <w:p w14:paraId="2232B916">
      <w:pPr>
        <w:pageBreakBefore w:val="0"/>
        <w:kinsoku/>
        <w:wordWrap/>
        <w:overflowPunct/>
        <w:topLinePunct w:val="0"/>
        <w:bidi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售价（元）：0</w:t>
      </w:r>
    </w:p>
    <w:p w14:paraId="0EF3379E">
      <w:pPr>
        <w:pageBreakBefore w:val="0"/>
        <w:widowControl/>
        <w:kinsoku/>
        <w:wordWrap/>
        <w:overflowPunct/>
        <w:topLinePunct w:val="0"/>
        <w:bidi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四、响应文件提交</w:t>
      </w:r>
    </w:p>
    <w:p w14:paraId="23A96BD6">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截止时间：</w:t>
      </w:r>
      <w:r>
        <w:rPr>
          <w:rFonts w:hint="eastAsia" w:ascii="宋体" w:hAnsi="宋体" w:cs="宋体"/>
          <w:color w:val="auto"/>
          <w:kern w:val="0"/>
          <w:szCs w:val="21"/>
          <w:highlight w:val="none"/>
          <w:lang w:eastAsia="zh-CN"/>
        </w:rPr>
        <w:t>2026年05月19日09时00分</w:t>
      </w:r>
      <w:r>
        <w:rPr>
          <w:rFonts w:hint="eastAsia" w:ascii="宋体" w:hAnsi="宋体" w:cs="宋体"/>
          <w:color w:val="auto"/>
          <w:kern w:val="0"/>
          <w:szCs w:val="21"/>
          <w:highlight w:val="none"/>
        </w:rPr>
        <w:t>（北京时间）</w:t>
      </w:r>
    </w:p>
    <w:p w14:paraId="359AB680">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地点：请登录政采云投标客户端投标</w:t>
      </w:r>
    </w:p>
    <w:p w14:paraId="0B582A77">
      <w:pPr>
        <w:pageBreakBefore w:val="0"/>
        <w:widowControl/>
        <w:kinsoku/>
        <w:wordWrap/>
        <w:overflowPunct/>
        <w:topLinePunct w:val="0"/>
        <w:bidi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五、开启</w:t>
      </w:r>
    </w:p>
    <w:p w14:paraId="5061C22A">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r>
        <w:rPr>
          <w:rFonts w:hint="eastAsia" w:ascii="宋体" w:hAnsi="宋体" w:cs="宋体"/>
          <w:color w:val="auto"/>
          <w:kern w:val="0"/>
          <w:szCs w:val="21"/>
          <w:highlight w:val="none"/>
          <w:lang w:eastAsia="zh-CN"/>
        </w:rPr>
        <w:t>2026年05月19日09时00分</w:t>
      </w:r>
      <w:r>
        <w:rPr>
          <w:rFonts w:hint="eastAsia" w:ascii="宋体" w:hAnsi="宋体" w:cs="宋体"/>
          <w:color w:val="auto"/>
          <w:kern w:val="0"/>
          <w:szCs w:val="21"/>
          <w:highlight w:val="none"/>
        </w:rPr>
        <w:t>（北京时间）</w:t>
      </w:r>
    </w:p>
    <w:p w14:paraId="65A6E205">
      <w:pPr>
        <w:pageBreakBefore w:val="0"/>
        <w:widowControl/>
        <w:kinsoku/>
        <w:wordWrap/>
        <w:overflowPunct/>
        <w:topLinePunct w:val="0"/>
        <w:bidi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六、公告期限</w:t>
      </w:r>
    </w:p>
    <w:p w14:paraId="4E39B767">
      <w:pPr>
        <w:pageBreakBefore w:val="0"/>
        <w:widowControl/>
        <w:kinsoku/>
        <w:wordWrap/>
        <w:overflowPunct/>
        <w:topLinePunct w:val="0"/>
        <w:bidi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173DBF3D">
      <w:pPr>
        <w:pageBreakBefore w:val="0"/>
        <w:widowControl/>
        <w:kinsoku/>
        <w:wordWrap/>
        <w:overflowPunct/>
        <w:topLinePunct w:val="0"/>
        <w:bidi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七、其他补充事宜</w:t>
      </w:r>
    </w:p>
    <w:p w14:paraId="4A9E2A0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1.本项目公告在《山西省政府采购网》网站上发布。</w:t>
      </w:r>
    </w:p>
    <w:p w14:paraId="48AA4DC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2.潜在供应商对磋商公告有异议时，应当在法律、法规规定的相关期限内，以书面形式提出，并递交给采购代理机构。</w:t>
      </w:r>
    </w:p>
    <w:p w14:paraId="33DC889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3.针对本项目的质疑需一次性提出，多次提出将不予受理。</w:t>
      </w:r>
    </w:p>
    <w:p w14:paraId="7BFE352B">
      <w:pPr>
        <w:pageBreakBefore w:val="0"/>
        <w:widowControl/>
        <w:kinsoku/>
        <w:wordWrap/>
        <w:overflowPunct/>
        <w:topLinePunct w:val="0"/>
        <w:bidi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八、凡对本次采购提出询问，请按以下方式联系。</w:t>
      </w:r>
    </w:p>
    <w:p w14:paraId="11FF0EE5">
      <w:pPr>
        <w:spacing w:line="360" w:lineRule="auto"/>
        <w:ind w:firstLine="630" w:firstLineChars="300"/>
        <w:jc w:val="left"/>
        <w:rPr>
          <w:rFonts w:hint="eastAsia" w:ascii="宋体" w:hAnsi="宋体" w:eastAsia="宋体" w:cs="宋体"/>
          <w:color w:val="auto"/>
          <w:spacing w:val="0"/>
          <w:kern w:val="21"/>
          <w:sz w:val="21"/>
          <w:szCs w:val="21"/>
          <w:highlight w:val="none"/>
        </w:rPr>
      </w:pPr>
      <w:r>
        <w:rPr>
          <w:rFonts w:hint="eastAsia" w:ascii="宋体" w:hAnsi="宋体" w:eastAsia="宋体" w:cs="宋体"/>
          <w:color w:val="auto"/>
          <w:spacing w:val="0"/>
          <w:kern w:val="21"/>
          <w:sz w:val="21"/>
          <w:szCs w:val="21"/>
          <w:highlight w:val="none"/>
        </w:rPr>
        <w:t>1.采购人信息</w:t>
      </w:r>
    </w:p>
    <w:p w14:paraId="336032D1">
      <w:pPr>
        <w:spacing w:line="360" w:lineRule="auto"/>
        <w:ind w:firstLine="630" w:firstLineChars="300"/>
        <w:jc w:val="left"/>
        <w:rPr>
          <w:rFonts w:hint="eastAsia" w:ascii="宋体" w:hAnsi="宋体" w:eastAsia="宋体" w:cs="宋体"/>
          <w:color w:val="auto"/>
          <w:spacing w:val="0"/>
          <w:kern w:val="21"/>
          <w:sz w:val="21"/>
          <w:szCs w:val="21"/>
          <w:highlight w:val="none"/>
        </w:rPr>
      </w:pPr>
      <w:r>
        <w:rPr>
          <w:rFonts w:hint="eastAsia" w:ascii="宋体" w:hAnsi="宋体" w:eastAsia="宋体" w:cs="宋体"/>
          <w:color w:val="auto"/>
          <w:spacing w:val="0"/>
          <w:kern w:val="21"/>
          <w:sz w:val="21"/>
          <w:szCs w:val="21"/>
          <w:highlight w:val="none"/>
        </w:rPr>
        <w:t>名    称：</w:t>
      </w:r>
      <w:r>
        <w:rPr>
          <w:rFonts w:hint="eastAsia" w:ascii="宋体" w:hAnsi="宋体" w:cs="宋体"/>
          <w:color w:val="auto"/>
          <w:spacing w:val="0"/>
          <w:kern w:val="21"/>
          <w:sz w:val="21"/>
          <w:szCs w:val="21"/>
          <w:highlight w:val="none"/>
          <w:lang w:eastAsia="zh-CN"/>
        </w:rPr>
        <w:t>汾阳杏花村经济技术开发区管理委员会</w:t>
      </w:r>
    </w:p>
    <w:p w14:paraId="50119277">
      <w:pPr>
        <w:spacing w:line="360" w:lineRule="auto"/>
        <w:ind w:firstLine="630" w:firstLineChars="300"/>
        <w:jc w:val="left"/>
        <w:rPr>
          <w:rFonts w:hint="eastAsia" w:ascii="宋体" w:hAnsi="宋体" w:eastAsia="宋体" w:cs="宋体"/>
          <w:color w:val="auto"/>
          <w:spacing w:val="0"/>
          <w:kern w:val="21"/>
          <w:sz w:val="21"/>
          <w:szCs w:val="21"/>
          <w:highlight w:val="none"/>
        </w:rPr>
      </w:pPr>
      <w:r>
        <w:rPr>
          <w:rFonts w:hint="eastAsia" w:ascii="宋体" w:hAnsi="宋体" w:eastAsia="宋体" w:cs="宋体"/>
          <w:color w:val="auto"/>
          <w:spacing w:val="0"/>
          <w:kern w:val="21"/>
          <w:sz w:val="21"/>
          <w:szCs w:val="21"/>
          <w:highlight w:val="none"/>
        </w:rPr>
        <w:t>地    址：汾阳杏花村经济技术开发区</w:t>
      </w:r>
    </w:p>
    <w:p w14:paraId="2652056B">
      <w:pPr>
        <w:spacing w:line="360" w:lineRule="auto"/>
        <w:ind w:firstLine="630" w:firstLineChars="300"/>
        <w:jc w:val="left"/>
        <w:rPr>
          <w:rFonts w:hint="default" w:ascii="宋体" w:hAnsi="宋体" w:eastAsia="宋体" w:cs="宋体"/>
          <w:color w:val="auto"/>
          <w:spacing w:val="0"/>
          <w:kern w:val="21"/>
          <w:sz w:val="21"/>
          <w:szCs w:val="21"/>
          <w:highlight w:val="none"/>
          <w:lang w:val="en-US" w:eastAsia="zh-CN"/>
        </w:rPr>
      </w:pPr>
      <w:r>
        <w:rPr>
          <w:rFonts w:hint="eastAsia" w:ascii="宋体" w:hAnsi="宋体"/>
          <w:color w:val="auto"/>
          <w:highlight w:val="none"/>
        </w:rPr>
        <w:t>联</w:t>
      </w:r>
      <w:r>
        <w:rPr>
          <w:rFonts w:hint="eastAsia" w:ascii="宋体" w:hAnsi="宋体"/>
          <w:color w:val="auto"/>
          <w:highlight w:val="none"/>
          <w:lang w:val="en-US" w:eastAsia="zh-CN"/>
        </w:rPr>
        <w:t xml:space="preserve"> </w:t>
      </w:r>
      <w:r>
        <w:rPr>
          <w:rFonts w:hint="eastAsia" w:ascii="宋体" w:hAnsi="宋体"/>
          <w:color w:val="auto"/>
          <w:highlight w:val="none"/>
        </w:rPr>
        <w:t>系</w:t>
      </w:r>
      <w:r>
        <w:rPr>
          <w:rFonts w:hint="eastAsia" w:ascii="宋体" w:hAnsi="宋体"/>
          <w:color w:val="auto"/>
          <w:highlight w:val="none"/>
          <w:lang w:val="en-US" w:eastAsia="zh-CN"/>
        </w:rPr>
        <w:t xml:space="preserve"> </w:t>
      </w:r>
      <w:r>
        <w:rPr>
          <w:rFonts w:hint="eastAsia" w:ascii="宋体" w:hAnsi="宋体"/>
          <w:color w:val="auto"/>
          <w:highlight w:val="none"/>
        </w:rPr>
        <w:t>人</w:t>
      </w:r>
      <w:r>
        <w:rPr>
          <w:rFonts w:hint="eastAsia" w:ascii="宋体" w:hAnsi="宋体"/>
          <w:color w:val="auto"/>
          <w:highlight w:val="none"/>
          <w:lang w:eastAsia="zh-CN"/>
        </w:rPr>
        <w:t>：</w:t>
      </w:r>
      <w:r>
        <w:rPr>
          <w:rFonts w:hint="eastAsia" w:ascii="宋体" w:hAnsi="宋体"/>
          <w:color w:val="auto"/>
          <w:highlight w:val="none"/>
          <w:lang w:val="en-US" w:eastAsia="zh-CN"/>
        </w:rPr>
        <w:t>刘先生</w:t>
      </w:r>
    </w:p>
    <w:p w14:paraId="781B7739">
      <w:pPr>
        <w:spacing w:line="360" w:lineRule="auto"/>
        <w:ind w:firstLine="630" w:firstLineChars="300"/>
        <w:jc w:val="left"/>
        <w:rPr>
          <w:rFonts w:hint="default" w:ascii="宋体" w:hAnsi="宋体" w:eastAsia="宋体" w:cs="宋体"/>
          <w:color w:val="auto"/>
          <w:spacing w:val="0"/>
          <w:kern w:val="21"/>
          <w:sz w:val="21"/>
          <w:szCs w:val="21"/>
          <w:highlight w:val="none"/>
          <w:lang w:val="en-US" w:eastAsia="zh-CN"/>
        </w:rPr>
      </w:pPr>
      <w:r>
        <w:rPr>
          <w:rFonts w:hint="eastAsia" w:ascii="宋体" w:hAnsi="宋体" w:eastAsia="宋体" w:cs="宋体"/>
          <w:color w:val="auto"/>
          <w:spacing w:val="0"/>
          <w:kern w:val="21"/>
          <w:sz w:val="21"/>
          <w:szCs w:val="21"/>
          <w:highlight w:val="none"/>
          <w:lang w:eastAsia="zh-CN"/>
        </w:rPr>
        <w:t>电    话：</w:t>
      </w:r>
      <w:r>
        <w:rPr>
          <w:rFonts w:hint="eastAsia" w:ascii="宋体" w:hAnsi="宋体" w:cs="宋体"/>
          <w:color w:val="auto"/>
          <w:spacing w:val="0"/>
          <w:kern w:val="21"/>
          <w:sz w:val="21"/>
          <w:szCs w:val="21"/>
          <w:highlight w:val="none"/>
          <w:lang w:val="en-US" w:eastAsia="zh-CN"/>
        </w:rPr>
        <w:t>0358-3335099</w:t>
      </w:r>
    </w:p>
    <w:p w14:paraId="76FEC1B8">
      <w:pPr>
        <w:pageBreakBefore w:val="0"/>
        <w:widowControl/>
        <w:kinsoku/>
        <w:wordWrap/>
        <w:overflowPunct/>
        <w:topLinePunct w:val="0"/>
        <w:bidi w:val="0"/>
        <w:spacing w:line="360" w:lineRule="auto"/>
        <w:ind w:firstLine="630" w:firstLineChars="300"/>
        <w:jc w:val="left"/>
        <w:rPr>
          <w:rFonts w:hint="eastAsia" w:ascii="宋体" w:hAnsi="宋体"/>
          <w:color w:val="auto"/>
          <w:highlight w:val="none"/>
        </w:rPr>
      </w:pPr>
      <w:r>
        <w:rPr>
          <w:rFonts w:hint="eastAsia" w:ascii="宋体" w:hAnsi="宋体"/>
          <w:color w:val="auto"/>
          <w:highlight w:val="none"/>
        </w:rPr>
        <w:t>2、采购代理机构信息</w:t>
      </w:r>
    </w:p>
    <w:p w14:paraId="63F2790D">
      <w:pPr>
        <w:pageBreakBefore w:val="0"/>
        <w:widowControl/>
        <w:kinsoku/>
        <w:wordWrap/>
        <w:overflowPunct/>
        <w:topLinePunct w:val="0"/>
        <w:bidi w:val="0"/>
        <w:spacing w:line="360" w:lineRule="auto"/>
        <w:ind w:firstLine="630" w:firstLineChars="300"/>
        <w:jc w:val="left"/>
        <w:rPr>
          <w:rFonts w:hint="eastAsia" w:ascii="宋体" w:hAnsi="宋体"/>
          <w:color w:val="auto"/>
          <w:highlight w:val="none"/>
        </w:rPr>
      </w:pPr>
      <w:r>
        <w:rPr>
          <w:rFonts w:hint="eastAsia" w:ascii="宋体" w:hAnsi="宋体"/>
          <w:color w:val="auto"/>
          <w:highlight w:val="none"/>
        </w:rPr>
        <w:t>名    称：孝义市正华工程项目管理有限公司</w:t>
      </w:r>
    </w:p>
    <w:p w14:paraId="05BACABC">
      <w:pPr>
        <w:pageBreakBefore w:val="0"/>
        <w:widowControl/>
        <w:kinsoku/>
        <w:wordWrap/>
        <w:overflowPunct/>
        <w:topLinePunct w:val="0"/>
        <w:bidi w:val="0"/>
        <w:spacing w:line="360" w:lineRule="auto"/>
        <w:ind w:firstLine="630" w:firstLineChars="300"/>
        <w:jc w:val="left"/>
        <w:rPr>
          <w:rFonts w:hint="eastAsia" w:ascii="宋体" w:hAnsi="宋体"/>
          <w:color w:val="auto"/>
          <w:highlight w:val="none"/>
        </w:rPr>
      </w:pPr>
      <w:r>
        <w:rPr>
          <w:rFonts w:hint="eastAsia" w:ascii="宋体" w:hAnsi="宋体"/>
          <w:color w:val="auto"/>
          <w:highlight w:val="none"/>
        </w:rPr>
        <w:t>地　　址：山西省吕梁市孝义市新义街道办事处西关购物广场e2-5号</w:t>
      </w:r>
    </w:p>
    <w:p w14:paraId="5110CC2E">
      <w:pPr>
        <w:pageBreakBefore w:val="0"/>
        <w:widowControl/>
        <w:kinsoku/>
        <w:wordWrap/>
        <w:overflowPunct/>
        <w:topLinePunct w:val="0"/>
        <w:bidi w:val="0"/>
        <w:spacing w:line="360" w:lineRule="auto"/>
        <w:ind w:firstLine="630" w:firstLineChars="300"/>
        <w:jc w:val="left"/>
        <w:rPr>
          <w:rFonts w:hint="default" w:ascii="宋体" w:hAnsi="宋体" w:eastAsia="宋体"/>
          <w:color w:val="auto"/>
          <w:highlight w:val="none"/>
          <w:lang w:val="en-US" w:eastAsia="zh-CN"/>
        </w:rPr>
      </w:pPr>
      <w:r>
        <w:rPr>
          <w:rFonts w:hint="eastAsia" w:ascii="宋体" w:hAnsi="宋体"/>
          <w:color w:val="auto"/>
          <w:highlight w:val="none"/>
        </w:rPr>
        <w:t>联系方式：</w:t>
      </w:r>
      <w:r>
        <w:rPr>
          <w:rFonts w:hint="eastAsia" w:ascii="宋体" w:hAnsi="宋体"/>
          <w:color w:val="auto"/>
          <w:highlight w:val="none"/>
          <w:lang w:val="en-US" w:eastAsia="zh-CN"/>
        </w:rPr>
        <w:t>17735748363</w:t>
      </w:r>
    </w:p>
    <w:p w14:paraId="264794C1">
      <w:pPr>
        <w:pageBreakBefore w:val="0"/>
        <w:widowControl/>
        <w:kinsoku/>
        <w:wordWrap/>
        <w:overflowPunct/>
        <w:topLinePunct w:val="0"/>
        <w:bidi w:val="0"/>
        <w:spacing w:line="360" w:lineRule="auto"/>
        <w:ind w:firstLine="630" w:firstLineChars="300"/>
        <w:jc w:val="left"/>
        <w:rPr>
          <w:rFonts w:hint="eastAsia" w:ascii="宋体" w:hAnsi="宋体"/>
          <w:color w:val="auto"/>
          <w:highlight w:val="none"/>
        </w:rPr>
      </w:pPr>
      <w:r>
        <w:rPr>
          <w:rFonts w:hint="eastAsia" w:ascii="宋体" w:hAnsi="宋体"/>
          <w:color w:val="auto"/>
          <w:highlight w:val="none"/>
        </w:rPr>
        <w:t>3、项目联系方式</w:t>
      </w:r>
    </w:p>
    <w:p w14:paraId="02530783">
      <w:pPr>
        <w:pageBreakBefore w:val="0"/>
        <w:widowControl/>
        <w:kinsoku/>
        <w:wordWrap/>
        <w:overflowPunct/>
        <w:topLinePunct w:val="0"/>
        <w:bidi w:val="0"/>
        <w:spacing w:line="360" w:lineRule="auto"/>
        <w:ind w:firstLine="630" w:firstLineChars="300"/>
        <w:jc w:val="left"/>
        <w:rPr>
          <w:rFonts w:hint="eastAsia" w:ascii="宋体" w:hAnsi="宋体"/>
          <w:color w:val="auto"/>
          <w:highlight w:val="none"/>
        </w:rPr>
      </w:pPr>
      <w:r>
        <w:rPr>
          <w:rFonts w:hint="eastAsia" w:ascii="宋体" w:hAnsi="宋体"/>
          <w:color w:val="auto"/>
          <w:highlight w:val="none"/>
        </w:rPr>
        <w:t xml:space="preserve">项目联系人：薛先生 </w:t>
      </w:r>
    </w:p>
    <w:p w14:paraId="14925828">
      <w:pPr>
        <w:pageBreakBefore w:val="0"/>
        <w:widowControl/>
        <w:kinsoku/>
        <w:wordWrap/>
        <w:overflowPunct/>
        <w:topLinePunct w:val="0"/>
        <w:bidi w:val="0"/>
        <w:spacing w:line="360" w:lineRule="auto"/>
        <w:ind w:firstLine="630" w:firstLineChars="300"/>
        <w:jc w:val="left"/>
        <w:rPr>
          <w:rFonts w:hint="default" w:ascii="宋体" w:hAnsi="宋体" w:eastAsia="宋体"/>
          <w:color w:val="auto"/>
          <w:highlight w:val="none"/>
          <w:lang w:val="en-US" w:eastAsia="zh-CN"/>
        </w:rPr>
      </w:pPr>
      <w:r>
        <w:rPr>
          <w:rFonts w:hint="eastAsia" w:ascii="宋体" w:hAnsi="宋体"/>
          <w:color w:val="auto"/>
          <w:highlight w:val="none"/>
        </w:rPr>
        <w:t>电　　 话：</w:t>
      </w:r>
      <w:r>
        <w:rPr>
          <w:rFonts w:hint="eastAsia" w:ascii="宋体" w:hAnsi="宋体"/>
          <w:color w:val="auto"/>
          <w:highlight w:val="none"/>
          <w:lang w:val="en-US" w:eastAsia="zh-CN"/>
        </w:rPr>
        <w:t>17735748363</w:t>
      </w:r>
    </w:p>
    <w:p w14:paraId="2363E529">
      <w:pPr>
        <w:pageBreakBefore w:val="0"/>
        <w:widowControl/>
        <w:kinsoku/>
        <w:wordWrap/>
        <w:overflowPunct/>
        <w:topLinePunct w:val="0"/>
        <w:bidi w:val="0"/>
        <w:spacing w:line="360" w:lineRule="auto"/>
        <w:jc w:val="left"/>
        <w:rPr>
          <w:rFonts w:hint="eastAsia" w:ascii="宋体" w:hAnsi="宋体" w:cs="宋体"/>
          <w:bCs/>
          <w:color w:val="auto"/>
          <w:spacing w:val="10"/>
          <w:kern w:val="0"/>
          <w:sz w:val="24"/>
          <w:szCs w:val="24"/>
          <w:highlight w:val="none"/>
        </w:rPr>
      </w:pPr>
      <w:r>
        <w:rPr>
          <w:rFonts w:ascii="宋体" w:hAnsi="宋体" w:cs="宋体"/>
          <w:bCs/>
          <w:color w:val="auto"/>
          <w:spacing w:val="10"/>
          <w:kern w:val="0"/>
          <w:sz w:val="24"/>
          <w:szCs w:val="24"/>
          <w:highlight w:val="none"/>
        </w:rPr>
        <w:br w:type="page"/>
      </w:r>
    </w:p>
    <w:p w14:paraId="4A5B0925">
      <w:pPr>
        <w:pageBreakBefore w:val="0"/>
        <w:widowControl/>
        <w:kinsoku/>
        <w:wordWrap/>
        <w:overflowPunct/>
        <w:topLinePunct w:val="0"/>
        <w:bidi w:val="0"/>
        <w:snapToGrid w:val="0"/>
        <w:spacing w:line="360" w:lineRule="auto"/>
        <w:rPr>
          <w:rFonts w:hint="eastAsia" w:ascii="宋体" w:hAnsi="宋体" w:cs="宋体"/>
          <w:bCs/>
          <w:color w:val="auto"/>
          <w:spacing w:val="10"/>
          <w:kern w:val="0"/>
          <w:sz w:val="24"/>
          <w:szCs w:val="24"/>
          <w:highlight w:val="none"/>
        </w:rPr>
      </w:pPr>
    </w:p>
    <w:p w14:paraId="217AB393">
      <w:pPr>
        <w:pageBreakBefore w:val="0"/>
        <w:widowControl/>
        <w:kinsoku/>
        <w:wordWrap/>
        <w:overflowPunct/>
        <w:topLinePunct w:val="0"/>
        <w:bidi w:val="0"/>
        <w:snapToGrid w:val="0"/>
        <w:spacing w:line="360" w:lineRule="auto"/>
        <w:rPr>
          <w:rFonts w:hint="eastAsia" w:ascii="宋体" w:hAnsi="宋体" w:cs="宋体"/>
          <w:bCs/>
          <w:color w:val="auto"/>
          <w:spacing w:val="10"/>
          <w:kern w:val="0"/>
          <w:sz w:val="24"/>
          <w:szCs w:val="24"/>
          <w:highlight w:val="none"/>
        </w:rPr>
      </w:pPr>
    </w:p>
    <w:p w14:paraId="7B47CDCA">
      <w:pPr>
        <w:pageBreakBefore w:val="0"/>
        <w:widowControl/>
        <w:kinsoku/>
        <w:wordWrap/>
        <w:overflowPunct/>
        <w:topLinePunct w:val="0"/>
        <w:bidi w:val="0"/>
        <w:snapToGrid w:val="0"/>
        <w:spacing w:line="360" w:lineRule="auto"/>
        <w:rPr>
          <w:rFonts w:hint="eastAsia" w:ascii="宋体" w:hAnsi="宋体" w:cs="宋体"/>
          <w:bCs/>
          <w:color w:val="auto"/>
          <w:spacing w:val="10"/>
          <w:kern w:val="0"/>
          <w:sz w:val="24"/>
          <w:szCs w:val="24"/>
          <w:highlight w:val="none"/>
        </w:rPr>
      </w:pPr>
    </w:p>
    <w:p w14:paraId="0CAEB1DA">
      <w:pPr>
        <w:pageBreakBefore w:val="0"/>
        <w:widowControl/>
        <w:kinsoku/>
        <w:wordWrap/>
        <w:overflowPunct/>
        <w:topLinePunct w:val="0"/>
        <w:bidi w:val="0"/>
        <w:snapToGrid w:val="0"/>
        <w:spacing w:line="360" w:lineRule="auto"/>
        <w:rPr>
          <w:rFonts w:hint="eastAsia" w:ascii="宋体" w:hAnsi="宋体" w:cs="宋体"/>
          <w:bCs/>
          <w:color w:val="auto"/>
          <w:spacing w:val="10"/>
          <w:kern w:val="0"/>
          <w:sz w:val="24"/>
          <w:szCs w:val="24"/>
          <w:highlight w:val="none"/>
        </w:rPr>
      </w:pPr>
    </w:p>
    <w:p w14:paraId="24E9A83A">
      <w:pPr>
        <w:pageBreakBefore w:val="0"/>
        <w:widowControl/>
        <w:kinsoku/>
        <w:wordWrap/>
        <w:overflowPunct/>
        <w:topLinePunct w:val="0"/>
        <w:bidi w:val="0"/>
        <w:snapToGrid w:val="0"/>
        <w:spacing w:line="360" w:lineRule="auto"/>
        <w:rPr>
          <w:rFonts w:hint="eastAsia" w:ascii="宋体" w:hAnsi="宋体" w:cs="宋体"/>
          <w:bCs/>
          <w:color w:val="auto"/>
          <w:spacing w:val="10"/>
          <w:kern w:val="0"/>
          <w:sz w:val="24"/>
          <w:szCs w:val="24"/>
          <w:highlight w:val="none"/>
        </w:rPr>
      </w:pPr>
    </w:p>
    <w:p w14:paraId="32E77D1B">
      <w:pPr>
        <w:pageBreakBefore w:val="0"/>
        <w:widowControl/>
        <w:kinsoku/>
        <w:wordWrap/>
        <w:overflowPunct/>
        <w:topLinePunct w:val="0"/>
        <w:bidi w:val="0"/>
        <w:snapToGrid w:val="0"/>
        <w:spacing w:line="360" w:lineRule="auto"/>
        <w:rPr>
          <w:rFonts w:hint="eastAsia" w:ascii="宋体" w:hAnsi="宋体" w:cs="宋体"/>
          <w:bCs/>
          <w:color w:val="auto"/>
          <w:spacing w:val="10"/>
          <w:kern w:val="0"/>
          <w:sz w:val="24"/>
          <w:szCs w:val="24"/>
          <w:highlight w:val="none"/>
        </w:rPr>
      </w:pPr>
    </w:p>
    <w:p w14:paraId="75B74BF2">
      <w:pPr>
        <w:pageBreakBefore w:val="0"/>
        <w:widowControl/>
        <w:kinsoku/>
        <w:wordWrap/>
        <w:overflowPunct/>
        <w:topLinePunct w:val="0"/>
        <w:bidi w:val="0"/>
        <w:snapToGrid w:val="0"/>
        <w:spacing w:line="360" w:lineRule="auto"/>
        <w:rPr>
          <w:rFonts w:hint="eastAsia" w:ascii="宋体" w:hAnsi="宋体" w:cs="宋体"/>
          <w:bCs/>
          <w:color w:val="auto"/>
          <w:spacing w:val="10"/>
          <w:kern w:val="0"/>
          <w:sz w:val="24"/>
          <w:szCs w:val="24"/>
          <w:highlight w:val="none"/>
        </w:rPr>
      </w:pPr>
    </w:p>
    <w:p w14:paraId="13E98CA3">
      <w:pPr>
        <w:pageBreakBefore w:val="0"/>
        <w:widowControl/>
        <w:kinsoku/>
        <w:wordWrap/>
        <w:overflowPunct/>
        <w:topLinePunct w:val="0"/>
        <w:bidi w:val="0"/>
        <w:snapToGrid w:val="0"/>
        <w:spacing w:line="360" w:lineRule="auto"/>
        <w:rPr>
          <w:rFonts w:hint="eastAsia" w:ascii="宋体" w:hAnsi="宋体" w:cs="宋体"/>
          <w:bCs/>
          <w:color w:val="auto"/>
          <w:spacing w:val="10"/>
          <w:kern w:val="0"/>
          <w:sz w:val="24"/>
          <w:szCs w:val="24"/>
          <w:highlight w:val="none"/>
        </w:rPr>
      </w:pPr>
    </w:p>
    <w:p w14:paraId="01C4F74D">
      <w:pPr>
        <w:keepNext/>
        <w:keepLines/>
        <w:pageBreakBefore w:val="0"/>
        <w:kinsoku/>
        <w:wordWrap/>
        <w:overflowPunct/>
        <w:topLinePunct w:val="0"/>
        <w:bidi w:val="0"/>
        <w:spacing w:before="340" w:after="330" w:line="360" w:lineRule="auto"/>
        <w:jc w:val="center"/>
        <w:outlineLvl w:val="0"/>
        <w:rPr>
          <w:rFonts w:hint="eastAsia" w:ascii="宋体" w:hAnsi="宋体"/>
          <w:b/>
          <w:color w:val="auto"/>
          <w:sz w:val="44"/>
          <w:szCs w:val="44"/>
          <w:highlight w:val="none"/>
        </w:rPr>
      </w:pPr>
      <w:bookmarkStart w:id="5" w:name="_Toc107306635"/>
      <w:r>
        <w:rPr>
          <w:rFonts w:hint="eastAsia" w:ascii="宋体" w:hAnsi="宋体"/>
          <w:b/>
          <w:color w:val="auto"/>
          <w:sz w:val="44"/>
          <w:szCs w:val="44"/>
          <w:highlight w:val="none"/>
        </w:rPr>
        <w:t xml:space="preserve">第二部分 </w:t>
      </w:r>
      <w:r>
        <w:rPr>
          <w:rFonts w:ascii="宋体" w:hAnsi="宋体"/>
          <w:b/>
          <w:color w:val="auto"/>
          <w:sz w:val="44"/>
          <w:szCs w:val="44"/>
          <w:highlight w:val="none"/>
        </w:rPr>
        <w:t xml:space="preserve"> </w:t>
      </w:r>
      <w:r>
        <w:rPr>
          <w:rFonts w:hint="eastAsia" w:ascii="宋体" w:hAnsi="宋体"/>
          <w:b/>
          <w:color w:val="auto"/>
          <w:sz w:val="44"/>
          <w:szCs w:val="44"/>
          <w:highlight w:val="none"/>
        </w:rPr>
        <w:t>供应商须知</w:t>
      </w:r>
      <w:bookmarkEnd w:id="5"/>
      <w:bookmarkStart w:id="6" w:name="_Toc175644016"/>
      <w:bookmarkStart w:id="7" w:name="_Toc86202581"/>
    </w:p>
    <w:p w14:paraId="7C4FED48">
      <w:pPr>
        <w:pageBreakBefore w:val="0"/>
        <w:kinsoku/>
        <w:wordWrap/>
        <w:overflowPunct/>
        <w:topLinePunct w:val="0"/>
        <w:bidi w:val="0"/>
        <w:snapToGrid w:val="0"/>
        <w:spacing w:line="360" w:lineRule="auto"/>
        <w:ind w:firstLine="500" w:firstLineChars="200"/>
        <w:rPr>
          <w:rFonts w:hint="eastAsia" w:ascii="宋体" w:hAnsi="宋体"/>
          <w:color w:val="auto"/>
          <w:spacing w:val="10"/>
          <w:sz w:val="23"/>
          <w:szCs w:val="23"/>
          <w:highlight w:val="none"/>
        </w:rPr>
      </w:pPr>
    </w:p>
    <w:p w14:paraId="214ED8B9">
      <w:pPr>
        <w:pageBreakBefore w:val="0"/>
        <w:kinsoku/>
        <w:wordWrap/>
        <w:overflowPunct/>
        <w:topLinePunct w:val="0"/>
        <w:bidi w:val="0"/>
        <w:spacing w:line="360" w:lineRule="auto"/>
        <w:jc w:val="center"/>
        <w:rPr>
          <w:rFonts w:hint="eastAsia" w:ascii="宋体" w:hAnsi="宋体"/>
          <w:b/>
          <w:color w:val="auto"/>
          <w:sz w:val="32"/>
          <w:szCs w:val="32"/>
          <w:highlight w:val="none"/>
        </w:rPr>
      </w:pPr>
      <w:bookmarkStart w:id="8" w:name="_Toc335843077"/>
      <w:r>
        <w:rPr>
          <w:rFonts w:ascii="宋体" w:hAnsi="宋体"/>
          <w:b/>
          <w:color w:val="auto"/>
          <w:sz w:val="32"/>
          <w:szCs w:val="32"/>
          <w:highlight w:val="none"/>
        </w:rPr>
        <w:br w:type="page"/>
      </w:r>
      <w:r>
        <w:rPr>
          <w:rFonts w:hint="eastAsia" w:ascii="宋体" w:hAnsi="宋体"/>
          <w:b/>
          <w:color w:val="auto"/>
          <w:sz w:val="32"/>
          <w:szCs w:val="32"/>
          <w:highlight w:val="none"/>
        </w:rPr>
        <w:t>供应商须知前附表</w:t>
      </w:r>
      <w:bookmarkEnd w:id="8"/>
    </w:p>
    <w:tbl>
      <w:tblPr>
        <w:tblStyle w:val="37"/>
        <w:tblW w:w="96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9"/>
        <w:gridCol w:w="2693"/>
        <w:gridCol w:w="6094"/>
      </w:tblGrid>
      <w:tr w14:paraId="1002A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39" w:type="dxa"/>
            <w:vAlign w:val="center"/>
          </w:tcPr>
          <w:p w14:paraId="68DCFB75">
            <w:pPr>
              <w:pageBreakBefore w:val="0"/>
              <w:kinsoku/>
              <w:wordWrap/>
              <w:overflowPunct/>
              <w:topLinePunct w:val="0"/>
              <w:bidi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693" w:type="dxa"/>
            <w:vAlign w:val="center"/>
          </w:tcPr>
          <w:p w14:paraId="00A7B7EF">
            <w:pPr>
              <w:pageBreakBefore w:val="0"/>
              <w:kinsoku/>
              <w:wordWrap/>
              <w:overflowPunct/>
              <w:topLinePunct w:val="0"/>
              <w:bidi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细  目</w:t>
            </w:r>
          </w:p>
        </w:tc>
        <w:tc>
          <w:tcPr>
            <w:tcW w:w="6094" w:type="dxa"/>
            <w:vAlign w:val="center"/>
          </w:tcPr>
          <w:p w14:paraId="3D480C0A">
            <w:pPr>
              <w:pageBreakBefore w:val="0"/>
              <w:kinsoku/>
              <w:wordWrap/>
              <w:overflowPunct/>
              <w:topLinePunct w:val="0"/>
              <w:bidi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内  容</w:t>
            </w:r>
          </w:p>
        </w:tc>
      </w:tr>
      <w:tr w14:paraId="185A38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839" w:type="dxa"/>
            <w:tcBorders>
              <w:bottom w:val="single" w:color="auto" w:sz="4" w:space="0"/>
            </w:tcBorders>
            <w:vAlign w:val="center"/>
          </w:tcPr>
          <w:p w14:paraId="510D3635">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2693" w:type="dxa"/>
            <w:tcBorders>
              <w:bottom w:val="single" w:color="auto" w:sz="4" w:space="0"/>
            </w:tcBorders>
            <w:vAlign w:val="center"/>
          </w:tcPr>
          <w:p w14:paraId="02E56ECB">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采购人名称</w:t>
            </w:r>
          </w:p>
        </w:tc>
        <w:tc>
          <w:tcPr>
            <w:tcW w:w="6094" w:type="dxa"/>
            <w:tcBorders>
              <w:bottom w:val="single" w:color="auto" w:sz="4" w:space="0"/>
            </w:tcBorders>
            <w:vAlign w:val="center"/>
          </w:tcPr>
          <w:p w14:paraId="36D80590">
            <w:pPr>
              <w:keepNext/>
              <w:pageBreakBefore w:val="0"/>
              <w:widowControl/>
              <w:kinsoku/>
              <w:wordWrap/>
              <w:overflowPunct/>
              <w:topLinePunct w:val="0"/>
              <w:bidi w:val="0"/>
              <w:spacing w:line="360" w:lineRule="auto"/>
              <w:rPr>
                <w:rFonts w:hint="eastAsia" w:ascii="宋体" w:hAnsi="宋体" w:eastAsia="宋体"/>
                <w:color w:val="auto"/>
                <w:szCs w:val="21"/>
                <w:highlight w:val="none"/>
                <w:lang w:eastAsia="zh-CN"/>
              </w:rPr>
            </w:pPr>
            <w:r>
              <w:rPr>
                <w:rFonts w:hint="eastAsia" w:ascii="宋体" w:hAnsi="宋体" w:cs="宋体"/>
                <w:color w:val="auto"/>
                <w:highlight w:val="none"/>
                <w:lang w:eastAsia="zh-CN" w:bidi="zh-TW"/>
              </w:rPr>
              <w:t>汾阳杏花村经济技术开发区管理委员会</w:t>
            </w:r>
          </w:p>
        </w:tc>
      </w:tr>
      <w:tr w14:paraId="11C305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839" w:type="dxa"/>
            <w:tcBorders>
              <w:top w:val="single" w:color="auto" w:sz="4" w:space="0"/>
            </w:tcBorders>
            <w:vAlign w:val="center"/>
          </w:tcPr>
          <w:p w14:paraId="5832EF7B">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2693" w:type="dxa"/>
            <w:tcBorders>
              <w:top w:val="single" w:color="auto" w:sz="4" w:space="0"/>
            </w:tcBorders>
            <w:vAlign w:val="center"/>
          </w:tcPr>
          <w:p w14:paraId="351A2BA2">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采购代理公司名称</w:t>
            </w:r>
          </w:p>
        </w:tc>
        <w:tc>
          <w:tcPr>
            <w:tcW w:w="6094" w:type="dxa"/>
            <w:tcBorders>
              <w:top w:val="single" w:color="auto" w:sz="4" w:space="0"/>
            </w:tcBorders>
            <w:vAlign w:val="center"/>
          </w:tcPr>
          <w:p w14:paraId="4808B98C">
            <w:pPr>
              <w:keepNext/>
              <w:pageBreakBefore w:val="0"/>
              <w:widowControl/>
              <w:kinsoku/>
              <w:wordWrap/>
              <w:overflowPunct/>
              <w:topLinePunct w:val="0"/>
              <w:bidi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孝义市正华工程项目管理有限公司</w:t>
            </w:r>
          </w:p>
        </w:tc>
      </w:tr>
      <w:tr w14:paraId="04C810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839" w:type="dxa"/>
            <w:vAlign w:val="center"/>
          </w:tcPr>
          <w:p w14:paraId="01B9D0D1">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2693" w:type="dxa"/>
            <w:vAlign w:val="center"/>
          </w:tcPr>
          <w:p w14:paraId="508C916E">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项目名称</w:t>
            </w:r>
          </w:p>
        </w:tc>
        <w:tc>
          <w:tcPr>
            <w:tcW w:w="6094" w:type="dxa"/>
            <w:vAlign w:val="center"/>
          </w:tcPr>
          <w:p w14:paraId="3BB408F2">
            <w:pPr>
              <w:keepNext/>
              <w:pageBreakBefore w:val="0"/>
              <w:widowControl/>
              <w:kinsoku/>
              <w:wordWrap/>
              <w:overflowPunct/>
              <w:topLinePunct w:val="0"/>
              <w:bidi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杏花村南环街东延道路改造工程项目用地预审手续办理服务</w:t>
            </w:r>
          </w:p>
        </w:tc>
      </w:tr>
      <w:tr w14:paraId="6D0AC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839" w:type="dxa"/>
            <w:vAlign w:val="center"/>
          </w:tcPr>
          <w:p w14:paraId="0A2F7C2A">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2693" w:type="dxa"/>
            <w:vAlign w:val="center"/>
          </w:tcPr>
          <w:p w14:paraId="5ABB1EAA">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响应文件的有效期</w:t>
            </w:r>
          </w:p>
        </w:tc>
        <w:tc>
          <w:tcPr>
            <w:tcW w:w="6094" w:type="dxa"/>
            <w:vAlign w:val="center"/>
          </w:tcPr>
          <w:p w14:paraId="57943D91">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90</w:t>
            </w:r>
            <w:r>
              <w:rPr>
                <w:rFonts w:hint="eastAsia" w:ascii="宋体" w:hAnsi="宋体"/>
                <w:color w:val="auto"/>
                <w:szCs w:val="21"/>
                <w:highlight w:val="none"/>
                <w:lang w:eastAsia="zh-CN"/>
              </w:rPr>
              <w:t>日历</w:t>
            </w:r>
            <w:r>
              <w:rPr>
                <w:rFonts w:hint="eastAsia" w:ascii="宋体" w:hAnsi="宋体"/>
                <w:color w:val="auto"/>
                <w:szCs w:val="21"/>
                <w:highlight w:val="none"/>
              </w:rPr>
              <w:t>天</w:t>
            </w:r>
          </w:p>
        </w:tc>
      </w:tr>
      <w:tr w14:paraId="2BE279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839" w:type="dxa"/>
            <w:vAlign w:val="center"/>
          </w:tcPr>
          <w:p w14:paraId="5276A735">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2693" w:type="dxa"/>
            <w:vAlign w:val="center"/>
          </w:tcPr>
          <w:p w14:paraId="2CF97E7D">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预算金额及最高限价</w:t>
            </w:r>
          </w:p>
        </w:tc>
        <w:tc>
          <w:tcPr>
            <w:tcW w:w="6094" w:type="dxa"/>
            <w:vAlign w:val="center"/>
          </w:tcPr>
          <w:p w14:paraId="7A7639E7">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预算金额：</w:t>
            </w:r>
            <w:r>
              <w:rPr>
                <w:rFonts w:hint="eastAsia" w:ascii="宋体" w:hAnsi="宋体"/>
                <w:color w:val="auto"/>
                <w:szCs w:val="21"/>
                <w:highlight w:val="none"/>
                <w:lang w:val="en-US" w:eastAsia="zh-CN"/>
              </w:rPr>
              <w:t>392450.00</w:t>
            </w:r>
            <w:r>
              <w:rPr>
                <w:rFonts w:ascii="宋体" w:hAnsi="宋体" w:cs="宋体"/>
                <w:color w:val="auto"/>
                <w:kern w:val="0"/>
                <w:szCs w:val="21"/>
                <w:highlight w:val="none"/>
              </w:rPr>
              <w:t>元</w:t>
            </w:r>
          </w:p>
          <w:p w14:paraId="24985179">
            <w:pPr>
              <w:pageBreakBefore w:val="0"/>
              <w:widowControl/>
              <w:kinsoku/>
              <w:wordWrap/>
              <w:overflowPunct/>
              <w:topLinePunct w:val="0"/>
              <w:bidi w:val="0"/>
              <w:spacing w:line="360" w:lineRule="auto"/>
              <w:jc w:val="left"/>
              <w:rPr>
                <w:rFonts w:hint="eastAsia" w:ascii="宋体" w:hAnsi="宋体" w:cs="宋体"/>
                <w:color w:val="auto"/>
                <w:szCs w:val="21"/>
                <w:highlight w:val="none"/>
              </w:rPr>
            </w:pPr>
            <w:r>
              <w:rPr>
                <w:rFonts w:hint="eastAsia" w:ascii="宋体" w:hAnsi="宋体" w:cs="宋体"/>
                <w:color w:val="auto"/>
                <w:kern w:val="0"/>
                <w:szCs w:val="21"/>
                <w:highlight w:val="none"/>
              </w:rPr>
              <w:t>最高限价：</w:t>
            </w:r>
            <w:r>
              <w:rPr>
                <w:rFonts w:hint="eastAsia" w:ascii="宋体" w:hAnsi="宋体"/>
                <w:color w:val="auto"/>
                <w:szCs w:val="21"/>
                <w:highlight w:val="none"/>
                <w:lang w:val="en-US" w:eastAsia="zh-CN"/>
              </w:rPr>
              <w:t>392450.00</w:t>
            </w:r>
            <w:r>
              <w:rPr>
                <w:rFonts w:ascii="宋体" w:hAnsi="宋体" w:cs="宋体"/>
                <w:color w:val="auto"/>
                <w:kern w:val="0"/>
                <w:szCs w:val="21"/>
                <w:highlight w:val="none"/>
              </w:rPr>
              <w:t>元</w:t>
            </w:r>
          </w:p>
          <w:p w14:paraId="027A60DC">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注：供应商所报总价超过预算金额（最高限价）的将否决其磋商资格。</w:t>
            </w:r>
          </w:p>
        </w:tc>
      </w:tr>
      <w:tr w14:paraId="4C076A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839" w:type="dxa"/>
            <w:vAlign w:val="center"/>
          </w:tcPr>
          <w:p w14:paraId="2A5B98A4">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693" w:type="dxa"/>
            <w:vAlign w:val="center"/>
          </w:tcPr>
          <w:p w14:paraId="16FB8919">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资格响应文件</w:t>
            </w:r>
          </w:p>
        </w:tc>
        <w:tc>
          <w:tcPr>
            <w:tcW w:w="6094" w:type="dxa"/>
            <w:vAlign w:val="center"/>
          </w:tcPr>
          <w:p w14:paraId="4AC73C6E">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★1、具有独立承担民事责任的能力（承诺函）</w:t>
            </w:r>
          </w:p>
          <w:p w14:paraId="58661237">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★2、具有良好的商业信誉和健全的财务会计制度（承诺函）</w:t>
            </w:r>
          </w:p>
          <w:p w14:paraId="5ED5A20B">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★3、具有履行合同所必需的设备和专业技术能力（承诺函）</w:t>
            </w:r>
          </w:p>
          <w:p w14:paraId="44B66693">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★4、有依法缴纳税收和社会保障资金的良好记录（承诺函）</w:t>
            </w:r>
          </w:p>
          <w:p w14:paraId="2489E26E">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★5、参加政府采购活动前三年内，在经营活动中没有重大违法记录（承诺函）</w:t>
            </w:r>
          </w:p>
          <w:p w14:paraId="67FB6F3F">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★6、“中国政府采购网”列入政府采购严重违法失信行为记录名单和“信用中国”列入失信被执行人名单的网站查询结果</w:t>
            </w:r>
          </w:p>
          <w:p w14:paraId="33E7C524">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★7、本项目的特定资格要求</w:t>
            </w:r>
          </w:p>
          <w:p w14:paraId="7F8E949D">
            <w:pPr>
              <w:pStyle w:val="13"/>
              <w:ind w:left="0" w:leftChars="0" w:firstLine="0" w:firstLineChars="0"/>
              <w:rPr>
                <w:rFonts w:hint="default" w:eastAsia="宋体"/>
                <w:color w:val="auto"/>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color w:val="auto"/>
                <w:highlight w:val="none"/>
              </w:rPr>
              <w:t>基本账户开户许可证（或基本存款账户信息）</w:t>
            </w:r>
          </w:p>
          <w:p w14:paraId="5D82B637">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、供应商认为需要提供的其他资格证明材料</w:t>
            </w:r>
          </w:p>
          <w:p w14:paraId="7A954866">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备注：对营业执照、资质证书等可通过国家企业信用信息公示系统等政府网站进行查询核验的事项</w:t>
            </w:r>
          </w:p>
        </w:tc>
      </w:tr>
      <w:tr w14:paraId="56FA97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839" w:type="dxa"/>
            <w:vAlign w:val="center"/>
          </w:tcPr>
          <w:p w14:paraId="539C6DCA">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7</w:t>
            </w:r>
          </w:p>
        </w:tc>
        <w:tc>
          <w:tcPr>
            <w:tcW w:w="2693" w:type="dxa"/>
            <w:vAlign w:val="center"/>
          </w:tcPr>
          <w:p w14:paraId="332CCABB">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商务技术响应文件</w:t>
            </w:r>
          </w:p>
        </w:tc>
        <w:tc>
          <w:tcPr>
            <w:tcW w:w="6094" w:type="dxa"/>
            <w:vAlign w:val="center"/>
          </w:tcPr>
          <w:p w14:paraId="586A346F">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★1、法定代表人（负责人）身份证明书或法定代表人（负责人）授权委托书</w:t>
            </w:r>
          </w:p>
          <w:p w14:paraId="7D6A719E">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2、供应商近</w:t>
            </w:r>
            <w:r>
              <w:rPr>
                <w:rFonts w:hint="eastAsia" w:ascii="宋体" w:hAnsi="宋体"/>
                <w:color w:val="auto"/>
                <w:szCs w:val="21"/>
                <w:highlight w:val="none"/>
                <w:lang w:val="en-US" w:eastAsia="zh-CN"/>
              </w:rPr>
              <w:t>三</w:t>
            </w:r>
            <w:r>
              <w:rPr>
                <w:rFonts w:hint="eastAsia" w:ascii="宋体" w:hAnsi="宋体"/>
                <w:color w:val="auto"/>
                <w:szCs w:val="21"/>
                <w:highlight w:val="none"/>
              </w:rPr>
              <w:t>年相关类型项目业绩及相关证明资料</w:t>
            </w:r>
          </w:p>
          <w:p w14:paraId="7795BECB">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3、项目管理机构配备情况表</w:t>
            </w:r>
          </w:p>
          <w:p w14:paraId="46C57073">
            <w:pPr>
              <w:keepNext/>
              <w:pageBreakBefore w:val="0"/>
              <w:widowControl/>
              <w:kinsoku/>
              <w:wordWrap/>
              <w:overflowPunct/>
              <w:topLinePunct w:val="0"/>
              <w:bidi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4、商务、技术条款偏离表</w:t>
            </w:r>
          </w:p>
          <w:p w14:paraId="3A64C597">
            <w:pPr>
              <w:keepNext/>
              <w:pageBreakBefore w:val="0"/>
              <w:widowControl/>
              <w:kinsoku/>
              <w:wordWrap/>
              <w:overflowPunct/>
              <w:topLinePunct w:val="0"/>
              <w:bidi w:val="0"/>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5、响应保证金</w:t>
            </w:r>
          </w:p>
          <w:p w14:paraId="1F77CB9D">
            <w:pPr>
              <w:keepNext/>
              <w:pageBreakBefore w:val="0"/>
              <w:widowControl/>
              <w:kinsoku/>
              <w:wordWrap/>
              <w:overflowPunct/>
              <w:topLinePunct w:val="0"/>
              <w:bidi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、服务方案</w:t>
            </w:r>
          </w:p>
          <w:p w14:paraId="51CB05B9">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、供应商认为需要提供的其他相关材料</w:t>
            </w:r>
          </w:p>
          <w:p w14:paraId="74A7732E">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备注：对业绩、主要人员、信用等级等可通过国家企业信用信息公示系统等政府网站进行查询核验的事项，供应商可以不提供相关证明材料。</w:t>
            </w:r>
          </w:p>
        </w:tc>
      </w:tr>
      <w:tr w14:paraId="3FE988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839" w:type="dxa"/>
            <w:vAlign w:val="center"/>
          </w:tcPr>
          <w:p w14:paraId="66A28435">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8</w:t>
            </w:r>
          </w:p>
        </w:tc>
        <w:tc>
          <w:tcPr>
            <w:tcW w:w="2693" w:type="dxa"/>
            <w:vAlign w:val="center"/>
          </w:tcPr>
          <w:p w14:paraId="03B6D8CC">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报价要求响应文件</w:t>
            </w:r>
          </w:p>
        </w:tc>
        <w:tc>
          <w:tcPr>
            <w:tcW w:w="6094" w:type="dxa"/>
            <w:vAlign w:val="center"/>
          </w:tcPr>
          <w:p w14:paraId="18A7C109">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★1、磋商函</w:t>
            </w:r>
          </w:p>
          <w:p w14:paraId="76A52F36">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★2、报价一览表</w:t>
            </w:r>
          </w:p>
          <w:p w14:paraId="3A112C9E">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3、供应商认为需要提供的其他相关材料</w:t>
            </w:r>
          </w:p>
        </w:tc>
      </w:tr>
      <w:tr w14:paraId="220387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839" w:type="dxa"/>
            <w:vAlign w:val="center"/>
          </w:tcPr>
          <w:p w14:paraId="7D370300">
            <w:pPr>
              <w:pageBreakBefore w:val="0"/>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9</w:t>
            </w:r>
          </w:p>
        </w:tc>
        <w:tc>
          <w:tcPr>
            <w:tcW w:w="2693" w:type="dxa"/>
            <w:vAlign w:val="center"/>
          </w:tcPr>
          <w:p w14:paraId="427B1075">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磋商保证金</w:t>
            </w:r>
          </w:p>
        </w:tc>
        <w:tc>
          <w:tcPr>
            <w:tcW w:w="6094" w:type="dxa"/>
            <w:vAlign w:val="center"/>
          </w:tcPr>
          <w:p w14:paraId="090699BA">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投标人在开标前，须将投标保证金采用支票（或网银转账）、汇票、本票或者金融机构、担保机构出具的保函等非现金形式提交。</w:t>
            </w:r>
          </w:p>
          <w:p w14:paraId="06532149">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采用支票提交的，由投标人开出（付款行为对公基本账户）；</w:t>
            </w:r>
          </w:p>
          <w:p w14:paraId="1DE7B7E0">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采用网银转账的，由投标人通过对公账户银行转出；</w:t>
            </w:r>
          </w:p>
          <w:p w14:paraId="2CEA1111">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采用汇票、本票提交的，须从投标人的对公基本账户银行开出；</w:t>
            </w:r>
          </w:p>
          <w:p w14:paraId="41F068D1">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用保函形式：包括电子保函、担保机构保函、银行保函、保证保险等。投标人可自行办理或关注“掌上微采购”小程序-“投标服务-投标保函”，选择担保公司在线办理。投标人在投标文件中附保函原件扫描件，并提供在线真伪验证方式，否则按照未提交有效投标保证金处理。办理咨询电话：18634398898；</w:t>
            </w:r>
          </w:p>
          <w:p w14:paraId="3167E9BE">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投标人可通过微信搜索“掌上微采购”小程序在线选择担保公司线上便捷办理；</w:t>
            </w:r>
          </w:p>
          <w:p w14:paraId="6AC8345A">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采用汇票、本票提交的，须从投标人的对公基本账户银行开出；</w:t>
            </w:r>
          </w:p>
          <w:p w14:paraId="47C35904">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用保函形式：包括电子保函、担保机构保函、银行保函、保证保险等。投标人可自行办理或关注“掌上微采购”小程序-“投标服务-投标保函”，选择担保公司在线办理。投标人在投标文件中附保函原件扫描件，并提供在线真伪验证方式，否则按照未提交有效投标保证金处理。办理咨询电话：18634398898；</w:t>
            </w:r>
          </w:p>
          <w:p w14:paraId="711AEA75">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投标人可通过微信搜索“掌上微采购”小程序在线选择担保公司线上便捷办理；</w:t>
            </w:r>
          </w:p>
          <w:p w14:paraId="136CF974">
            <w:pPr>
              <w:tabs>
                <w:tab w:val="left" w:pos="612"/>
                <w:tab w:val="left" w:pos="1332"/>
              </w:tabs>
              <w:spacing w:line="400" w:lineRule="exac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投标保证金的金额：人民币</w:t>
            </w:r>
            <w:r>
              <w:rPr>
                <w:rFonts w:hint="eastAsia" w:ascii="宋体" w:hAnsi="宋体" w:cs="Times New Roman"/>
                <w:b/>
                <w:bCs/>
                <w:color w:val="auto"/>
                <w:szCs w:val="21"/>
                <w:highlight w:val="none"/>
                <w:lang w:val="en-US" w:eastAsia="zh-CN"/>
              </w:rPr>
              <w:t>叁仟伍佰元</w:t>
            </w:r>
            <w:r>
              <w:rPr>
                <w:rFonts w:hint="eastAsia" w:ascii="宋体" w:hAnsi="宋体" w:eastAsia="宋体" w:cs="Times New Roman"/>
                <w:b/>
                <w:bCs/>
                <w:color w:val="auto"/>
                <w:szCs w:val="21"/>
                <w:highlight w:val="none"/>
              </w:rPr>
              <w:t>整；</w:t>
            </w:r>
            <w:r>
              <w:rPr>
                <w:rFonts w:hint="eastAsia" w:ascii="宋体" w:hAnsi="宋体" w:eastAsia="宋体" w:cs="Times New Roman"/>
                <w:b/>
                <w:bCs/>
                <w:color w:val="auto"/>
                <w:szCs w:val="21"/>
                <w:highlight w:val="none"/>
                <w:lang w:val="en-US" w:eastAsia="zh-CN"/>
              </w:rPr>
              <w:t>（</w:t>
            </w:r>
            <w:r>
              <w:rPr>
                <w:rFonts w:hint="eastAsia" w:ascii="宋体" w:hAnsi="宋体" w:cs="Times New Roman"/>
                <w:b/>
                <w:bCs/>
                <w:color w:val="auto"/>
                <w:szCs w:val="21"/>
                <w:highlight w:val="none"/>
                <w:lang w:val="en-US" w:eastAsia="zh-CN"/>
              </w:rPr>
              <w:t>¥39</w:t>
            </w:r>
            <w:r>
              <w:rPr>
                <w:rFonts w:hint="eastAsia" w:ascii="宋体" w:hAnsi="宋体" w:eastAsia="宋体" w:cs="Times New Roman"/>
                <w:b/>
                <w:bCs/>
                <w:color w:val="auto"/>
                <w:szCs w:val="21"/>
                <w:highlight w:val="none"/>
                <w:lang w:val="en-US" w:eastAsia="zh-CN"/>
              </w:rPr>
              <w:t>00元）</w:t>
            </w:r>
          </w:p>
          <w:p w14:paraId="3E3D5567">
            <w:pPr>
              <w:tabs>
                <w:tab w:val="left" w:pos="612"/>
                <w:tab w:val="left" w:pos="1332"/>
              </w:tabs>
              <w:spacing w:line="400" w:lineRule="exac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收款单位：孝义市正华工程项目管理有限公司</w:t>
            </w:r>
          </w:p>
          <w:p w14:paraId="5C364FD2">
            <w:pPr>
              <w:tabs>
                <w:tab w:val="left" w:pos="612"/>
                <w:tab w:val="left" w:pos="1332"/>
              </w:tabs>
              <w:spacing w:line="400" w:lineRule="exac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开户银行：招商银行吕梁分行营业部</w:t>
            </w:r>
          </w:p>
          <w:p w14:paraId="0ADCF6E4">
            <w:pPr>
              <w:tabs>
                <w:tab w:val="left" w:pos="612"/>
                <w:tab w:val="left" w:pos="1332"/>
              </w:tabs>
              <w:spacing w:line="400" w:lineRule="exac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账    号：3589 0056 1510 802</w:t>
            </w:r>
          </w:p>
          <w:p w14:paraId="149D7570">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rPr>
              <w:t>行    号：3081 7303 9138</w:t>
            </w:r>
          </w:p>
          <w:p w14:paraId="0325162E">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投标保证金：</w:t>
            </w:r>
          </w:p>
          <w:p w14:paraId="38A5A45C">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投标保证金交纳在截止时间前，以银行的到账时间为准。</w:t>
            </w:r>
          </w:p>
          <w:p w14:paraId="60053B85">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w:t>
            </w:r>
          </w:p>
          <w:p w14:paraId="3A44956D">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1、采用电汇时，公司便于查询及退还，请在汇款单附加信息或用途栏注明项目的项目名称（可简写）或项目编号（可简写）。（不作强制性要求）</w:t>
            </w:r>
          </w:p>
          <w:p w14:paraId="2151A8F3">
            <w:pPr>
              <w:tabs>
                <w:tab w:val="left" w:pos="612"/>
                <w:tab w:val="left" w:pos="1332"/>
              </w:tabs>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2、因银行结算，不可抗力等非采购人、采购代理原因造成的投标保证金不能及时到账，后果由投标人自行承担。</w:t>
            </w:r>
          </w:p>
          <w:p w14:paraId="5153E248">
            <w:pPr>
              <w:pStyle w:val="146"/>
              <w:pageBreakBefore w:val="0"/>
              <w:widowControl/>
              <w:kinsoku/>
              <w:wordWrap/>
              <w:overflowPunct/>
              <w:topLinePunct w:val="0"/>
              <w:bidi w:val="0"/>
              <w:adjustRightInd w:val="0"/>
              <w:snapToGrid w:val="0"/>
              <w:spacing w:line="360" w:lineRule="auto"/>
              <w:rPr>
                <w:rFonts w:hint="eastAsia"/>
                <w:color w:val="auto"/>
                <w:highlight w:val="none"/>
              </w:rPr>
            </w:pPr>
            <w:r>
              <w:rPr>
                <w:rFonts w:hint="eastAsia" w:ascii="宋体" w:hAnsi="宋体" w:eastAsia="宋体" w:cs="Times New Roman"/>
                <w:color w:val="auto"/>
                <w:szCs w:val="21"/>
                <w:highlight w:val="none"/>
              </w:rPr>
              <w:t>3、投标保证金的有效期与投标有效期一致</w:t>
            </w:r>
            <w:r>
              <w:rPr>
                <w:rFonts w:hint="eastAsia" w:ascii="宋体" w:hAnsi="宋体" w:eastAsia="宋体" w:cs="Times New Roman"/>
                <w:color w:val="auto"/>
                <w:szCs w:val="21"/>
                <w:highlight w:val="none"/>
                <w:lang w:eastAsia="zh-CN"/>
              </w:rPr>
              <w:t>。</w:t>
            </w:r>
          </w:p>
        </w:tc>
      </w:tr>
      <w:tr w14:paraId="13B0CA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839" w:type="dxa"/>
            <w:vAlign w:val="center"/>
          </w:tcPr>
          <w:p w14:paraId="7C68C537">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10</w:t>
            </w:r>
          </w:p>
        </w:tc>
        <w:tc>
          <w:tcPr>
            <w:tcW w:w="2693" w:type="dxa"/>
            <w:vAlign w:val="center"/>
          </w:tcPr>
          <w:p w14:paraId="5A62D1CE">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响应文件递交</w:t>
            </w:r>
          </w:p>
        </w:tc>
        <w:tc>
          <w:tcPr>
            <w:tcW w:w="6094" w:type="dxa"/>
            <w:vAlign w:val="center"/>
          </w:tcPr>
          <w:p w14:paraId="1C17AB5F">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递交截止时间：</w:t>
            </w:r>
            <w:r>
              <w:rPr>
                <w:rFonts w:hint="eastAsia" w:ascii="宋体" w:hAnsi="宋体" w:cs="宋体"/>
                <w:color w:val="auto"/>
                <w:kern w:val="0"/>
                <w:szCs w:val="21"/>
                <w:highlight w:val="none"/>
                <w:lang w:eastAsia="zh-CN"/>
              </w:rPr>
              <w:t>2026年05月19日09时00分</w:t>
            </w:r>
            <w:r>
              <w:rPr>
                <w:rFonts w:hint="eastAsia" w:ascii="宋体" w:hAnsi="宋体"/>
                <w:color w:val="auto"/>
                <w:szCs w:val="21"/>
                <w:highlight w:val="none"/>
              </w:rPr>
              <w:t>（北京时间）。</w:t>
            </w:r>
          </w:p>
          <w:p w14:paraId="531625B1">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递交地址：政采云平台投标客户端</w:t>
            </w:r>
          </w:p>
        </w:tc>
      </w:tr>
      <w:tr w14:paraId="093C91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839" w:type="dxa"/>
            <w:vAlign w:val="center"/>
          </w:tcPr>
          <w:p w14:paraId="00516F65">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11</w:t>
            </w:r>
          </w:p>
        </w:tc>
        <w:tc>
          <w:tcPr>
            <w:tcW w:w="2693" w:type="dxa"/>
            <w:vAlign w:val="center"/>
          </w:tcPr>
          <w:p w14:paraId="4F2B1BFB">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磋商时间及地址</w:t>
            </w:r>
          </w:p>
        </w:tc>
        <w:tc>
          <w:tcPr>
            <w:tcW w:w="6094" w:type="dxa"/>
            <w:vAlign w:val="center"/>
          </w:tcPr>
          <w:p w14:paraId="43DD3F0E">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时间：</w:t>
            </w:r>
            <w:r>
              <w:rPr>
                <w:rFonts w:hint="eastAsia" w:ascii="宋体" w:hAnsi="宋体" w:cs="宋体"/>
                <w:color w:val="auto"/>
                <w:kern w:val="0"/>
                <w:szCs w:val="21"/>
                <w:highlight w:val="none"/>
              </w:rPr>
              <w:t>同响应文件递交截止时间</w:t>
            </w:r>
          </w:p>
          <w:p w14:paraId="19C8E045">
            <w:pPr>
              <w:keepNext/>
              <w:pageBreakBefore w:val="0"/>
              <w:widowControl/>
              <w:kinsoku/>
              <w:wordWrap/>
              <w:overflowPunct/>
              <w:topLinePunct w:val="0"/>
              <w:bidi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山西省汾阳市吉祥街北门幼儿园东侧二楼会议室</w:t>
            </w:r>
          </w:p>
        </w:tc>
      </w:tr>
      <w:tr w14:paraId="3FE4E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839" w:type="dxa"/>
            <w:vAlign w:val="center"/>
          </w:tcPr>
          <w:p w14:paraId="73B4CD35">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12</w:t>
            </w:r>
          </w:p>
        </w:tc>
        <w:tc>
          <w:tcPr>
            <w:tcW w:w="2693" w:type="dxa"/>
            <w:vAlign w:val="center"/>
          </w:tcPr>
          <w:p w14:paraId="7A31691B">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最后报价</w:t>
            </w:r>
          </w:p>
        </w:tc>
        <w:tc>
          <w:tcPr>
            <w:tcW w:w="6094" w:type="dxa"/>
            <w:vAlign w:val="center"/>
          </w:tcPr>
          <w:p w14:paraId="549A1E94">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时间：磋商结束后</w:t>
            </w:r>
          </w:p>
          <w:p w14:paraId="3793F1A7">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地点:</w:t>
            </w:r>
            <w:r>
              <w:rPr>
                <w:rFonts w:hint="eastAsia"/>
                <w:color w:val="auto"/>
                <w:highlight w:val="none"/>
              </w:rPr>
              <w:t xml:space="preserve"> </w:t>
            </w:r>
            <w:r>
              <w:rPr>
                <w:rFonts w:hint="eastAsia" w:ascii="宋体" w:hAnsi="宋体"/>
                <w:color w:val="auto"/>
                <w:szCs w:val="21"/>
                <w:highlight w:val="none"/>
              </w:rPr>
              <w:t>政采云平台投标客户端</w:t>
            </w:r>
          </w:p>
          <w:p w14:paraId="41AA5DFF">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磋商结束后,磋商小组要求所有</w:t>
            </w:r>
            <w:r>
              <w:rPr>
                <w:rFonts w:hint="eastAsia" w:ascii="宋体" w:hAnsi="宋体" w:cs="黑体"/>
                <w:color w:val="auto"/>
                <w:kern w:val="0"/>
                <w:szCs w:val="21"/>
                <w:highlight w:val="none"/>
              </w:rPr>
              <w:t>实质性响应的供应商在规定的时间内提交最后报价。</w:t>
            </w:r>
          </w:p>
        </w:tc>
      </w:tr>
      <w:tr w14:paraId="363AB4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9" w:type="dxa"/>
            <w:vAlign w:val="center"/>
          </w:tcPr>
          <w:p w14:paraId="4A8BE294">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13</w:t>
            </w:r>
          </w:p>
        </w:tc>
        <w:tc>
          <w:tcPr>
            <w:tcW w:w="2693" w:type="dxa"/>
            <w:vAlign w:val="center"/>
          </w:tcPr>
          <w:p w14:paraId="7380152A">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ascii="宋体" w:hAnsi="宋体"/>
                <w:color w:val="auto"/>
                <w:szCs w:val="21"/>
                <w:highlight w:val="none"/>
              </w:rPr>
              <w:t>评审标准</w:t>
            </w:r>
          </w:p>
        </w:tc>
        <w:tc>
          <w:tcPr>
            <w:tcW w:w="6094" w:type="dxa"/>
            <w:vAlign w:val="center"/>
          </w:tcPr>
          <w:p w14:paraId="13B8DE74">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采用</w:t>
            </w:r>
            <w:r>
              <w:rPr>
                <w:rFonts w:ascii="宋体" w:hAnsi="宋体"/>
                <w:color w:val="auto"/>
                <w:szCs w:val="21"/>
                <w:highlight w:val="none"/>
              </w:rPr>
              <w:t>综合评分法</w:t>
            </w:r>
            <w:r>
              <w:rPr>
                <w:rFonts w:hint="eastAsia" w:ascii="宋体" w:hAnsi="宋体"/>
                <w:color w:val="auto"/>
                <w:szCs w:val="21"/>
                <w:highlight w:val="none"/>
              </w:rPr>
              <w:t>。</w:t>
            </w:r>
          </w:p>
        </w:tc>
      </w:tr>
      <w:tr w14:paraId="58381E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 w:hRule="atLeast"/>
          <w:jc w:val="center"/>
        </w:trPr>
        <w:tc>
          <w:tcPr>
            <w:tcW w:w="839" w:type="dxa"/>
            <w:vAlign w:val="center"/>
          </w:tcPr>
          <w:p w14:paraId="0533F9F9">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14</w:t>
            </w:r>
          </w:p>
        </w:tc>
        <w:tc>
          <w:tcPr>
            <w:tcW w:w="2693" w:type="dxa"/>
            <w:vAlign w:val="center"/>
          </w:tcPr>
          <w:p w14:paraId="360973FD">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政府采购相关政策要求</w:t>
            </w:r>
          </w:p>
          <w:p w14:paraId="23B38309">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（如涉及）</w:t>
            </w:r>
          </w:p>
        </w:tc>
        <w:tc>
          <w:tcPr>
            <w:tcW w:w="6094" w:type="dxa"/>
            <w:vAlign w:val="center"/>
          </w:tcPr>
          <w:p w14:paraId="38B6A6BE">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1、投标货物未特别注明“进口产品”字样的，均必须采购国产产品，即非“通过中国海关报关验放进入中国境内且产自关境外的产品”，投标产品各项技术标准必须符合国家强制性标准，否则投标无效。</w:t>
            </w:r>
          </w:p>
          <w:p w14:paraId="5227A2E2">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2、采购货物中含“计算机设备（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视频设备、便器、水嘴等”（以“★”标注）的，属于国家强制性采购产品，必须符合《节能产品政府采购品目清单》的要求，否则投标无效。其他采购货物（非“★”标注）为优先采购产品。如本项目采购内容涉及本条内容的，供应商应在响应文件中附有效期内的节能产品认证证书。</w:t>
            </w:r>
          </w:p>
          <w:p w14:paraId="55A0AC77">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查询网站为：中国政府采购网（http://www.ccgp.gov.cn/）。</w:t>
            </w:r>
          </w:p>
          <w:p w14:paraId="10052E72">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3、属于《环境标志产品政府采购品目清单》的采购货物为优先采购产品。如供应商所投产品涉及本条内容的，可在响应文件中附有效期内的环境标志产品认证证书。</w:t>
            </w:r>
          </w:p>
          <w:p w14:paraId="31D37D64">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查询网站为：中国政府采购网（http://www.ccgp.gov.cn/）。</w:t>
            </w:r>
          </w:p>
          <w:p w14:paraId="197E4517">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4、本项目所采购的计算机，必须预装正版操作系统软件产品；所采购的其它软件必须为正版软件；否则投标无效。</w:t>
            </w:r>
          </w:p>
          <w:p w14:paraId="1C2D3C14">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5、无线局域网产品政府采购政策：</w:t>
            </w:r>
          </w:p>
          <w:p w14:paraId="0E669200">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本项目采购的产品属于中国政府采购网公布的《无线局域网认证产品政府采购清单》且在有效期内的，提供《中国政府采购网》公布的无线局域网产品政府采购清单封面及对应页，实行优先采购。</w:t>
            </w:r>
          </w:p>
          <w:p w14:paraId="0FFBCF76">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6、商品包装和快递包装</w:t>
            </w:r>
          </w:p>
          <w:p w14:paraId="4A52A3F4">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响应供应商提供的商品包装应符合《商品包装政府采购需求标准（试行）》，快递包装应符合《快递包装政府采购需求标准（试行）》。</w:t>
            </w:r>
          </w:p>
          <w:p w14:paraId="5F68A96C">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7、支持绿色建材促进建筑品质提升</w:t>
            </w:r>
          </w:p>
          <w:p w14:paraId="4D386FA5">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7.1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091FFDDD">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7.2本项目须落实绿色建材采购要求，供应商提供的工程项目须满足《基本要求》的有关规定，使用符合规定的绿色建材产品，否则按无效标处理。</w:t>
            </w:r>
          </w:p>
          <w:p w14:paraId="2B5AB07F">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7.3对于尚未纳入《基本要求》的建材产品，鼓励供应商提供获得绿色建材评价标识、认证或者获得环境标志产品认证的绿色建材产品，在评审时予以加分处理。</w:t>
            </w:r>
          </w:p>
          <w:p w14:paraId="5131CE3B">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7.4供应商在供货时应当提供包含相关指标的第三方检测或认证机构出具的检测报告、认证证书等证明性文件。</w:t>
            </w:r>
          </w:p>
          <w:p w14:paraId="7EC17BF4">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8、小型、微型企业参加本项目时：</w:t>
            </w:r>
          </w:p>
          <w:p w14:paraId="5FBD4DA1">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7C57FB6B">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2）供应商在货物采购项目中提供小型、微型企业生产制造的货物，或在工程、服务采购项目中其自身为小型、微型企业的，可享受价格折扣评审。满足上述条件的，货物、服务采购项目给予15%的价格折扣（工程项目为5%），采用大中型企业与小微企业组成联合体或者大中型企业向小微企业分包采购合同的，评审优惠幅度为5%（工程项目为1%），用扣除后的报价参与价格评审。</w:t>
            </w:r>
          </w:p>
          <w:p w14:paraId="56552138">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（3）供应商提供的货物既有中小企业制造货物，也有大型企业制造货物的，不享受价格折扣。</w:t>
            </w:r>
          </w:p>
          <w:p w14:paraId="1AE84A2C">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（4）专门面向中小企业采购的项目或采购包，不再执行价格评审优惠的扶持政策。</w:t>
            </w:r>
          </w:p>
          <w:p w14:paraId="5C7231E1">
            <w:pPr>
              <w:pageBreakBefore w:val="0"/>
              <w:kinsoku/>
              <w:wordWrap/>
              <w:overflowPunct/>
              <w:topLinePunct w:val="0"/>
              <w:bidi w:val="0"/>
              <w:snapToGrid w:val="0"/>
              <w:spacing w:line="360" w:lineRule="auto"/>
              <w:rPr>
                <w:rFonts w:hint="default" w:hAnsi="宋体" w:eastAsia="宋体"/>
                <w:color w:val="auto"/>
                <w:highlight w:val="none"/>
                <w:lang w:val="en-US" w:eastAsia="zh-CN"/>
              </w:rPr>
            </w:pPr>
            <w:r>
              <w:rPr>
                <w:rFonts w:hint="eastAsia" w:hAnsi="宋体"/>
                <w:color w:val="auto"/>
                <w:highlight w:val="none"/>
              </w:rPr>
              <w:t>（5）本项目采购标的所属行业为</w:t>
            </w:r>
            <w:r>
              <w:rPr>
                <w:rFonts w:hint="eastAsia" w:hAnsi="宋体"/>
                <w:b/>
                <w:bCs/>
                <w:color w:val="auto"/>
                <w:highlight w:val="none"/>
                <w:u w:val="single"/>
              </w:rPr>
              <w:t xml:space="preserve"> </w:t>
            </w:r>
            <w:r>
              <w:rPr>
                <w:rFonts w:hint="eastAsia" w:hAnsi="宋体"/>
                <w:b/>
                <w:bCs/>
                <w:color w:val="auto"/>
                <w:highlight w:val="none"/>
                <w:u w:val="single"/>
                <w:lang w:eastAsia="zh-CN"/>
              </w:rPr>
              <w:t>其他未列明行业</w:t>
            </w:r>
            <w:r>
              <w:rPr>
                <w:rFonts w:hint="eastAsia" w:hAnsi="宋体"/>
                <w:b/>
                <w:bCs/>
                <w:color w:val="auto"/>
                <w:highlight w:val="none"/>
                <w:u w:val="single"/>
                <w:lang w:val="en-US" w:eastAsia="zh-CN"/>
              </w:rPr>
              <w:t xml:space="preserve"> </w:t>
            </w:r>
            <w:r>
              <w:rPr>
                <w:rFonts w:hint="eastAsia" w:hAnsi="宋体"/>
                <w:color w:val="auto"/>
                <w:highlight w:val="none"/>
              </w:rPr>
              <w:t>。</w:t>
            </w:r>
          </w:p>
          <w:p w14:paraId="23F071E9">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9、残疾人福利性单位参加本项目：</w:t>
            </w:r>
          </w:p>
          <w:p w14:paraId="5A4EC412">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在政府采购活动中，残疾人福利性单位视同小型、微型企业，享受预留份额、评审中价格扣除等促进中小企业发展的政府采购政策。</w:t>
            </w:r>
          </w:p>
          <w:p w14:paraId="1AC4CADF">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10、在政府采购活动中，监狱企业视同小型、微型企业，享受评审中价格扣除等政府采购促进中小企业发展的政府采购政策。监狱企业参加政府采购活动时，应当提供由省级以上监狱管理局、戒毒管理局（含新疆生产建设兵团）出具的属于监狱企业的证明文件。</w:t>
            </w:r>
          </w:p>
          <w:p w14:paraId="0AA788CF">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hAnsi="宋体"/>
                <w:color w:val="auto"/>
                <w:highlight w:val="none"/>
              </w:rPr>
              <w:t>供应商参加本次招标活动，上述要求（如涉及的话），均应作出响应。</w:t>
            </w:r>
          </w:p>
        </w:tc>
      </w:tr>
      <w:tr w14:paraId="381FB6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839" w:type="dxa"/>
            <w:vAlign w:val="center"/>
          </w:tcPr>
          <w:p w14:paraId="7BFFA1E1">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15</w:t>
            </w:r>
          </w:p>
        </w:tc>
        <w:tc>
          <w:tcPr>
            <w:tcW w:w="2693" w:type="dxa"/>
            <w:vAlign w:val="center"/>
          </w:tcPr>
          <w:p w14:paraId="18F22C8D">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响应文件编制</w:t>
            </w:r>
          </w:p>
        </w:tc>
        <w:tc>
          <w:tcPr>
            <w:tcW w:w="6094" w:type="dxa"/>
          </w:tcPr>
          <w:p w14:paraId="1DA3E1C9">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1、电子响应文件</w:t>
            </w:r>
          </w:p>
          <w:p w14:paraId="33199737">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1）响应文件递交截止时间前在政采云平台投标客户端（http://www.ccgp-shanxi.gov.cn/sxCategory15/sxCategory202/sxCategory20201/327.html）完成递交（上传），递交截止时间前未完成响应文件上传的，视为撤回响应文件，供应商自行承担责任。</w:t>
            </w:r>
          </w:p>
          <w:p w14:paraId="77CADF7C">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（2）电子响应文件所附各类证件、证书、证明等，请尽量采用原件扫描件。</w:t>
            </w:r>
          </w:p>
          <w:p w14:paraId="3CEC9554">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2、纸质响应文件（双面打印）</w:t>
            </w:r>
          </w:p>
          <w:p w14:paraId="5B2985F7">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（1）纸质响应文件3份请在响应文件递交截止时间后3日内邮寄或送达至代理机构（邮寄费用由供应商自理）。</w:t>
            </w:r>
          </w:p>
          <w:p w14:paraId="59DDFCF1">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（2）纸质响应文件仅作为项目存档使用。</w:t>
            </w:r>
          </w:p>
          <w:p w14:paraId="343D8B8F">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（3）供应商（供应商）所提交的电子响应文件与纸质响应文件不一致时以上传至政府采购平台的电子响应文件为准。</w:t>
            </w:r>
          </w:p>
        </w:tc>
      </w:tr>
      <w:tr w14:paraId="4B99C0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839" w:type="dxa"/>
            <w:vAlign w:val="center"/>
          </w:tcPr>
          <w:p w14:paraId="33B8A079">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16</w:t>
            </w:r>
          </w:p>
        </w:tc>
        <w:tc>
          <w:tcPr>
            <w:tcW w:w="2693" w:type="dxa"/>
            <w:vAlign w:val="center"/>
          </w:tcPr>
          <w:p w14:paraId="4CF112A8">
            <w:pPr>
              <w:keepNext/>
              <w:pageBreakBefore w:val="0"/>
              <w:widowControl/>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电子响应文件解密</w:t>
            </w:r>
          </w:p>
        </w:tc>
        <w:tc>
          <w:tcPr>
            <w:tcW w:w="6094" w:type="dxa"/>
          </w:tcPr>
          <w:p w14:paraId="5765828F">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1、供应商可到达磋商现场进行响应文件解密，也可远程线上解密其响应文件。</w:t>
            </w:r>
          </w:p>
          <w:p w14:paraId="6C4E8562">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2、供应商参加现场磋商的需自行携带笔记本电脑，并携带加密响应文件时所使用的数字证书（CA），在工作人员下达响应文件开启命令后使用数字证书（CA）对已递交的电子响应文件进行解密。</w:t>
            </w:r>
          </w:p>
          <w:p w14:paraId="1B5FEDD9">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3、因系统原因造成解密失败的，可由代理机构上传未加密的备份电子响应文件。</w:t>
            </w:r>
          </w:p>
          <w:p w14:paraId="4A347160">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4、供应商须保证加解密响应文件所用CA证书的一致性和有效性，若因为加解密响应文件所用CA证书不一致或无效导致的加解密响应文件失败，供应商需自行承担全部责任。</w:t>
            </w:r>
          </w:p>
          <w:p w14:paraId="58EE5E05">
            <w:pPr>
              <w:pageBreakBefore w:val="0"/>
              <w:kinsoku/>
              <w:wordWrap/>
              <w:overflowPunct/>
              <w:topLinePunct w:val="0"/>
              <w:bidi w:val="0"/>
              <w:snapToGrid w:val="0"/>
              <w:spacing w:line="360" w:lineRule="auto"/>
              <w:rPr>
                <w:rFonts w:hint="eastAsia" w:hAnsi="宋体"/>
                <w:color w:val="auto"/>
                <w:highlight w:val="none"/>
              </w:rPr>
            </w:pPr>
            <w:r>
              <w:rPr>
                <w:rFonts w:hint="eastAsia" w:hAnsi="宋体"/>
                <w:color w:val="auto"/>
                <w:highlight w:val="none"/>
              </w:rPr>
              <w:t>5、供应商确保CA证书在整个磋商活动中期间处于有效期内，中途更新延续变更等数字证书操作可能导致加密文件无法解密。</w:t>
            </w:r>
          </w:p>
        </w:tc>
      </w:tr>
      <w:tr w14:paraId="65BB6B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839" w:type="dxa"/>
            <w:vAlign w:val="center"/>
          </w:tcPr>
          <w:p w14:paraId="646BA0ED">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17</w:t>
            </w:r>
          </w:p>
        </w:tc>
        <w:tc>
          <w:tcPr>
            <w:tcW w:w="2693" w:type="dxa"/>
            <w:vAlign w:val="center"/>
          </w:tcPr>
          <w:p w14:paraId="10098B21">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成交服务费</w:t>
            </w:r>
          </w:p>
        </w:tc>
        <w:tc>
          <w:tcPr>
            <w:tcW w:w="6094" w:type="dxa"/>
            <w:vAlign w:val="center"/>
          </w:tcPr>
          <w:p w14:paraId="592B1B19">
            <w:pPr>
              <w:pageBreakBefore w:val="0"/>
              <w:kinsoku/>
              <w:wordWrap/>
              <w:overflowPunct/>
              <w:topLinePunct w:val="0"/>
              <w:bidi w:val="0"/>
              <w:spacing w:line="360" w:lineRule="auto"/>
              <w:rPr>
                <w:rFonts w:hint="eastAsia" w:hAnsi="宋体"/>
                <w:color w:val="auto"/>
                <w:highlight w:val="none"/>
              </w:rPr>
            </w:pPr>
            <w:r>
              <w:rPr>
                <w:rFonts w:hint="eastAsia" w:hAnsi="宋体"/>
                <w:color w:val="auto"/>
                <w:highlight w:val="none"/>
              </w:rPr>
              <w:t>成交单位在领取成交通知书的同时一次性向代理机构支付成交服务费用。收费标准参照《招标代理服务收费管理暂行办法》(计价格[2002]1980号)、《国家发展改革委关于招标代理服务收费有关问题的通知》(发改办价格[2003]857号)、《国家发展改革委关于降低部分建设项目收费标准规范收费行为等有关问题的通知》(发改价格[2011]534号)规定的标准。</w:t>
            </w:r>
          </w:p>
        </w:tc>
      </w:tr>
      <w:tr w14:paraId="7D2896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839" w:type="dxa"/>
            <w:vAlign w:val="center"/>
          </w:tcPr>
          <w:p w14:paraId="620754F9">
            <w:pPr>
              <w:pageBreakBefore w:val="0"/>
              <w:tabs>
                <w:tab w:val="left" w:pos="810"/>
              </w:tabs>
              <w:kinsoku/>
              <w:wordWrap/>
              <w:overflowPunct/>
              <w:topLinePunct w:val="0"/>
              <w:bidi w:val="0"/>
              <w:spacing w:line="360" w:lineRule="auto"/>
              <w:jc w:val="center"/>
              <w:rPr>
                <w:rFonts w:hint="eastAsia" w:ascii="宋体" w:hAnsi="宋体"/>
                <w:color w:val="auto"/>
                <w:szCs w:val="21"/>
                <w:highlight w:val="none"/>
              </w:rPr>
            </w:pPr>
            <w:r>
              <w:rPr>
                <w:rFonts w:hint="eastAsia" w:ascii="宋体" w:hAnsi="宋体"/>
                <w:color w:val="auto"/>
                <w:szCs w:val="21"/>
                <w:highlight w:val="none"/>
              </w:rPr>
              <w:t>18</w:t>
            </w:r>
          </w:p>
        </w:tc>
        <w:tc>
          <w:tcPr>
            <w:tcW w:w="2693" w:type="dxa"/>
            <w:vAlign w:val="center"/>
          </w:tcPr>
          <w:p w14:paraId="4E53C094">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其他说明</w:t>
            </w:r>
          </w:p>
        </w:tc>
        <w:tc>
          <w:tcPr>
            <w:tcW w:w="6094" w:type="dxa"/>
            <w:vAlign w:val="center"/>
          </w:tcPr>
          <w:p w14:paraId="7E0FCBB9">
            <w:pPr>
              <w:pageBreakBefore w:val="0"/>
              <w:kinsoku/>
              <w:wordWrap/>
              <w:overflowPunct/>
              <w:topLinePunct w:val="0"/>
              <w:bidi w:val="0"/>
              <w:spacing w:line="360" w:lineRule="auto"/>
              <w:rPr>
                <w:color w:val="auto"/>
                <w:highlight w:val="none"/>
              </w:rPr>
            </w:pPr>
            <w:r>
              <w:rPr>
                <w:rFonts w:hint="eastAsia"/>
                <w:color w:val="auto"/>
                <w:highlight w:val="none"/>
              </w:rPr>
              <w:t>1、供应商被“中国政府采购网”（www.ccgp.gov.cn）列入政府采购严重违法失信行为记录名单，或被“信用中国（中国执行信息公开网）”（www.creditchina.gov.cn）列入失信被执行人名单的，将否决其投标资格。</w:t>
            </w:r>
          </w:p>
          <w:p w14:paraId="3F076FDE">
            <w:pPr>
              <w:pageBreakBefore w:val="0"/>
              <w:kinsoku/>
              <w:wordWrap/>
              <w:overflowPunct/>
              <w:topLinePunct w:val="0"/>
              <w:bidi w:val="0"/>
              <w:spacing w:line="360" w:lineRule="auto"/>
              <w:rPr>
                <w:color w:val="auto"/>
                <w:highlight w:val="none"/>
              </w:rPr>
            </w:pPr>
            <w:r>
              <w:rPr>
                <w:rFonts w:hint="eastAsia"/>
                <w:color w:val="auto"/>
                <w:highlight w:val="none"/>
              </w:rPr>
              <w:t>2、</w:t>
            </w:r>
            <w:r>
              <w:rPr>
                <w:color w:val="auto"/>
                <w:highlight w:val="none"/>
              </w:rPr>
              <w:t>截止时点：公告发布后至</w:t>
            </w:r>
            <w:r>
              <w:rPr>
                <w:rFonts w:hint="eastAsia"/>
                <w:color w:val="auto"/>
                <w:highlight w:val="none"/>
              </w:rPr>
              <w:t>响应</w:t>
            </w:r>
            <w:r>
              <w:rPr>
                <w:color w:val="auto"/>
                <w:highlight w:val="none"/>
              </w:rPr>
              <w:t>截止时间段均可</w:t>
            </w:r>
            <w:r>
              <w:rPr>
                <w:rFonts w:hint="eastAsia"/>
                <w:color w:val="auto"/>
                <w:highlight w:val="none"/>
              </w:rPr>
              <w:t>。</w:t>
            </w:r>
          </w:p>
          <w:p w14:paraId="1B5B74A3">
            <w:pPr>
              <w:pageBreakBefore w:val="0"/>
              <w:kinsoku/>
              <w:wordWrap/>
              <w:overflowPunct/>
              <w:topLinePunct w:val="0"/>
              <w:bidi w:val="0"/>
              <w:spacing w:line="360" w:lineRule="auto"/>
              <w:rPr>
                <w:color w:val="auto"/>
                <w:highlight w:val="none"/>
              </w:rPr>
            </w:pPr>
            <w:r>
              <w:rPr>
                <w:rFonts w:hint="eastAsia"/>
                <w:color w:val="auto"/>
                <w:highlight w:val="none"/>
              </w:rPr>
              <w:t>3、“供应商可在响应文件中提供上述网站查询结果截图，不提供的将由采购代理机构工作人员于开标当日对其信用记录进行查询。”“银行、保险、石油石化、电力、电信等有行业特殊情况的，可由其企业分支机构参与本项目采购活动”。</w:t>
            </w:r>
          </w:p>
          <w:p w14:paraId="1E9654A7">
            <w:pPr>
              <w:pageBreakBefore w:val="0"/>
              <w:kinsoku/>
              <w:wordWrap/>
              <w:overflowPunct/>
              <w:topLinePunct w:val="0"/>
              <w:bidi w:val="0"/>
              <w:spacing w:line="360" w:lineRule="auto"/>
              <w:rPr>
                <w:color w:val="auto"/>
                <w:highlight w:val="none"/>
              </w:rPr>
            </w:pPr>
            <w:r>
              <w:rPr>
                <w:rFonts w:hint="eastAsia"/>
                <w:color w:val="auto"/>
                <w:highlight w:val="none"/>
              </w:rPr>
              <w:t>4、有关电子平台的相关问题，可咨询平台客服：95763。</w:t>
            </w:r>
          </w:p>
          <w:p w14:paraId="083A506E">
            <w:pPr>
              <w:pStyle w:val="13"/>
              <w:pageBreakBefore w:val="0"/>
              <w:kinsoku/>
              <w:wordWrap/>
              <w:overflowPunct/>
              <w:topLinePunct w:val="0"/>
              <w:bidi w:val="0"/>
              <w:spacing w:line="360" w:lineRule="auto"/>
              <w:ind w:firstLine="0"/>
              <w:rPr>
                <w:color w:val="auto"/>
                <w:highlight w:val="none"/>
              </w:rPr>
            </w:pPr>
            <w:r>
              <w:rPr>
                <w:rFonts w:hint="eastAsia"/>
                <w:color w:val="auto"/>
                <w:highlight w:val="none"/>
              </w:rPr>
              <w:t>5、</w:t>
            </w:r>
            <w:r>
              <w:rPr>
                <w:color w:val="auto"/>
                <w:highlight w:val="none"/>
              </w:rPr>
              <w:t>信用信息的使用原则：经认定的被列入失信被执行人、重大税收违法失信主体、政府采购严重违法失信行为记录名单的</w:t>
            </w:r>
            <w:r>
              <w:rPr>
                <w:rFonts w:hint="eastAsia"/>
                <w:color w:val="auto"/>
                <w:highlight w:val="none"/>
                <w:lang w:eastAsia="zh-CN"/>
              </w:rPr>
              <w:t>供应商</w:t>
            </w:r>
            <w:r>
              <w:rPr>
                <w:color w:val="auto"/>
                <w:highlight w:val="none"/>
              </w:rPr>
              <w:t>，其</w:t>
            </w:r>
            <w:r>
              <w:rPr>
                <w:rFonts w:hint="eastAsia"/>
                <w:color w:val="auto"/>
                <w:highlight w:val="none"/>
              </w:rPr>
              <w:t>响应</w:t>
            </w:r>
            <w:r>
              <w:rPr>
                <w:color w:val="auto"/>
                <w:highlight w:val="none"/>
              </w:rPr>
              <w:t>无效。</w:t>
            </w:r>
          </w:p>
          <w:p w14:paraId="402C438F">
            <w:pPr>
              <w:pageBreakBefore w:val="0"/>
              <w:kinsoku/>
              <w:wordWrap/>
              <w:overflowPunct/>
              <w:topLinePunct w:val="0"/>
              <w:bidi w:val="0"/>
              <w:snapToGrid w:val="0"/>
              <w:spacing w:line="360" w:lineRule="auto"/>
              <w:rPr>
                <w:rFonts w:hint="eastAsia" w:hAnsi="宋体"/>
                <w:b/>
                <w:color w:val="auto"/>
                <w:highlight w:val="none"/>
              </w:rPr>
            </w:pPr>
            <w:r>
              <w:rPr>
                <w:rFonts w:hint="eastAsia"/>
                <w:color w:val="auto"/>
                <w:highlight w:val="none"/>
              </w:rPr>
              <w:t>6</w:t>
            </w:r>
            <w:r>
              <w:rPr>
                <w:color w:val="auto"/>
                <w:highlight w:val="none"/>
              </w:rPr>
              <w:t>、</w:t>
            </w:r>
            <w:r>
              <w:rPr>
                <w:rFonts w:hint="eastAsia"/>
                <w:color w:val="auto"/>
                <w:highlight w:val="none"/>
              </w:rPr>
              <w:t>联合体形式参与的，联合体成员存在不良信用记录，视同联合体存在不良信用记录。</w:t>
            </w:r>
          </w:p>
        </w:tc>
      </w:tr>
    </w:tbl>
    <w:p w14:paraId="1918CBCD">
      <w:pPr>
        <w:pageBreakBefore w:val="0"/>
        <w:tabs>
          <w:tab w:val="left" w:pos="810"/>
        </w:tabs>
        <w:kinsoku/>
        <w:wordWrap/>
        <w:overflowPunct/>
        <w:topLinePunct w:val="0"/>
        <w:bidi w:val="0"/>
        <w:spacing w:line="360" w:lineRule="auto"/>
        <w:rPr>
          <w:rFonts w:hint="eastAsia" w:ascii="宋体" w:hAnsi="宋体"/>
          <w:color w:val="auto"/>
          <w:szCs w:val="21"/>
          <w:highlight w:val="none"/>
        </w:rPr>
      </w:pPr>
      <w:r>
        <w:rPr>
          <w:rFonts w:hint="eastAsia" w:ascii="宋体" w:hAnsi="宋体"/>
          <w:color w:val="auto"/>
          <w:szCs w:val="21"/>
          <w:highlight w:val="none"/>
        </w:rPr>
        <w:t>注：本表关于本项目的具体要求是对供应商须知的具体补充和修改，如有矛盾，应以本表为准。</w:t>
      </w:r>
    </w:p>
    <w:p w14:paraId="674F33F0">
      <w:pPr>
        <w:pageBreakBefore w:val="0"/>
        <w:tabs>
          <w:tab w:val="left" w:pos="2715"/>
        </w:tabs>
        <w:kinsoku/>
        <w:wordWrap/>
        <w:overflowPunct/>
        <w:topLinePunct w:val="0"/>
        <w:bidi w:val="0"/>
        <w:spacing w:line="360" w:lineRule="auto"/>
        <w:jc w:val="center"/>
        <w:rPr>
          <w:rFonts w:hint="eastAsia" w:ascii="宋体" w:hAnsi="宋体" w:cs="宋体"/>
          <w:b/>
          <w:color w:val="auto"/>
          <w:kern w:val="0"/>
          <w:sz w:val="32"/>
          <w:szCs w:val="21"/>
          <w:highlight w:val="none"/>
        </w:rPr>
      </w:pPr>
      <w:r>
        <w:rPr>
          <w:rFonts w:ascii="宋体" w:hAnsi="宋体" w:cs="宋体"/>
          <w:b/>
          <w:bCs/>
          <w:color w:val="auto"/>
          <w:spacing w:val="10"/>
          <w:kern w:val="0"/>
          <w:sz w:val="32"/>
          <w:szCs w:val="32"/>
          <w:highlight w:val="none"/>
        </w:rPr>
        <w:br w:type="page"/>
      </w:r>
      <w:bookmarkEnd w:id="6"/>
      <w:r>
        <w:rPr>
          <w:rFonts w:hint="eastAsia" w:ascii="宋体" w:hAnsi="宋体" w:cs="宋体"/>
          <w:b/>
          <w:color w:val="auto"/>
          <w:kern w:val="0"/>
          <w:sz w:val="32"/>
          <w:szCs w:val="21"/>
          <w:highlight w:val="none"/>
        </w:rPr>
        <w:t>供应商须知</w:t>
      </w:r>
    </w:p>
    <w:p w14:paraId="64886E6E">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一、总 则</w:t>
      </w:r>
    </w:p>
    <w:p w14:paraId="61014F8B">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 适用范围</w:t>
      </w:r>
    </w:p>
    <w:p w14:paraId="0A5582A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本</w:t>
      </w:r>
      <w:r>
        <w:rPr>
          <w:rFonts w:ascii="宋体" w:hAnsi="宋体" w:cs="宋体"/>
          <w:color w:val="auto"/>
          <w:kern w:val="0"/>
          <w:szCs w:val="21"/>
          <w:highlight w:val="none"/>
        </w:rPr>
        <w:t>竞争性磋商文件（以下简称磋商文件）</w:t>
      </w:r>
      <w:r>
        <w:rPr>
          <w:rFonts w:hint="eastAsia" w:ascii="宋体" w:hAnsi="宋体" w:cs="宋体"/>
          <w:color w:val="auto"/>
          <w:kern w:val="0"/>
          <w:szCs w:val="21"/>
          <w:highlight w:val="none"/>
        </w:rPr>
        <w:t>适用于本次采购活动的全过程。</w:t>
      </w:r>
    </w:p>
    <w:p w14:paraId="0D83185E">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 定义</w:t>
      </w:r>
    </w:p>
    <w:p w14:paraId="794A88BD">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2.1“货物”指供应商按磋商文件的规定须向采购人提供的产品。</w:t>
      </w:r>
    </w:p>
    <w:p w14:paraId="3B6CBC8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2.2 “服务”指本磋商文件所述供应商应该履行的承诺和义务。</w:t>
      </w:r>
    </w:p>
    <w:p w14:paraId="5588BF3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2.3 “采购人”指</w:t>
      </w:r>
      <w:r>
        <w:rPr>
          <w:rFonts w:hint="eastAsia" w:ascii="宋体" w:hAnsi="宋体" w:cs="宋体"/>
          <w:color w:val="auto"/>
          <w:kern w:val="0"/>
          <w:szCs w:val="21"/>
          <w:highlight w:val="none"/>
          <w:u w:val="single"/>
          <w:lang w:eastAsia="zh-CN"/>
        </w:rPr>
        <w:t>汾阳杏花村经济技术开发区管理委员会</w:t>
      </w:r>
      <w:r>
        <w:rPr>
          <w:rFonts w:hint="eastAsia" w:ascii="宋体" w:hAnsi="宋体" w:cs="宋体"/>
          <w:color w:val="auto"/>
          <w:kern w:val="0"/>
          <w:szCs w:val="21"/>
          <w:highlight w:val="none"/>
        </w:rPr>
        <w:t>。</w:t>
      </w:r>
    </w:p>
    <w:p w14:paraId="7A1B66D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2.4 “潜在供应商”指符合本磋商文件中规定的合格服务商。</w:t>
      </w:r>
    </w:p>
    <w:p w14:paraId="0845D84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2.5 “供应商”指符合本磋商文件规定并参加磋商活动的供应商。</w:t>
      </w:r>
    </w:p>
    <w:p w14:paraId="7A869A8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2.6 “响应”指供应商根据采购人及采购代理公司发布的磋商文件，编制响应文件并按规定进行磋商的行为。</w:t>
      </w:r>
    </w:p>
    <w:p w14:paraId="18E2B6C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2.7 “知识产权”：指专利权、商标权、著作权等无形财产专有权的统称。</w:t>
      </w:r>
    </w:p>
    <w:p w14:paraId="4C8B082C">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2.8 “天”：日历</w:t>
      </w:r>
      <w:r>
        <w:rPr>
          <w:rFonts w:hint="eastAsia" w:ascii="宋体" w:hAnsi="宋体" w:cs="宋体"/>
          <w:color w:val="auto"/>
          <w:kern w:val="0"/>
          <w:szCs w:val="21"/>
          <w:highlight w:val="none"/>
          <w:lang w:eastAsia="zh-CN"/>
        </w:rPr>
        <w:t>天</w:t>
      </w:r>
      <w:r>
        <w:rPr>
          <w:rFonts w:hint="eastAsia" w:ascii="宋体" w:hAnsi="宋体" w:cs="宋体"/>
          <w:color w:val="auto"/>
          <w:kern w:val="0"/>
          <w:szCs w:val="21"/>
          <w:highlight w:val="none"/>
        </w:rPr>
        <w:t>。</w:t>
      </w:r>
    </w:p>
    <w:p w14:paraId="0CC560F2">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3. 合格供应商的条件</w:t>
      </w:r>
    </w:p>
    <w:p w14:paraId="0B24D90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 按照竞争性磋商公告的规定，购买磋商文件并登记备案，并提供有效联系方式。</w:t>
      </w:r>
    </w:p>
    <w:p w14:paraId="1FA7262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3.2 供应商必须是已在</w:t>
      </w:r>
      <w:r>
        <w:rPr>
          <w:rFonts w:ascii="宋体" w:hAnsi="宋体" w:cs="宋体"/>
          <w:color w:val="auto"/>
          <w:kern w:val="0"/>
          <w:szCs w:val="21"/>
          <w:highlight w:val="none"/>
        </w:rPr>
        <w:t>中华人民共和国</w:t>
      </w:r>
      <w:r>
        <w:rPr>
          <w:rFonts w:hint="eastAsia" w:ascii="宋体" w:hAnsi="宋体" w:cs="宋体"/>
          <w:color w:val="auto"/>
          <w:kern w:val="0"/>
          <w:szCs w:val="21"/>
          <w:highlight w:val="none"/>
        </w:rPr>
        <w:t>境内注册，能够独立承担民事责任，有生产或供应能力的本国供应商，包括法人、其他组织、自然人。</w:t>
      </w:r>
    </w:p>
    <w:p w14:paraId="6A6F97F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供应商（法人或者其他组织）所持有的由工商行政管理部门所核发的有效的营业执照上载明的营业期限剩余时间应当不少于本次采购的相关合同基本义务履行所需期限，或已经提供相关证明材料能够证明具有履约能力。自然人的身份证明必须在有效期内。</w:t>
      </w:r>
    </w:p>
    <w:p w14:paraId="5626750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否则，采购人及磋商小组有权拒绝其参加本次磋商活动。</w:t>
      </w:r>
    </w:p>
    <w:p w14:paraId="1C63E575">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3.3  依法注册的供应商应当具备一定的资金能力，保证本项目实施过程中的风险承担和赔付能力。</w:t>
      </w:r>
    </w:p>
    <w:p w14:paraId="3F668C8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3.4  供应商应遵守有关的国家法律、法规和条例，具备《中华人民共和国政府采购法》《中华人民共和国政府采购法实施条例》和本磋商文件中规定的资格条件。</w:t>
      </w:r>
      <w:r>
        <w:rPr>
          <w:rFonts w:ascii="宋体" w:hAnsi="宋体" w:cs="宋体"/>
          <w:color w:val="auto"/>
          <w:kern w:val="0"/>
          <w:szCs w:val="21"/>
          <w:highlight w:val="none"/>
        </w:rPr>
        <w:t xml:space="preserve"> </w:t>
      </w:r>
    </w:p>
    <w:p w14:paraId="5C29D46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3.5 单位负责人为同一人或者存在控股、管理关系的不同供应商，不得参加本项目的磋商采购活动。</w:t>
      </w:r>
    </w:p>
    <w:p w14:paraId="4BC690E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3.6 与采购人存在利害关系可能影响采购活动公正性的法人、其他组织或者个人，不得参加磋商。</w:t>
      </w:r>
    </w:p>
    <w:p w14:paraId="1BB259DF">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4. 磋商费用</w:t>
      </w:r>
    </w:p>
    <w:p w14:paraId="242E72F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供应商应承担所有与准备和参加磋商有关的费用，采购代理公司和采购人在任何情况下均无义务和责任承担这些费用。</w:t>
      </w:r>
    </w:p>
    <w:p w14:paraId="24FD34FD">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二、磋商文件</w:t>
      </w:r>
    </w:p>
    <w:p w14:paraId="20E69DC9">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5. 磋商文件的内容</w:t>
      </w:r>
    </w:p>
    <w:p w14:paraId="4A3FF39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5.1 磋商文件由下列五部分内容组成：</w:t>
      </w:r>
    </w:p>
    <w:p w14:paraId="1271FF2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第一部分 磋商公告</w:t>
      </w:r>
    </w:p>
    <w:p w14:paraId="3A56D76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第二部分 供应商须知</w:t>
      </w:r>
    </w:p>
    <w:p w14:paraId="30919E5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第三部分 评标办法</w:t>
      </w:r>
    </w:p>
    <w:p w14:paraId="5D757F3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第四部分 商务、技术要求</w:t>
      </w:r>
    </w:p>
    <w:p w14:paraId="7F9D957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第五部分 合同原则</w:t>
      </w:r>
    </w:p>
    <w:p w14:paraId="5B7B596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第六部分 响应文件格式</w:t>
      </w:r>
    </w:p>
    <w:p w14:paraId="2620E12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5.2 供应商获取磋商文件后，应仔细阅读磋商文件的所有内容，如有遗漏、残缺等问题，应在获得磋商文件2个日历日内向采购人或代理公司提出，否则，由此引起的损失由供应商自行承担。</w:t>
      </w:r>
    </w:p>
    <w:p w14:paraId="5669E211">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5.3 供应商应详细阅读磋商文件中规定的条款、规范、格式和事项要求等内容。若供应商的响应文件没有按照磋商文件的要求提交全部资料，或响应文件没有对磋商文件做出实质性的响应，该磋商有可能被拒绝，其风险由供应商自行承担。</w:t>
      </w:r>
    </w:p>
    <w:p w14:paraId="371284A9">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6. 磋商文件的澄清和修改</w:t>
      </w:r>
    </w:p>
    <w:p w14:paraId="5C78231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6.1 供应商澄清要求的提交：任何已登记备案并领取了磋商文件的潜在供应商，均可要求对磋商文件进行澄清，按磋商公告中的联系地址以电子形式（包括电子材料、信函、传真，下同）送达代理公司。</w:t>
      </w:r>
    </w:p>
    <w:p w14:paraId="07E7A93D">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6.2 采购代理公司或采购人对澄清要求的处理：采购代理公司或采购人对其认为需要给予澄清、修改或进行其它答复的，将以补充文件的方式进行，并且采用电子形式及财政部门指定的政府采购信息发布媒体发布补充公告的形式。补充文件中包括原提出的问题及问题的说明意见，但不包括问题的来源。</w:t>
      </w:r>
    </w:p>
    <w:p w14:paraId="5D54484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6.3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056496D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6.4 采购代理公司或采购人澄清、修改及其它答复的效力：无论是否根据供应商的澄清、修改或进行其它答复的要求，采购代理公司或采购人一旦对磋商文件做出澄清、修改或进行其它答复，即刻发生效力，采购代理公司有关的补充文件，应当作为磋商文件的组成部分，对所有供应商均具有约束力。</w:t>
      </w:r>
    </w:p>
    <w:p w14:paraId="7EFB9CE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6.5 采购人不统一组织所有已登记备案并领取了磋商文件的潜在响应人现场考察，不召开</w:t>
      </w:r>
      <w:r>
        <w:rPr>
          <w:rFonts w:ascii="宋体" w:hAnsi="宋体" w:cs="宋体"/>
          <w:color w:val="auto"/>
          <w:kern w:val="0"/>
          <w:szCs w:val="21"/>
          <w:highlight w:val="none"/>
        </w:rPr>
        <w:t>磋商前答疑会</w:t>
      </w:r>
      <w:r>
        <w:rPr>
          <w:rFonts w:hint="eastAsia" w:ascii="宋体" w:hAnsi="宋体" w:cs="宋体"/>
          <w:color w:val="auto"/>
          <w:kern w:val="0"/>
          <w:szCs w:val="21"/>
          <w:highlight w:val="none"/>
        </w:rPr>
        <w:t>，如有必要的话自行联系采购单位考察现场情况</w:t>
      </w:r>
      <w:r>
        <w:rPr>
          <w:rFonts w:hint="eastAsia" w:ascii="宋体" w:hAnsi="宋体" w:cs="宋体"/>
          <w:color w:val="auto"/>
          <w:kern w:val="0"/>
          <w:szCs w:val="21"/>
          <w:highlight w:val="none"/>
          <w:lang w:eastAsia="zh-CN"/>
        </w:rPr>
        <w:t>（如有）</w:t>
      </w:r>
      <w:r>
        <w:rPr>
          <w:rFonts w:hint="eastAsia" w:ascii="宋体" w:hAnsi="宋体" w:cs="宋体"/>
          <w:color w:val="auto"/>
          <w:kern w:val="0"/>
          <w:szCs w:val="21"/>
          <w:highlight w:val="none"/>
        </w:rPr>
        <w:t>。</w:t>
      </w:r>
    </w:p>
    <w:p w14:paraId="15BF523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6.6 采购代理公司可视采购具体情况，延长磋商</w:t>
      </w:r>
      <w:r>
        <w:rPr>
          <w:rFonts w:ascii="宋体" w:hAnsi="宋体" w:cs="宋体"/>
          <w:color w:val="auto"/>
          <w:kern w:val="0"/>
          <w:szCs w:val="21"/>
          <w:highlight w:val="none"/>
        </w:rPr>
        <w:t>截止</w:t>
      </w:r>
      <w:r>
        <w:rPr>
          <w:rFonts w:hint="eastAsia" w:ascii="宋体" w:hAnsi="宋体" w:cs="宋体"/>
          <w:color w:val="auto"/>
          <w:kern w:val="0"/>
          <w:szCs w:val="21"/>
          <w:highlight w:val="none"/>
        </w:rPr>
        <w:t>和开始时间，将变更时间以财政部门指定的政府采购信息发布媒体发布变更公告的形式通知所有参与磋商的供应商</w:t>
      </w:r>
      <w:r>
        <w:rPr>
          <w:rFonts w:ascii="宋体" w:hAnsi="宋体" w:cs="宋体"/>
          <w:color w:val="auto"/>
          <w:kern w:val="0"/>
          <w:szCs w:val="21"/>
          <w:highlight w:val="none"/>
        </w:rPr>
        <w:t>。</w:t>
      </w:r>
    </w:p>
    <w:p w14:paraId="67C1CB0A">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6.7 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将通过政采云平台同时通知所有参与磋商的供应商。</w:t>
      </w:r>
    </w:p>
    <w:p w14:paraId="10972E47">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bookmarkStart w:id="9" w:name="_Toc175644018"/>
      <w:r>
        <w:rPr>
          <w:rFonts w:hint="eastAsia" w:ascii="宋体" w:hAnsi="宋体" w:cs="宋体"/>
          <w:b/>
          <w:color w:val="auto"/>
          <w:kern w:val="0"/>
          <w:szCs w:val="21"/>
          <w:highlight w:val="none"/>
        </w:rPr>
        <w:t>三、响应文件</w:t>
      </w:r>
      <w:bookmarkEnd w:id="9"/>
    </w:p>
    <w:p w14:paraId="12D72600">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7. 响应文件编制的原则</w:t>
      </w:r>
    </w:p>
    <w:p w14:paraId="62D9770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7.1 供应商应在认真阅读磋商文件所有内容的基础上，按照磋商文件的要求编制完整的响应文件，不准有空项；无相应内容可填的项应填写“/”或“无”或“没有相应指标”等明确的文字回答。</w:t>
      </w:r>
    </w:p>
    <w:p w14:paraId="4BB968F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7.2 供应商必须保证响应文件所提供的全部资料真实可靠，并接受采购人对其中任何资料做进一步审查的要求。</w:t>
      </w:r>
    </w:p>
    <w:p w14:paraId="22FCC8DD">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7.3 响应文件须对磋商文件中的内容做出实质性和完整的响应，否则将被拒绝。</w:t>
      </w:r>
    </w:p>
    <w:p w14:paraId="56B286CC">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8. 响应文件的语言和计量单位</w:t>
      </w:r>
    </w:p>
    <w:p w14:paraId="19EA290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8.1 供应商提交的响应文件（包括响应文件和资料）以及供应商与采购代理公司或采购人就有关磋商的所有来往函电均应使用中文简体字。</w:t>
      </w:r>
    </w:p>
    <w:p w14:paraId="473416F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8.2 除另有特殊规定外，计量单位应使用中华人民共和国法定计量单位。</w:t>
      </w:r>
    </w:p>
    <w:p w14:paraId="346177B1">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8.3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A398E1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原版为外文的证书类、证明类文件，与供应商名称或其它实际情况不符的，供应商应当提供相关证明文件。</w:t>
      </w:r>
    </w:p>
    <w:p w14:paraId="2D0D5C41">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8.4 对于未附有中文译本和中文译本不准确的响应文件,由此引起的对供应商的不利后果,采购人概不负责。</w:t>
      </w:r>
    </w:p>
    <w:p w14:paraId="7498F729">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9. 响应文件的组成及相关要求</w:t>
      </w:r>
    </w:p>
    <w:p w14:paraId="2B4EE00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9.1 响应文件分为资格响应文件、商务技术响应文件和报价要求响应文件。本次磋商，供应商应按本磋商文件要求提交响应文件内容和需要供应商自行编写的其他文件，其中加★项目若有缺失或无效，将导致磋商被拒绝。（具体填写要求及格式详见磋商文件第六部分）。</w:t>
      </w:r>
      <w:bookmarkStart w:id="10" w:name="_Toc92942700"/>
      <w:bookmarkStart w:id="11" w:name="_Toc12264720"/>
      <w:bookmarkStart w:id="12" w:name="_Toc12670428"/>
    </w:p>
    <w:p w14:paraId="350B204F">
      <w:pPr>
        <w:pageBreakBefore w:val="0"/>
        <w:tabs>
          <w:tab w:val="left" w:pos="2715"/>
        </w:tabs>
        <w:kinsoku/>
        <w:wordWrap/>
        <w:overflowPunct/>
        <w:topLinePunct w:val="0"/>
        <w:bidi w:val="0"/>
        <w:spacing w:line="360" w:lineRule="auto"/>
        <w:ind w:firstLine="474" w:firstLineChars="225"/>
        <w:rPr>
          <w:rFonts w:hint="eastAsia" w:ascii="宋体" w:hAnsi="宋体" w:eastAsia="宋体" w:cs="宋体"/>
          <w:b/>
          <w:bCs/>
          <w:color w:val="auto"/>
          <w:spacing w:val="0"/>
          <w:kern w:val="21"/>
          <w:sz w:val="21"/>
          <w:szCs w:val="21"/>
          <w:highlight w:val="none"/>
          <w:lang w:val="en-US" w:eastAsia="zh-CN"/>
        </w:rPr>
      </w:pPr>
      <w:r>
        <w:rPr>
          <w:rFonts w:hint="eastAsia" w:ascii="宋体" w:hAnsi="宋体" w:cs="宋体"/>
          <w:b/>
          <w:bCs/>
          <w:color w:val="auto"/>
          <w:kern w:val="0"/>
          <w:szCs w:val="21"/>
          <w:highlight w:val="none"/>
        </w:rPr>
        <w:t xml:space="preserve">9.2 </w:t>
      </w:r>
      <w:r>
        <w:rPr>
          <w:rFonts w:hint="eastAsia" w:ascii="宋体" w:hAnsi="宋体" w:eastAsia="宋体" w:cs="宋体"/>
          <w:b/>
          <w:bCs/>
          <w:color w:val="auto"/>
          <w:spacing w:val="0"/>
          <w:kern w:val="21"/>
          <w:sz w:val="21"/>
          <w:szCs w:val="21"/>
          <w:highlight w:val="none"/>
          <w:lang w:val="en-US" w:eastAsia="zh-CN"/>
        </w:rPr>
        <w:t>供应商在响应时，按照规定提供《政府采购供应商信用承诺函》，无需再提交</w:t>
      </w:r>
    </w:p>
    <w:p w14:paraId="0BF51109">
      <w:pPr>
        <w:pageBreakBefore w:val="0"/>
        <w:tabs>
          <w:tab w:val="left" w:pos="2715"/>
        </w:tabs>
        <w:kinsoku/>
        <w:wordWrap/>
        <w:overflowPunct/>
        <w:topLinePunct w:val="0"/>
        <w:bidi w:val="0"/>
        <w:spacing w:line="360" w:lineRule="auto"/>
        <w:ind w:firstLine="474" w:firstLineChars="225"/>
        <w:rPr>
          <w:rFonts w:hint="eastAsia" w:ascii="宋体" w:hAnsi="宋体" w:cs="宋体"/>
          <w:color w:val="auto"/>
          <w:kern w:val="0"/>
          <w:szCs w:val="21"/>
          <w:highlight w:val="none"/>
        </w:rPr>
      </w:pPr>
      <w:r>
        <w:rPr>
          <w:rFonts w:hint="eastAsia" w:ascii="宋体" w:hAnsi="宋体" w:cs="宋体"/>
          <w:b/>
          <w:bCs/>
          <w:color w:val="auto"/>
          <w:spacing w:val="0"/>
          <w:kern w:val="21"/>
          <w:sz w:val="21"/>
          <w:szCs w:val="21"/>
          <w:highlight w:val="none"/>
          <w:lang w:val="en-US" w:eastAsia="zh-CN"/>
        </w:rPr>
        <w:t>第</w:t>
      </w:r>
      <w:r>
        <w:rPr>
          <w:rFonts w:hint="eastAsia" w:ascii="宋体" w:hAnsi="宋体" w:eastAsia="宋体" w:cs="宋体"/>
          <w:b/>
          <w:bCs/>
          <w:color w:val="auto"/>
          <w:spacing w:val="0"/>
          <w:kern w:val="21"/>
          <w:sz w:val="21"/>
          <w:szCs w:val="21"/>
          <w:highlight w:val="none"/>
          <w:lang w:val="en-US" w:eastAsia="zh-CN"/>
        </w:rPr>
        <w:t>二</w:t>
      </w:r>
      <w:r>
        <w:rPr>
          <w:rFonts w:hint="eastAsia" w:ascii="宋体" w:hAnsi="宋体" w:cs="宋体"/>
          <w:b/>
          <w:bCs/>
          <w:color w:val="auto"/>
          <w:spacing w:val="0"/>
          <w:kern w:val="21"/>
          <w:sz w:val="21"/>
          <w:szCs w:val="21"/>
          <w:highlight w:val="none"/>
          <w:lang w:val="en-US" w:eastAsia="zh-CN"/>
        </w:rPr>
        <w:t>部分</w:t>
      </w:r>
      <w:r>
        <w:rPr>
          <w:rFonts w:hint="eastAsia" w:ascii="宋体" w:hAnsi="宋体" w:eastAsia="宋体" w:cs="宋体"/>
          <w:b/>
          <w:bCs/>
          <w:color w:val="auto"/>
          <w:spacing w:val="0"/>
          <w:kern w:val="21"/>
          <w:sz w:val="21"/>
          <w:szCs w:val="21"/>
          <w:highlight w:val="none"/>
          <w:lang w:val="en-US" w:eastAsia="zh-CN"/>
        </w:rPr>
        <w:t>、投标人须知  6、资格响应文件（1）至（5）项要求的证明材料；采购人有权在签订合同前要求成交供应商提供相关证明材料以核实成交供应商承诺事项的真实性</w:t>
      </w:r>
      <w:r>
        <w:rPr>
          <w:rFonts w:hint="eastAsia" w:ascii="宋体" w:hAnsi="宋体" w:cs="宋体"/>
          <w:b w:val="0"/>
          <w:bCs w:val="0"/>
          <w:color w:val="auto"/>
          <w:spacing w:val="0"/>
          <w:kern w:val="21"/>
          <w:sz w:val="21"/>
          <w:szCs w:val="21"/>
          <w:highlight w:val="none"/>
          <w:lang w:val="en-US" w:eastAsia="zh-CN"/>
        </w:rPr>
        <w:t>。</w:t>
      </w:r>
      <w:r>
        <w:rPr>
          <w:rFonts w:hint="eastAsia" w:ascii="宋体" w:hAnsi="宋体" w:cs="宋体"/>
          <w:color w:val="auto"/>
          <w:kern w:val="0"/>
          <w:szCs w:val="21"/>
          <w:highlight w:val="none"/>
        </w:rPr>
        <w:t>若供应商未按磋商文件的要求提供资料，或未对磋商文件做出实质性响应，将作为无效响应文件。</w:t>
      </w:r>
    </w:p>
    <w:p w14:paraId="539B4B5A">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9.3供应商获取磋商文件后，可在政采云平台投标客户端进行响应文件编制。</w:t>
      </w:r>
    </w:p>
    <w:p w14:paraId="07A6A7AC">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10. 磋商</w:t>
      </w:r>
      <w:r>
        <w:rPr>
          <w:rFonts w:ascii="宋体" w:hAnsi="宋体" w:cs="宋体"/>
          <w:b/>
          <w:color w:val="auto"/>
          <w:kern w:val="0"/>
          <w:szCs w:val="21"/>
          <w:highlight w:val="none"/>
        </w:rPr>
        <w:t>报价</w:t>
      </w:r>
      <w:bookmarkEnd w:id="10"/>
      <w:bookmarkEnd w:id="11"/>
      <w:bookmarkEnd w:id="12"/>
    </w:p>
    <w:p w14:paraId="1F7B1B2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10.1除特殊要求外，供应商的每轮报价只允许有一个报价，不接受任何有选择的报价，最终报价不得超过项目的采购预算金额，否则将否决其磋商。</w:t>
      </w:r>
    </w:p>
    <w:p w14:paraId="50CD33F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10.2其他轮次的报价均被视为已经包含了完成本项目的所有费用。</w:t>
      </w:r>
    </w:p>
    <w:p w14:paraId="6B50005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10.3供应商报出的最后报价（非公开）为全部完成交付的最终价格。</w:t>
      </w:r>
    </w:p>
    <w:p w14:paraId="772A19D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10.4磋商的货币：本次磋商采购均须以人民币为计算单位。磋商文件另有规定的从其规定。</w:t>
      </w:r>
    </w:p>
    <w:p w14:paraId="252E404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10.5 供应商报价不得超过采购预算，</w:t>
      </w:r>
      <w:r>
        <w:rPr>
          <w:rFonts w:ascii="宋体" w:hAnsi="宋体" w:cs="宋体"/>
          <w:color w:val="auto"/>
          <w:kern w:val="0"/>
          <w:szCs w:val="21"/>
          <w:highlight w:val="none"/>
        </w:rPr>
        <w:t>否则其</w:t>
      </w:r>
      <w:r>
        <w:rPr>
          <w:rFonts w:hint="eastAsia" w:ascii="宋体" w:hAnsi="宋体" w:cs="宋体"/>
          <w:color w:val="auto"/>
          <w:kern w:val="0"/>
          <w:szCs w:val="21"/>
          <w:highlight w:val="none"/>
        </w:rPr>
        <w:t>磋商</w:t>
      </w:r>
      <w:r>
        <w:rPr>
          <w:rFonts w:ascii="宋体" w:hAnsi="宋体" w:cs="宋体"/>
          <w:color w:val="auto"/>
          <w:kern w:val="0"/>
          <w:szCs w:val="21"/>
          <w:highlight w:val="none"/>
        </w:rPr>
        <w:t>将被拒绝。</w:t>
      </w:r>
    </w:p>
    <w:p w14:paraId="7A6477F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10.6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投标处理。</w:t>
      </w:r>
    </w:p>
    <w:p w14:paraId="7B5A79CB">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11. 磋商保证金</w:t>
      </w:r>
    </w:p>
    <w:p w14:paraId="58FF5CC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11.1 供应商必须按供应商须知前附表第9条规定的金额于磋商前提交磋商保证金。</w:t>
      </w:r>
    </w:p>
    <w:p w14:paraId="5796234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11.2 磋商保证金必须采用转帐、电汇方式之一进行交纳，保证金必须从本单位基本账户转出。</w:t>
      </w:r>
    </w:p>
    <w:p w14:paraId="35D3C8A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11.3 因银行结算，不可抗力等非采购人/采购代理公司原因造成的磋商保证金不能及时到账，后果由供应商自行承担。</w:t>
      </w:r>
    </w:p>
    <w:p w14:paraId="18C5D6E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11.4 未按前述各款要求提交磋商保证金，或所提交磋商保证金不完全符合各项要求的响应，将被视为无效磋商。</w:t>
      </w:r>
    </w:p>
    <w:p w14:paraId="78D16D9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11.5 在成交结果公告后5个工作日内，办理未成交的供应商的保证金退还手续。成交人的磋商保证金，在成交人与采购人签订的合同生效后5个工作日内退还。</w:t>
      </w:r>
    </w:p>
    <w:p w14:paraId="15675E95">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11.6 磋商保证金在响应文件有效期内保持有效，采购人如果按本须知相关条款的规定延长了响应文件有效期，则磋商保证金的有效期也相应延长。</w:t>
      </w:r>
    </w:p>
    <w:p w14:paraId="39A42A4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11.7 </w:t>
      </w:r>
      <w:r>
        <w:rPr>
          <w:rFonts w:ascii="宋体" w:hAnsi="宋体" w:cs="宋体"/>
          <w:color w:val="auto"/>
          <w:kern w:val="0"/>
          <w:szCs w:val="21"/>
          <w:highlight w:val="none"/>
        </w:rPr>
        <w:t>有下列情形之一的，磋商保证金不予退还：</w:t>
      </w:r>
    </w:p>
    <w:p w14:paraId="69F7EAA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1</w:t>
      </w:r>
      <w:r>
        <w:rPr>
          <w:rFonts w:ascii="宋体" w:hAnsi="宋体" w:cs="宋体"/>
          <w:color w:val="auto"/>
          <w:kern w:val="0"/>
          <w:szCs w:val="21"/>
          <w:highlight w:val="none"/>
        </w:rPr>
        <w:t>）供应商在提交响应文件截止时间后撤回响应文件的；</w:t>
      </w:r>
    </w:p>
    <w:p w14:paraId="66F2976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2</w:t>
      </w:r>
      <w:r>
        <w:rPr>
          <w:rFonts w:ascii="宋体" w:hAnsi="宋体" w:cs="宋体"/>
          <w:color w:val="auto"/>
          <w:kern w:val="0"/>
          <w:szCs w:val="21"/>
          <w:highlight w:val="none"/>
        </w:rPr>
        <w:t>）供应商在响应文件中提供虚假材料的；</w:t>
      </w:r>
    </w:p>
    <w:p w14:paraId="03A66EB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）除因不可抗力或磋商文件认可的情形以外，成交供应商不与采购人签订合同的；</w:t>
      </w:r>
    </w:p>
    <w:p w14:paraId="22F1E30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4</w:t>
      </w:r>
      <w:r>
        <w:rPr>
          <w:rFonts w:ascii="宋体" w:hAnsi="宋体" w:cs="宋体"/>
          <w:color w:val="auto"/>
          <w:kern w:val="0"/>
          <w:szCs w:val="21"/>
          <w:highlight w:val="none"/>
        </w:rPr>
        <w:t>）供应商与采购人、其他供应商或者采购代理公司恶意串通的；</w:t>
      </w:r>
    </w:p>
    <w:p w14:paraId="349E819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5</w:t>
      </w:r>
      <w:r>
        <w:rPr>
          <w:rFonts w:ascii="宋体" w:hAnsi="宋体" w:cs="宋体"/>
          <w:color w:val="auto"/>
          <w:kern w:val="0"/>
          <w:szCs w:val="21"/>
          <w:highlight w:val="none"/>
        </w:rPr>
        <w:t>）磋商文件规定的其他情形。</w:t>
      </w:r>
    </w:p>
    <w:p w14:paraId="3FDF6596">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12. 响应文件的有效期</w:t>
      </w:r>
    </w:p>
    <w:p w14:paraId="7849078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12.1 本项目响应文件的有效期为90天。有效期短于该规定期限的磋商将被拒绝。</w:t>
      </w:r>
    </w:p>
    <w:p w14:paraId="24B1BBCD">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12.2 在特殊情况下，采购人在原定响应文件有效期内可以根据需要向供应商提出延长响应文件有效期的要求，供应商应立即以线上电子形式对此要求向采购人作出答复；供应商可以拒绝采购人的要求而不会因此被没收磋商保证金。同意延期的供应商应相应地延长磋商保证金的有效期，但不得因此而提出修改响应文件的要求。在延长期内，本须知第11条关于磋商保证金的退还与没收的规定仍然适用。</w:t>
      </w:r>
    </w:p>
    <w:p w14:paraId="517E7C84">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13. 响应文件的签署及其他规定</w:t>
      </w:r>
    </w:p>
    <w:p w14:paraId="7C7BB40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bookmarkStart w:id="13" w:name="_Toc175644019"/>
      <w:r>
        <w:rPr>
          <w:rFonts w:hint="eastAsia" w:ascii="宋体" w:hAnsi="宋体" w:cs="宋体"/>
          <w:color w:val="auto"/>
          <w:kern w:val="0"/>
          <w:szCs w:val="21"/>
          <w:highlight w:val="none"/>
        </w:rPr>
        <w:t>13.1 组成响应文件的各种文件均应遵守本条规定。</w:t>
      </w:r>
    </w:p>
    <w:p w14:paraId="30B5ABA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13.2 供应商在响应文件及相关文件的签订、履行、通知等事项的书面文件中的“单位盖章”、“印章”、“公章”等处均仅指与供应商名称全称相一致的标准公章，不得使用其它（如带有“专用章”等字样）的印章。</w:t>
      </w:r>
    </w:p>
    <w:p w14:paraId="4488354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13.3 响应文件应由供应商的法定代表人（负责人）或供应商代表签字或盖章。</w:t>
      </w:r>
    </w:p>
    <w:p w14:paraId="3870194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13.4 响应文件应字迹清楚、内容齐全、不得涂改或增删。如有修改和增删，必须有供应商公章及法定代表人（负责人）或其授权的供应商代表签字。</w:t>
      </w:r>
    </w:p>
    <w:p w14:paraId="3F861BF2">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四、响应文件的递交</w:t>
      </w:r>
      <w:bookmarkEnd w:id="13"/>
    </w:p>
    <w:p w14:paraId="16EAEF61">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14. 纸质响应文件的密封及标记</w:t>
      </w:r>
    </w:p>
    <w:p w14:paraId="4DEE154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14.1供应商须将纸质响应文件及供应商认为有必要提交的其他资料密封提交。封皮上须写明项目编号、项目名称、包号、供应商全称、地址，并加盖供应商公章。</w:t>
      </w:r>
    </w:p>
    <w:p w14:paraId="41B26795">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14.2 如果供应商未对纸质响应文件进行密封、盖章的，代理机构将拒绝接收。代理机构对由此带来的问题和后果概不承担任何责任。</w:t>
      </w:r>
    </w:p>
    <w:p w14:paraId="743C9A77">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15. 响应文件递交截止时间</w:t>
      </w:r>
    </w:p>
    <w:p w14:paraId="53FEB12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15.1供应商应在响应文件递交截止时间前在政采云平台投标客户端完成电子响应文件的递交（上传），递交截止时间前未完成响应文件上传的，视为撤回响应文件，供应商自行承担责任。</w:t>
      </w:r>
    </w:p>
    <w:p w14:paraId="6CE0058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15.2代理机构根据本须知的规定，通过修改招标文件或自行决定延长投标截止日期的，采购人和供应商受投标截止日期制约的所有权利和义务均延长至新的截止日期。</w:t>
      </w:r>
    </w:p>
    <w:p w14:paraId="6941FC3D">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16. 响应文件的补充、修改和撤回</w:t>
      </w:r>
    </w:p>
    <w:p w14:paraId="2376A07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16.1供应商上传响应文件后，在投标截止时间前可以进行修改和撤回。</w:t>
      </w:r>
    </w:p>
    <w:p w14:paraId="18F74CE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16.2在招标文件要求的响应文件提交截止时间之后，供应商不得对其响应文件进行补充、修改或撤回。</w:t>
      </w:r>
    </w:p>
    <w:p w14:paraId="624CFE12">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17. 最后报价</w:t>
      </w:r>
    </w:p>
    <w:p w14:paraId="3EBBEA6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17.1 最后报价递交时间:磋商结束后。</w:t>
      </w:r>
    </w:p>
    <w:p w14:paraId="4A1D5B65">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17.2 最后报价递交地点:政采云平台投标客户端。</w:t>
      </w:r>
    </w:p>
    <w:p w14:paraId="63481EE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17.3 磋商结束后,磋商小组要求所有实质性响应的供应商在规定的时间内提交最后报价。</w:t>
      </w:r>
    </w:p>
    <w:p w14:paraId="60D7B095">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五、磋商程序和内容</w:t>
      </w:r>
    </w:p>
    <w:p w14:paraId="4D9E2456">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bookmarkStart w:id="14" w:name="_Toc92942713"/>
      <w:bookmarkStart w:id="15" w:name="_Toc12670441"/>
      <w:bookmarkStart w:id="16" w:name="_Toc12264733"/>
      <w:r>
        <w:rPr>
          <w:rFonts w:hint="eastAsia" w:ascii="宋体" w:hAnsi="宋体" w:cs="宋体"/>
          <w:b/>
          <w:color w:val="auto"/>
          <w:kern w:val="0"/>
          <w:szCs w:val="21"/>
          <w:highlight w:val="none"/>
        </w:rPr>
        <w:t>18</w:t>
      </w:r>
      <w:bookmarkEnd w:id="14"/>
      <w:bookmarkEnd w:id="15"/>
      <w:bookmarkEnd w:id="16"/>
      <w:r>
        <w:rPr>
          <w:rFonts w:hint="eastAsia" w:ascii="宋体" w:hAnsi="宋体" w:cs="宋体"/>
          <w:b/>
          <w:color w:val="auto"/>
          <w:kern w:val="0"/>
          <w:szCs w:val="21"/>
          <w:highlight w:val="none"/>
        </w:rPr>
        <w:t>. 组建磋商小组</w:t>
      </w:r>
    </w:p>
    <w:p w14:paraId="46E4D9C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采购人根据有关法律法规和本磋商文件的规定，结合本采购项目的特点组建磋商小组，对响应文件进行评估和比较。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采用竞争性磋商方式的政府采购项目，评审专家应当从政府采购评审专家库内相关专业的专家名单中随机抽取。</w:t>
      </w:r>
    </w:p>
    <w:p w14:paraId="5483554C">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19. 磋商</w:t>
      </w:r>
    </w:p>
    <w:p w14:paraId="20324354">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本次磋商采取一轮磋商、二轮报价、综合评分方式进行。</w:t>
      </w:r>
    </w:p>
    <w:p w14:paraId="4D6C32A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19.1磋商会议由采购人或者采购代理机构主持，邀请供应商参加。评标委员会成员不参加磋商会议活动。</w:t>
      </w:r>
    </w:p>
    <w:p w14:paraId="4AE1108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19.2供应商未参加磋商会议的，视同认可磋商会议结果。</w:t>
      </w:r>
    </w:p>
    <w:p w14:paraId="37440AA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19.3供应商在工作人员下达标书开启命令后使用数字证书（CA）对已递交的电子响应文件进行解密，确认报价后使用数字证书（CA）进行进行第一次报价确认。</w:t>
      </w:r>
    </w:p>
    <w:p w14:paraId="4859429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19.4磋商会议过程应当由采购人或者采购代理机构负责记录，由参加磋商会议的各供应商代表和相关工作人员确认信息后随采购文件一并存档。</w:t>
      </w:r>
    </w:p>
    <w:p w14:paraId="235C953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19.5供应商代表对磋商会议过程和磋商会议记录有疑义，以及认为采购人、采购代理机构相关工作人员有需要回避的情形的，应当场提出询问或者回避申请。采购人、采购代理机构对供应商代表提出的询问或者回避申请应当及时处理。</w:t>
      </w:r>
    </w:p>
    <w:p w14:paraId="31D52A3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19.6磋商小组将对实质性响应的响应文件进行评估和比较，按照递交顺序</w:t>
      </w:r>
      <w:r>
        <w:rPr>
          <w:rFonts w:ascii="宋体" w:hAnsi="宋体" w:cs="宋体"/>
          <w:color w:val="auto"/>
          <w:kern w:val="0"/>
          <w:szCs w:val="21"/>
          <w:highlight w:val="none"/>
        </w:rPr>
        <w:t>集中与单一供应商分别进行磋商。</w:t>
      </w:r>
    </w:p>
    <w:p w14:paraId="59C11B2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19.7磋商小组可以与供应商进行多轮磋商，在磋商过程中，磋商小组可以根据磋商文件和磋商情况实质性变动采购需求中的技术、服务要求以及合同草案条款，但不得变动磋商文件中的其他内容。实质性变动的内容，须经采购人代表确认。</w:t>
      </w:r>
    </w:p>
    <w:p w14:paraId="603C8B1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19.8</w:t>
      </w:r>
      <w:r>
        <w:rPr>
          <w:rFonts w:ascii="宋体" w:hAnsi="宋体" w:cs="宋体"/>
          <w:color w:val="auto"/>
          <w:kern w:val="0"/>
          <w:szCs w:val="21"/>
          <w:highlight w:val="none"/>
        </w:rPr>
        <w:t>对磋商文件作出的实质性变动是磋商文件的有效组成部分，磋商小组</w:t>
      </w:r>
      <w:r>
        <w:rPr>
          <w:rFonts w:hint="eastAsia" w:ascii="宋体" w:hAnsi="宋体" w:cs="宋体"/>
          <w:color w:val="auto"/>
          <w:kern w:val="0"/>
          <w:szCs w:val="21"/>
          <w:highlight w:val="none"/>
        </w:rPr>
        <w:t>通过</w:t>
      </w:r>
      <w:r>
        <w:rPr>
          <w:rFonts w:ascii="宋体" w:hAnsi="宋体" w:cs="宋体"/>
          <w:color w:val="auto"/>
          <w:kern w:val="0"/>
          <w:szCs w:val="21"/>
          <w:highlight w:val="none"/>
        </w:rPr>
        <w:t>政采云平台通知所有参加磋商的供应商。</w:t>
      </w:r>
    </w:p>
    <w:p w14:paraId="0DB0502A">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19.9</w:t>
      </w:r>
      <w:r>
        <w:rPr>
          <w:rFonts w:ascii="宋体" w:hAnsi="宋体" w:cs="宋体"/>
          <w:color w:val="auto"/>
          <w:kern w:val="0"/>
          <w:szCs w:val="21"/>
          <w:highlight w:val="none"/>
        </w:rPr>
        <w:t>磋商文件能够详细列明采购标的的技术、服务要求的，磋商结束后，磋商小组应当要求所有实质性响应的供应商在规定时间内</w:t>
      </w:r>
      <w:r>
        <w:rPr>
          <w:rFonts w:hint="eastAsia" w:ascii="宋体" w:hAnsi="宋体" w:cs="宋体"/>
          <w:color w:val="auto"/>
          <w:kern w:val="0"/>
          <w:szCs w:val="21"/>
          <w:highlight w:val="none"/>
        </w:rPr>
        <w:t>采用网上填写的形式做出</w:t>
      </w:r>
      <w:r>
        <w:rPr>
          <w:rFonts w:ascii="宋体" w:hAnsi="宋体" w:cs="宋体"/>
          <w:color w:val="auto"/>
          <w:kern w:val="0"/>
          <w:szCs w:val="21"/>
          <w:highlight w:val="none"/>
        </w:rPr>
        <w:t>提交</w:t>
      </w:r>
      <w:r>
        <w:rPr>
          <w:rFonts w:hint="eastAsia" w:ascii="宋体" w:hAnsi="宋体" w:cs="宋体"/>
          <w:color w:val="auto"/>
          <w:kern w:val="0"/>
          <w:szCs w:val="21"/>
          <w:highlight w:val="none"/>
        </w:rPr>
        <w:t>第二轮报价，供应商须按照采购代理机构确定的最终报价时间统一报出；第二轮报价即最终报价</w:t>
      </w:r>
      <w:r>
        <w:rPr>
          <w:rFonts w:ascii="宋体" w:hAnsi="宋体" w:cs="宋体"/>
          <w:color w:val="auto"/>
          <w:kern w:val="0"/>
          <w:szCs w:val="21"/>
          <w:highlight w:val="none"/>
        </w:rPr>
        <w:t>，提交最后报价的供应商不得少于3家。</w:t>
      </w:r>
    </w:p>
    <w:p w14:paraId="4000233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19.10 </w:t>
      </w:r>
      <w:r>
        <w:rPr>
          <w:rFonts w:ascii="宋体" w:hAnsi="宋体" w:cs="宋体"/>
          <w:color w:val="auto"/>
          <w:kern w:val="0"/>
          <w:szCs w:val="21"/>
          <w:highlight w:val="none"/>
        </w:rPr>
        <w:t>已提交响应文件的供应商，在提交最后报价之前，可以根据磋商情况退出磋商。采购人、采购代理公司应当退还退出磋商的供应商的磋商保证金。</w:t>
      </w:r>
    </w:p>
    <w:p w14:paraId="6052D0A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19.11 磋商后，磋商小组将根据供应商的响应文件、最后报价、书面澄清和承诺书等，依据“评分标准和评标办法”进行综合评审。</w:t>
      </w:r>
    </w:p>
    <w:p w14:paraId="641BD6A2">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bookmarkStart w:id="17" w:name="_Toc92942714"/>
      <w:r>
        <w:rPr>
          <w:rFonts w:hint="eastAsia" w:ascii="宋体" w:hAnsi="宋体" w:cs="宋体"/>
          <w:b/>
          <w:color w:val="auto"/>
          <w:kern w:val="0"/>
          <w:szCs w:val="21"/>
          <w:highlight w:val="none"/>
        </w:rPr>
        <w:t>20. 响应文件的澄清</w:t>
      </w:r>
    </w:p>
    <w:bookmarkEnd w:id="17"/>
    <w:p w14:paraId="1B05ECA1">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20.1 </w:t>
      </w:r>
      <w:r>
        <w:rPr>
          <w:rFonts w:ascii="宋体" w:hAnsi="宋体" w:cs="宋体"/>
          <w:color w:val="auto"/>
          <w:kern w:val="0"/>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w:t>
      </w:r>
      <w:r>
        <w:rPr>
          <w:rFonts w:hint="eastAsia" w:ascii="宋体" w:hAnsi="宋体" w:cs="宋体"/>
          <w:color w:val="auto"/>
          <w:kern w:val="0"/>
          <w:szCs w:val="21"/>
          <w:highlight w:val="none"/>
        </w:rPr>
        <w:t>首次</w:t>
      </w:r>
      <w:r>
        <w:rPr>
          <w:rFonts w:ascii="宋体" w:hAnsi="宋体" w:cs="宋体"/>
          <w:color w:val="auto"/>
          <w:kern w:val="0"/>
          <w:szCs w:val="21"/>
          <w:highlight w:val="none"/>
        </w:rPr>
        <w:t>响应文件的范围或者改变</w:t>
      </w:r>
      <w:r>
        <w:rPr>
          <w:rFonts w:hint="eastAsia" w:ascii="宋体" w:hAnsi="宋体" w:cs="宋体"/>
          <w:color w:val="auto"/>
          <w:kern w:val="0"/>
          <w:szCs w:val="21"/>
          <w:highlight w:val="none"/>
        </w:rPr>
        <w:t>首次</w:t>
      </w:r>
      <w:r>
        <w:rPr>
          <w:rFonts w:ascii="宋体" w:hAnsi="宋体" w:cs="宋体"/>
          <w:color w:val="auto"/>
          <w:kern w:val="0"/>
          <w:szCs w:val="21"/>
          <w:highlight w:val="none"/>
        </w:rPr>
        <w:t>响应文件的实质性内容。</w:t>
      </w:r>
    </w:p>
    <w:p w14:paraId="4D53A5E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20.2 </w:t>
      </w:r>
      <w:r>
        <w:rPr>
          <w:rFonts w:ascii="宋体" w:hAnsi="宋体" w:cs="宋体"/>
          <w:color w:val="auto"/>
          <w:kern w:val="0"/>
          <w:szCs w:val="21"/>
          <w:highlight w:val="none"/>
        </w:rPr>
        <w:t>磋商小组要求供应商澄清、说明或者更正</w:t>
      </w:r>
      <w:r>
        <w:rPr>
          <w:rFonts w:hint="eastAsia" w:ascii="宋体" w:hAnsi="宋体" w:cs="宋体"/>
          <w:color w:val="auto"/>
          <w:kern w:val="0"/>
          <w:szCs w:val="21"/>
          <w:highlight w:val="none"/>
        </w:rPr>
        <w:t>首次</w:t>
      </w:r>
      <w:r>
        <w:rPr>
          <w:rFonts w:ascii="宋体" w:hAnsi="宋体" w:cs="宋体"/>
          <w:color w:val="auto"/>
          <w:kern w:val="0"/>
          <w:szCs w:val="21"/>
          <w:highlight w:val="none"/>
        </w:rPr>
        <w:t>响应文件应当以</w:t>
      </w:r>
      <w:r>
        <w:rPr>
          <w:rFonts w:hint="eastAsia" w:ascii="宋体" w:hAnsi="宋体" w:cs="宋体"/>
          <w:color w:val="auto"/>
          <w:kern w:val="0"/>
          <w:szCs w:val="21"/>
          <w:highlight w:val="none"/>
        </w:rPr>
        <w:t>电子</w:t>
      </w:r>
      <w:r>
        <w:rPr>
          <w:rFonts w:ascii="宋体" w:hAnsi="宋体" w:cs="宋体"/>
          <w:color w:val="auto"/>
          <w:kern w:val="0"/>
          <w:szCs w:val="21"/>
          <w:highlight w:val="none"/>
        </w:rPr>
        <w:t>形式作出。供应商的澄清、说明或者更正应当由法定代表人</w:t>
      </w:r>
      <w:r>
        <w:rPr>
          <w:rFonts w:hint="eastAsia" w:ascii="宋体" w:hAnsi="宋体" w:cs="宋体"/>
          <w:color w:val="auto"/>
          <w:kern w:val="0"/>
          <w:szCs w:val="21"/>
          <w:highlight w:val="none"/>
        </w:rPr>
        <w:t>（负责人）</w:t>
      </w:r>
      <w:r>
        <w:rPr>
          <w:rFonts w:ascii="宋体" w:hAnsi="宋体" w:cs="宋体"/>
          <w:color w:val="auto"/>
          <w:kern w:val="0"/>
          <w:szCs w:val="21"/>
          <w:highlight w:val="none"/>
        </w:rPr>
        <w:t>或其授权代表签字或者加盖公章。由授权代表签字的，应当附法定代表人</w:t>
      </w:r>
      <w:r>
        <w:rPr>
          <w:rFonts w:hint="eastAsia" w:ascii="宋体" w:hAnsi="宋体" w:cs="宋体"/>
          <w:color w:val="auto"/>
          <w:kern w:val="0"/>
          <w:szCs w:val="21"/>
          <w:highlight w:val="none"/>
        </w:rPr>
        <w:t>（负责人）</w:t>
      </w:r>
      <w:r>
        <w:rPr>
          <w:rFonts w:ascii="宋体" w:hAnsi="宋体" w:cs="宋体"/>
          <w:color w:val="auto"/>
          <w:kern w:val="0"/>
          <w:szCs w:val="21"/>
          <w:highlight w:val="none"/>
        </w:rPr>
        <w:t>授权书。供应商为自然人的，应当由本人签字并附身份证明。</w:t>
      </w:r>
    </w:p>
    <w:p w14:paraId="1D11028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20.3 如磋商小组一致认为某个供应商的报价明显不合理，有降低质量、不能诚信履行合同的可能时，磋商小组有权决定是否通知其限期进行解释或提供相关证明材料。若已要求，而该供应商在规定期限内未做出解释、做出的解释不合理或不能提供证明材料的，磋商小组有权拒绝该投标。</w:t>
      </w:r>
    </w:p>
    <w:p w14:paraId="309A22C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20.4 </w:t>
      </w:r>
      <w:r>
        <w:rPr>
          <w:rFonts w:ascii="宋体" w:hAnsi="宋体" w:cs="宋体"/>
          <w:color w:val="auto"/>
          <w:kern w:val="0"/>
          <w:szCs w:val="21"/>
          <w:highlight w:val="none"/>
        </w:rPr>
        <w:t>与</w:t>
      </w:r>
      <w:r>
        <w:rPr>
          <w:rFonts w:hint="eastAsia" w:ascii="宋体" w:hAnsi="宋体" w:cs="宋体"/>
          <w:color w:val="auto"/>
          <w:kern w:val="0"/>
          <w:szCs w:val="21"/>
          <w:highlight w:val="none"/>
        </w:rPr>
        <w:t>磋商</w:t>
      </w:r>
      <w:r>
        <w:rPr>
          <w:rFonts w:ascii="宋体" w:hAnsi="宋体" w:cs="宋体"/>
          <w:color w:val="auto"/>
          <w:kern w:val="0"/>
          <w:szCs w:val="21"/>
          <w:highlight w:val="none"/>
        </w:rPr>
        <w:t>文件有重大偏离的</w:t>
      </w:r>
      <w:r>
        <w:rPr>
          <w:rFonts w:hint="eastAsia" w:ascii="宋体" w:hAnsi="宋体" w:cs="宋体"/>
          <w:color w:val="auto"/>
          <w:kern w:val="0"/>
          <w:szCs w:val="21"/>
          <w:highlight w:val="none"/>
        </w:rPr>
        <w:t>响应文件</w:t>
      </w:r>
      <w:r>
        <w:rPr>
          <w:rFonts w:ascii="宋体" w:hAnsi="宋体" w:cs="宋体"/>
          <w:color w:val="auto"/>
          <w:kern w:val="0"/>
          <w:szCs w:val="21"/>
          <w:highlight w:val="none"/>
        </w:rPr>
        <w:t>将被拒绝。</w:t>
      </w:r>
      <w:r>
        <w:rPr>
          <w:rFonts w:hint="eastAsia" w:ascii="宋体" w:hAnsi="宋体" w:cs="宋体"/>
          <w:color w:val="auto"/>
          <w:kern w:val="0"/>
          <w:szCs w:val="21"/>
          <w:highlight w:val="none"/>
        </w:rPr>
        <w:t>重大偏离系指影响到磋商</w:t>
      </w:r>
      <w:r>
        <w:rPr>
          <w:rFonts w:ascii="宋体" w:hAnsi="宋体" w:cs="宋体"/>
          <w:color w:val="auto"/>
          <w:kern w:val="0"/>
          <w:szCs w:val="21"/>
          <w:highlight w:val="none"/>
        </w:rPr>
        <w:t>文件</w:t>
      </w:r>
      <w:r>
        <w:rPr>
          <w:rFonts w:hint="eastAsia" w:ascii="宋体" w:hAnsi="宋体" w:cs="宋体"/>
          <w:color w:val="auto"/>
          <w:kern w:val="0"/>
          <w:szCs w:val="21"/>
          <w:highlight w:val="none"/>
        </w:rPr>
        <w:t>规定的范围，或限制了采购人的权力和供应商的义务的规定，而纠正这些偏离将影响到其它提交实质性响应报价的供应商的公平竞争地位。</w:t>
      </w:r>
    </w:p>
    <w:p w14:paraId="2434CED6">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21. 响应文件审查</w:t>
      </w:r>
    </w:p>
    <w:p w14:paraId="18EFB77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21.1 资格性审查</w:t>
      </w:r>
    </w:p>
    <w:p w14:paraId="3F5E344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开标结束后，磋商小组应当依法对供应商的资格进行审查。合格供应商不足3家的，不得评标。</w:t>
      </w:r>
    </w:p>
    <w:p w14:paraId="1C07B4A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21.2符合性检查</w:t>
      </w:r>
    </w:p>
    <w:p w14:paraId="6EA9202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磋商小组应当对符合资格的供应商的响应文件进行符合性审查，以确定其是否满足磋商文件的实质性要求。</w:t>
      </w:r>
    </w:p>
    <w:p w14:paraId="6942B98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21.3 </w:t>
      </w:r>
      <w:r>
        <w:rPr>
          <w:rFonts w:ascii="宋体" w:hAnsi="宋体" w:cs="宋体"/>
          <w:color w:val="auto"/>
          <w:kern w:val="0"/>
          <w:szCs w:val="21"/>
          <w:highlight w:val="none"/>
        </w:rPr>
        <w:t>未实质性响应磋商文件的响应文件按无效响应处理，磋商小组应当告知提交响应文件的供应商。</w:t>
      </w:r>
    </w:p>
    <w:p w14:paraId="3FD44F9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21.4 </w:t>
      </w:r>
      <w:r>
        <w:rPr>
          <w:rFonts w:ascii="宋体" w:hAnsi="宋体" w:cs="宋体"/>
          <w:color w:val="auto"/>
          <w:kern w:val="0"/>
          <w:szCs w:val="21"/>
          <w:highlight w:val="none"/>
        </w:rPr>
        <w:t>根据有关法律法规和</w:t>
      </w:r>
      <w:r>
        <w:rPr>
          <w:rFonts w:hint="eastAsia" w:ascii="宋体" w:hAnsi="宋体" w:cs="宋体"/>
          <w:color w:val="auto"/>
          <w:kern w:val="0"/>
          <w:szCs w:val="21"/>
          <w:highlight w:val="none"/>
        </w:rPr>
        <w:t>磋商</w:t>
      </w:r>
      <w:r>
        <w:rPr>
          <w:rFonts w:ascii="宋体" w:hAnsi="宋体" w:cs="宋体"/>
          <w:color w:val="auto"/>
          <w:kern w:val="0"/>
          <w:szCs w:val="21"/>
          <w:highlight w:val="none"/>
        </w:rPr>
        <w:t>文件的有关规定，如</w:t>
      </w:r>
      <w:r>
        <w:rPr>
          <w:rFonts w:hint="eastAsia" w:ascii="宋体" w:hAnsi="宋体" w:cs="宋体"/>
          <w:color w:val="auto"/>
          <w:kern w:val="0"/>
          <w:szCs w:val="21"/>
          <w:highlight w:val="none"/>
        </w:rPr>
        <w:t>出</w:t>
      </w:r>
      <w:r>
        <w:rPr>
          <w:rFonts w:ascii="宋体" w:hAnsi="宋体" w:cs="宋体"/>
          <w:color w:val="auto"/>
          <w:kern w:val="0"/>
          <w:szCs w:val="21"/>
          <w:highlight w:val="none"/>
        </w:rPr>
        <w:t>现下列情况之一的，</w:t>
      </w:r>
      <w:r>
        <w:rPr>
          <w:rFonts w:hint="eastAsia" w:ascii="宋体" w:hAnsi="宋体" w:cs="宋体"/>
          <w:color w:val="auto"/>
          <w:kern w:val="0"/>
          <w:szCs w:val="21"/>
          <w:highlight w:val="none"/>
        </w:rPr>
        <w:t>应予以废标：</w:t>
      </w:r>
    </w:p>
    <w:p w14:paraId="4EFDAAF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（1）因情况变化，不再符合规定的磋商采购方式适用情形的；</w:t>
      </w:r>
    </w:p>
    <w:p w14:paraId="7493D90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66F90C6C">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（3）供应商的报价均超过采购人项目采购预算，采购人不能支付的。</w:t>
      </w:r>
    </w:p>
    <w:p w14:paraId="7B5E7E3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21.5审查中，对明显的文字和计算错误按下述原则处理：</w:t>
      </w:r>
    </w:p>
    <w:p w14:paraId="731E301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(1)响应文件中开标一览表(报价表)内容与响应文件中相应内容不一致的，以开标一览表(报价表)为准;</w:t>
      </w:r>
    </w:p>
    <w:p w14:paraId="6828EB3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04D410EC">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5699D7D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66FA567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同时出现两种以上不一致的，按照规定的顺序修正。</w:t>
      </w:r>
    </w:p>
    <w:p w14:paraId="2CD389F1">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22. 综合评审</w:t>
      </w:r>
    </w:p>
    <w:p w14:paraId="4A5FA84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22.1 </w:t>
      </w:r>
      <w:r>
        <w:rPr>
          <w:rFonts w:ascii="宋体" w:hAnsi="宋体" w:cs="宋体"/>
          <w:color w:val="auto"/>
          <w:kern w:val="0"/>
          <w:szCs w:val="21"/>
          <w:highlight w:val="none"/>
        </w:rPr>
        <w:t>经磋商确定最终采购需求和提交最后报价的供应商后，由磋商小组采用综合评分法对提交最后报价的供应商的响应文件和最后报价进行综合评分。</w:t>
      </w:r>
    </w:p>
    <w:p w14:paraId="52C8BCA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22.2 本次磋商采用综合评分法，即在最大限度地满足磋商文件实质性要求前提下，按照磋商文件中规定的各项因素进行综合评审后，采购人授权磋商小组直接确定成交供应商。</w:t>
      </w:r>
    </w:p>
    <w:p w14:paraId="79FA70B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22.3 磋商小组将本着</w:t>
      </w:r>
      <w:r>
        <w:rPr>
          <w:rFonts w:ascii="宋体" w:hAnsi="宋体" w:cs="宋体"/>
          <w:color w:val="auto"/>
          <w:kern w:val="0"/>
          <w:szCs w:val="21"/>
          <w:highlight w:val="none"/>
        </w:rPr>
        <w:t>客观、公正、审慎的原则</w:t>
      </w:r>
      <w:r>
        <w:rPr>
          <w:rFonts w:hint="eastAsia" w:ascii="宋体" w:hAnsi="宋体" w:cs="宋体"/>
          <w:color w:val="auto"/>
          <w:kern w:val="0"/>
          <w:szCs w:val="21"/>
          <w:highlight w:val="none"/>
        </w:rPr>
        <w:t>，对审查合格的响应文件进行以下各方面的综合评审。磋商小组成员</w:t>
      </w:r>
      <w:r>
        <w:rPr>
          <w:rFonts w:ascii="宋体" w:hAnsi="宋体" w:cs="宋体"/>
          <w:color w:val="auto"/>
          <w:kern w:val="0"/>
          <w:szCs w:val="21"/>
          <w:highlight w:val="none"/>
        </w:rPr>
        <w:t>应当</w:t>
      </w:r>
      <w:r>
        <w:rPr>
          <w:rFonts w:hint="eastAsia" w:ascii="宋体" w:hAnsi="宋体" w:cs="宋体"/>
          <w:color w:val="auto"/>
          <w:kern w:val="0"/>
          <w:szCs w:val="21"/>
          <w:highlight w:val="none"/>
        </w:rPr>
        <w:t>独立</w:t>
      </w:r>
      <w:r>
        <w:rPr>
          <w:rFonts w:ascii="宋体" w:hAnsi="宋体" w:cs="宋体"/>
          <w:color w:val="auto"/>
          <w:kern w:val="0"/>
          <w:szCs w:val="21"/>
          <w:highlight w:val="none"/>
        </w:rPr>
        <w:t>对每个有效响应的文件进行评价、打分，然后汇总每个供应商每项评分因素的得分。</w:t>
      </w:r>
      <w:r>
        <w:rPr>
          <w:rFonts w:hint="eastAsia" w:ascii="宋体" w:hAnsi="宋体" w:cs="宋体"/>
          <w:color w:val="auto"/>
          <w:kern w:val="0"/>
          <w:szCs w:val="21"/>
          <w:highlight w:val="none"/>
        </w:rPr>
        <w:t>所有磋商小组成员评分的算术平均值即为每位供应商的最终得分。</w:t>
      </w:r>
    </w:p>
    <w:p w14:paraId="17C2133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22</w:t>
      </w:r>
      <w:r>
        <w:rPr>
          <w:rFonts w:ascii="宋体" w:hAnsi="宋体" w:cs="宋体"/>
          <w:color w:val="auto"/>
          <w:kern w:val="0"/>
          <w:szCs w:val="21"/>
          <w:highlight w:val="none"/>
        </w:rPr>
        <w:t>.4 使用综合评分法的采购项目，提供相同品牌产品且通过资格审查、符合性审查的不同</w:t>
      </w:r>
      <w:r>
        <w:rPr>
          <w:rFonts w:hint="eastAsia" w:ascii="宋体" w:hAnsi="宋体" w:cs="宋体"/>
          <w:color w:val="auto"/>
          <w:kern w:val="0"/>
          <w:szCs w:val="21"/>
          <w:highlight w:val="none"/>
        </w:rPr>
        <w:t>供应商</w:t>
      </w:r>
      <w:r>
        <w:rPr>
          <w:rFonts w:ascii="宋体" w:hAnsi="宋体" w:cs="宋体"/>
          <w:color w:val="auto"/>
          <w:kern w:val="0"/>
          <w:szCs w:val="21"/>
          <w:highlight w:val="none"/>
        </w:rPr>
        <w:t>参加同一合同项下投标的，按一家</w:t>
      </w:r>
      <w:r>
        <w:rPr>
          <w:rFonts w:hint="eastAsia" w:ascii="宋体" w:hAnsi="宋体" w:cs="宋体"/>
          <w:color w:val="auto"/>
          <w:kern w:val="0"/>
          <w:szCs w:val="21"/>
          <w:highlight w:val="none"/>
        </w:rPr>
        <w:t>供应商</w:t>
      </w:r>
      <w:r>
        <w:rPr>
          <w:rFonts w:ascii="宋体" w:hAnsi="宋体" w:cs="宋体"/>
          <w:color w:val="auto"/>
          <w:kern w:val="0"/>
          <w:szCs w:val="21"/>
          <w:highlight w:val="none"/>
        </w:rPr>
        <w:t>计算，评审后得分最高的同品牌</w:t>
      </w:r>
      <w:r>
        <w:rPr>
          <w:rFonts w:hint="eastAsia" w:ascii="宋体" w:hAnsi="宋体" w:cs="宋体"/>
          <w:color w:val="auto"/>
          <w:kern w:val="0"/>
          <w:szCs w:val="21"/>
          <w:highlight w:val="none"/>
        </w:rPr>
        <w:t>供应商</w:t>
      </w:r>
      <w:r>
        <w:rPr>
          <w:rFonts w:ascii="宋体" w:hAnsi="宋体" w:cs="宋体"/>
          <w:color w:val="auto"/>
          <w:kern w:val="0"/>
          <w:szCs w:val="21"/>
          <w:highlight w:val="none"/>
        </w:rPr>
        <w:t>获得</w:t>
      </w:r>
      <w:r>
        <w:rPr>
          <w:rFonts w:hint="eastAsia" w:ascii="宋体" w:hAnsi="宋体" w:cs="宋体"/>
          <w:color w:val="auto"/>
          <w:kern w:val="0"/>
          <w:szCs w:val="21"/>
          <w:highlight w:val="none"/>
        </w:rPr>
        <w:t>成交</w:t>
      </w:r>
      <w:r>
        <w:rPr>
          <w:rFonts w:ascii="宋体" w:hAnsi="宋体" w:cs="宋体"/>
          <w:color w:val="auto"/>
          <w:kern w:val="0"/>
          <w:szCs w:val="21"/>
          <w:highlight w:val="none"/>
        </w:rPr>
        <w:t>人推荐资格；评审得分相同的，由采购人或者采购人委托</w:t>
      </w:r>
      <w:r>
        <w:rPr>
          <w:rFonts w:hint="eastAsia" w:ascii="宋体" w:hAnsi="宋体" w:cs="宋体"/>
          <w:color w:val="auto"/>
          <w:kern w:val="0"/>
          <w:szCs w:val="21"/>
          <w:highlight w:val="none"/>
        </w:rPr>
        <w:t>磋商小组</w:t>
      </w:r>
      <w:r>
        <w:rPr>
          <w:rFonts w:ascii="宋体" w:hAnsi="宋体" w:cs="宋体"/>
          <w:color w:val="auto"/>
          <w:kern w:val="0"/>
          <w:szCs w:val="21"/>
          <w:highlight w:val="none"/>
        </w:rPr>
        <w:t>按照</w:t>
      </w:r>
      <w:r>
        <w:rPr>
          <w:rFonts w:hint="eastAsia" w:ascii="宋体" w:hAnsi="宋体" w:cs="宋体"/>
          <w:color w:val="auto"/>
          <w:kern w:val="0"/>
          <w:szCs w:val="21"/>
          <w:highlight w:val="none"/>
        </w:rPr>
        <w:t>磋商</w:t>
      </w:r>
      <w:r>
        <w:rPr>
          <w:rFonts w:ascii="宋体" w:hAnsi="宋体" w:cs="宋体"/>
          <w:color w:val="auto"/>
          <w:kern w:val="0"/>
          <w:szCs w:val="21"/>
          <w:highlight w:val="none"/>
        </w:rPr>
        <w:t>文件规定的方式确定一个</w:t>
      </w:r>
      <w:r>
        <w:rPr>
          <w:rFonts w:hint="eastAsia" w:ascii="宋体" w:hAnsi="宋体" w:cs="宋体"/>
          <w:color w:val="auto"/>
          <w:kern w:val="0"/>
          <w:szCs w:val="21"/>
          <w:highlight w:val="none"/>
        </w:rPr>
        <w:t>供应商</w:t>
      </w:r>
      <w:r>
        <w:rPr>
          <w:rFonts w:ascii="宋体" w:hAnsi="宋体" w:cs="宋体"/>
          <w:color w:val="auto"/>
          <w:kern w:val="0"/>
          <w:szCs w:val="21"/>
          <w:highlight w:val="none"/>
        </w:rPr>
        <w:t>获得</w:t>
      </w:r>
      <w:r>
        <w:rPr>
          <w:rFonts w:hint="eastAsia" w:ascii="宋体" w:hAnsi="宋体" w:cs="宋体"/>
          <w:color w:val="auto"/>
          <w:kern w:val="0"/>
          <w:szCs w:val="21"/>
          <w:highlight w:val="none"/>
        </w:rPr>
        <w:t>成交</w:t>
      </w:r>
      <w:r>
        <w:rPr>
          <w:rFonts w:ascii="宋体" w:hAnsi="宋体" w:cs="宋体"/>
          <w:color w:val="auto"/>
          <w:kern w:val="0"/>
          <w:szCs w:val="21"/>
          <w:highlight w:val="none"/>
        </w:rPr>
        <w:t>人推荐资格，</w:t>
      </w:r>
      <w:r>
        <w:rPr>
          <w:rFonts w:hint="eastAsia" w:ascii="宋体" w:hAnsi="宋体" w:cs="宋体"/>
          <w:color w:val="auto"/>
          <w:kern w:val="0"/>
          <w:szCs w:val="21"/>
          <w:highlight w:val="none"/>
        </w:rPr>
        <w:t>磋商</w:t>
      </w:r>
      <w:r>
        <w:rPr>
          <w:rFonts w:ascii="宋体" w:hAnsi="宋体" w:cs="宋体"/>
          <w:color w:val="auto"/>
          <w:kern w:val="0"/>
          <w:szCs w:val="21"/>
          <w:highlight w:val="none"/>
        </w:rPr>
        <w:t>文件未规定的采取随机抽取方式确定，其他同品牌</w:t>
      </w:r>
      <w:r>
        <w:rPr>
          <w:rFonts w:hint="eastAsia" w:ascii="宋体" w:hAnsi="宋体" w:cs="宋体"/>
          <w:color w:val="auto"/>
          <w:kern w:val="0"/>
          <w:szCs w:val="21"/>
          <w:highlight w:val="none"/>
        </w:rPr>
        <w:t>供应商</w:t>
      </w:r>
      <w:r>
        <w:rPr>
          <w:rFonts w:ascii="宋体" w:hAnsi="宋体" w:cs="宋体"/>
          <w:color w:val="auto"/>
          <w:kern w:val="0"/>
          <w:szCs w:val="21"/>
          <w:highlight w:val="none"/>
        </w:rPr>
        <w:t>不作为</w:t>
      </w:r>
      <w:r>
        <w:rPr>
          <w:rFonts w:hint="eastAsia" w:ascii="宋体" w:hAnsi="宋体" w:cs="宋体"/>
          <w:color w:val="auto"/>
          <w:kern w:val="0"/>
          <w:szCs w:val="21"/>
          <w:highlight w:val="none"/>
        </w:rPr>
        <w:t>成交</w:t>
      </w:r>
      <w:r>
        <w:rPr>
          <w:rFonts w:ascii="宋体" w:hAnsi="宋体" w:cs="宋体"/>
          <w:color w:val="auto"/>
          <w:kern w:val="0"/>
          <w:szCs w:val="21"/>
          <w:highlight w:val="none"/>
        </w:rPr>
        <w:t>候选人。</w:t>
      </w:r>
    </w:p>
    <w:p w14:paraId="0B67E173">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23. 确定成交供应商</w:t>
      </w:r>
    </w:p>
    <w:p w14:paraId="2B40C2A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根据综合评分情况，按照评审得分由高到低的顺序推荐3名成交候选供应商，并编写评审报告。采购人按照评审报告提出的成交候选供应商排序由高到低的原则确定成交供应商，或授权磋商小组直接确定总得分排名第一的供应商为成交供应商。评审得分相同的，按照最后报价由低到高的顺序推荐。评审得分且最后报价相同的，按照技术指标优劣顺序推荐。</w:t>
      </w:r>
    </w:p>
    <w:p w14:paraId="6E78849D">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24. 磋商过程保密</w:t>
      </w:r>
    </w:p>
    <w:p w14:paraId="20847638">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24.1 磋商开始之后，直到授予成交人合同止，凡是属于审查、澄清、评价和比较磋商的有关资料以及授标意向等，均不得向供应商或其他与评审无关的人员透露。</w:t>
      </w:r>
    </w:p>
    <w:p w14:paraId="14B80D8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24.2 在磋商期间，供应商有影响采购代理公司或磋商小组的任何活动，将导致磋商被拒绝，并由其承担相应的法律责任。</w:t>
      </w:r>
    </w:p>
    <w:p w14:paraId="73EAA217">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25. 关于供应商瑕疵滞后发现的处理规则</w:t>
      </w:r>
    </w:p>
    <w:p w14:paraId="0B594E3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无论基于何种原因，各项本应作拒绝磋商处理的情形，即便未被及时发现而使该供应商进入初审、详细评审或其它后续程序，包括已经签约的情形。一旦被发现存在上述情形，采购人有权决定取消该供应商的此前评议结果，或决定对该磋商予以拒绝，并有权采取相应的补救及纠正措施。</w:t>
      </w:r>
    </w:p>
    <w:p w14:paraId="7C1A18D9">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bookmarkStart w:id="18" w:name="_Toc175644022"/>
      <w:r>
        <w:rPr>
          <w:rFonts w:hint="eastAsia" w:ascii="宋体" w:hAnsi="宋体" w:cs="宋体"/>
          <w:b/>
          <w:color w:val="auto"/>
          <w:kern w:val="0"/>
          <w:szCs w:val="21"/>
          <w:highlight w:val="none"/>
        </w:rPr>
        <w:t>六、签订合同</w:t>
      </w:r>
      <w:bookmarkEnd w:id="18"/>
    </w:p>
    <w:p w14:paraId="1038359F">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26. 成交通知</w:t>
      </w:r>
    </w:p>
    <w:p w14:paraId="576DC0B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26.1 成交人确定后,采购代理公司将在刊登本次磋商公告的媒体上发布成交公告，并以电子形式向成交人发出成交通知书，但该成交结果的有效性不依赖于未成交的供应商是否知道成交结果。成交通知书对采购人和成交人具有同等法律效力。成交通知书发出以后，采购人改变成交结果或者成交人放弃成交，应当承担相应的法律责任。</w:t>
      </w:r>
    </w:p>
    <w:p w14:paraId="28882AC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26.2 采购代理公司对未成交的供应商不作未成交原因的解释。</w:t>
      </w:r>
    </w:p>
    <w:p w14:paraId="0ADD70B5">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26.3 成交通知书是合同的组成部分。</w:t>
      </w:r>
    </w:p>
    <w:p w14:paraId="6C397883">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27. 成交服务费</w:t>
      </w:r>
    </w:p>
    <w:p w14:paraId="73D1329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成交服务费按照供应商须知前附表的相关规定执行。</w:t>
      </w:r>
    </w:p>
    <w:p w14:paraId="3B8EFEE9">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28. 签订合同</w:t>
      </w:r>
    </w:p>
    <w:p w14:paraId="77D5F6B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28.1 采购单位负责本次采购活动中合同签订、验收、索赔等事宜。</w:t>
      </w:r>
    </w:p>
    <w:p w14:paraId="66662ADC">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28.2 成交人应在接到成交通知书后30日内与采购人签订政府采购合同。如果未按规定及要求签订政府采购合同，采购人有权取消其成交资格，采购人将重新选择后备成交候选人排名第二的为成交人或者重新组织采购活动。</w:t>
      </w:r>
    </w:p>
    <w:p w14:paraId="7887213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28.3 成交人应按照磋商文件、响应文件及评审过程中的有关澄清、说明或者补正文件的内容与采购人签订合同。成交人不得再与采购人签订背离合同实质性内容的其它协议或声明。</w:t>
      </w:r>
    </w:p>
    <w:p w14:paraId="73135A3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28.4 成交人一旦成交，未经采购人事先给予书面同意不得转包、分包，亦不得将合同全部及任何权利、义务向第三方转让，否则将被视为严重违约，采购人有权决定按照成交人成交后毁标、终止或解除合同等依约处理。</w:t>
      </w:r>
    </w:p>
    <w:p w14:paraId="48797C7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28.5 违反上述条款的规定，给对方造成损失的，应承担赔偿责任。</w:t>
      </w:r>
      <w:bookmarkStart w:id="19" w:name="_Toc175644024"/>
    </w:p>
    <w:p w14:paraId="77A81AB8">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七、保密和披露</w:t>
      </w:r>
      <w:bookmarkEnd w:id="19"/>
    </w:p>
    <w:p w14:paraId="071607F9">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29. 保密</w:t>
      </w:r>
    </w:p>
    <w:p w14:paraId="733C8A2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供应商自领取磋商文件之日起，须承诺承担对本采购项目的保密义务，不得将因本次磋商获得的信息向第三人外传。</w:t>
      </w:r>
    </w:p>
    <w:p w14:paraId="748C40C5">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30. 披露</w:t>
      </w:r>
    </w:p>
    <w:p w14:paraId="439DC0AC">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30.1 采购人有权将供应商提供的所有资料向有关政府部门或评审标书的有关人员披露。</w:t>
      </w:r>
    </w:p>
    <w:p w14:paraId="15F5711C">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30.2 在采购人认为适当时、国家机关调查、审查、审计时以及其他符合法律规定的情形下，采购人无须事先征求供应商或成交人同意而可以披露关于采购过程、合同文本、签署情况的资料、供应商或成交人的名称及地址、响应文件的有关信息以及补充条款等，但应当在合理的必要范围内。对任何已经公布过的内容或与之内容相同的资料，以及供应商或成交人已经泄露或公开的，无须再承担保密责任。</w:t>
      </w:r>
    </w:p>
    <w:p w14:paraId="040104DC">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八、询问和质疑</w:t>
      </w:r>
    </w:p>
    <w:p w14:paraId="36241C8D">
      <w:pPr>
        <w:pageBreakBefore w:val="0"/>
        <w:tabs>
          <w:tab w:val="left" w:pos="2715"/>
        </w:tabs>
        <w:kinsoku/>
        <w:wordWrap/>
        <w:overflowPunct/>
        <w:topLinePunct w:val="0"/>
        <w:bidi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31. 供应商有权就磋商事宜提出询问和质疑。</w:t>
      </w:r>
    </w:p>
    <w:p w14:paraId="226822A5">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31.1 磋商程序受《中华人民共和国政府采购法》和相关法律法规的约束，并受到严格的内部监督，以确保授予合同过程的公平公正。</w:t>
      </w:r>
    </w:p>
    <w:p w14:paraId="1005CA1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31.2 供应商对磋商文件条款或技术、商务参数有异议的，应当在磋商前通过澄清或修改程序提出。</w:t>
      </w:r>
    </w:p>
    <w:p w14:paraId="4927A0E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31.3 供应商对采购事项有疑问的，可以向采购代理公司提出询问。</w:t>
      </w:r>
    </w:p>
    <w:p w14:paraId="105402F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31.4 供应商认为磋商文件、评标过程、中标或者成交结果使自己的权益受到损害的，可依据《政府采购质疑和投诉办法》中华人民共和国财政部令第94号的规定，在知道或者应知其权益受到损害之日起7个工作日内，以电子形式向采购人、采购代理机构提出质疑。供应商须在法定质疑期内一次性提出针对同一采购程序环节的质疑。供应商欲提出质疑的，须将质疑函及其相关证明材料一并递交至代理机构，联系地址、联系人和联系电话见本项目招标公告。</w:t>
      </w:r>
    </w:p>
    <w:p w14:paraId="0201FFF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31.5 供应商提出质疑应当提交质疑函和必要的证明材料，否则不予受理。质疑函应当包括下列内容：（1）供应商的姓名或者名称、地址、邮编、联系人及联系电话；（2）质疑项目的名称、编号；（3）具体、明确的质疑事项和与质疑事项相关的请求；（4）事实依据；（5）必要的法律依据；（6）提出质疑的日期。</w:t>
      </w:r>
    </w:p>
    <w:p w14:paraId="21C6735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供应商为自然人的，应当由本人签字；供应商为法人或者其他组织的，应当由法定代表人（负责人）、主要负责人，或者其授权代表签字或者盖章，并加盖公章。</w:t>
      </w:r>
    </w:p>
    <w:p w14:paraId="55438FB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31.6 供应商提出的质疑函须经法定代表人（负责人）签字并加盖公章，按照一式二份提供。提供质疑函时，要同时提供法定代表人（负责人）证明书或法定代表人（负责人）授权委托书，对本文件的质疑还应提供收到本文件的有关证明材料。</w:t>
      </w:r>
    </w:p>
    <w:p w14:paraId="1BEC8E4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31.7 有下列情形之一的，属于无效质疑，采购人或采购代理公司可不予受理：</w:t>
      </w:r>
    </w:p>
    <w:p w14:paraId="5D1A57B6">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（1）未在有效期限内提出质疑的；</w:t>
      </w:r>
    </w:p>
    <w:p w14:paraId="56A3C3D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（2）质疑未以电子形式提出的；</w:t>
      </w:r>
    </w:p>
    <w:p w14:paraId="639E2B4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（3）所提交材料未明示属于质疑材料的；</w:t>
      </w:r>
    </w:p>
    <w:p w14:paraId="45EF713A">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（4）质疑书没有法定代表人（负责人）签署本人姓名或印盖本人姓名章并加盖单位公章的；质疑书由参加采购项目的授权代表签署本人姓名或印盖本人姓名章，但没有法定代表人（负责人）特别授权的；</w:t>
      </w:r>
    </w:p>
    <w:p w14:paraId="0DD79285">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（5）质疑书未提供有效联系人或联系方式的；</w:t>
      </w:r>
    </w:p>
    <w:p w14:paraId="221CA0A1">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（6）质疑事项已经进入投诉或者诉讼程序的；</w:t>
      </w:r>
    </w:p>
    <w:p w14:paraId="3F4B0FB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（7）质疑书未附相关证明材料，被视为无有效证据支持的。</w:t>
      </w:r>
    </w:p>
    <w:p w14:paraId="3DA5AC8D">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（8）供应商对磋商文件条款或技术参数有异议，未在磋商前通过澄清或修改程序提出，并且供应商已经参与磋商，而于磋商后对磋商文件提出质疑的；</w:t>
      </w:r>
    </w:p>
    <w:p w14:paraId="17D9805B">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（9）在提出本次质疑前半年内连续三次质疑而无事实依据的；</w:t>
      </w:r>
    </w:p>
    <w:p w14:paraId="0E1DE27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（10）其它不符合受理条件的情形。</w:t>
      </w:r>
    </w:p>
    <w:p w14:paraId="2B8522E1">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31.8 采购人或采购代理公司将在收到书面质疑后7个工作日内审查质疑事项，做出答复或相关处理决定，并以电子形式通知质疑供应商和其他有关供应商，但答复的内容不涉及商业秘密。</w:t>
      </w:r>
    </w:p>
    <w:p w14:paraId="2D97E80F">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31.9 供应商进行虚假和恶意质疑的，将会列入不良记录名单，在一至三年内禁止参加政府采购活动，并将处理决定在相关政府采购媒体上公布。</w:t>
      </w:r>
    </w:p>
    <w:p w14:paraId="37AE448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31.10 质疑供应商对采购人或采购代理公司的答复不满意以及采购人或采购代理公司未在规定的时间内做出答复的，可以在答复期满后15个工作日内向政府采购监管部门投诉。</w:t>
      </w:r>
    </w:p>
    <w:p w14:paraId="33875738">
      <w:pPr>
        <w:pageBreakBefore w:val="0"/>
        <w:tabs>
          <w:tab w:val="left" w:pos="2715"/>
        </w:tabs>
        <w:kinsoku/>
        <w:wordWrap/>
        <w:overflowPunct/>
        <w:topLinePunct w:val="0"/>
        <w:bidi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九、违约处罚</w:t>
      </w:r>
    </w:p>
    <w:p w14:paraId="6A29BBF5">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32. 发生下列情况之一，供应商的磋商保证金将被没收，并可能被列入不良记录名单，供应商今后参与同类政府采购项目的机会可能会受到影响：</w:t>
      </w:r>
    </w:p>
    <w:p w14:paraId="5E1CA42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（1）在提交截止时间后撤回响应文件的；</w:t>
      </w:r>
    </w:p>
    <w:p w14:paraId="0BD3746C">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（2）在评审期间，供应商企图影响采购代理公司或磋商小组的任何活动，将导致磋商被拒绝，并由其承担相应的法律责任。</w:t>
      </w:r>
    </w:p>
    <w:p w14:paraId="4A26027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（3）成交人未按本磋商文件规定签约； </w:t>
      </w:r>
    </w:p>
    <w:p w14:paraId="2F386D2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（4）成交人与采购人订立背离合同实质性内容的其它协议； </w:t>
      </w:r>
    </w:p>
    <w:p w14:paraId="22C09C0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（5）供应商未按磋商文件规定和合同约定履行义务的；</w:t>
      </w:r>
    </w:p>
    <w:p w14:paraId="522DB19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（6）供应商在响应文件中提供虚假资料的；</w:t>
      </w:r>
    </w:p>
    <w:p w14:paraId="3E030F4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（7）供应商与采购人、其它供应商或者采购代理公司恶意串通的。</w:t>
      </w:r>
    </w:p>
    <w:p w14:paraId="166CEDD5">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r>
        <w:rPr>
          <w:rFonts w:ascii="宋体" w:hAnsi="宋体" w:cs="宋体"/>
          <w:bCs/>
          <w:color w:val="auto"/>
          <w:spacing w:val="10"/>
          <w:kern w:val="0"/>
          <w:szCs w:val="21"/>
          <w:highlight w:val="none"/>
        </w:rPr>
        <w:br w:type="page"/>
      </w:r>
      <w:bookmarkEnd w:id="7"/>
      <w:bookmarkStart w:id="20" w:name="_Toc175644026"/>
      <w:bookmarkStart w:id="21" w:name="_Toc175644061"/>
    </w:p>
    <w:p w14:paraId="6BECC736">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75A363B7">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1835627D">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53100464">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288545E6">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1BD74CAB">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2DA4F3DF">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2C2C6AE2">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3F0D34C5">
      <w:pPr>
        <w:keepNext/>
        <w:keepLines/>
        <w:pageBreakBefore w:val="0"/>
        <w:kinsoku/>
        <w:wordWrap/>
        <w:overflowPunct/>
        <w:topLinePunct w:val="0"/>
        <w:bidi w:val="0"/>
        <w:spacing w:before="340" w:after="330" w:line="360" w:lineRule="auto"/>
        <w:jc w:val="center"/>
        <w:outlineLvl w:val="0"/>
        <w:rPr>
          <w:rFonts w:hint="eastAsia" w:ascii="宋体" w:hAnsi="宋体"/>
          <w:b/>
          <w:color w:val="auto"/>
          <w:sz w:val="44"/>
          <w:szCs w:val="44"/>
          <w:highlight w:val="none"/>
        </w:rPr>
      </w:pPr>
      <w:bookmarkStart w:id="22" w:name="_Toc107306636"/>
      <w:r>
        <w:rPr>
          <w:rFonts w:hint="eastAsia" w:ascii="宋体" w:hAnsi="宋体"/>
          <w:b/>
          <w:color w:val="auto"/>
          <w:sz w:val="44"/>
          <w:szCs w:val="44"/>
          <w:highlight w:val="none"/>
        </w:rPr>
        <w:t xml:space="preserve">第三部分  </w:t>
      </w:r>
      <w:bookmarkEnd w:id="20"/>
      <w:bookmarkEnd w:id="22"/>
      <w:r>
        <w:rPr>
          <w:rFonts w:hint="eastAsia" w:ascii="宋体" w:hAnsi="宋体"/>
          <w:b/>
          <w:color w:val="auto"/>
          <w:sz w:val="44"/>
          <w:szCs w:val="44"/>
          <w:highlight w:val="none"/>
        </w:rPr>
        <w:t>评审方法</w:t>
      </w:r>
    </w:p>
    <w:p w14:paraId="78AE4D25">
      <w:pPr>
        <w:pageBreakBefore w:val="0"/>
        <w:tabs>
          <w:tab w:val="left" w:pos="2715"/>
        </w:tabs>
        <w:kinsoku/>
        <w:wordWrap/>
        <w:overflowPunct/>
        <w:topLinePunct w:val="0"/>
        <w:bidi w:val="0"/>
        <w:spacing w:line="360" w:lineRule="auto"/>
        <w:ind w:firstLine="602" w:firstLineChars="200"/>
        <w:rPr>
          <w:rFonts w:hint="eastAsia" w:ascii="宋体" w:hAnsi="宋体" w:cs="宋体"/>
          <w:b/>
          <w:color w:val="auto"/>
          <w:kern w:val="0"/>
          <w:szCs w:val="21"/>
          <w:highlight w:val="none"/>
        </w:rPr>
      </w:pPr>
      <w:r>
        <w:rPr>
          <w:rFonts w:hint="eastAsia"/>
          <w:b/>
          <w:color w:val="auto"/>
          <w:sz w:val="30"/>
          <w:szCs w:val="30"/>
          <w:highlight w:val="none"/>
        </w:rPr>
        <w:br w:type="page"/>
      </w:r>
      <w:bookmarkStart w:id="23" w:name="_Toc7224"/>
      <w:r>
        <w:rPr>
          <w:rFonts w:hint="eastAsia" w:ascii="宋体" w:hAnsi="宋体" w:cs="宋体"/>
          <w:b/>
          <w:color w:val="auto"/>
          <w:kern w:val="0"/>
          <w:szCs w:val="21"/>
          <w:highlight w:val="none"/>
        </w:rPr>
        <w:t>一、响应文件初审</w:t>
      </w:r>
    </w:p>
    <w:p w14:paraId="51D26DA4">
      <w:pPr>
        <w:pageBreakBefore w:val="0"/>
        <w:tabs>
          <w:tab w:val="left" w:pos="2715"/>
        </w:tabs>
        <w:kinsoku/>
        <w:wordWrap/>
        <w:overflowPunct/>
        <w:topLinePunct w:val="0"/>
        <w:bidi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（一）资格性检查的内容及标准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27"/>
        <w:gridCol w:w="3532"/>
        <w:gridCol w:w="4351"/>
      </w:tblGrid>
      <w:tr w14:paraId="5463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34" w:type="dxa"/>
            <w:noWrap w:val="0"/>
            <w:vAlign w:val="center"/>
          </w:tcPr>
          <w:p w14:paraId="6C48657B">
            <w:pPr>
              <w:spacing w:line="440" w:lineRule="exact"/>
              <w:ind w:left="-63" w:leftChars="-30" w:right="-63" w:rightChars="-3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27" w:type="dxa"/>
            <w:noWrap w:val="0"/>
            <w:vAlign w:val="center"/>
          </w:tcPr>
          <w:p w14:paraId="71C7A283">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类型</w:t>
            </w:r>
          </w:p>
        </w:tc>
        <w:tc>
          <w:tcPr>
            <w:tcW w:w="0" w:type="auto"/>
            <w:noWrap w:val="0"/>
            <w:vAlign w:val="center"/>
          </w:tcPr>
          <w:p w14:paraId="275FE31C">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审查要求</w:t>
            </w:r>
          </w:p>
        </w:tc>
        <w:tc>
          <w:tcPr>
            <w:tcW w:w="0" w:type="auto"/>
            <w:noWrap w:val="0"/>
            <w:vAlign w:val="center"/>
          </w:tcPr>
          <w:p w14:paraId="264D5F7B">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要求说明</w:t>
            </w:r>
          </w:p>
        </w:tc>
      </w:tr>
      <w:tr w14:paraId="7635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34" w:type="dxa"/>
            <w:noWrap w:val="0"/>
            <w:vAlign w:val="center"/>
          </w:tcPr>
          <w:p w14:paraId="1F81304F">
            <w:pPr>
              <w:spacing w:line="360" w:lineRule="auto"/>
              <w:ind w:firstLine="120" w:firstLine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27" w:type="dxa"/>
            <w:noWrap w:val="0"/>
            <w:vAlign w:val="center"/>
          </w:tcPr>
          <w:p w14:paraId="5C690F8F">
            <w:pPr>
              <w:pStyle w:val="137"/>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营业</w:t>
            </w:r>
          </w:p>
          <w:p w14:paraId="78AED402">
            <w:pPr>
              <w:pStyle w:val="137"/>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执照</w:t>
            </w:r>
          </w:p>
        </w:tc>
        <w:tc>
          <w:tcPr>
            <w:tcW w:w="0" w:type="auto"/>
            <w:noWrap w:val="0"/>
            <w:vAlign w:val="center"/>
          </w:tcPr>
          <w:p w14:paraId="10B963AF">
            <w:pPr>
              <w:pStyle w:val="137"/>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具有独立承担民事责任的能力</w:t>
            </w:r>
          </w:p>
        </w:tc>
        <w:tc>
          <w:tcPr>
            <w:tcW w:w="0" w:type="auto"/>
            <w:noWrap w:val="0"/>
            <w:vAlign w:val="center"/>
          </w:tcPr>
          <w:p w14:paraId="12A88041">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787DACA3">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2099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34" w:type="dxa"/>
            <w:noWrap w:val="0"/>
            <w:vAlign w:val="center"/>
          </w:tcPr>
          <w:p w14:paraId="2A93CEE1">
            <w:pPr>
              <w:spacing w:line="360" w:lineRule="auto"/>
              <w:ind w:firstLine="120" w:firstLine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27" w:type="dxa"/>
            <w:noWrap w:val="0"/>
            <w:vAlign w:val="center"/>
          </w:tcPr>
          <w:p w14:paraId="24191348">
            <w:pPr>
              <w:pStyle w:val="137"/>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财务报告</w:t>
            </w:r>
          </w:p>
        </w:tc>
        <w:tc>
          <w:tcPr>
            <w:tcW w:w="0" w:type="auto"/>
            <w:noWrap w:val="0"/>
            <w:vAlign w:val="center"/>
          </w:tcPr>
          <w:p w14:paraId="60FF4A35">
            <w:pPr>
              <w:pStyle w:val="137"/>
              <w:ind w:firstLine="0" w:firstLine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具有良好的商业信誉和健全的财务会计制度</w:t>
            </w:r>
          </w:p>
        </w:tc>
        <w:tc>
          <w:tcPr>
            <w:tcW w:w="0" w:type="auto"/>
            <w:noWrap w:val="0"/>
            <w:vAlign w:val="center"/>
          </w:tcPr>
          <w:p w14:paraId="284DB031">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51B030A5">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11A7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34" w:type="dxa"/>
            <w:noWrap w:val="0"/>
            <w:vAlign w:val="center"/>
          </w:tcPr>
          <w:p w14:paraId="30E5C2E0">
            <w:pPr>
              <w:spacing w:line="360" w:lineRule="auto"/>
              <w:ind w:firstLine="120" w:firstLine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27" w:type="dxa"/>
            <w:noWrap w:val="0"/>
            <w:vAlign w:val="center"/>
          </w:tcPr>
          <w:p w14:paraId="601286FE">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基本资质</w:t>
            </w:r>
          </w:p>
        </w:tc>
        <w:tc>
          <w:tcPr>
            <w:tcW w:w="0" w:type="auto"/>
            <w:noWrap w:val="0"/>
            <w:vAlign w:val="center"/>
          </w:tcPr>
          <w:p w14:paraId="0E78925C">
            <w:pPr>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具有履行合同所必需的设备和专业技术能力</w:t>
            </w:r>
          </w:p>
        </w:tc>
        <w:tc>
          <w:tcPr>
            <w:tcW w:w="0" w:type="auto"/>
            <w:noWrap w:val="0"/>
            <w:vAlign w:val="center"/>
          </w:tcPr>
          <w:p w14:paraId="1B98C51B">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304CACD7">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6BDF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34" w:type="dxa"/>
            <w:noWrap w:val="0"/>
            <w:vAlign w:val="center"/>
          </w:tcPr>
          <w:p w14:paraId="084C9B7A">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927" w:type="dxa"/>
            <w:noWrap w:val="0"/>
            <w:vAlign w:val="center"/>
          </w:tcPr>
          <w:p w14:paraId="369A199E">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基本资质</w:t>
            </w:r>
          </w:p>
        </w:tc>
        <w:tc>
          <w:tcPr>
            <w:tcW w:w="0" w:type="auto"/>
            <w:noWrap w:val="0"/>
            <w:vAlign w:val="center"/>
          </w:tcPr>
          <w:p w14:paraId="79135C40">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0" w:type="auto"/>
            <w:noWrap w:val="0"/>
            <w:vAlign w:val="center"/>
          </w:tcPr>
          <w:p w14:paraId="7A3C9390">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5207EDB8">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7D7B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4" w:type="dxa"/>
            <w:noWrap w:val="0"/>
            <w:vAlign w:val="center"/>
          </w:tcPr>
          <w:p w14:paraId="401B330E">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927" w:type="dxa"/>
            <w:noWrap w:val="0"/>
            <w:vAlign w:val="center"/>
          </w:tcPr>
          <w:p w14:paraId="6417BA4C">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基本资质</w:t>
            </w:r>
          </w:p>
        </w:tc>
        <w:tc>
          <w:tcPr>
            <w:tcW w:w="0" w:type="auto"/>
            <w:noWrap w:val="0"/>
            <w:vAlign w:val="center"/>
          </w:tcPr>
          <w:p w14:paraId="00060D91">
            <w:pPr>
              <w:spacing w:line="44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参加政府采购活动前三年内，在经营活动中没有重大违法记录</w:t>
            </w:r>
          </w:p>
        </w:tc>
        <w:tc>
          <w:tcPr>
            <w:tcW w:w="0" w:type="auto"/>
            <w:noWrap w:val="0"/>
            <w:vAlign w:val="center"/>
          </w:tcPr>
          <w:p w14:paraId="34AC2079">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提供供应商信用承诺书。</w:t>
            </w:r>
          </w:p>
          <w:p w14:paraId="0A276947">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以上证明材料须符合要求、有效、完整。否则，响应无效。</w:t>
            </w:r>
          </w:p>
        </w:tc>
      </w:tr>
      <w:tr w14:paraId="31E3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4" w:type="dxa"/>
            <w:noWrap w:val="0"/>
            <w:vAlign w:val="center"/>
          </w:tcPr>
          <w:p w14:paraId="0A1A1693">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927" w:type="dxa"/>
            <w:noWrap w:val="0"/>
            <w:vAlign w:val="center"/>
          </w:tcPr>
          <w:p w14:paraId="4F230058">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基本资质</w:t>
            </w:r>
          </w:p>
        </w:tc>
        <w:tc>
          <w:tcPr>
            <w:tcW w:w="0" w:type="auto"/>
            <w:noWrap w:val="0"/>
            <w:vAlign w:val="center"/>
          </w:tcPr>
          <w:p w14:paraId="40FDB5E9">
            <w:pPr>
              <w:spacing w:line="44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中国政府采购网和信用中国网查询结果</w:t>
            </w:r>
          </w:p>
        </w:tc>
        <w:tc>
          <w:tcPr>
            <w:tcW w:w="0" w:type="auto"/>
            <w:noWrap w:val="0"/>
            <w:vAlign w:val="center"/>
          </w:tcPr>
          <w:p w14:paraId="1C5BE70D">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供应商可在响应文件中提供相应网站查询结果，不提供的将由采购代理机构工作人员于开标当日对各供应商信用记录进行查询。</w:t>
            </w:r>
          </w:p>
        </w:tc>
      </w:tr>
      <w:tr w14:paraId="5635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34" w:type="dxa"/>
            <w:noWrap w:val="0"/>
            <w:vAlign w:val="center"/>
          </w:tcPr>
          <w:p w14:paraId="2DB376E6">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927" w:type="dxa"/>
            <w:noWrap w:val="0"/>
            <w:vAlign w:val="center"/>
          </w:tcPr>
          <w:p w14:paraId="4F92721E">
            <w:pPr>
              <w:pStyle w:val="137"/>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特定资质</w:t>
            </w:r>
          </w:p>
        </w:tc>
        <w:tc>
          <w:tcPr>
            <w:tcW w:w="0" w:type="auto"/>
            <w:noWrap w:val="0"/>
            <w:vAlign w:val="center"/>
          </w:tcPr>
          <w:p w14:paraId="4254683B">
            <w:pPr>
              <w:pStyle w:val="137"/>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投标人须同时具备行政主管部门颁发的测绘乙级及以上资质，项目负责人具有相关专业中级及以上职称证</w:t>
            </w:r>
          </w:p>
        </w:tc>
        <w:tc>
          <w:tcPr>
            <w:tcW w:w="0" w:type="auto"/>
            <w:noWrap w:val="0"/>
            <w:vAlign w:val="center"/>
          </w:tcPr>
          <w:p w14:paraId="0D470FE8">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投标人须同时具备行政主管部门颁发的测绘乙级及以上资质，项目负责人具有相关专业中级及以上职称证。</w:t>
            </w:r>
          </w:p>
        </w:tc>
      </w:tr>
      <w:tr w14:paraId="5245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34" w:type="dxa"/>
            <w:noWrap w:val="0"/>
            <w:vAlign w:val="center"/>
          </w:tcPr>
          <w:p w14:paraId="50180357">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927" w:type="dxa"/>
            <w:noWrap w:val="0"/>
            <w:vAlign w:val="center"/>
          </w:tcPr>
          <w:p w14:paraId="76D5F98D">
            <w:pPr>
              <w:pStyle w:val="137"/>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采购政策</w:t>
            </w:r>
          </w:p>
        </w:tc>
        <w:tc>
          <w:tcPr>
            <w:tcW w:w="0" w:type="auto"/>
            <w:noWrap w:val="0"/>
            <w:vAlign w:val="center"/>
          </w:tcPr>
          <w:p w14:paraId="5338E504">
            <w:pPr>
              <w:pStyle w:val="137"/>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供应商应为中小企业。</w:t>
            </w:r>
          </w:p>
        </w:tc>
        <w:tc>
          <w:tcPr>
            <w:tcW w:w="0" w:type="auto"/>
            <w:noWrap w:val="0"/>
            <w:vAlign w:val="center"/>
          </w:tcPr>
          <w:p w14:paraId="4D08C83D">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请根据要求单独上传《中小企业声明函》。格式以采购文件要求为准。</w:t>
            </w:r>
          </w:p>
        </w:tc>
      </w:tr>
    </w:tbl>
    <w:p w14:paraId="547785E1">
      <w:pPr>
        <w:pageBreakBefore w:val="0"/>
        <w:tabs>
          <w:tab w:val="left" w:pos="2715"/>
        </w:tabs>
        <w:kinsoku/>
        <w:wordWrap/>
        <w:overflowPunct/>
        <w:topLinePunct w:val="0"/>
        <w:bidi w:val="0"/>
        <w:spacing w:line="360" w:lineRule="auto"/>
        <w:ind w:firstLine="422" w:firstLineChars="200"/>
        <w:rPr>
          <w:rFonts w:hint="eastAsia" w:ascii="宋体" w:hAnsi="宋体" w:cs="宋体"/>
          <w:b/>
          <w:color w:val="auto"/>
          <w:kern w:val="0"/>
          <w:szCs w:val="21"/>
          <w:highlight w:val="none"/>
        </w:rPr>
      </w:pPr>
    </w:p>
    <w:p w14:paraId="13737C62">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说明：1、提供的扫描件不清晰、无法辨认或内容不符合规定，该项内容将视为无效。</w:t>
      </w:r>
    </w:p>
    <w:p w14:paraId="50778794">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2、资格检查的内容</w:t>
      </w:r>
      <w:r>
        <w:rPr>
          <w:rFonts w:hint="eastAsia" w:ascii="宋体" w:hAnsi="宋体" w:cs="宋体"/>
          <w:color w:val="auto"/>
          <w:szCs w:val="21"/>
          <w:highlight w:val="none"/>
        </w:rPr>
        <w:t>（供应商须知前附表*项）</w:t>
      </w:r>
      <w:r>
        <w:rPr>
          <w:rFonts w:hint="eastAsia" w:ascii="宋体" w:hAnsi="宋体" w:cs="宋体"/>
          <w:color w:val="auto"/>
          <w:kern w:val="0"/>
          <w:szCs w:val="21"/>
          <w:highlight w:val="none"/>
        </w:rPr>
        <w:t>若有一项未提供或达不到检查标准，将导致其不具备投标资格，且不允许在开标后补正。</w:t>
      </w:r>
    </w:p>
    <w:p w14:paraId="149919A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3、依法免税或不需要缴纳社会保障金的供应商，应提供相应的文件证明，扫描件或原件清晰、真实、有效。</w:t>
      </w:r>
    </w:p>
    <w:p w14:paraId="237A23B1">
      <w:pPr>
        <w:pageBreakBefore w:val="0"/>
        <w:tabs>
          <w:tab w:val="left" w:pos="2715"/>
        </w:tabs>
        <w:kinsoku/>
        <w:wordWrap/>
        <w:overflowPunct/>
        <w:topLinePunct w:val="0"/>
        <w:bidi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（二）符合性检查的内容及标准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27"/>
        <w:gridCol w:w="3618"/>
        <w:gridCol w:w="4208"/>
      </w:tblGrid>
      <w:tr w14:paraId="3A7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34" w:type="dxa"/>
            <w:noWrap w:val="0"/>
            <w:vAlign w:val="center"/>
          </w:tcPr>
          <w:p w14:paraId="0DA1BA0E">
            <w:pPr>
              <w:spacing w:line="440" w:lineRule="exact"/>
              <w:ind w:left="-63" w:leftChars="-30" w:right="-63" w:rightChars="-3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27" w:type="dxa"/>
            <w:noWrap w:val="0"/>
            <w:vAlign w:val="center"/>
          </w:tcPr>
          <w:p w14:paraId="4E0B8EB9">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类型</w:t>
            </w:r>
          </w:p>
        </w:tc>
        <w:tc>
          <w:tcPr>
            <w:tcW w:w="0" w:type="auto"/>
            <w:noWrap w:val="0"/>
            <w:vAlign w:val="center"/>
          </w:tcPr>
          <w:p w14:paraId="0AC57845">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审查要求</w:t>
            </w:r>
          </w:p>
        </w:tc>
        <w:tc>
          <w:tcPr>
            <w:tcW w:w="0" w:type="auto"/>
            <w:noWrap w:val="0"/>
            <w:vAlign w:val="center"/>
          </w:tcPr>
          <w:p w14:paraId="7BA933D1">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要求说明</w:t>
            </w:r>
          </w:p>
        </w:tc>
      </w:tr>
      <w:tr w14:paraId="6932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34" w:type="dxa"/>
            <w:noWrap w:val="0"/>
            <w:vAlign w:val="center"/>
          </w:tcPr>
          <w:p w14:paraId="1E8AF3C2">
            <w:pPr>
              <w:spacing w:line="360" w:lineRule="auto"/>
              <w:ind w:firstLine="120" w:firstLine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27" w:type="dxa"/>
            <w:noWrap w:val="0"/>
            <w:vAlign w:val="center"/>
          </w:tcPr>
          <w:p w14:paraId="59ACB04A">
            <w:pPr>
              <w:pStyle w:val="137"/>
              <w:ind w:firstLine="0" w:firstLineChars="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商务</w:t>
            </w:r>
          </w:p>
        </w:tc>
        <w:tc>
          <w:tcPr>
            <w:tcW w:w="3618" w:type="dxa"/>
            <w:noWrap w:val="0"/>
            <w:vAlign w:val="center"/>
          </w:tcPr>
          <w:p w14:paraId="04038E6E">
            <w:pPr>
              <w:pStyle w:val="137"/>
              <w:spacing w:line="40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法定代表人（单位负责人）身份证明书、法定代表人授权委托书</w:t>
            </w:r>
          </w:p>
        </w:tc>
        <w:tc>
          <w:tcPr>
            <w:tcW w:w="4208" w:type="dxa"/>
            <w:noWrap w:val="0"/>
            <w:vAlign w:val="center"/>
          </w:tcPr>
          <w:p w14:paraId="5AF8ADC4">
            <w:pPr>
              <w:tabs>
                <w:tab w:val="left" w:pos="567"/>
              </w:tabs>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法定代表人（单位负责人）身份证明文件、或法定代表人授权委托书按采购文件要求提供，内容完整、有效。</w:t>
            </w:r>
          </w:p>
        </w:tc>
      </w:tr>
      <w:tr w14:paraId="0384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34" w:type="dxa"/>
            <w:noWrap w:val="0"/>
            <w:vAlign w:val="center"/>
          </w:tcPr>
          <w:p w14:paraId="7CC3AD28">
            <w:pPr>
              <w:spacing w:line="360" w:lineRule="auto"/>
              <w:ind w:firstLine="120" w:firstLine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27" w:type="dxa"/>
            <w:noWrap w:val="0"/>
            <w:vAlign w:val="center"/>
          </w:tcPr>
          <w:p w14:paraId="1B8DF74F">
            <w:pPr>
              <w:pStyle w:val="137"/>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商务</w:t>
            </w:r>
          </w:p>
        </w:tc>
        <w:tc>
          <w:tcPr>
            <w:tcW w:w="3618" w:type="dxa"/>
            <w:noWrap w:val="0"/>
            <w:vAlign w:val="center"/>
          </w:tcPr>
          <w:p w14:paraId="17149865">
            <w:pPr>
              <w:pStyle w:val="137"/>
              <w:spacing w:line="400" w:lineRule="exact"/>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响应有效期</w:t>
            </w:r>
          </w:p>
        </w:tc>
        <w:tc>
          <w:tcPr>
            <w:tcW w:w="4208" w:type="dxa"/>
            <w:noWrap w:val="0"/>
            <w:vAlign w:val="center"/>
          </w:tcPr>
          <w:p w14:paraId="59A13A9A">
            <w:pPr>
              <w:tabs>
                <w:tab w:val="left" w:pos="567"/>
              </w:tabs>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自提交响应文件截止之日起计算90日历天。</w:t>
            </w:r>
          </w:p>
        </w:tc>
      </w:tr>
      <w:tr w14:paraId="06C9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34" w:type="dxa"/>
            <w:noWrap w:val="0"/>
            <w:vAlign w:val="center"/>
          </w:tcPr>
          <w:p w14:paraId="0119DE62">
            <w:pPr>
              <w:spacing w:line="360" w:lineRule="auto"/>
              <w:ind w:firstLine="120" w:firstLine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27" w:type="dxa"/>
            <w:noWrap w:val="0"/>
            <w:vAlign w:val="center"/>
          </w:tcPr>
          <w:p w14:paraId="4494C11C">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eastAsia="zh-CN"/>
              </w:rPr>
              <w:t>商务</w:t>
            </w:r>
          </w:p>
        </w:tc>
        <w:tc>
          <w:tcPr>
            <w:tcW w:w="3618" w:type="dxa"/>
            <w:noWrap w:val="0"/>
            <w:vAlign w:val="center"/>
          </w:tcPr>
          <w:p w14:paraId="1EFE367F">
            <w:pPr>
              <w:pStyle w:val="137"/>
              <w:spacing w:line="400" w:lineRule="exac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响应文件的签署</w:t>
            </w:r>
          </w:p>
        </w:tc>
        <w:tc>
          <w:tcPr>
            <w:tcW w:w="4208" w:type="dxa"/>
            <w:noWrap w:val="0"/>
            <w:vAlign w:val="center"/>
          </w:tcPr>
          <w:p w14:paraId="211371B4">
            <w:pPr>
              <w:tabs>
                <w:tab w:val="left" w:pos="567"/>
              </w:tabs>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响应文件按照采购文件的规定签署盖章。</w:t>
            </w:r>
          </w:p>
        </w:tc>
      </w:tr>
      <w:tr w14:paraId="5E1D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34" w:type="dxa"/>
            <w:noWrap w:val="0"/>
            <w:vAlign w:val="center"/>
          </w:tcPr>
          <w:p w14:paraId="0F0EAADC">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927" w:type="dxa"/>
            <w:noWrap w:val="0"/>
            <w:vAlign w:val="center"/>
          </w:tcPr>
          <w:p w14:paraId="6F26B55C">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商务</w:t>
            </w:r>
          </w:p>
        </w:tc>
        <w:tc>
          <w:tcPr>
            <w:tcW w:w="3618" w:type="dxa"/>
            <w:noWrap w:val="0"/>
            <w:vAlign w:val="center"/>
          </w:tcPr>
          <w:p w14:paraId="03799F49">
            <w:pPr>
              <w:pStyle w:val="137"/>
              <w:spacing w:line="4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商务要求</w:t>
            </w:r>
          </w:p>
        </w:tc>
        <w:tc>
          <w:tcPr>
            <w:tcW w:w="4208" w:type="dxa"/>
            <w:noWrap w:val="0"/>
            <w:vAlign w:val="center"/>
          </w:tcPr>
          <w:p w14:paraId="1ABA9262">
            <w:pPr>
              <w:pStyle w:val="137"/>
              <w:spacing w:line="400" w:lineRule="exact"/>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满足采购文件要求</w:t>
            </w:r>
          </w:p>
        </w:tc>
      </w:tr>
      <w:tr w14:paraId="1345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34" w:type="dxa"/>
            <w:noWrap w:val="0"/>
            <w:vAlign w:val="center"/>
          </w:tcPr>
          <w:p w14:paraId="71BC3596">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27" w:type="dxa"/>
            <w:noWrap w:val="0"/>
            <w:vAlign w:val="center"/>
          </w:tcPr>
          <w:p w14:paraId="4ED27D31">
            <w:pPr>
              <w:spacing w:line="440" w:lineRule="exact"/>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商务</w:t>
            </w:r>
          </w:p>
        </w:tc>
        <w:tc>
          <w:tcPr>
            <w:tcW w:w="3618" w:type="dxa"/>
            <w:noWrap w:val="0"/>
            <w:vAlign w:val="center"/>
          </w:tcPr>
          <w:p w14:paraId="4A8FD54C">
            <w:pPr>
              <w:pStyle w:val="137"/>
              <w:spacing w:line="40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响应保证金</w:t>
            </w:r>
          </w:p>
        </w:tc>
        <w:tc>
          <w:tcPr>
            <w:tcW w:w="4208" w:type="dxa"/>
            <w:noWrap w:val="0"/>
            <w:vAlign w:val="center"/>
          </w:tcPr>
          <w:p w14:paraId="4E755C89">
            <w:pPr>
              <w:pStyle w:val="137"/>
              <w:spacing w:line="400" w:lineRule="exact"/>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满足采购文件要求</w:t>
            </w:r>
          </w:p>
        </w:tc>
      </w:tr>
      <w:tr w14:paraId="2C3A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34" w:type="dxa"/>
            <w:noWrap w:val="0"/>
            <w:vAlign w:val="center"/>
          </w:tcPr>
          <w:p w14:paraId="26ACBA46">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927" w:type="dxa"/>
            <w:noWrap w:val="0"/>
            <w:vAlign w:val="center"/>
          </w:tcPr>
          <w:p w14:paraId="651CA322">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w:t>
            </w:r>
          </w:p>
        </w:tc>
        <w:tc>
          <w:tcPr>
            <w:tcW w:w="3618" w:type="dxa"/>
            <w:noWrap w:val="0"/>
            <w:vAlign w:val="center"/>
          </w:tcPr>
          <w:p w14:paraId="6078E177">
            <w:pPr>
              <w:pStyle w:val="137"/>
              <w:spacing w:line="40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技术要求</w:t>
            </w:r>
          </w:p>
        </w:tc>
        <w:tc>
          <w:tcPr>
            <w:tcW w:w="4208" w:type="dxa"/>
            <w:noWrap w:val="0"/>
            <w:vAlign w:val="center"/>
          </w:tcPr>
          <w:p w14:paraId="1EAC1C07">
            <w:pPr>
              <w:pStyle w:val="137"/>
              <w:spacing w:line="400" w:lineRule="exact"/>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满足采购文件要求</w:t>
            </w:r>
          </w:p>
        </w:tc>
      </w:tr>
      <w:tr w14:paraId="6EA0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4" w:type="dxa"/>
            <w:noWrap w:val="0"/>
            <w:vAlign w:val="center"/>
          </w:tcPr>
          <w:p w14:paraId="602586D4">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27" w:type="dxa"/>
            <w:noWrap w:val="0"/>
            <w:vAlign w:val="center"/>
          </w:tcPr>
          <w:p w14:paraId="4AE01B0A">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w:t>
            </w:r>
          </w:p>
        </w:tc>
        <w:tc>
          <w:tcPr>
            <w:tcW w:w="3618" w:type="dxa"/>
            <w:noWrap w:val="0"/>
            <w:vAlign w:val="center"/>
          </w:tcPr>
          <w:p w14:paraId="4B4B916B">
            <w:pPr>
              <w:pStyle w:val="137"/>
              <w:spacing w:line="40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报价要求</w:t>
            </w:r>
          </w:p>
        </w:tc>
        <w:tc>
          <w:tcPr>
            <w:tcW w:w="4208" w:type="dxa"/>
            <w:noWrap w:val="0"/>
            <w:vAlign w:val="center"/>
          </w:tcPr>
          <w:p w14:paraId="6FB2F289">
            <w:pPr>
              <w:pStyle w:val="137"/>
              <w:spacing w:line="400" w:lineRule="exact"/>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报价不得超出采购文件公布的最高限价</w:t>
            </w:r>
          </w:p>
        </w:tc>
      </w:tr>
    </w:tbl>
    <w:p w14:paraId="1A3795EC">
      <w:pPr>
        <w:pageBreakBefore w:val="0"/>
        <w:tabs>
          <w:tab w:val="left" w:pos="2715"/>
        </w:tabs>
        <w:kinsoku/>
        <w:wordWrap/>
        <w:overflowPunct/>
        <w:topLinePunct w:val="0"/>
        <w:bidi w:val="0"/>
        <w:spacing w:line="360" w:lineRule="auto"/>
        <w:ind w:firstLine="422" w:firstLineChars="200"/>
        <w:rPr>
          <w:rFonts w:hint="eastAsia" w:ascii="宋体" w:hAnsi="宋体" w:cs="宋体"/>
          <w:b/>
          <w:color w:val="auto"/>
          <w:kern w:val="0"/>
          <w:szCs w:val="21"/>
          <w:highlight w:val="none"/>
        </w:rPr>
      </w:pPr>
    </w:p>
    <w:p w14:paraId="1A081EC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（三）特别说明</w:t>
      </w:r>
    </w:p>
    <w:p w14:paraId="4490781A">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1、磋商文件要求供应商提供的其他材料，不作为资格检查的内容。</w:t>
      </w:r>
    </w:p>
    <w:p w14:paraId="755C5ACE">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2、供应商应按磋商文件要求“格式”提供的材料，如有调整，内容及签署必须完整、有效，且没有本文件不可接受的条件。</w:t>
      </w:r>
    </w:p>
    <w:p w14:paraId="7314771C">
      <w:pPr>
        <w:pageBreakBefore w:val="0"/>
        <w:tabs>
          <w:tab w:val="left" w:pos="2715"/>
        </w:tabs>
        <w:kinsoku/>
        <w:wordWrap/>
        <w:overflowPunct/>
        <w:topLinePunct w:val="0"/>
        <w:bidi w:val="0"/>
        <w:spacing w:line="360" w:lineRule="auto"/>
        <w:ind w:firstLine="474" w:firstLineChars="225"/>
        <w:rPr>
          <w:rFonts w:hint="eastAsia" w:ascii="宋体" w:hAnsi="宋体" w:cs="宋体"/>
          <w:b/>
          <w:color w:val="auto"/>
          <w:kern w:val="0"/>
          <w:szCs w:val="21"/>
          <w:highlight w:val="none"/>
        </w:rPr>
      </w:pPr>
      <w:r>
        <w:rPr>
          <w:rFonts w:hint="eastAsia" w:ascii="宋体" w:hAnsi="宋体" w:cs="宋体"/>
          <w:b/>
          <w:color w:val="auto"/>
          <w:kern w:val="0"/>
          <w:szCs w:val="21"/>
          <w:highlight w:val="none"/>
        </w:rPr>
        <w:t>二、政策性要求评审内容及标准</w:t>
      </w:r>
    </w:p>
    <w:p w14:paraId="732A6B20">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详见供应商须知前附表。</w:t>
      </w:r>
    </w:p>
    <w:p w14:paraId="3D5C9181">
      <w:pPr>
        <w:pageBreakBefore w:val="0"/>
        <w:tabs>
          <w:tab w:val="left" w:pos="2715"/>
        </w:tabs>
        <w:kinsoku/>
        <w:wordWrap/>
        <w:overflowPunct/>
        <w:topLinePunct w:val="0"/>
        <w:bidi w:val="0"/>
        <w:spacing w:line="360" w:lineRule="auto"/>
        <w:ind w:firstLine="474" w:firstLineChars="225"/>
        <w:rPr>
          <w:rFonts w:hint="eastAsia" w:ascii="宋体" w:hAnsi="宋体" w:cs="宋体"/>
          <w:b/>
          <w:color w:val="auto"/>
          <w:kern w:val="0"/>
          <w:szCs w:val="21"/>
          <w:highlight w:val="none"/>
        </w:rPr>
      </w:pPr>
      <w:r>
        <w:rPr>
          <w:rFonts w:hint="eastAsia" w:ascii="宋体" w:hAnsi="宋体" w:cs="宋体"/>
          <w:b/>
          <w:color w:val="auto"/>
          <w:kern w:val="0"/>
          <w:szCs w:val="21"/>
          <w:highlight w:val="none"/>
        </w:rPr>
        <w:t>三、无效响应的情形</w:t>
      </w:r>
    </w:p>
    <w:p w14:paraId="2346C47A">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1、未按照磋商文件规定要求签署、盖章的；</w:t>
      </w:r>
    </w:p>
    <w:p w14:paraId="6CEC4227">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2、不具备磋商文件中规定资格要求的；</w:t>
      </w:r>
    </w:p>
    <w:p w14:paraId="3EB2B719">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3、不符合法律、法规规定和磋商文件中规定的其他实质性要求。</w:t>
      </w:r>
    </w:p>
    <w:p w14:paraId="69270755">
      <w:pPr>
        <w:pageBreakBefore w:val="0"/>
        <w:tabs>
          <w:tab w:val="left" w:pos="2715"/>
        </w:tabs>
        <w:kinsoku/>
        <w:wordWrap/>
        <w:overflowPunct/>
        <w:topLinePunct w:val="0"/>
        <w:bidi w:val="0"/>
        <w:spacing w:line="360" w:lineRule="auto"/>
        <w:ind w:firstLine="474" w:firstLineChars="225"/>
        <w:rPr>
          <w:rFonts w:hint="eastAsia" w:ascii="宋体" w:hAnsi="宋体" w:cs="宋体"/>
          <w:b/>
          <w:color w:val="auto"/>
          <w:kern w:val="0"/>
          <w:szCs w:val="21"/>
          <w:highlight w:val="none"/>
        </w:rPr>
      </w:pPr>
      <w:r>
        <w:rPr>
          <w:rFonts w:hint="eastAsia" w:ascii="宋体" w:hAnsi="宋体" w:cs="宋体"/>
          <w:b/>
          <w:color w:val="auto"/>
          <w:kern w:val="0"/>
          <w:szCs w:val="21"/>
          <w:highlight w:val="none"/>
        </w:rPr>
        <w:t>四、评标方法及中标条件</w:t>
      </w:r>
    </w:p>
    <w:p w14:paraId="19512C23">
      <w:pPr>
        <w:pageBreakBefore w:val="0"/>
        <w:tabs>
          <w:tab w:val="left" w:pos="2715"/>
        </w:tabs>
        <w:kinsoku/>
        <w:wordWrap/>
        <w:overflowPunct/>
        <w:topLinePunct w:val="0"/>
        <w:bidi w:val="0"/>
        <w:spacing w:line="360" w:lineRule="auto"/>
        <w:ind w:firstLine="472" w:firstLineChars="225"/>
        <w:rPr>
          <w:rFonts w:hint="eastAsia" w:ascii="宋体" w:hAnsi="宋体" w:cs="宋体"/>
          <w:color w:val="auto"/>
          <w:kern w:val="0"/>
          <w:szCs w:val="21"/>
          <w:highlight w:val="none"/>
        </w:rPr>
      </w:pPr>
      <w:r>
        <w:rPr>
          <w:rFonts w:hint="eastAsia" w:ascii="宋体" w:hAnsi="宋体" w:cs="宋体"/>
          <w:color w:val="auto"/>
          <w:kern w:val="0"/>
          <w:szCs w:val="21"/>
          <w:highlight w:val="none"/>
        </w:rPr>
        <w:t>本次评标采用综合评分法，响应文件满足磋商文件全部实质性要求，对价格、商务、服务、技术等主要因素的量化指标进行评审得分（具体评分见综合评分法评分细则），每一供应商的商务、服务、技术因素的最终得分为所有评委评分的算术平均值。</w:t>
      </w:r>
    </w:p>
    <w:p w14:paraId="5C76CE35">
      <w:pPr>
        <w:pageBreakBefore w:val="0"/>
        <w:widowControl/>
        <w:kinsoku/>
        <w:wordWrap/>
        <w:overflowPunct/>
        <w:topLinePunct w:val="0"/>
        <w:bidi w:val="0"/>
        <w:snapToGrid w:val="0"/>
        <w:spacing w:line="360" w:lineRule="auto"/>
        <w:jc w:val="left"/>
        <w:rPr>
          <w:rFonts w:hint="eastAsia" w:ascii="宋体" w:hAnsi="宋体"/>
          <w:b/>
          <w:color w:val="auto"/>
          <w:sz w:val="30"/>
          <w:szCs w:val="30"/>
          <w:highlight w:val="none"/>
        </w:rPr>
      </w:pPr>
    </w:p>
    <w:p w14:paraId="54D1A07E">
      <w:pPr>
        <w:pageBreakBefore w:val="0"/>
        <w:widowControl/>
        <w:kinsoku/>
        <w:wordWrap/>
        <w:overflowPunct/>
        <w:topLinePunct w:val="0"/>
        <w:bidi w:val="0"/>
        <w:snapToGrid w:val="0"/>
        <w:spacing w:line="360" w:lineRule="auto"/>
        <w:ind w:firstLine="562" w:firstLineChars="200"/>
        <w:jc w:val="center"/>
        <w:rPr>
          <w:rFonts w:hint="eastAsia" w:ascii="宋体" w:hAnsi="宋体" w:cs="宋体"/>
          <w:b/>
          <w:color w:val="auto"/>
          <w:kern w:val="0"/>
          <w:sz w:val="28"/>
          <w:szCs w:val="28"/>
          <w:highlight w:val="none"/>
        </w:rPr>
      </w:pPr>
      <w:r>
        <w:rPr>
          <w:rFonts w:ascii="宋体" w:hAnsi="宋体" w:cs="宋体"/>
          <w:b/>
          <w:color w:val="auto"/>
          <w:kern w:val="0"/>
          <w:sz w:val="28"/>
          <w:szCs w:val="28"/>
          <w:highlight w:val="none"/>
        </w:rPr>
        <w:br w:type="page"/>
      </w:r>
      <w:r>
        <w:rPr>
          <w:rFonts w:hint="eastAsia" w:ascii="宋体" w:hAnsi="宋体" w:cs="宋体"/>
          <w:b/>
          <w:color w:val="auto"/>
          <w:kern w:val="0"/>
          <w:sz w:val="28"/>
          <w:szCs w:val="28"/>
          <w:highlight w:val="none"/>
        </w:rPr>
        <w:t>评分标准和评标办法</w:t>
      </w:r>
    </w:p>
    <w:tbl>
      <w:tblPr>
        <w:tblStyle w:val="37"/>
        <w:tblW w:w="904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0"/>
        <w:gridCol w:w="671"/>
      </w:tblGrid>
      <w:tr w14:paraId="10859F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370" w:type="dxa"/>
            <w:vAlign w:val="center"/>
          </w:tcPr>
          <w:p w14:paraId="0906E86E">
            <w:pPr>
              <w:widowControl/>
              <w:spacing w:line="400" w:lineRule="exact"/>
              <w:ind w:firstLine="422" w:firstLineChars="20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 定 内 容 及 标 准</w:t>
            </w:r>
          </w:p>
        </w:tc>
        <w:tc>
          <w:tcPr>
            <w:tcW w:w="671" w:type="dxa"/>
            <w:vAlign w:val="center"/>
          </w:tcPr>
          <w:p w14:paraId="690F7197">
            <w:pPr>
              <w:widowControl/>
              <w:spacing w:line="400" w:lineRule="exact"/>
              <w:jc w:val="both"/>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得分</w:t>
            </w:r>
          </w:p>
        </w:tc>
      </w:tr>
      <w:tr w14:paraId="28D9A0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041" w:type="dxa"/>
            <w:gridSpan w:val="2"/>
            <w:vAlign w:val="center"/>
          </w:tcPr>
          <w:p w14:paraId="7142C056">
            <w:pPr>
              <w:widowControl/>
              <w:spacing w:line="400" w:lineRule="exact"/>
              <w:ind w:firstLine="422" w:firstLineChars="20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一、商务部分(</w:t>
            </w:r>
            <w:r>
              <w:rPr>
                <w:rFonts w:hint="eastAsia" w:ascii="宋体" w:hAnsi="宋体" w:cs="宋体"/>
                <w:b/>
                <w:bCs/>
                <w:color w:val="auto"/>
                <w:kern w:val="0"/>
                <w:szCs w:val="21"/>
                <w:highlight w:val="none"/>
                <w:lang w:val="en-US" w:eastAsia="zh-CN"/>
              </w:rPr>
              <w:t>20</w:t>
            </w:r>
            <w:r>
              <w:rPr>
                <w:rFonts w:hint="eastAsia" w:ascii="宋体" w:hAnsi="宋体" w:eastAsia="宋体" w:cs="宋体"/>
                <w:b/>
                <w:bCs/>
                <w:color w:val="auto"/>
                <w:kern w:val="0"/>
                <w:szCs w:val="21"/>
                <w:highlight w:val="none"/>
              </w:rPr>
              <w:t>分，由磋商小组共同认定)</w:t>
            </w:r>
          </w:p>
        </w:tc>
      </w:tr>
      <w:tr w14:paraId="0DE27A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370" w:type="dxa"/>
            <w:vAlign w:val="center"/>
          </w:tcPr>
          <w:p w14:paraId="40014281">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1、供应商业绩（</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p w14:paraId="0008C543">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供应商202</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月至投标截止时间（以合同签订日期为准）内承担的同类型项目案例，每提供一项完整同类型项目案例的得</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分，最高</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p w14:paraId="0780343E">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要求合同必须提供与最终用户签订的合同首页、合同金额所在页、服务内容页及签字盖章页复印件作为证明。</w:t>
            </w:r>
          </w:p>
          <w:p w14:paraId="033963ED">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同时，本款可作为分值认定的同类型项目案例仅指供应商自身的项目案例，即项目案例合同的乙方必须与供应商的名称完全一致，如公司名称发生变更，必须提供相关部门的证明文件要求在响应文件内提供相关证明材料并加盖单位公章。</w:t>
            </w:r>
          </w:p>
          <w:p w14:paraId="0B6124BC">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（要求在响应文件内按上述要求提供复印件并加盖供应商公章。）</w:t>
            </w:r>
          </w:p>
        </w:tc>
        <w:tc>
          <w:tcPr>
            <w:tcW w:w="671" w:type="dxa"/>
            <w:vAlign w:val="center"/>
          </w:tcPr>
          <w:p w14:paraId="28CAF9EB">
            <w:pPr>
              <w:widowControl/>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tc>
      </w:tr>
      <w:tr w14:paraId="00FF42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8370" w:type="dxa"/>
            <w:vAlign w:val="center"/>
          </w:tcPr>
          <w:p w14:paraId="446F0C5F">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val="en-US" w:eastAsia="zh-CN"/>
              </w:rPr>
              <w:t>服务团队</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p w14:paraId="733A5F1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除项目负责人外，</w:t>
            </w:r>
            <w:r>
              <w:rPr>
                <w:rFonts w:hint="eastAsia" w:ascii="宋体" w:hAnsi="宋体" w:eastAsia="宋体" w:cs="宋体"/>
                <w:color w:val="auto"/>
                <w:kern w:val="0"/>
                <w:szCs w:val="21"/>
                <w:highlight w:val="none"/>
              </w:rPr>
              <w:t>拟投入本项目的服务团队具备中级职称证书的，每有一个得</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r>
              <w:rPr>
                <w:rFonts w:hint="eastAsia" w:ascii="宋体" w:hAnsi="宋体" w:cs="宋体"/>
                <w:color w:val="auto"/>
                <w:kern w:val="0"/>
                <w:szCs w:val="21"/>
                <w:highlight w:val="none"/>
                <w:lang w:val="en-US" w:eastAsia="zh-CN"/>
              </w:rPr>
              <w:t>高级职称证书的，每有一个得3分；</w:t>
            </w:r>
            <w:r>
              <w:rPr>
                <w:rFonts w:hint="eastAsia" w:ascii="宋体" w:hAnsi="宋体" w:eastAsia="宋体" w:cs="宋体"/>
                <w:color w:val="auto"/>
                <w:kern w:val="0"/>
                <w:szCs w:val="21"/>
                <w:highlight w:val="none"/>
              </w:rPr>
              <w:t>本项最高</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p w14:paraId="0C5D8D7E">
            <w:pPr>
              <w:widowControl/>
              <w:spacing w:line="400" w:lineRule="exact"/>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备注：人员证件须同时提供身份证和职称证、</w:t>
            </w:r>
            <w:r>
              <w:rPr>
                <w:rFonts w:hint="eastAsia" w:ascii="宋体" w:hAnsi="宋体" w:cs="宋体"/>
                <w:b/>
                <w:bCs/>
                <w:color w:val="auto"/>
                <w:kern w:val="0"/>
                <w:szCs w:val="21"/>
                <w:highlight w:val="none"/>
                <w:lang w:val="en-US" w:eastAsia="zh-CN"/>
              </w:rPr>
              <w:t>近6个月内任意一个月的</w:t>
            </w:r>
            <w:r>
              <w:rPr>
                <w:rFonts w:hint="eastAsia" w:ascii="宋体" w:hAnsi="宋体" w:eastAsia="宋体" w:cs="宋体"/>
                <w:b/>
                <w:bCs/>
                <w:color w:val="auto"/>
                <w:kern w:val="0"/>
                <w:szCs w:val="21"/>
                <w:highlight w:val="none"/>
              </w:rPr>
              <w:t>社保缴纳</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若为新成立企业则可提供劳动合同</w:t>
            </w:r>
            <w:r>
              <w:rPr>
                <w:rFonts w:hint="eastAsia" w:ascii="宋体" w:hAnsi="宋体" w:cs="宋体"/>
                <w:b/>
                <w:bCs/>
                <w:color w:val="auto"/>
                <w:kern w:val="0"/>
                <w:szCs w:val="21"/>
                <w:highlight w:val="none"/>
                <w:lang w:eastAsia="zh-CN"/>
              </w:rPr>
              <w:t>）</w:t>
            </w:r>
            <w:r>
              <w:rPr>
                <w:rFonts w:hint="eastAsia" w:ascii="宋体" w:hAnsi="宋体" w:eastAsia="宋体" w:cs="宋体"/>
                <w:b/>
                <w:bCs/>
                <w:color w:val="auto"/>
                <w:kern w:val="0"/>
                <w:szCs w:val="21"/>
                <w:highlight w:val="none"/>
              </w:rPr>
              <w:t>作为证明。</w:t>
            </w:r>
          </w:p>
        </w:tc>
        <w:tc>
          <w:tcPr>
            <w:tcW w:w="671" w:type="dxa"/>
            <w:vAlign w:val="center"/>
          </w:tcPr>
          <w:p w14:paraId="5E410F92">
            <w:pPr>
              <w:widowControl/>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tc>
      </w:tr>
      <w:tr w14:paraId="151FF7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41" w:type="dxa"/>
            <w:gridSpan w:val="2"/>
            <w:vAlign w:val="center"/>
          </w:tcPr>
          <w:p w14:paraId="28530CD4">
            <w:pPr>
              <w:widowControl/>
              <w:spacing w:line="400" w:lineRule="exact"/>
              <w:ind w:firstLine="422" w:firstLineChars="200"/>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二、技术服务部分（</w:t>
            </w:r>
            <w:r>
              <w:rPr>
                <w:rFonts w:hint="eastAsia" w:ascii="宋体" w:hAnsi="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0分）</w:t>
            </w:r>
          </w:p>
        </w:tc>
      </w:tr>
      <w:tr w14:paraId="4D44C1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8370" w:type="dxa"/>
            <w:vAlign w:val="center"/>
          </w:tcPr>
          <w:p w14:paraId="065A9B92">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1、整体服务方案（2</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p>
          <w:p w14:paraId="61BDFBA7">
            <w:pPr>
              <w:widowControl/>
              <w:spacing w:line="40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根据供应商提供针对本项目的技术服务方案进行综合评审，主要包括但不限于以下内容：①对本项目的理解、总体思路；②目标任务、工作依据；③工作内容；④工作流程；⑤技术方法；⑥重难点分析及应对措施等。</w:t>
            </w:r>
          </w:p>
          <w:p w14:paraId="692581E7">
            <w:pPr>
              <w:widowControl/>
              <w:spacing w:line="40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每项4分，共24分；每有一项缺失扣4分，每有一处存在缺陷扣0.5分，每项最多扣2分；不提供不得分。</w:t>
            </w:r>
          </w:p>
          <w:p w14:paraId="1B9433A3">
            <w:pPr>
              <w:widowControl/>
              <w:spacing w:line="40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注：缺陷是指方案存在对项目的理解片面主观、方案内容不清晰或交叉混乱、方案内容与项目内在需求不符等情况。 </w:t>
            </w:r>
          </w:p>
        </w:tc>
        <w:tc>
          <w:tcPr>
            <w:tcW w:w="671" w:type="dxa"/>
            <w:vAlign w:val="center"/>
          </w:tcPr>
          <w:p w14:paraId="442B5410">
            <w:pPr>
              <w:pageBreakBefore w:val="0"/>
              <w:kinsoku/>
              <w:wordWrap/>
              <w:overflowPunct/>
              <w:topLinePunct w:val="0"/>
              <w:bidi w:val="0"/>
              <w:spacing w:line="360" w:lineRule="auto"/>
              <w:jc w:val="center"/>
              <w:rPr>
                <w:color w:val="auto"/>
                <w:szCs w:val="21"/>
                <w:highlight w:val="none"/>
              </w:rPr>
            </w:pPr>
            <w:r>
              <w:rPr>
                <w:rFonts w:hint="eastAsia"/>
                <w:color w:val="auto"/>
                <w:szCs w:val="21"/>
                <w:highlight w:val="none"/>
              </w:rPr>
              <w:t>2</w:t>
            </w:r>
            <w:r>
              <w:rPr>
                <w:rFonts w:hint="eastAsia"/>
                <w:color w:val="auto"/>
                <w:szCs w:val="21"/>
                <w:highlight w:val="none"/>
                <w:lang w:val="en-US" w:eastAsia="zh-CN"/>
              </w:rPr>
              <w:t>4</w:t>
            </w:r>
            <w:r>
              <w:rPr>
                <w:rFonts w:hint="eastAsia"/>
                <w:color w:val="auto"/>
                <w:szCs w:val="21"/>
                <w:highlight w:val="none"/>
              </w:rPr>
              <w:t>分</w:t>
            </w:r>
          </w:p>
        </w:tc>
      </w:tr>
      <w:tr w14:paraId="06548C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70" w:type="dxa"/>
            <w:vAlign w:val="center"/>
          </w:tcPr>
          <w:p w14:paraId="61CC428B">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2、服务质量保障措施（</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分）</w:t>
            </w:r>
          </w:p>
          <w:p w14:paraId="509D76B6">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所提供的服务质量保障措施</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eastAsia="zh-CN"/>
              </w:rPr>
              <w:t>包括但不仅限于</w:t>
            </w:r>
            <w:r>
              <w:rPr>
                <w:rFonts w:hint="eastAsia" w:ascii="宋体" w:hAnsi="宋体" w:eastAsia="宋体" w:cs="宋体"/>
                <w:color w:val="auto"/>
                <w:kern w:val="0"/>
                <w:szCs w:val="21"/>
                <w:highlight w:val="none"/>
              </w:rPr>
              <w:t>质量目标、质量管理制度、质量控制流程等方面的内容</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评审小组</w:t>
            </w:r>
            <w:r>
              <w:rPr>
                <w:rFonts w:hint="eastAsia" w:ascii="宋体" w:hAnsi="宋体" w:eastAsia="宋体" w:cs="宋体"/>
                <w:color w:val="auto"/>
                <w:kern w:val="0"/>
                <w:szCs w:val="21"/>
                <w:highlight w:val="none"/>
              </w:rPr>
              <w:t>进行综合评价</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每缺少一项扣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分，每</w:t>
            </w:r>
            <w:r>
              <w:rPr>
                <w:rFonts w:hint="eastAsia" w:ascii="宋体" w:hAnsi="宋体" w:cs="宋体"/>
                <w:color w:val="auto"/>
                <w:szCs w:val="21"/>
                <w:highlight w:val="none"/>
                <w:lang w:val="en-US" w:eastAsia="zh-CN"/>
              </w:rPr>
              <w:t>有一项不全面或不完整扣1</w:t>
            </w:r>
            <w:r>
              <w:rPr>
                <w:rFonts w:hint="eastAsia" w:ascii="宋体" w:hAnsi="宋体" w:eastAsia="宋体" w:cs="宋体"/>
                <w:color w:val="auto"/>
                <w:szCs w:val="21"/>
                <w:highlight w:val="none"/>
              </w:rPr>
              <w:t>分，扣到零分为止</w:t>
            </w:r>
            <w:r>
              <w:rPr>
                <w:rFonts w:hint="eastAsia" w:ascii="宋体" w:hAnsi="宋体" w:eastAsia="宋体" w:cs="宋体"/>
                <w:color w:val="auto"/>
                <w:szCs w:val="21"/>
                <w:highlight w:val="none"/>
                <w:lang w:eastAsia="zh-CN"/>
              </w:rPr>
              <w:t>。</w:t>
            </w:r>
          </w:p>
        </w:tc>
        <w:tc>
          <w:tcPr>
            <w:tcW w:w="671" w:type="dxa"/>
            <w:vAlign w:val="center"/>
          </w:tcPr>
          <w:p w14:paraId="43E01363">
            <w:pPr>
              <w:pageBreakBefore w:val="0"/>
              <w:kinsoku/>
              <w:wordWrap/>
              <w:overflowPunct/>
              <w:topLinePunct w:val="0"/>
              <w:bidi w:val="0"/>
              <w:spacing w:line="360" w:lineRule="auto"/>
              <w:jc w:val="center"/>
              <w:rPr>
                <w:color w:val="auto"/>
                <w:szCs w:val="21"/>
                <w:highlight w:val="none"/>
              </w:rPr>
            </w:pPr>
            <w:r>
              <w:rPr>
                <w:rFonts w:hint="eastAsia"/>
                <w:color w:val="auto"/>
                <w:szCs w:val="21"/>
                <w:highlight w:val="none"/>
                <w:lang w:val="en-US" w:eastAsia="zh-CN"/>
              </w:rPr>
              <w:t>9</w:t>
            </w:r>
            <w:r>
              <w:rPr>
                <w:rFonts w:hint="eastAsia"/>
                <w:color w:val="auto"/>
                <w:szCs w:val="21"/>
                <w:highlight w:val="none"/>
              </w:rPr>
              <w:t>分</w:t>
            </w:r>
          </w:p>
        </w:tc>
      </w:tr>
      <w:tr w14:paraId="5FE8C3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370" w:type="dxa"/>
            <w:vAlign w:val="center"/>
          </w:tcPr>
          <w:p w14:paraId="74A61FF7">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3、本项目的重点、难点分析（</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分）</w:t>
            </w:r>
          </w:p>
          <w:p w14:paraId="550E6520">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根据</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针对本项目提供的重点、难点分析提出</w:t>
            </w:r>
            <w:r>
              <w:rPr>
                <w:rFonts w:hint="eastAsia" w:ascii="宋体" w:hAnsi="宋体" w:cs="宋体"/>
                <w:color w:val="auto"/>
                <w:kern w:val="0"/>
                <w:szCs w:val="21"/>
                <w:highlight w:val="none"/>
                <w:lang w:val="en-US" w:eastAsia="zh-CN"/>
              </w:rPr>
              <w:t>应对措施</w:t>
            </w:r>
            <w:r>
              <w:rPr>
                <w:rFonts w:hint="eastAsia" w:ascii="宋体" w:hAnsi="宋体" w:eastAsia="宋体" w:cs="宋体"/>
                <w:color w:val="auto"/>
                <w:kern w:val="0"/>
                <w:szCs w:val="21"/>
                <w:highlight w:val="none"/>
              </w:rPr>
              <w:t>、解决思路内容进行综合评审，满分</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每缺少一项扣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分，每</w:t>
            </w:r>
            <w:r>
              <w:rPr>
                <w:rFonts w:hint="eastAsia" w:ascii="宋体" w:hAnsi="宋体" w:cs="宋体"/>
                <w:color w:val="auto"/>
                <w:szCs w:val="21"/>
                <w:highlight w:val="none"/>
                <w:lang w:val="en-US" w:eastAsia="zh-CN"/>
              </w:rPr>
              <w:t>有一项不全面或不完整扣1</w:t>
            </w:r>
            <w:r>
              <w:rPr>
                <w:rFonts w:hint="eastAsia" w:ascii="宋体" w:hAnsi="宋体" w:eastAsia="宋体" w:cs="宋体"/>
                <w:color w:val="auto"/>
                <w:szCs w:val="21"/>
                <w:highlight w:val="none"/>
              </w:rPr>
              <w:t>分，扣到零分为止</w:t>
            </w:r>
            <w:r>
              <w:rPr>
                <w:rFonts w:hint="eastAsia" w:ascii="宋体" w:hAnsi="宋体" w:eastAsia="宋体" w:cs="宋体"/>
                <w:color w:val="auto"/>
                <w:szCs w:val="21"/>
                <w:highlight w:val="none"/>
                <w:lang w:eastAsia="zh-CN"/>
              </w:rPr>
              <w:t>。</w:t>
            </w:r>
          </w:p>
        </w:tc>
        <w:tc>
          <w:tcPr>
            <w:tcW w:w="671" w:type="dxa"/>
            <w:vAlign w:val="center"/>
          </w:tcPr>
          <w:p w14:paraId="244A6DEB">
            <w:pPr>
              <w:pageBreakBefore w:val="0"/>
              <w:kinsoku/>
              <w:wordWrap/>
              <w:overflowPunct/>
              <w:topLinePunct w:val="0"/>
              <w:bidi w:val="0"/>
              <w:spacing w:line="360" w:lineRule="auto"/>
              <w:jc w:val="center"/>
              <w:rPr>
                <w:color w:val="auto"/>
                <w:szCs w:val="21"/>
                <w:highlight w:val="none"/>
              </w:rPr>
            </w:pPr>
            <w:r>
              <w:rPr>
                <w:rFonts w:hint="eastAsia"/>
                <w:color w:val="auto"/>
                <w:szCs w:val="21"/>
                <w:highlight w:val="none"/>
                <w:lang w:val="en-US" w:eastAsia="zh-CN"/>
              </w:rPr>
              <w:t>9</w:t>
            </w:r>
            <w:r>
              <w:rPr>
                <w:rFonts w:hint="eastAsia"/>
                <w:color w:val="auto"/>
                <w:szCs w:val="21"/>
                <w:highlight w:val="none"/>
              </w:rPr>
              <w:t>分</w:t>
            </w:r>
          </w:p>
        </w:tc>
      </w:tr>
      <w:tr w14:paraId="2B4460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370" w:type="dxa"/>
            <w:vAlign w:val="center"/>
          </w:tcPr>
          <w:p w14:paraId="7F90F363">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4、项目实施进度方案（</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分）</w:t>
            </w:r>
          </w:p>
          <w:p w14:paraId="55654AF8">
            <w:pPr>
              <w:widowControl/>
              <w:spacing w:line="400" w:lineRule="exact"/>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根据</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所提供</w:t>
            </w:r>
            <w:r>
              <w:rPr>
                <w:rFonts w:hint="eastAsia" w:ascii="宋体" w:hAnsi="宋体" w:cs="宋体"/>
                <w:color w:val="auto"/>
                <w:kern w:val="0"/>
                <w:szCs w:val="21"/>
                <w:highlight w:val="none"/>
                <w:lang w:val="en-US" w:eastAsia="zh-CN"/>
              </w:rPr>
              <w:t>的</w:t>
            </w:r>
            <w:r>
              <w:rPr>
                <w:rFonts w:hint="eastAsia" w:ascii="宋体" w:hAnsi="宋体" w:eastAsia="宋体" w:cs="宋体"/>
                <w:color w:val="auto"/>
                <w:kern w:val="0"/>
                <w:szCs w:val="21"/>
                <w:highlight w:val="none"/>
              </w:rPr>
              <w:t>项目进度计划及时间节点、实施进度保障措施进行综合评审，满分</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每缺少一项扣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分，每</w:t>
            </w:r>
            <w:r>
              <w:rPr>
                <w:rFonts w:hint="eastAsia" w:ascii="宋体" w:hAnsi="宋体" w:cs="宋体"/>
                <w:color w:val="auto"/>
                <w:szCs w:val="21"/>
                <w:highlight w:val="none"/>
                <w:lang w:val="en-US" w:eastAsia="zh-CN"/>
              </w:rPr>
              <w:t>有一项不全面或不完整扣1</w:t>
            </w:r>
            <w:r>
              <w:rPr>
                <w:rFonts w:hint="eastAsia" w:ascii="宋体" w:hAnsi="宋体" w:eastAsia="宋体" w:cs="宋体"/>
                <w:color w:val="auto"/>
                <w:szCs w:val="21"/>
                <w:highlight w:val="none"/>
              </w:rPr>
              <w:t>分，扣到零分为止</w:t>
            </w:r>
            <w:r>
              <w:rPr>
                <w:rFonts w:hint="eastAsia" w:ascii="宋体" w:hAnsi="宋体" w:eastAsia="宋体" w:cs="宋体"/>
                <w:color w:val="auto"/>
                <w:szCs w:val="21"/>
                <w:highlight w:val="none"/>
                <w:lang w:eastAsia="zh-CN"/>
              </w:rPr>
              <w:t>。</w:t>
            </w:r>
          </w:p>
        </w:tc>
        <w:tc>
          <w:tcPr>
            <w:tcW w:w="671" w:type="dxa"/>
            <w:vAlign w:val="center"/>
          </w:tcPr>
          <w:p w14:paraId="29F9EDE0">
            <w:pPr>
              <w:pageBreakBefore w:val="0"/>
              <w:kinsoku/>
              <w:wordWrap/>
              <w:overflowPunct/>
              <w:topLinePunct w:val="0"/>
              <w:bidi w:val="0"/>
              <w:spacing w:line="360" w:lineRule="auto"/>
              <w:jc w:val="center"/>
              <w:rPr>
                <w:color w:val="auto"/>
                <w:szCs w:val="21"/>
                <w:highlight w:val="none"/>
              </w:rPr>
            </w:pPr>
            <w:r>
              <w:rPr>
                <w:rFonts w:hint="eastAsia"/>
                <w:color w:val="auto"/>
                <w:szCs w:val="21"/>
                <w:highlight w:val="none"/>
                <w:lang w:val="en-US" w:eastAsia="zh-CN"/>
              </w:rPr>
              <w:t>9</w:t>
            </w:r>
            <w:r>
              <w:rPr>
                <w:rFonts w:hint="eastAsia"/>
                <w:color w:val="auto"/>
                <w:szCs w:val="21"/>
                <w:highlight w:val="none"/>
              </w:rPr>
              <w:t>分</w:t>
            </w:r>
          </w:p>
        </w:tc>
      </w:tr>
      <w:tr w14:paraId="1AC04D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70" w:type="dxa"/>
            <w:vAlign w:val="center"/>
          </w:tcPr>
          <w:p w14:paraId="7947A6D5">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cs="宋体"/>
                <w:color w:val="auto"/>
                <w:kern w:val="0"/>
                <w:szCs w:val="21"/>
                <w:highlight w:val="none"/>
                <w:lang w:val="en-US" w:eastAsia="zh-CN"/>
              </w:rPr>
              <w:t>合理化建议及</w:t>
            </w:r>
            <w:r>
              <w:rPr>
                <w:rFonts w:hint="eastAsia" w:ascii="宋体" w:hAnsi="宋体" w:eastAsia="宋体" w:cs="宋体"/>
                <w:color w:val="auto"/>
                <w:kern w:val="0"/>
                <w:szCs w:val="21"/>
                <w:highlight w:val="none"/>
              </w:rPr>
              <w:t>服务承诺（10分）</w:t>
            </w:r>
          </w:p>
          <w:p w14:paraId="74C3119D">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根据</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提供的</w:t>
            </w:r>
            <w:r>
              <w:rPr>
                <w:rFonts w:hint="eastAsia" w:ascii="宋体" w:hAnsi="宋体" w:cs="宋体"/>
                <w:color w:val="auto"/>
                <w:kern w:val="0"/>
                <w:szCs w:val="21"/>
                <w:highlight w:val="none"/>
                <w:lang w:val="en-US" w:eastAsia="zh-CN"/>
              </w:rPr>
              <w:t>合理化建议及</w:t>
            </w:r>
            <w:r>
              <w:rPr>
                <w:rFonts w:hint="eastAsia" w:ascii="宋体" w:hAnsi="宋体" w:eastAsia="宋体" w:cs="宋体"/>
                <w:color w:val="auto"/>
                <w:kern w:val="0"/>
                <w:szCs w:val="21"/>
                <w:highlight w:val="none"/>
              </w:rPr>
              <w:t>服务承诺</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向采购人提供的</w:t>
            </w:r>
            <w:r>
              <w:rPr>
                <w:rFonts w:hint="eastAsia" w:ascii="宋体" w:hAnsi="宋体" w:cs="宋体"/>
                <w:color w:val="auto"/>
                <w:kern w:val="0"/>
                <w:szCs w:val="21"/>
                <w:highlight w:val="none"/>
                <w:lang w:val="en-US" w:eastAsia="zh-CN"/>
              </w:rPr>
              <w:t>合理化建议及</w:t>
            </w:r>
            <w:r>
              <w:rPr>
                <w:rFonts w:hint="eastAsia" w:ascii="宋体" w:hAnsi="宋体" w:eastAsia="宋体" w:cs="宋体"/>
                <w:color w:val="auto"/>
                <w:kern w:val="0"/>
                <w:szCs w:val="21"/>
                <w:highlight w:val="none"/>
              </w:rPr>
              <w:t>各项服务内容</w:t>
            </w:r>
            <w:r>
              <w:rPr>
                <w:rFonts w:hint="eastAsia" w:ascii="宋体" w:hAnsi="宋体" w:cs="宋体"/>
                <w:color w:val="auto"/>
                <w:kern w:val="0"/>
                <w:szCs w:val="21"/>
                <w:highlight w:val="none"/>
                <w:lang w:eastAsia="zh-CN"/>
              </w:rPr>
              <w:t>（包括但不仅限于）：</w:t>
            </w:r>
            <w:r>
              <w:rPr>
                <w:rFonts w:hint="eastAsia" w:ascii="宋体" w:hAnsi="宋体" w:cs="宋体"/>
                <w:color w:val="auto"/>
                <w:kern w:val="0"/>
                <w:szCs w:val="21"/>
                <w:highlight w:val="none"/>
                <w:lang w:val="en-US" w:eastAsia="zh-CN"/>
              </w:rPr>
              <w:t>合理化建议、</w:t>
            </w:r>
            <w:r>
              <w:rPr>
                <w:rFonts w:hint="eastAsia" w:ascii="宋体" w:hAnsi="宋体" w:eastAsia="宋体" w:cs="宋体"/>
                <w:color w:val="auto"/>
                <w:kern w:val="0"/>
                <w:szCs w:val="21"/>
                <w:highlight w:val="none"/>
              </w:rPr>
              <w:t>质量标准、保密措施、</w:t>
            </w:r>
            <w:r>
              <w:rPr>
                <w:rFonts w:hint="eastAsia" w:ascii="宋体" w:hAnsi="宋体" w:cs="宋体"/>
                <w:color w:val="auto"/>
                <w:kern w:val="0"/>
                <w:szCs w:val="21"/>
                <w:highlight w:val="none"/>
                <w:lang w:val="en-US" w:eastAsia="zh-CN"/>
              </w:rPr>
              <w:t>售后服务响应</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后续服务承诺</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进行综合评审，</w:t>
            </w:r>
            <w:r>
              <w:rPr>
                <w:rFonts w:hint="eastAsia" w:ascii="宋体" w:hAnsi="宋体" w:eastAsia="宋体" w:cs="宋体"/>
                <w:color w:val="auto"/>
                <w:szCs w:val="21"/>
                <w:highlight w:val="none"/>
              </w:rPr>
              <w:t>每缺少一项扣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分，每</w:t>
            </w:r>
            <w:r>
              <w:rPr>
                <w:rFonts w:hint="eastAsia" w:ascii="宋体" w:hAnsi="宋体" w:cs="宋体"/>
                <w:color w:val="auto"/>
                <w:szCs w:val="21"/>
                <w:highlight w:val="none"/>
                <w:lang w:val="en-US" w:eastAsia="zh-CN"/>
              </w:rPr>
              <w:t>有一项不全面或不完整扣1</w:t>
            </w:r>
            <w:r>
              <w:rPr>
                <w:rFonts w:hint="eastAsia" w:ascii="宋体" w:hAnsi="宋体" w:eastAsia="宋体" w:cs="宋体"/>
                <w:color w:val="auto"/>
                <w:szCs w:val="21"/>
                <w:highlight w:val="none"/>
              </w:rPr>
              <w:t>分，扣到零分为止</w:t>
            </w:r>
            <w:r>
              <w:rPr>
                <w:rFonts w:hint="eastAsia" w:ascii="宋体" w:hAnsi="宋体" w:eastAsia="宋体" w:cs="宋体"/>
                <w:color w:val="auto"/>
                <w:szCs w:val="21"/>
                <w:highlight w:val="none"/>
                <w:lang w:eastAsia="zh-CN"/>
              </w:rPr>
              <w:t>。</w:t>
            </w:r>
          </w:p>
        </w:tc>
        <w:tc>
          <w:tcPr>
            <w:tcW w:w="671" w:type="dxa"/>
            <w:vAlign w:val="center"/>
          </w:tcPr>
          <w:p w14:paraId="7A879BA8">
            <w:pPr>
              <w:pageBreakBefore w:val="0"/>
              <w:kinsoku/>
              <w:wordWrap/>
              <w:overflowPunct/>
              <w:topLinePunct w:val="0"/>
              <w:bidi w:val="0"/>
              <w:spacing w:line="360" w:lineRule="auto"/>
              <w:jc w:val="center"/>
              <w:rPr>
                <w:color w:val="auto"/>
                <w:szCs w:val="21"/>
                <w:highlight w:val="none"/>
              </w:rPr>
            </w:pPr>
            <w:r>
              <w:rPr>
                <w:rFonts w:hint="eastAsia"/>
                <w:color w:val="auto"/>
                <w:szCs w:val="21"/>
                <w:highlight w:val="none"/>
              </w:rPr>
              <w:t>10分</w:t>
            </w:r>
          </w:p>
        </w:tc>
      </w:tr>
      <w:tr w14:paraId="795C7E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70" w:type="dxa"/>
            <w:vAlign w:val="center"/>
          </w:tcPr>
          <w:p w14:paraId="61CCAAFE">
            <w:pPr>
              <w:widowControl/>
              <w:spacing w:line="400" w:lineRule="exact"/>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6、机构设置、人员配备、岗位职责</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分）</w:t>
            </w:r>
          </w:p>
          <w:p w14:paraId="5AFFE486">
            <w:pPr>
              <w:widowControl/>
              <w:spacing w:line="40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对本项目制定的项目管理机构的组织形式、人员配备、岗位职责分工的合理性、科学性进行综合评价，包括以下三项内容：①项目管理机构的组织形式；②人员配备；③岗位职责分工。</w:t>
            </w:r>
          </w:p>
          <w:p w14:paraId="3E46AC9D">
            <w:pPr>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每一项内容记3分，每有一项缺失扣3分，每项中每有1处存在内容缺陷（缺陷是指以下情形中的任意一项：与项目特点或服务无关、逻辑错误、原理错误、表述错误、不符合本项目涉及的相关服务要求）扣1分，扣完为止。</w:t>
            </w:r>
          </w:p>
          <w:p w14:paraId="7E667AB4">
            <w:pPr>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本项最高9分，未提供相关内容的不得分。</w:t>
            </w:r>
          </w:p>
        </w:tc>
        <w:tc>
          <w:tcPr>
            <w:tcW w:w="671" w:type="dxa"/>
            <w:vAlign w:val="center"/>
          </w:tcPr>
          <w:p w14:paraId="7E967085">
            <w:pPr>
              <w:pageBreakBefore w:val="0"/>
              <w:kinsoku/>
              <w:wordWrap/>
              <w:overflowPunct/>
              <w:topLinePunct w:val="0"/>
              <w:bidi w:val="0"/>
              <w:spacing w:line="360" w:lineRule="auto"/>
              <w:jc w:val="center"/>
              <w:rPr>
                <w:rFonts w:hint="default" w:eastAsia="宋体"/>
                <w:color w:val="auto"/>
                <w:szCs w:val="21"/>
                <w:highlight w:val="none"/>
                <w:lang w:val="en-US" w:eastAsia="zh-CN"/>
              </w:rPr>
            </w:pPr>
            <w:r>
              <w:rPr>
                <w:rFonts w:hint="eastAsia"/>
                <w:color w:val="auto"/>
                <w:szCs w:val="21"/>
                <w:highlight w:val="none"/>
                <w:lang w:val="en-US" w:eastAsia="zh-CN"/>
              </w:rPr>
              <w:t>9分</w:t>
            </w:r>
          </w:p>
        </w:tc>
      </w:tr>
      <w:tr w14:paraId="1441C8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041" w:type="dxa"/>
            <w:gridSpan w:val="2"/>
            <w:vAlign w:val="center"/>
          </w:tcPr>
          <w:p w14:paraId="5E6CF00B">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小组对组织实施方案评审应以磋商文件为依据，以响应文件组织实施方案的针对性、合理性、可行性、符合性、满足性为评审要点。组织实施方案部分得分为磋商小组所有评审专家打分的算术平均值，计算结果保留2位小数。</w:t>
            </w:r>
          </w:p>
        </w:tc>
      </w:tr>
      <w:tr w14:paraId="41A719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041" w:type="dxa"/>
            <w:gridSpan w:val="2"/>
            <w:vAlign w:val="center"/>
          </w:tcPr>
          <w:p w14:paraId="3AB80BBD">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三 、价格部分（</w:t>
            </w: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分）</w:t>
            </w:r>
          </w:p>
        </w:tc>
      </w:tr>
      <w:tr w14:paraId="37B6E1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370" w:type="dxa"/>
            <w:vAlign w:val="center"/>
          </w:tcPr>
          <w:p w14:paraId="42963DB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1、通过符合性审查的供应商提交最后报价的为有效价格，未通过符合性审查或未提交最后报价不参与基准价的计算。</w:t>
            </w:r>
          </w:p>
          <w:p w14:paraId="18C9962E">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2、综合评分法中的价格分统一采用低价优先法计算，即满足磋商文件要求且最后报价最低的供应商的价格为磋商基准价，其价格分为满分。其他供应商的价格分统一按照下列公式计算：</w:t>
            </w:r>
          </w:p>
          <w:p w14:paraId="08932540">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磋商报价得分=（磋商基准价/最后磋商报价）×</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0%×100</w:t>
            </w:r>
          </w:p>
          <w:p w14:paraId="1008C71E">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3、磋商报价得分保留两位小数。项目评审过程中，不得去掉最后报价中的最高报价和最低报价。</w:t>
            </w:r>
          </w:p>
          <w:p w14:paraId="3BCB8C96">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4、中小微企业参加本项目评审标准</w:t>
            </w:r>
          </w:p>
          <w:p w14:paraId="0ADD234C">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小型、微型企业指在中华人民共和国境内依法设立，依据《中小企业划型标准规定》确定的小型企业、微型企业，但与大型企业的负责人为同一人，或者与大型企业存在直接控股、管理关系的除外。符合中小企业划分标准的个体工商户，在政府采购活动中视同中小企业。属于小型、微型企业的，需如实填写《中小企业声明函》。</w:t>
            </w:r>
          </w:p>
          <w:p w14:paraId="609FD50D">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在货物采购项目中提供小型、微型企业生产制造的货物，或在工程、服务采购项目中其自身为小型、微型企业的，可享受价格折扣评审。满足上述条件的，货物、服务采购项目给予15%（工程项目为5%）的价格折扣，采用大中型企业与小微企业组成联合体或者大中型企业向小微企业分包采购合同的，货物、服务项目评审优惠幅度为5%（工程项目为1%），用扣除后的报价参与价格评审。</w:t>
            </w:r>
          </w:p>
          <w:p w14:paraId="6EBD47A2">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（3）供应商提供的货物既有中小企业制造货物，也有大型企业制造货物的，不享受价格折扣。</w:t>
            </w:r>
          </w:p>
          <w:p w14:paraId="6E7211FA">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（4）专门面向中小企业采购的项目或者采购包，不再执行价格评审优惠的扶持政策。</w:t>
            </w:r>
          </w:p>
          <w:p w14:paraId="2928950A">
            <w:pPr>
              <w:widowControl/>
              <w:spacing w:line="400" w:lineRule="exact"/>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（5）本项目采购标的所属行业为 </w:t>
            </w:r>
            <w:r>
              <w:rPr>
                <w:rFonts w:hint="eastAsia" w:hAnsi="宋体"/>
                <w:b/>
                <w:bCs/>
                <w:color w:val="auto"/>
                <w:highlight w:val="none"/>
                <w:u w:val="single"/>
                <w:lang w:eastAsia="zh-CN"/>
              </w:rPr>
              <w:t>其他未列明行业</w:t>
            </w:r>
            <w:r>
              <w:rPr>
                <w:rFonts w:hint="eastAsia" w:ascii="宋体" w:hAnsi="宋体" w:eastAsia="宋体" w:cs="宋体"/>
                <w:color w:val="auto"/>
                <w:kern w:val="0"/>
                <w:szCs w:val="21"/>
                <w:highlight w:val="none"/>
              </w:rPr>
              <w:t>。</w:t>
            </w:r>
          </w:p>
          <w:p w14:paraId="14EA65CB">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供应商参加本次招标活动，上述要求（如涉及的话），均应作出响应。</w:t>
            </w:r>
          </w:p>
        </w:tc>
        <w:tc>
          <w:tcPr>
            <w:tcW w:w="671" w:type="dxa"/>
            <w:vAlign w:val="center"/>
          </w:tcPr>
          <w:p w14:paraId="7F4FE952">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10分</w:t>
            </w:r>
          </w:p>
        </w:tc>
      </w:tr>
    </w:tbl>
    <w:p w14:paraId="4943A883">
      <w:pPr>
        <w:pageBreakBefore w:val="0"/>
        <w:widowControl/>
        <w:kinsoku/>
        <w:wordWrap/>
        <w:overflowPunct/>
        <w:topLinePunct w:val="0"/>
        <w:bidi w:val="0"/>
        <w:spacing w:line="360" w:lineRule="auto"/>
        <w:jc w:val="left"/>
        <w:rPr>
          <w:rFonts w:hint="eastAsia" w:ascii="宋体" w:hAnsi="宋体" w:cs="宋体"/>
          <w:b/>
          <w:color w:val="auto"/>
          <w:kern w:val="0"/>
          <w:sz w:val="28"/>
          <w:szCs w:val="28"/>
          <w:highlight w:val="none"/>
        </w:rPr>
      </w:pPr>
      <w:r>
        <w:rPr>
          <w:rFonts w:ascii="宋体" w:hAnsi="宋体" w:cs="宋体"/>
          <w:b/>
          <w:color w:val="auto"/>
          <w:kern w:val="0"/>
          <w:sz w:val="28"/>
          <w:szCs w:val="28"/>
          <w:highlight w:val="none"/>
        </w:rPr>
        <w:br w:type="page"/>
      </w:r>
    </w:p>
    <w:p w14:paraId="43A47ABD">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180573A3">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2431F8ED">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2C27653B">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7E6346B2">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419C18B2">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1C6C2C39">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7CE94C16">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1D18EFD7">
      <w:pPr>
        <w:keepNext/>
        <w:keepLines/>
        <w:pageBreakBefore w:val="0"/>
        <w:kinsoku/>
        <w:wordWrap/>
        <w:overflowPunct/>
        <w:topLinePunct w:val="0"/>
        <w:bidi w:val="0"/>
        <w:spacing w:before="340" w:after="330" w:line="360" w:lineRule="auto"/>
        <w:jc w:val="center"/>
        <w:outlineLvl w:val="0"/>
        <w:rPr>
          <w:rFonts w:hint="eastAsia" w:ascii="宋体" w:hAnsi="宋体"/>
          <w:b/>
          <w:color w:val="auto"/>
          <w:sz w:val="44"/>
          <w:szCs w:val="44"/>
          <w:highlight w:val="none"/>
        </w:rPr>
      </w:pPr>
      <w:bookmarkStart w:id="24" w:name="_Toc107306637"/>
      <w:r>
        <w:rPr>
          <w:rFonts w:hint="eastAsia" w:ascii="宋体" w:hAnsi="宋体"/>
          <w:b/>
          <w:color w:val="auto"/>
          <w:sz w:val="44"/>
          <w:szCs w:val="44"/>
          <w:highlight w:val="none"/>
        </w:rPr>
        <w:t>第四部分  商务、技术要求</w:t>
      </w:r>
      <w:bookmarkEnd w:id="24"/>
    </w:p>
    <w:p w14:paraId="60B5CAB8">
      <w:pPr>
        <w:pageBreakBefore w:val="0"/>
        <w:widowControl/>
        <w:kinsoku/>
        <w:wordWrap/>
        <w:overflowPunct/>
        <w:topLinePunct w:val="0"/>
        <w:bidi w:val="0"/>
        <w:snapToGrid w:val="0"/>
        <w:spacing w:line="360" w:lineRule="auto"/>
        <w:jc w:val="left"/>
        <w:rPr>
          <w:rFonts w:hint="eastAsia" w:ascii="宋体" w:hAnsi="宋体"/>
          <w:b/>
          <w:color w:val="auto"/>
          <w:sz w:val="30"/>
          <w:szCs w:val="30"/>
          <w:highlight w:val="none"/>
        </w:rPr>
      </w:pPr>
    </w:p>
    <w:p w14:paraId="392ED6DA">
      <w:pPr>
        <w:pageBreakBefore w:val="0"/>
        <w:kinsoku/>
        <w:wordWrap/>
        <w:overflowPunct/>
        <w:topLinePunct w:val="0"/>
        <w:bidi w:val="0"/>
        <w:spacing w:line="360" w:lineRule="auto"/>
        <w:jc w:val="center"/>
        <w:rPr>
          <w:rFonts w:hint="eastAsia" w:ascii="宋体" w:hAnsi="宋体"/>
          <w:b/>
          <w:color w:val="auto"/>
          <w:sz w:val="32"/>
          <w:szCs w:val="32"/>
          <w:highlight w:val="none"/>
        </w:rPr>
      </w:pPr>
      <w:r>
        <w:rPr>
          <w:rFonts w:ascii="宋体" w:hAnsi="宋体"/>
          <w:b/>
          <w:color w:val="auto"/>
          <w:sz w:val="30"/>
          <w:szCs w:val="30"/>
          <w:highlight w:val="none"/>
        </w:rPr>
        <w:br w:type="page"/>
      </w:r>
      <w:r>
        <w:rPr>
          <w:rFonts w:hint="eastAsia" w:ascii="宋体" w:hAnsi="宋体"/>
          <w:b/>
          <w:color w:val="auto"/>
          <w:sz w:val="32"/>
          <w:szCs w:val="32"/>
          <w:highlight w:val="none"/>
        </w:rPr>
        <w:t>商务、技术要求</w:t>
      </w:r>
    </w:p>
    <w:bookmarkEnd w:id="23"/>
    <w:p w14:paraId="69E1DADE">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一、项目概况</w:t>
      </w:r>
    </w:p>
    <w:p w14:paraId="0D53837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w:t>
      </w:r>
      <w:r>
        <w:rPr>
          <w:rFonts w:hint="eastAsia" w:ascii="宋体" w:hAnsi="宋体" w:cs="宋体"/>
          <w:b w:val="0"/>
          <w:bCs/>
          <w:color w:val="auto"/>
          <w:sz w:val="21"/>
          <w:szCs w:val="21"/>
          <w:highlight w:val="none"/>
          <w:lang w:eastAsia="zh-CN"/>
        </w:rPr>
        <w:t>杏花村南环街东延道路改造工程项目用地预审手续办理服务</w:t>
      </w:r>
    </w:p>
    <w:p w14:paraId="1E7A6A0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2、项目概况：杏花村南环街东延道路改造工程工程量总面积为7.1364公顷，新建道路约1.96km。</w:t>
      </w:r>
    </w:p>
    <w:p w14:paraId="0A54EB7B">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pacing w:val="10"/>
          <w:sz w:val="21"/>
          <w:szCs w:val="21"/>
          <w:highlight w:val="none"/>
          <w:lang w:val="en-US" w:eastAsia="zh-CN"/>
        </w:rPr>
        <w:t>商务</w:t>
      </w:r>
      <w:r>
        <w:rPr>
          <w:rFonts w:hint="eastAsia" w:ascii="宋体" w:hAnsi="宋体" w:eastAsia="宋体" w:cs="宋体"/>
          <w:b/>
          <w:bCs w:val="0"/>
          <w:color w:val="auto"/>
          <w:spacing w:val="10"/>
          <w:sz w:val="21"/>
          <w:szCs w:val="21"/>
          <w:highlight w:val="none"/>
        </w:rPr>
        <w:t>要求</w:t>
      </w:r>
      <w:r>
        <w:rPr>
          <w:rFonts w:hint="eastAsia" w:ascii="宋体" w:hAnsi="宋体" w:eastAsia="宋体" w:cs="宋体"/>
          <w:b/>
          <w:bCs w:val="0"/>
          <w:color w:val="auto"/>
          <w:sz w:val="21"/>
          <w:szCs w:val="21"/>
          <w:highlight w:val="none"/>
        </w:rPr>
        <w:t>：</w:t>
      </w:r>
    </w:p>
    <w:p w14:paraId="288F239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w:t>
      </w:r>
      <w:r>
        <w:rPr>
          <w:rFonts w:hint="eastAsia" w:ascii="宋体" w:hAnsi="宋体" w:cs="宋体"/>
          <w:color w:val="auto"/>
          <w:kern w:val="0"/>
          <w:szCs w:val="21"/>
          <w:highlight w:val="none"/>
          <w:lang w:eastAsia="zh-CN"/>
        </w:rPr>
        <w:t>服务期限</w:t>
      </w:r>
      <w:r>
        <w:rPr>
          <w:rFonts w:hint="eastAsia" w:ascii="宋体" w:hAnsi="宋体" w:eastAsia="宋体" w:cs="宋体"/>
          <w:b w:val="0"/>
          <w:bCs/>
          <w:color w:val="auto"/>
          <w:sz w:val="21"/>
          <w:szCs w:val="21"/>
          <w:highlight w:val="none"/>
        </w:rPr>
        <w:t>：</w:t>
      </w:r>
      <w:r>
        <w:rPr>
          <w:rFonts w:hint="eastAsia" w:ascii="宋体" w:hAnsi="宋体" w:cs="宋体"/>
          <w:color w:val="auto"/>
          <w:kern w:val="0"/>
          <w:szCs w:val="21"/>
          <w:highlight w:val="none"/>
          <w:lang w:eastAsia="zh-CN"/>
        </w:rPr>
        <w:t>自合同签订之日起</w:t>
      </w:r>
      <w:r>
        <w:rPr>
          <w:rFonts w:hint="eastAsia" w:ascii="宋体" w:hAnsi="宋体" w:cs="宋体"/>
          <w:color w:val="auto"/>
          <w:kern w:val="0"/>
          <w:szCs w:val="21"/>
          <w:highlight w:val="none"/>
          <w:lang w:val="en-US" w:eastAsia="zh-CN"/>
        </w:rPr>
        <w:t>120个日历天</w:t>
      </w:r>
      <w:r>
        <w:rPr>
          <w:rFonts w:hint="eastAsia" w:ascii="宋体" w:hAnsi="宋体" w:eastAsia="宋体" w:cs="宋体"/>
          <w:b w:val="0"/>
          <w:bCs/>
          <w:color w:val="auto"/>
          <w:sz w:val="21"/>
          <w:szCs w:val="21"/>
          <w:highlight w:val="none"/>
        </w:rPr>
        <w:t>。</w:t>
      </w:r>
    </w:p>
    <w:p w14:paraId="420801B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2、服务内容：</w:t>
      </w:r>
      <w:r>
        <w:rPr>
          <w:rFonts w:hint="eastAsia" w:ascii="宋体" w:hAnsi="宋体" w:cs="宋体"/>
          <w:color w:val="auto"/>
          <w:kern w:val="0"/>
          <w:szCs w:val="21"/>
          <w:highlight w:val="none"/>
          <w:lang w:val="en-US" w:eastAsia="zh-CN"/>
        </w:rPr>
        <w:t>本项目用地预审技术服务内容包括：用地预审办理过程中需要编制的相关报告包含勘测定界报告、节地评价报告、节约集约用地专章报告</w:t>
      </w:r>
      <w:r>
        <w:rPr>
          <w:rFonts w:hint="eastAsia" w:ascii="宋体" w:hAnsi="宋体" w:eastAsia="宋体" w:cs="宋体"/>
          <w:b w:val="0"/>
          <w:bCs/>
          <w:color w:val="auto"/>
          <w:sz w:val="21"/>
          <w:szCs w:val="21"/>
          <w:highlight w:val="none"/>
          <w:lang w:val="en-US" w:eastAsia="zh-CN"/>
        </w:rPr>
        <w:t>，最终取得建设项目用地预审与选址意见书。</w:t>
      </w:r>
    </w:p>
    <w:p w14:paraId="4182121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3、服务地点：</w:t>
      </w:r>
      <w:r>
        <w:rPr>
          <w:rFonts w:hint="eastAsia" w:ascii="宋体" w:hAnsi="宋体" w:cs="宋体"/>
          <w:b w:val="0"/>
          <w:bCs/>
          <w:color w:val="auto"/>
          <w:sz w:val="21"/>
          <w:szCs w:val="21"/>
          <w:highlight w:val="none"/>
          <w:lang w:val="en-US" w:eastAsia="zh-CN"/>
        </w:rPr>
        <w:t>汾阳杏花村经济技术开发区管理委员会</w:t>
      </w:r>
      <w:r>
        <w:rPr>
          <w:rFonts w:hint="eastAsia" w:ascii="宋体" w:hAnsi="宋体" w:eastAsia="宋体" w:cs="宋体"/>
          <w:b w:val="0"/>
          <w:bCs/>
          <w:color w:val="auto"/>
          <w:sz w:val="21"/>
          <w:szCs w:val="21"/>
          <w:highlight w:val="none"/>
          <w:lang w:val="en-US" w:eastAsia="zh-CN"/>
        </w:rPr>
        <w:t>指定地点。</w:t>
      </w:r>
    </w:p>
    <w:p w14:paraId="79ED4F5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4、服务标准：满足采购人要求且符合国家相关标准。</w:t>
      </w:r>
    </w:p>
    <w:p w14:paraId="3DED5A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5、付款方式：</w:t>
      </w:r>
      <w:r>
        <w:rPr>
          <w:rFonts w:hint="eastAsia" w:ascii="宋体" w:hAnsi="宋体" w:cs="宋体"/>
          <w:b w:val="0"/>
          <w:bCs/>
          <w:color w:val="auto"/>
          <w:sz w:val="21"/>
          <w:szCs w:val="21"/>
          <w:highlight w:val="none"/>
          <w:lang w:val="en-US" w:eastAsia="zh-CN"/>
        </w:rPr>
        <w:t>采购人与成交供应商</w:t>
      </w:r>
      <w:r>
        <w:rPr>
          <w:rFonts w:hint="eastAsia" w:ascii="宋体" w:hAnsi="宋体" w:eastAsia="宋体" w:cs="宋体"/>
          <w:b w:val="0"/>
          <w:bCs/>
          <w:color w:val="auto"/>
          <w:sz w:val="21"/>
          <w:szCs w:val="21"/>
          <w:highlight w:val="none"/>
          <w:lang w:val="en-US" w:eastAsia="zh-CN"/>
        </w:rPr>
        <w:t>在合同中约定</w:t>
      </w:r>
      <w:r>
        <w:rPr>
          <w:rFonts w:hint="eastAsia" w:ascii="宋体" w:hAnsi="宋体" w:cs="宋体"/>
          <w:b w:val="0"/>
          <w:bCs/>
          <w:color w:val="auto"/>
          <w:sz w:val="21"/>
          <w:szCs w:val="21"/>
          <w:highlight w:val="none"/>
          <w:lang w:val="en-US" w:eastAsia="zh-CN"/>
        </w:rPr>
        <w:t>。</w:t>
      </w:r>
    </w:p>
    <w:p w14:paraId="616D311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6、成果文件：根据项目实际占地情况，取得项目用地预审与选址意见书，并满足甲方办理核准文件要求</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编制项目勘测定界技术报告；</w:t>
      </w:r>
      <w:r>
        <w:rPr>
          <w:rFonts w:hint="eastAsia" w:ascii="宋体" w:hAnsi="宋体" w:cs="宋体"/>
          <w:b w:val="0"/>
          <w:bCs/>
          <w:color w:val="auto"/>
          <w:sz w:val="21"/>
          <w:szCs w:val="21"/>
          <w:highlight w:val="none"/>
          <w:lang w:val="en-US" w:eastAsia="zh-CN"/>
        </w:rPr>
        <w:t>编制</w:t>
      </w:r>
      <w:r>
        <w:rPr>
          <w:rFonts w:hint="eastAsia" w:ascii="宋体" w:hAnsi="宋体" w:eastAsia="宋体" w:cs="宋体"/>
          <w:b w:val="0"/>
          <w:bCs/>
          <w:color w:val="auto"/>
          <w:sz w:val="21"/>
          <w:szCs w:val="21"/>
          <w:highlight w:val="none"/>
          <w:lang w:val="en-US" w:eastAsia="zh-CN"/>
        </w:rPr>
        <w:t>节地评价报告</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编制节约集约用地专章；完成保护区核查；取得建设项目用地预审与选址意见书。</w:t>
      </w:r>
    </w:p>
    <w:p w14:paraId="5FE73FC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7、其他要求：</w:t>
      </w:r>
    </w:p>
    <w:p w14:paraId="7E1D3F1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7.1供应商需具有独立完成所承担项目的能力，成交后，严禁以任何形式和理由分包、转包。</w:t>
      </w:r>
    </w:p>
    <w:p w14:paraId="0255D33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7.2供应商提交的各项资料必须保证真实准确全面，否则协商小组有权对其报价文件不予以重点评审，情况严重者将取消其协商资格。</w:t>
      </w:r>
    </w:p>
    <w:p w14:paraId="542275E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7.3未尽事宜依据本项目采购文件及采购单位的相关约定为准，供应商在本项目实施过程中必须遵照相关规定及标准执行。</w:t>
      </w:r>
    </w:p>
    <w:p w14:paraId="1C7D1EC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2"/>
          <w:sz w:val="21"/>
          <w:szCs w:val="21"/>
          <w:highlight w:val="none"/>
          <w:lang w:val="en-US" w:eastAsia="zh-CN" w:bidi="ar-SA"/>
        </w:rPr>
        <w:t>三、</w:t>
      </w:r>
      <w:r>
        <w:rPr>
          <w:rFonts w:hint="eastAsia" w:ascii="宋体" w:hAnsi="宋体" w:eastAsia="宋体" w:cs="宋体"/>
          <w:b/>
          <w:bCs w:val="0"/>
          <w:color w:val="auto"/>
          <w:sz w:val="21"/>
          <w:szCs w:val="21"/>
          <w:highlight w:val="none"/>
        </w:rPr>
        <w:t>技术要求</w:t>
      </w:r>
    </w:p>
    <w:p w14:paraId="494AE37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val="0"/>
          <w:bCs/>
          <w:color w:val="auto"/>
          <w:sz w:val="21"/>
          <w:szCs w:val="21"/>
          <w:highlight w:val="none"/>
        </w:rPr>
        <w:t>符合《土地管理法》、《山西省自然资源厅、山西省生态环境厅、山西省住房和城乡建设厅、山西省水利厅、山西省文物局、山西省林业和草原局&lt;关于深化放管服改革规范矿业权和建设用地报批涉及各类保护地核查工作的通知&gt;》（晋自然资发〔2019〕25号）、山西省自然资源厅《关于节约集约用地论证分析专章编制及综合论证审查工作有关事项的通知（试行）》（晋自然资函〔2023〕682号）、《山西省地质灾害防治条例》等文件要求开展工作</w:t>
      </w:r>
      <w:r>
        <w:rPr>
          <w:rFonts w:hint="eastAsia" w:ascii="宋体" w:hAnsi="宋体" w:cs="宋体"/>
          <w:b w:val="0"/>
          <w:bCs/>
          <w:color w:val="auto"/>
          <w:sz w:val="21"/>
          <w:szCs w:val="21"/>
          <w:highlight w:val="none"/>
          <w:lang w:eastAsia="zh-CN"/>
        </w:rPr>
        <w:t>。</w:t>
      </w:r>
    </w:p>
    <w:p w14:paraId="1294BB5C">
      <w:pPr>
        <w:keepNext/>
        <w:keepLines/>
        <w:pageBreakBefore w:val="0"/>
        <w:kinsoku/>
        <w:wordWrap/>
        <w:overflowPunct/>
        <w:topLinePunct w:val="0"/>
        <w:bidi w:val="0"/>
        <w:spacing w:before="340" w:after="330" w:line="360" w:lineRule="auto"/>
        <w:jc w:val="center"/>
        <w:outlineLvl w:val="9"/>
        <w:rPr>
          <w:rFonts w:hint="eastAsia" w:ascii="宋体" w:hAnsi="宋体"/>
          <w:b/>
          <w:color w:val="auto"/>
          <w:sz w:val="44"/>
          <w:szCs w:val="44"/>
          <w:highlight w:val="none"/>
        </w:rPr>
      </w:pPr>
      <w:bookmarkStart w:id="25" w:name="_Toc107306638"/>
    </w:p>
    <w:p w14:paraId="6EE46441">
      <w:pPr>
        <w:keepNext/>
        <w:keepLines/>
        <w:pageBreakBefore w:val="0"/>
        <w:kinsoku/>
        <w:wordWrap/>
        <w:overflowPunct/>
        <w:topLinePunct w:val="0"/>
        <w:bidi w:val="0"/>
        <w:spacing w:before="340" w:after="330" w:line="360" w:lineRule="auto"/>
        <w:jc w:val="center"/>
        <w:outlineLvl w:val="9"/>
        <w:rPr>
          <w:rFonts w:hint="eastAsia" w:ascii="宋体" w:hAnsi="宋体"/>
          <w:b/>
          <w:color w:val="auto"/>
          <w:sz w:val="44"/>
          <w:szCs w:val="44"/>
          <w:highlight w:val="none"/>
        </w:rPr>
      </w:pPr>
    </w:p>
    <w:p w14:paraId="4AE6F56B">
      <w:pPr>
        <w:keepNext/>
        <w:keepLines/>
        <w:pageBreakBefore w:val="0"/>
        <w:kinsoku/>
        <w:wordWrap/>
        <w:overflowPunct/>
        <w:topLinePunct w:val="0"/>
        <w:bidi w:val="0"/>
        <w:spacing w:before="340" w:after="330" w:line="360" w:lineRule="auto"/>
        <w:jc w:val="center"/>
        <w:outlineLvl w:val="9"/>
        <w:rPr>
          <w:rFonts w:hint="eastAsia" w:ascii="宋体" w:hAnsi="宋体"/>
          <w:b/>
          <w:color w:val="auto"/>
          <w:sz w:val="44"/>
          <w:szCs w:val="44"/>
          <w:highlight w:val="none"/>
        </w:rPr>
      </w:pPr>
    </w:p>
    <w:p w14:paraId="1961E19D">
      <w:pPr>
        <w:keepNext/>
        <w:keepLines/>
        <w:pageBreakBefore w:val="0"/>
        <w:kinsoku/>
        <w:wordWrap/>
        <w:overflowPunct/>
        <w:topLinePunct w:val="0"/>
        <w:bidi w:val="0"/>
        <w:spacing w:before="340" w:after="330" w:line="360" w:lineRule="auto"/>
        <w:jc w:val="center"/>
        <w:outlineLvl w:val="9"/>
        <w:rPr>
          <w:rFonts w:hint="eastAsia" w:ascii="宋体" w:hAnsi="宋体"/>
          <w:b/>
          <w:color w:val="auto"/>
          <w:sz w:val="44"/>
          <w:szCs w:val="44"/>
          <w:highlight w:val="none"/>
        </w:rPr>
      </w:pPr>
    </w:p>
    <w:p w14:paraId="5B191269">
      <w:pPr>
        <w:keepNext/>
        <w:keepLines/>
        <w:pageBreakBefore w:val="0"/>
        <w:kinsoku/>
        <w:wordWrap/>
        <w:overflowPunct/>
        <w:topLinePunct w:val="0"/>
        <w:bidi w:val="0"/>
        <w:spacing w:before="340" w:after="330" w:line="360" w:lineRule="auto"/>
        <w:jc w:val="center"/>
        <w:outlineLvl w:val="9"/>
        <w:rPr>
          <w:rFonts w:hint="eastAsia" w:ascii="宋体" w:hAnsi="宋体"/>
          <w:b/>
          <w:color w:val="auto"/>
          <w:sz w:val="44"/>
          <w:szCs w:val="44"/>
          <w:highlight w:val="none"/>
        </w:rPr>
      </w:pPr>
    </w:p>
    <w:p w14:paraId="6BE41FD5">
      <w:pPr>
        <w:keepNext/>
        <w:keepLines/>
        <w:pageBreakBefore w:val="0"/>
        <w:kinsoku/>
        <w:wordWrap/>
        <w:overflowPunct/>
        <w:topLinePunct w:val="0"/>
        <w:bidi w:val="0"/>
        <w:spacing w:before="340" w:after="330" w:line="360" w:lineRule="auto"/>
        <w:jc w:val="center"/>
        <w:outlineLvl w:val="0"/>
        <w:rPr>
          <w:rFonts w:hint="eastAsia" w:ascii="宋体" w:hAnsi="宋体"/>
          <w:b/>
          <w:color w:val="auto"/>
          <w:sz w:val="44"/>
          <w:szCs w:val="44"/>
          <w:highlight w:val="none"/>
        </w:rPr>
      </w:pPr>
      <w:r>
        <w:rPr>
          <w:rFonts w:hint="eastAsia" w:ascii="宋体" w:hAnsi="宋体"/>
          <w:b/>
          <w:color w:val="auto"/>
          <w:sz w:val="44"/>
          <w:szCs w:val="44"/>
          <w:highlight w:val="none"/>
        </w:rPr>
        <w:t>第五部分  合同原则</w:t>
      </w:r>
      <w:bookmarkEnd w:id="25"/>
    </w:p>
    <w:p w14:paraId="29A6187B">
      <w:pPr>
        <w:pageBreakBefore w:val="0"/>
        <w:widowControl/>
        <w:kinsoku/>
        <w:wordWrap/>
        <w:overflowPunct/>
        <w:topLinePunct w:val="0"/>
        <w:bidi w:val="0"/>
        <w:spacing w:line="360" w:lineRule="auto"/>
        <w:jc w:val="left"/>
        <w:rPr>
          <w:rFonts w:hint="eastAsia" w:ascii="宋体" w:hAnsi="宋体"/>
          <w:color w:val="auto"/>
          <w:kern w:val="0"/>
          <w:sz w:val="24"/>
          <w:highlight w:val="none"/>
        </w:rPr>
      </w:pPr>
    </w:p>
    <w:p w14:paraId="6405E1F3">
      <w:pPr>
        <w:pStyle w:val="5"/>
        <w:pageBreakBefore w:val="0"/>
        <w:kinsoku/>
        <w:wordWrap/>
        <w:overflowPunct/>
        <w:topLinePunct w:val="0"/>
        <w:bidi w:val="0"/>
        <w:spacing w:before="0" w:after="0" w:line="360" w:lineRule="auto"/>
        <w:jc w:val="center"/>
        <w:rPr>
          <w:rFonts w:hint="eastAsia" w:asciiTheme="minorEastAsia" w:hAnsiTheme="minorEastAsia" w:eastAsiaTheme="minorEastAsia"/>
          <w:b w:val="0"/>
          <w:color w:val="auto"/>
          <w:sz w:val="28"/>
          <w:szCs w:val="28"/>
          <w:highlight w:val="none"/>
        </w:rPr>
      </w:pPr>
      <w:r>
        <w:rPr>
          <w:rFonts w:ascii="宋体" w:hAnsi="宋体"/>
          <w:color w:val="auto"/>
          <w:sz w:val="24"/>
          <w:highlight w:val="none"/>
        </w:rPr>
        <w:br w:type="page"/>
      </w:r>
      <w:bookmarkEnd w:id="21"/>
      <w:bookmarkStart w:id="26" w:name="_Toc49435781"/>
      <w:bookmarkStart w:id="27" w:name="_Toc126069589"/>
      <w:bookmarkStart w:id="28" w:name="_Toc48118789"/>
      <w:r>
        <w:rPr>
          <w:rFonts w:asciiTheme="minorEastAsia" w:hAnsiTheme="minorEastAsia" w:eastAsiaTheme="minorEastAsia"/>
          <w:color w:val="auto"/>
          <w:sz w:val="28"/>
          <w:szCs w:val="28"/>
          <w:highlight w:val="none"/>
        </w:rPr>
        <w:t>第一部分 合同协议书</w:t>
      </w:r>
      <w:bookmarkEnd w:id="26"/>
      <w:bookmarkEnd w:id="27"/>
      <w:bookmarkEnd w:id="28"/>
    </w:p>
    <w:p w14:paraId="50BA1B1E">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（格式仅供参考）</w:t>
      </w:r>
    </w:p>
    <w:p w14:paraId="0EAF20B3">
      <w:pPr>
        <w:pageBreakBefore w:val="0"/>
        <w:kinsoku/>
        <w:wordWrap/>
        <w:overflowPunct/>
        <w:topLinePunct w:val="0"/>
        <w:bidi w:val="0"/>
        <w:spacing w:line="360" w:lineRule="auto"/>
        <w:ind w:firstLine="422" w:firstLineChars="200"/>
        <w:jc w:val="left"/>
        <w:rPr>
          <w:rFonts w:hint="eastAsia" w:ascii="宋体" w:hAnsi="宋体" w:cs="宋体"/>
          <w:b/>
          <w:color w:val="auto"/>
          <w:kern w:val="44"/>
          <w:szCs w:val="21"/>
          <w:highlight w:val="none"/>
        </w:rPr>
      </w:pPr>
      <w:r>
        <w:rPr>
          <w:rFonts w:hint="eastAsia" w:ascii="宋体" w:hAnsi="宋体" w:cs="宋体"/>
          <w:b/>
          <w:color w:val="auto"/>
          <w:kern w:val="44"/>
          <w:szCs w:val="21"/>
          <w:highlight w:val="none"/>
        </w:rPr>
        <w:t>甲</w:t>
      </w:r>
      <w:r>
        <w:rPr>
          <w:rFonts w:ascii="宋体" w:hAnsi="宋体" w:cs="宋体"/>
          <w:b/>
          <w:color w:val="auto"/>
          <w:kern w:val="44"/>
          <w:szCs w:val="21"/>
          <w:highlight w:val="none"/>
        </w:rPr>
        <w:t>方：</w:t>
      </w:r>
      <w:r>
        <w:rPr>
          <w:rFonts w:ascii="宋体" w:hAnsi="宋体" w:cs="宋体"/>
          <w:b/>
          <w:color w:val="auto"/>
          <w:kern w:val="44"/>
          <w:szCs w:val="21"/>
          <w:highlight w:val="none"/>
          <w:u w:val="single"/>
        </w:rPr>
        <w:t xml:space="preserve">                                    </w:t>
      </w:r>
    </w:p>
    <w:p w14:paraId="6F861B7C">
      <w:pPr>
        <w:pageBreakBefore w:val="0"/>
        <w:kinsoku/>
        <w:wordWrap/>
        <w:overflowPunct/>
        <w:topLinePunct w:val="0"/>
        <w:bidi w:val="0"/>
        <w:spacing w:line="360" w:lineRule="auto"/>
        <w:ind w:firstLine="422" w:firstLineChars="200"/>
        <w:jc w:val="left"/>
        <w:rPr>
          <w:rFonts w:hint="eastAsia" w:ascii="宋体" w:hAnsi="宋体" w:cs="宋体"/>
          <w:b/>
          <w:color w:val="auto"/>
          <w:kern w:val="44"/>
          <w:szCs w:val="21"/>
          <w:highlight w:val="none"/>
        </w:rPr>
      </w:pPr>
      <w:r>
        <w:rPr>
          <w:rFonts w:hint="eastAsia" w:ascii="宋体" w:hAnsi="宋体" w:cs="宋体"/>
          <w:b/>
          <w:color w:val="auto"/>
          <w:kern w:val="44"/>
          <w:szCs w:val="21"/>
          <w:highlight w:val="none"/>
        </w:rPr>
        <w:t>乙</w:t>
      </w:r>
      <w:r>
        <w:rPr>
          <w:rFonts w:ascii="宋体" w:hAnsi="宋体" w:cs="宋体"/>
          <w:b/>
          <w:color w:val="auto"/>
          <w:kern w:val="44"/>
          <w:szCs w:val="21"/>
          <w:highlight w:val="none"/>
        </w:rPr>
        <w:t>方：</w:t>
      </w:r>
      <w:r>
        <w:rPr>
          <w:rFonts w:ascii="宋体" w:hAnsi="宋体" w:cs="宋体"/>
          <w:b/>
          <w:color w:val="auto"/>
          <w:kern w:val="44"/>
          <w:szCs w:val="21"/>
          <w:highlight w:val="none"/>
          <w:u w:val="single"/>
        </w:rPr>
        <w:t xml:space="preserve">                                    </w:t>
      </w:r>
    </w:p>
    <w:p w14:paraId="06D9678D">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ascii="宋体" w:hAnsi="宋体" w:cs="宋体"/>
          <w:color w:val="auto"/>
          <w:kern w:val="44"/>
          <w:szCs w:val="21"/>
          <w:highlight w:val="none"/>
        </w:rPr>
        <w:t>供方在</w:t>
      </w:r>
      <w:r>
        <w:rPr>
          <w:rFonts w:hint="eastAsia" w:ascii="宋体" w:hAnsi="宋体" w:cs="宋体"/>
          <w:color w:val="auto"/>
          <w:kern w:val="44"/>
          <w:szCs w:val="21"/>
          <w:highlight w:val="none"/>
        </w:rPr>
        <w:t>代理机构</w:t>
      </w:r>
      <w:r>
        <w:rPr>
          <w:rFonts w:ascii="宋体" w:hAnsi="宋体" w:cs="宋体"/>
          <w:color w:val="auto"/>
          <w:kern w:val="44"/>
          <w:szCs w:val="21"/>
          <w:highlight w:val="none"/>
        </w:rPr>
        <w:t>组织的</w:t>
      </w:r>
      <w:r>
        <w:rPr>
          <w:rFonts w:ascii="宋体" w:hAnsi="宋体" w:cs="宋体"/>
          <w:color w:val="auto"/>
          <w:kern w:val="44"/>
          <w:szCs w:val="21"/>
          <w:highlight w:val="none"/>
          <w:u w:val="single"/>
        </w:rPr>
        <w:t xml:space="preserve">             </w:t>
      </w:r>
      <w:r>
        <w:rPr>
          <w:rFonts w:ascii="宋体" w:hAnsi="宋体" w:cs="宋体"/>
          <w:color w:val="auto"/>
          <w:kern w:val="44"/>
          <w:szCs w:val="21"/>
          <w:highlight w:val="none"/>
        </w:rPr>
        <w:t>竞争性</w:t>
      </w:r>
      <w:r>
        <w:rPr>
          <w:rFonts w:hint="eastAsia" w:ascii="宋体" w:hAnsi="宋体" w:cs="宋体"/>
          <w:color w:val="auto"/>
          <w:kern w:val="44"/>
          <w:szCs w:val="21"/>
          <w:highlight w:val="none"/>
        </w:rPr>
        <w:t>磋商</w:t>
      </w:r>
      <w:r>
        <w:rPr>
          <w:rFonts w:ascii="宋体" w:hAnsi="宋体" w:cs="宋体"/>
          <w:color w:val="auto"/>
          <w:kern w:val="44"/>
          <w:szCs w:val="21"/>
          <w:highlight w:val="none"/>
        </w:rPr>
        <w:t>采购项目中</w:t>
      </w:r>
      <w:r>
        <w:rPr>
          <w:rFonts w:hint="eastAsia" w:ascii="宋体" w:hAnsi="宋体" w:cs="宋体"/>
          <w:color w:val="auto"/>
          <w:kern w:val="44"/>
          <w:szCs w:val="21"/>
          <w:highlight w:val="none"/>
        </w:rPr>
        <w:t>成交</w:t>
      </w:r>
      <w:r>
        <w:rPr>
          <w:rFonts w:ascii="宋体" w:hAnsi="宋体" w:cs="宋体"/>
          <w:color w:val="auto"/>
          <w:kern w:val="44"/>
          <w:szCs w:val="21"/>
          <w:highlight w:val="none"/>
        </w:rPr>
        <w:t>，经双方协商一致，签订本合同。</w:t>
      </w:r>
    </w:p>
    <w:p w14:paraId="5D66374E">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一、服务范围内容：</w:t>
      </w:r>
    </w:p>
    <w:p w14:paraId="3564962F">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EE263A9">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E163B62">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二、合同金额</w:t>
      </w:r>
    </w:p>
    <w:p w14:paraId="35F11B82">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人民币（大写）：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DB91C45">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（小写）：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17E7F4C">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此价格为合同执行不变价，不因国家政策变化而变化。</w:t>
      </w:r>
    </w:p>
    <w:p w14:paraId="2CE666BE">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w:t>
      </w:r>
      <w:r>
        <w:rPr>
          <w:rFonts w:hint="eastAsia" w:ascii="宋体" w:hAnsi="宋体" w:cs="宋体"/>
          <w:color w:val="auto"/>
          <w:kern w:val="0"/>
          <w:szCs w:val="21"/>
          <w:highlight w:val="none"/>
          <w:lang w:eastAsia="zh-CN"/>
        </w:rPr>
        <w:t>服务期限</w:t>
      </w:r>
      <w:r>
        <w:rPr>
          <w:rFonts w:hint="eastAsia" w:ascii="宋体" w:hAnsi="宋体" w:cs="宋体"/>
          <w:color w:val="auto"/>
          <w:kern w:val="0"/>
          <w:szCs w:val="21"/>
          <w:highlight w:val="none"/>
        </w:rPr>
        <w:t>：</w:t>
      </w:r>
    </w:p>
    <w:p w14:paraId="1E006297">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FD2ECFC">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五、付款方式：</w:t>
      </w:r>
    </w:p>
    <w:p w14:paraId="29DA46E1">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5DDFC95">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六、双方权利</w:t>
      </w:r>
    </w:p>
    <w:p w14:paraId="202FA79D">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F3DF073">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七、双方义务</w:t>
      </w:r>
    </w:p>
    <w:p w14:paraId="663E5161">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FC4DBC3">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八、合同终止</w:t>
      </w:r>
    </w:p>
    <w:p w14:paraId="3E2FCCC3">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rPr>
        <w:tab/>
      </w:r>
    </w:p>
    <w:p w14:paraId="4ACF37AC">
      <w:pPr>
        <w:pageBreakBefore w:val="0"/>
        <w:tabs>
          <w:tab w:val="left" w:pos="2715"/>
        </w:tabs>
        <w:kinsoku/>
        <w:wordWrap/>
        <w:overflowPunct/>
        <w:topLinePunct w:val="0"/>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九、其它约定</w:t>
      </w:r>
    </w:p>
    <w:p w14:paraId="0A978B5E">
      <w:pPr>
        <w:pageBreakBefore w:val="0"/>
        <w:kinsoku/>
        <w:wordWrap/>
        <w:overflowPunct/>
        <w:topLinePunct w:val="0"/>
        <w:bidi w:val="0"/>
        <w:spacing w:line="360" w:lineRule="auto"/>
        <w:rPr>
          <w:color w:val="auto"/>
          <w:highlight w:val="none"/>
          <w:u w:val="singl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w:t>
      </w:r>
    </w:p>
    <w:p w14:paraId="1DA550DE">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甲</w:t>
      </w:r>
      <w:r>
        <w:rPr>
          <w:rFonts w:ascii="宋体" w:hAnsi="宋体" w:cs="宋体"/>
          <w:color w:val="auto"/>
          <w:kern w:val="44"/>
          <w:szCs w:val="21"/>
          <w:highlight w:val="none"/>
        </w:rPr>
        <w:t xml:space="preserve">方（章）：                     </w:t>
      </w:r>
      <w:r>
        <w:rPr>
          <w:rFonts w:hint="eastAsia" w:ascii="宋体" w:hAnsi="宋体" w:cs="宋体"/>
          <w:color w:val="auto"/>
          <w:kern w:val="44"/>
          <w:szCs w:val="21"/>
          <w:highlight w:val="none"/>
        </w:rPr>
        <w:t xml:space="preserve"> </w:t>
      </w:r>
      <w:r>
        <w:rPr>
          <w:rFonts w:ascii="宋体" w:hAnsi="宋体" w:cs="宋体"/>
          <w:color w:val="auto"/>
          <w:kern w:val="44"/>
          <w:szCs w:val="21"/>
          <w:highlight w:val="none"/>
        </w:rPr>
        <w:t xml:space="preserve"> </w:t>
      </w:r>
      <w:r>
        <w:rPr>
          <w:rFonts w:hint="eastAsia" w:ascii="宋体" w:hAnsi="宋体" w:cs="宋体"/>
          <w:color w:val="auto"/>
          <w:kern w:val="44"/>
          <w:szCs w:val="21"/>
          <w:highlight w:val="none"/>
        </w:rPr>
        <w:t>乙</w:t>
      </w:r>
      <w:r>
        <w:rPr>
          <w:rFonts w:ascii="宋体" w:hAnsi="宋体" w:cs="宋体"/>
          <w:color w:val="auto"/>
          <w:kern w:val="44"/>
          <w:szCs w:val="21"/>
          <w:highlight w:val="none"/>
        </w:rPr>
        <w:t xml:space="preserve">方（章）：                     </w:t>
      </w:r>
    </w:p>
    <w:p w14:paraId="6A1C09C5">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ascii="宋体" w:hAnsi="宋体" w:cs="宋体"/>
          <w:color w:val="auto"/>
          <w:kern w:val="44"/>
          <w:szCs w:val="21"/>
          <w:highlight w:val="none"/>
        </w:rPr>
        <w:t xml:space="preserve">法人代表：                           法人代表：                       </w:t>
      </w:r>
    </w:p>
    <w:p w14:paraId="50AFC273">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ascii="宋体" w:hAnsi="宋体" w:cs="宋体"/>
          <w:color w:val="auto"/>
          <w:kern w:val="44"/>
          <w:szCs w:val="21"/>
          <w:highlight w:val="none"/>
        </w:rPr>
        <w:t xml:space="preserve">委托代理人：                         委托代理人：                     </w:t>
      </w:r>
    </w:p>
    <w:p w14:paraId="01C3A799">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ascii="宋体" w:hAnsi="宋体" w:cs="宋体"/>
          <w:color w:val="auto"/>
          <w:kern w:val="44"/>
          <w:szCs w:val="21"/>
          <w:highlight w:val="none"/>
        </w:rPr>
        <w:t xml:space="preserve">地 址：                              地 址：                          </w:t>
      </w:r>
    </w:p>
    <w:p w14:paraId="4A0148B0">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ascii="宋体" w:hAnsi="宋体" w:cs="宋体"/>
          <w:color w:val="auto"/>
          <w:kern w:val="44"/>
          <w:szCs w:val="21"/>
          <w:highlight w:val="none"/>
        </w:rPr>
        <w:t xml:space="preserve">电 话：                              电 话：                          </w:t>
      </w:r>
    </w:p>
    <w:p w14:paraId="2E4E52F2">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ascii="宋体" w:hAnsi="宋体" w:cs="宋体"/>
          <w:color w:val="auto"/>
          <w:kern w:val="44"/>
          <w:szCs w:val="21"/>
          <w:highlight w:val="none"/>
        </w:rPr>
        <w:t xml:space="preserve">开户银行：                           开户银行：                       </w:t>
      </w:r>
    </w:p>
    <w:p w14:paraId="0DD0D194">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ascii="宋体" w:hAnsi="宋体" w:cs="宋体"/>
          <w:color w:val="auto"/>
          <w:kern w:val="44"/>
          <w:szCs w:val="21"/>
          <w:highlight w:val="none"/>
        </w:rPr>
        <w:t xml:space="preserve">账 号：                              账 号：                          </w:t>
      </w:r>
    </w:p>
    <w:p w14:paraId="1F04CF11">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ascii="宋体" w:hAnsi="宋体" w:cs="宋体"/>
          <w:color w:val="auto"/>
          <w:kern w:val="44"/>
          <w:szCs w:val="21"/>
          <w:highlight w:val="none"/>
        </w:rPr>
        <w:t xml:space="preserve">日 期：       年    月    日  </w:t>
      </w:r>
      <w:r>
        <w:rPr>
          <w:rFonts w:hint="eastAsia" w:ascii="宋体" w:hAnsi="宋体" w:cs="宋体"/>
          <w:color w:val="auto"/>
          <w:kern w:val="44"/>
          <w:szCs w:val="21"/>
          <w:highlight w:val="none"/>
        </w:rPr>
        <w:t xml:space="preserve">       </w:t>
      </w:r>
      <w:r>
        <w:rPr>
          <w:rFonts w:ascii="宋体" w:hAnsi="宋体" w:cs="宋体"/>
          <w:color w:val="auto"/>
          <w:kern w:val="44"/>
          <w:szCs w:val="21"/>
          <w:highlight w:val="none"/>
        </w:rPr>
        <w:t>日 期：      年    月    日</w:t>
      </w:r>
    </w:p>
    <w:p w14:paraId="168890C7">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r>
        <w:rPr>
          <w:rFonts w:ascii="宋体" w:hAnsi="宋体" w:cs="宋体"/>
          <w:color w:val="auto"/>
          <w:kern w:val="0"/>
          <w:szCs w:val="21"/>
          <w:highlight w:val="none"/>
        </w:rPr>
        <w:br w:type="page"/>
      </w:r>
    </w:p>
    <w:p w14:paraId="1026CE5B">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3BC7250B">
      <w:pPr>
        <w:pageBreakBefore w:val="0"/>
        <w:widowControl/>
        <w:kinsoku/>
        <w:wordWrap/>
        <w:overflowPunct/>
        <w:topLinePunct w:val="0"/>
        <w:bidi w:val="0"/>
        <w:spacing w:line="360" w:lineRule="auto"/>
        <w:jc w:val="left"/>
        <w:rPr>
          <w:rFonts w:hint="eastAsia" w:ascii="宋体" w:hAnsi="宋体" w:cs="宋体"/>
          <w:color w:val="auto"/>
          <w:kern w:val="0"/>
          <w:szCs w:val="21"/>
          <w:highlight w:val="none"/>
        </w:rPr>
      </w:pPr>
    </w:p>
    <w:p w14:paraId="01ED4BCD">
      <w:pPr>
        <w:pStyle w:val="12"/>
        <w:rPr>
          <w:rFonts w:hint="eastAsia" w:ascii="宋体" w:hAnsi="宋体" w:cs="宋体"/>
          <w:color w:val="auto"/>
          <w:kern w:val="0"/>
          <w:szCs w:val="21"/>
          <w:highlight w:val="none"/>
        </w:rPr>
      </w:pPr>
    </w:p>
    <w:p w14:paraId="4DA512E0">
      <w:pPr>
        <w:rPr>
          <w:rFonts w:hint="eastAsia" w:ascii="宋体" w:hAnsi="宋体" w:cs="宋体"/>
          <w:color w:val="auto"/>
          <w:kern w:val="0"/>
          <w:szCs w:val="21"/>
          <w:highlight w:val="none"/>
        </w:rPr>
      </w:pPr>
    </w:p>
    <w:p w14:paraId="1A9D3CA7">
      <w:pPr>
        <w:pStyle w:val="12"/>
        <w:rPr>
          <w:rFonts w:hint="eastAsia" w:ascii="宋体" w:hAnsi="宋体" w:cs="宋体"/>
          <w:color w:val="auto"/>
          <w:kern w:val="0"/>
          <w:szCs w:val="21"/>
          <w:highlight w:val="none"/>
        </w:rPr>
      </w:pPr>
    </w:p>
    <w:p w14:paraId="154ED772">
      <w:pPr>
        <w:rPr>
          <w:rFonts w:hint="eastAsia" w:ascii="宋体" w:hAnsi="宋体" w:cs="宋体"/>
          <w:color w:val="auto"/>
          <w:kern w:val="0"/>
          <w:szCs w:val="21"/>
          <w:highlight w:val="none"/>
        </w:rPr>
      </w:pPr>
    </w:p>
    <w:p w14:paraId="455EE066">
      <w:pPr>
        <w:pStyle w:val="12"/>
        <w:rPr>
          <w:rFonts w:hint="eastAsia" w:ascii="宋体" w:hAnsi="宋体" w:cs="宋体"/>
          <w:color w:val="auto"/>
          <w:kern w:val="0"/>
          <w:szCs w:val="21"/>
          <w:highlight w:val="none"/>
        </w:rPr>
      </w:pPr>
    </w:p>
    <w:p w14:paraId="47A354E7">
      <w:pPr>
        <w:rPr>
          <w:rFonts w:hint="eastAsia" w:ascii="宋体" w:hAnsi="宋体" w:cs="宋体"/>
          <w:color w:val="auto"/>
          <w:kern w:val="0"/>
          <w:szCs w:val="21"/>
          <w:highlight w:val="none"/>
        </w:rPr>
      </w:pPr>
    </w:p>
    <w:p w14:paraId="6FBD614E">
      <w:pPr>
        <w:pStyle w:val="12"/>
        <w:rPr>
          <w:rFonts w:hint="eastAsia"/>
          <w:color w:val="auto"/>
          <w:highlight w:val="none"/>
        </w:rPr>
      </w:pPr>
    </w:p>
    <w:p w14:paraId="61E4E25F">
      <w:pPr>
        <w:keepNext/>
        <w:keepLines/>
        <w:pageBreakBefore w:val="0"/>
        <w:kinsoku/>
        <w:wordWrap/>
        <w:overflowPunct/>
        <w:topLinePunct w:val="0"/>
        <w:bidi w:val="0"/>
        <w:spacing w:before="340" w:after="330" w:line="360" w:lineRule="auto"/>
        <w:jc w:val="center"/>
        <w:outlineLvl w:val="0"/>
        <w:rPr>
          <w:rFonts w:hint="eastAsia" w:ascii="宋体" w:hAnsi="宋体"/>
          <w:b/>
          <w:color w:val="auto"/>
          <w:sz w:val="44"/>
          <w:szCs w:val="44"/>
          <w:highlight w:val="none"/>
        </w:rPr>
      </w:pPr>
      <w:bookmarkStart w:id="29" w:name="_Toc107306639"/>
      <w:r>
        <w:rPr>
          <w:rFonts w:hint="eastAsia" w:ascii="宋体" w:hAnsi="宋体"/>
          <w:b/>
          <w:color w:val="auto"/>
          <w:sz w:val="44"/>
          <w:szCs w:val="44"/>
          <w:highlight w:val="none"/>
        </w:rPr>
        <w:t xml:space="preserve">第六部分  </w:t>
      </w:r>
      <w:bookmarkStart w:id="30" w:name="_Toc86202632"/>
      <w:r>
        <w:rPr>
          <w:rFonts w:hint="eastAsia" w:ascii="宋体" w:hAnsi="宋体"/>
          <w:b/>
          <w:color w:val="auto"/>
          <w:sz w:val="44"/>
          <w:szCs w:val="44"/>
          <w:highlight w:val="none"/>
        </w:rPr>
        <w:t>响应文件格式</w:t>
      </w:r>
      <w:bookmarkEnd w:id="29"/>
      <w:bookmarkEnd w:id="30"/>
    </w:p>
    <w:p w14:paraId="24CD4C60">
      <w:pPr>
        <w:pageBreakBefore w:val="0"/>
        <w:widowControl/>
        <w:tabs>
          <w:tab w:val="left" w:pos="-737"/>
        </w:tabs>
        <w:kinsoku/>
        <w:wordWrap/>
        <w:overflowPunct/>
        <w:topLinePunct w:val="0"/>
        <w:bidi w:val="0"/>
        <w:snapToGrid w:val="0"/>
        <w:spacing w:line="360" w:lineRule="auto"/>
        <w:jc w:val="center"/>
        <w:rPr>
          <w:rFonts w:hint="eastAsia" w:ascii="宋体" w:hAnsi="宋体" w:cs="宋体"/>
          <w:b/>
          <w:bCs/>
          <w:color w:val="auto"/>
          <w:kern w:val="0"/>
          <w:sz w:val="28"/>
          <w:szCs w:val="28"/>
          <w:highlight w:val="none"/>
        </w:rPr>
      </w:pPr>
      <w:bookmarkStart w:id="31" w:name="_Toc86202633"/>
      <w:bookmarkStart w:id="32" w:name="_Toc175644062"/>
    </w:p>
    <w:p w14:paraId="72F7CDFF">
      <w:pPr>
        <w:pageBreakBefore w:val="0"/>
        <w:kinsoku/>
        <w:wordWrap/>
        <w:overflowPunct/>
        <w:topLinePunct w:val="0"/>
        <w:bidi w:val="0"/>
        <w:spacing w:line="360" w:lineRule="auto"/>
        <w:jc w:val="center"/>
        <w:rPr>
          <w:rFonts w:hint="eastAsia" w:ascii="宋体" w:hAnsi="宋体" w:cs="宋体"/>
          <w:b/>
          <w:color w:val="auto"/>
          <w:kern w:val="44"/>
          <w:sz w:val="32"/>
          <w:szCs w:val="21"/>
          <w:highlight w:val="none"/>
        </w:rPr>
      </w:pPr>
      <w:r>
        <w:rPr>
          <w:rFonts w:ascii="宋体" w:hAnsi="宋体" w:cs="宋体"/>
          <w:b/>
          <w:bCs/>
          <w:color w:val="auto"/>
          <w:kern w:val="0"/>
          <w:sz w:val="32"/>
          <w:szCs w:val="32"/>
          <w:highlight w:val="none"/>
        </w:rPr>
        <w:br w:type="page"/>
      </w:r>
      <w:r>
        <w:rPr>
          <w:rFonts w:hint="eastAsia" w:ascii="宋体" w:hAnsi="宋体" w:cs="宋体"/>
          <w:b/>
          <w:color w:val="auto"/>
          <w:kern w:val="44"/>
          <w:sz w:val="32"/>
          <w:szCs w:val="21"/>
          <w:highlight w:val="none"/>
        </w:rPr>
        <w:t>供应商提交文件须知</w:t>
      </w:r>
      <w:bookmarkEnd w:id="31"/>
      <w:bookmarkEnd w:id="32"/>
    </w:p>
    <w:p w14:paraId="27A6A8A6">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1. 供应商应按照顺序编制和提交下述规定的全部格式文件以及其他有关资料，未提供格式的，由供应商自行编制。混乱的编排导致响应文件被误读或查找不到，后果由供应商承担。</w:t>
      </w:r>
    </w:p>
    <w:p w14:paraId="3FA0A945">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2. 本资格声明的签字人应保证全部声明和问题的回答是真实的和准确的。</w:t>
      </w:r>
    </w:p>
    <w:p w14:paraId="118A820D">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3. 磋商小组将应用供应商提交的资料并根据自己的判断，决定供应商履行合同的合格性及能力。</w:t>
      </w:r>
    </w:p>
    <w:p w14:paraId="09ABF93A">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4. 供应商提交的材料将被妥善保存，但不退还。</w:t>
      </w:r>
    </w:p>
    <w:p w14:paraId="2584EB02">
      <w:pPr>
        <w:pageBreakBefore w:val="0"/>
        <w:kinsoku/>
        <w:wordWrap/>
        <w:overflowPunct/>
        <w:topLinePunct w:val="0"/>
        <w:bidi w:val="0"/>
        <w:spacing w:line="360" w:lineRule="auto"/>
        <w:ind w:firstLine="420" w:firstLineChars="200"/>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5. 全部文件应按供应商须知中规定的语言和份数提交。</w:t>
      </w:r>
    </w:p>
    <w:p w14:paraId="77386365">
      <w:pPr>
        <w:pageBreakBefore w:val="0"/>
        <w:kinsoku/>
        <w:wordWrap/>
        <w:overflowPunct/>
        <w:topLinePunct w:val="0"/>
        <w:bidi w:val="0"/>
        <w:spacing w:line="360" w:lineRule="auto"/>
        <w:jc w:val="left"/>
        <w:rPr>
          <w:rFonts w:hint="eastAsia" w:ascii="宋体" w:hAnsi="宋体" w:cs="宋体"/>
          <w:color w:val="auto"/>
          <w:kern w:val="44"/>
          <w:szCs w:val="21"/>
          <w:highlight w:val="none"/>
        </w:rPr>
      </w:pPr>
    </w:p>
    <w:p w14:paraId="494A1852">
      <w:pPr>
        <w:pageBreakBefore w:val="0"/>
        <w:kinsoku/>
        <w:wordWrap/>
        <w:overflowPunct/>
        <w:topLinePunct w:val="0"/>
        <w:bidi w:val="0"/>
        <w:spacing w:line="360" w:lineRule="auto"/>
        <w:jc w:val="right"/>
        <w:outlineLvl w:val="9"/>
        <w:rPr>
          <w:rFonts w:hint="eastAsia" w:ascii="宋体" w:hAnsi="宋体" w:cs="宋体"/>
          <w:color w:val="auto"/>
          <w:sz w:val="30"/>
          <w:szCs w:val="30"/>
          <w:highlight w:val="none"/>
        </w:rPr>
      </w:pPr>
      <w:r>
        <w:rPr>
          <w:rFonts w:hint="eastAsia" w:ascii="宋体" w:hAnsi="宋体"/>
          <w:color w:val="auto"/>
          <w:spacing w:val="20"/>
          <w:sz w:val="24"/>
          <w:szCs w:val="24"/>
          <w:highlight w:val="none"/>
        </w:rPr>
        <w:br w:type="page"/>
      </w:r>
      <w:bookmarkStart w:id="33" w:name="_Toc107306640"/>
      <w:r>
        <w:rPr>
          <w:rFonts w:hint="eastAsia" w:ascii="宋体" w:hAnsi="宋体" w:cs="宋体"/>
          <w:color w:val="auto"/>
          <w:sz w:val="30"/>
          <w:szCs w:val="30"/>
          <w:highlight w:val="none"/>
        </w:rPr>
        <w:t>（正/副）本</w:t>
      </w:r>
      <w:bookmarkEnd w:id="33"/>
    </w:p>
    <w:p w14:paraId="3A93DABB">
      <w:pPr>
        <w:pageBreakBefore w:val="0"/>
        <w:widowControl/>
        <w:kinsoku/>
        <w:wordWrap/>
        <w:overflowPunct/>
        <w:topLinePunct w:val="0"/>
        <w:bidi w:val="0"/>
        <w:spacing w:line="360" w:lineRule="auto"/>
        <w:jc w:val="center"/>
        <w:rPr>
          <w:rFonts w:hint="eastAsia" w:ascii="宋体" w:hAnsi="宋体" w:cs="宋体"/>
          <w:color w:val="auto"/>
          <w:kern w:val="0"/>
          <w:szCs w:val="24"/>
          <w:highlight w:val="none"/>
        </w:rPr>
      </w:pPr>
    </w:p>
    <w:p w14:paraId="32F8A4BB">
      <w:pPr>
        <w:pageBreakBefore w:val="0"/>
        <w:kinsoku/>
        <w:wordWrap/>
        <w:overflowPunct/>
        <w:topLinePunct w:val="0"/>
        <w:bidi w:val="0"/>
        <w:spacing w:line="360" w:lineRule="auto"/>
        <w:jc w:val="center"/>
        <w:rPr>
          <w:rFonts w:hint="eastAsia" w:ascii="宋体" w:hAnsi="宋体" w:cs="宋体"/>
          <w:b/>
          <w:color w:val="auto"/>
          <w:kern w:val="44"/>
          <w:sz w:val="32"/>
          <w:szCs w:val="21"/>
          <w:highlight w:val="none"/>
          <w:lang w:eastAsia="zh-CN"/>
        </w:rPr>
      </w:pPr>
    </w:p>
    <w:p w14:paraId="3E60DAD5">
      <w:pPr>
        <w:pageBreakBefore w:val="0"/>
        <w:kinsoku/>
        <w:wordWrap/>
        <w:overflowPunct/>
        <w:topLinePunct w:val="0"/>
        <w:bidi w:val="0"/>
        <w:spacing w:line="360" w:lineRule="auto"/>
        <w:jc w:val="center"/>
        <w:rPr>
          <w:rFonts w:hint="eastAsia" w:ascii="宋体" w:hAnsi="宋体" w:cs="宋体"/>
          <w:b/>
          <w:color w:val="auto"/>
          <w:kern w:val="44"/>
          <w:sz w:val="40"/>
          <w:szCs w:val="24"/>
          <w:highlight w:val="none"/>
          <w:lang w:val="en-US" w:eastAsia="zh-CN"/>
        </w:rPr>
      </w:pPr>
      <w:r>
        <w:rPr>
          <w:rFonts w:hint="eastAsia" w:ascii="宋体" w:hAnsi="宋体" w:cs="宋体"/>
          <w:b/>
          <w:color w:val="auto"/>
          <w:kern w:val="44"/>
          <w:sz w:val="40"/>
          <w:szCs w:val="24"/>
          <w:highlight w:val="none"/>
          <w:u w:val="single"/>
          <w:lang w:val="en-US" w:eastAsia="zh-CN"/>
        </w:rPr>
        <w:t xml:space="preserve">                       （</w:t>
      </w:r>
      <w:r>
        <w:rPr>
          <w:rFonts w:hint="eastAsia" w:ascii="宋体" w:hAnsi="宋体" w:cs="宋体"/>
          <w:b/>
          <w:color w:val="auto"/>
          <w:kern w:val="44"/>
          <w:sz w:val="40"/>
          <w:szCs w:val="24"/>
          <w:highlight w:val="none"/>
          <w:lang w:val="en-US" w:eastAsia="zh-CN"/>
        </w:rPr>
        <w:t>项目名称）</w:t>
      </w:r>
    </w:p>
    <w:p w14:paraId="53E3E498">
      <w:pPr>
        <w:pageBreakBefore w:val="0"/>
        <w:kinsoku/>
        <w:wordWrap/>
        <w:overflowPunct/>
        <w:topLinePunct w:val="0"/>
        <w:bidi w:val="0"/>
        <w:spacing w:line="360" w:lineRule="auto"/>
        <w:ind w:firstLine="2885" w:firstLineChars="898"/>
        <w:jc w:val="left"/>
        <w:rPr>
          <w:rFonts w:hint="eastAsia" w:ascii="宋体" w:hAnsi="宋体" w:cs="宋体"/>
          <w:b/>
          <w:color w:val="auto"/>
          <w:kern w:val="44"/>
          <w:sz w:val="32"/>
          <w:szCs w:val="21"/>
          <w:highlight w:val="none"/>
        </w:rPr>
      </w:pPr>
      <w:r>
        <w:rPr>
          <w:rFonts w:hint="eastAsia" w:ascii="宋体" w:hAnsi="宋体" w:cs="宋体"/>
          <w:b/>
          <w:color w:val="auto"/>
          <w:kern w:val="44"/>
          <w:sz w:val="32"/>
          <w:szCs w:val="21"/>
          <w:highlight w:val="none"/>
        </w:rPr>
        <w:t>项目编号：</w:t>
      </w:r>
      <w:r>
        <w:rPr>
          <w:rFonts w:hint="eastAsia" w:ascii="宋体" w:hAnsi="宋体" w:cs="宋体"/>
          <w:b/>
          <w:color w:val="auto"/>
          <w:kern w:val="44"/>
          <w:sz w:val="32"/>
          <w:szCs w:val="21"/>
          <w:highlight w:val="none"/>
          <w:u w:val="single"/>
        </w:rPr>
        <w:t xml:space="preserve">           </w:t>
      </w:r>
    </w:p>
    <w:p w14:paraId="68C58B4F">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7D7E4BB5">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712B622D">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28624944">
      <w:pPr>
        <w:pageBreakBefore w:val="0"/>
        <w:kinsoku/>
        <w:wordWrap/>
        <w:overflowPunct/>
        <w:topLinePunct w:val="0"/>
        <w:bidi w:val="0"/>
        <w:spacing w:line="360" w:lineRule="auto"/>
        <w:jc w:val="center"/>
        <w:rPr>
          <w:rFonts w:hint="eastAsia" w:ascii="宋体" w:hAnsi="宋体" w:cs="宋体"/>
          <w:b/>
          <w:color w:val="auto"/>
          <w:kern w:val="44"/>
          <w:sz w:val="72"/>
          <w:szCs w:val="21"/>
          <w:highlight w:val="none"/>
        </w:rPr>
      </w:pPr>
      <w:r>
        <w:rPr>
          <w:rFonts w:hint="eastAsia" w:ascii="宋体" w:hAnsi="宋体" w:cs="宋体"/>
          <w:b/>
          <w:color w:val="auto"/>
          <w:kern w:val="44"/>
          <w:sz w:val="72"/>
          <w:szCs w:val="21"/>
          <w:highlight w:val="none"/>
        </w:rPr>
        <w:t>响</w:t>
      </w:r>
    </w:p>
    <w:p w14:paraId="5DA1855A">
      <w:pPr>
        <w:pageBreakBefore w:val="0"/>
        <w:kinsoku/>
        <w:wordWrap/>
        <w:overflowPunct/>
        <w:topLinePunct w:val="0"/>
        <w:bidi w:val="0"/>
        <w:spacing w:line="360" w:lineRule="auto"/>
        <w:jc w:val="center"/>
        <w:rPr>
          <w:rFonts w:hint="eastAsia" w:ascii="宋体" w:hAnsi="宋体" w:cs="宋体"/>
          <w:b/>
          <w:color w:val="auto"/>
          <w:kern w:val="44"/>
          <w:sz w:val="72"/>
          <w:szCs w:val="21"/>
          <w:highlight w:val="none"/>
        </w:rPr>
      </w:pPr>
      <w:r>
        <w:rPr>
          <w:rFonts w:hint="eastAsia" w:ascii="宋体" w:hAnsi="宋体" w:cs="宋体"/>
          <w:b/>
          <w:color w:val="auto"/>
          <w:kern w:val="44"/>
          <w:sz w:val="72"/>
          <w:szCs w:val="21"/>
          <w:highlight w:val="none"/>
        </w:rPr>
        <w:t>应</w:t>
      </w:r>
    </w:p>
    <w:p w14:paraId="1885AAC2">
      <w:pPr>
        <w:pageBreakBefore w:val="0"/>
        <w:kinsoku/>
        <w:wordWrap/>
        <w:overflowPunct/>
        <w:topLinePunct w:val="0"/>
        <w:bidi w:val="0"/>
        <w:spacing w:line="360" w:lineRule="auto"/>
        <w:jc w:val="center"/>
        <w:rPr>
          <w:rFonts w:hint="eastAsia" w:ascii="宋体" w:hAnsi="宋体" w:cs="宋体"/>
          <w:b/>
          <w:color w:val="auto"/>
          <w:kern w:val="44"/>
          <w:sz w:val="72"/>
          <w:szCs w:val="21"/>
          <w:highlight w:val="none"/>
        </w:rPr>
      </w:pPr>
      <w:r>
        <w:rPr>
          <w:rFonts w:hint="eastAsia" w:ascii="宋体" w:hAnsi="宋体" w:cs="宋体"/>
          <w:b/>
          <w:color w:val="auto"/>
          <w:kern w:val="44"/>
          <w:sz w:val="72"/>
          <w:szCs w:val="21"/>
          <w:highlight w:val="none"/>
        </w:rPr>
        <w:t>文</w:t>
      </w:r>
    </w:p>
    <w:p w14:paraId="5AF49EE1">
      <w:pPr>
        <w:pageBreakBefore w:val="0"/>
        <w:kinsoku/>
        <w:wordWrap/>
        <w:overflowPunct/>
        <w:topLinePunct w:val="0"/>
        <w:bidi w:val="0"/>
        <w:spacing w:line="360" w:lineRule="auto"/>
        <w:jc w:val="center"/>
        <w:rPr>
          <w:rFonts w:hint="eastAsia" w:ascii="宋体" w:hAnsi="宋体" w:cs="宋体"/>
          <w:b/>
          <w:color w:val="auto"/>
          <w:kern w:val="44"/>
          <w:sz w:val="72"/>
          <w:szCs w:val="21"/>
          <w:highlight w:val="none"/>
        </w:rPr>
      </w:pPr>
      <w:r>
        <w:rPr>
          <w:rFonts w:hint="eastAsia" w:ascii="宋体" w:hAnsi="宋体" w:cs="宋体"/>
          <w:b/>
          <w:color w:val="auto"/>
          <w:kern w:val="44"/>
          <w:sz w:val="72"/>
          <w:szCs w:val="21"/>
          <w:highlight w:val="none"/>
        </w:rPr>
        <w:t>件</w:t>
      </w:r>
    </w:p>
    <w:p w14:paraId="758005BC">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4B6901FF">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167E617D">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096EC7B0">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79EF6527">
      <w:pPr>
        <w:pageBreakBefore w:val="0"/>
        <w:kinsoku/>
        <w:wordWrap/>
        <w:overflowPunct/>
        <w:topLinePunct w:val="0"/>
        <w:bidi w:val="0"/>
        <w:spacing w:line="360" w:lineRule="auto"/>
        <w:jc w:val="center"/>
        <w:rPr>
          <w:rFonts w:hint="eastAsia" w:ascii="宋体" w:hAnsi="宋体" w:cs="宋体"/>
          <w:color w:val="auto"/>
          <w:kern w:val="44"/>
          <w:sz w:val="28"/>
          <w:szCs w:val="21"/>
          <w:highlight w:val="none"/>
        </w:rPr>
      </w:pPr>
      <w:r>
        <w:rPr>
          <w:rFonts w:hint="eastAsia" w:ascii="宋体" w:hAnsi="宋体" w:cs="宋体"/>
          <w:color w:val="auto"/>
          <w:kern w:val="44"/>
          <w:sz w:val="28"/>
          <w:szCs w:val="21"/>
          <w:highlight w:val="none"/>
        </w:rPr>
        <w:t>供应商：</w:t>
      </w:r>
      <w:r>
        <w:rPr>
          <w:rFonts w:hint="eastAsia" w:ascii="宋体" w:hAnsi="宋体" w:cs="宋体"/>
          <w:color w:val="auto"/>
          <w:kern w:val="44"/>
          <w:sz w:val="28"/>
          <w:szCs w:val="21"/>
          <w:highlight w:val="none"/>
          <w:u w:val="single"/>
        </w:rPr>
        <w:t xml:space="preserve">                 </w:t>
      </w:r>
      <w:r>
        <w:rPr>
          <w:rFonts w:hint="eastAsia" w:ascii="宋体" w:hAnsi="宋体" w:cs="宋体"/>
          <w:color w:val="auto"/>
          <w:kern w:val="44"/>
          <w:sz w:val="28"/>
          <w:szCs w:val="21"/>
          <w:highlight w:val="none"/>
        </w:rPr>
        <w:t>（全称加盖单位公章）</w:t>
      </w:r>
    </w:p>
    <w:p w14:paraId="70088E8A">
      <w:pPr>
        <w:pageBreakBefore w:val="0"/>
        <w:kinsoku/>
        <w:wordWrap/>
        <w:overflowPunct/>
        <w:topLinePunct w:val="0"/>
        <w:bidi w:val="0"/>
        <w:spacing w:line="360" w:lineRule="auto"/>
        <w:jc w:val="center"/>
        <w:rPr>
          <w:rFonts w:hint="eastAsia" w:ascii="宋体" w:hAnsi="宋体" w:cs="宋体"/>
          <w:color w:val="auto"/>
          <w:kern w:val="44"/>
          <w:sz w:val="28"/>
          <w:szCs w:val="21"/>
          <w:highlight w:val="none"/>
        </w:rPr>
      </w:pPr>
      <w:r>
        <w:rPr>
          <w:rFonts w:hint="eastAsia" w:ascii="宋体" w:hAnsi="宋体" w:cs="宋体"/>
          <w:color w:val="auto"/>
          <w:kern w:val="44"/>
          <w:sz w:val="28"/>
          <w:szCs w:val="21"/>
          <w:highlight w:val="none"/>
        </w:rPr>
        <w:t>供应商代表：</w:t>
      </w:r>
      <w:r>
        <w:rPr>
          <w:rFonts w:hint="eastAsia" w:ascii="宋体" w:hAnsi="宋体" w:cs="宋体"/>
          <w:color w:val="auto"/>
          <w:kern w:val="44"/>
          <w:sz w:val="28"/>
          <w:szCs w:val="21"/>
          <w:highlight w:val="none"/>
          <w:u w:val="single"/>
        </w:rPr>
        <w:t xml:space="preserve">                   </w:t>
      </w:r>
      <w:r>
        <w:rPr>
          <w:rFonts w:hint="eastAsia" w:ascii="宋体" w:hAnsi="宋体" w:cs="宋体"/>
          <w:color w:val="auto"/>
          <w:kern w:val="44"/>
          <w:sz w:val="28"/>
          <w:szCs w:val="21"/>
          <w:highlight w:val="none"/>
        </w:rPr>
        <w:t>（签字或盖章）</w:t>
      </w:r>
    </w:p>
    <w:p w14:paraId="13512A43">
      <w:pPr>
        <w:pageBreakBefore w:val="0"/>
        <w:kinsoku/>
        <w:wordWrap/>
        <w:overflowPunct/>
        <w:topLinePunct w:val="0"/>
        <w:bidi w:val="0"/>
        <w:spacing w:line="360" w:lineRule="auto"/>
        <w:jc w:val="center"/>
        <w:rPr>
          <w:rFonts w:hint="eastAsia" w:ascii="宋体" w:hAnsi="宋体" w:cs="宋体"/>
          <w:color w:val="auto"/>
          <w:kern w:val="44"/>
          <w:sz w:val="28"/>
          <w:szCs w:val="21"/>
          <w:highlight w:val="none"/>
        </w:rPr>
      </w:pPr>
      <w:r>
        <w:rPr>
          <w:rFonts w:hint="eastAsia" w:ascii="宋体" w:hAnsi="宋体" w:cs="宋体"/>
          <w:color w:val="auto"/>
          <w:kern w:val="44"/>
          <w:sz w:val="28"/>
          <w:szCs w:val="21"/>
          <w:highlight w:val="none"/>
        </w:rPr>
        <w:t>年   月   日</w:t>
      </w:r>
    </w:p>
    <w:p w14:paraId="2BCF15FF">
      <w:pPr>
        <w:pageBreakBefore w:val="0"/>
        <w:widowControl/>
        <w:kinsoku/>
        <w:wordWrap/>
        <w:overflowPunct/>
        <w:topLinePunct w:val="0"/>
        <w:bidi w:val="0"/>
        <w:snapToGrid w:val="0"/>
        <w:spacing w:line="360" w:lineRule="auto"/>
        <w:jc w:val="center"/>
        <w:rPr>
          <w:rFonts w:hint="eastAsia" w:ascii="宋体" w:hAnsi="宋体" w:cs="宋体"/>
          <w:color w:val="auto"/>
          <w:kern w:val="0"/>
          <w:sz w:val="24"/>
          <w:szCs w:val="24"/>
          <w:highlight w:val="none"/>
        </w:rPr>
      </w:pPr>
    </w:p>
    <w:p w14:paraId="166B1C29">
      <w:pPr>
        <w:pageBreakBefore w:val="0"/>
        <w:widowControl/>
        <w:kinsoku/>
        <w:wordWrap/>
        <w:overflowPunct/>
        <w:topLinePunct w:val="0"/>
        <w:bidi w:val="0"/>
        <w:spacing w:line="360" w:lineRule="auto"/>
        <w:jc w:val="center"/>
        <w:rPr>
          <w:rFonts w:ascii="宋体" w:hAnsi="宋体" w:cs="宋体"/>
          <w:b/>
          <w:color w:val="auto"/>
          <w:kern w:val="0"/>
          <w:sz w:val="32"/>
          <w:szCs w:val="24"/>
          <w:highlight w:val="none"/>
        </w:rPr>
      </w:pPr>
      <w:r>
        <w:rPr>
          <w:rFonts w:ascii="宋体" w:hAnsi="宋体" w:cs="宋体"/>
          <w:b/>
          <w:color w:val="auto"/>
          <w:kern w:val="0"/>
          <w:sz w:val="32"/>
          <w:szCs w:val="24"/>
          <w:highlight w:val="none"/>
        </w:rPr>
        <w:br w:type="page"/>
      </w:r>
    </w:p>
    <w:p w14:paraId="3152C726">
      <w:pPr>
        <w:pageBreakBefore w:val="0"/>
        <w:widowControl/>
        <w:kinsoku/>
        <w:wordWrap/>
        <w:overflowPunct/>
        <w:topLinePunct w:val="0"/>
        <w:bidi w:val="0"/>
        <w:spacing w:line="360" w:lineRule="auto"/>
        <w:jc w:val="center"/>
        <w:rPr>
          <w:rFonts w:hint="eastAsia" w:ascii="宋体" w:hAnsi="宋体" w:cs="宋体"/>
          <w:b/>
          <w:color w:val="auto"/>
          <w:kern w:val="0"/>
          <w:sz w:val="32"/>
          <w:szCs w:val="24"/>
          <w:highlight w:val="none"/>
        </w:rPr>
      </w:pPr>
    </w:p>
    <w:p w14:paraId="428BA051">
      <w:pPr>
        <w:pageBreakBefore w:val="0"/>
        <w:widowControl/>
        <w:kinsoku/>
        <w:wordWrap/>
        <w:overflowPunct/>
        <w:topLinePunct w:val="0"/>
        <w:bidi w:val="0"/>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32"/>
          <w:szCs w:val="24"/>
          <w:highlight w:val="none"/>
        </w:rPr>
        <w:t>目  录</w:t>
      </w:r>
    </w:p>
    <w:p w14:paraId="0FD00D2F">
      <w:pPr>
        <w:pageBreakBefore w:val="0"/>
        <w:widowControl/>
        <w:kinsoku/>
        <w:wordWrap/>
        <w:overflowPunct/>
        <w:topLinePunct w:val="0"/>
        <w:bidi w:val="0"/>
        <w:spacing w:line="360" w:lineRule="auto"/>
        <w:jc w:val="center"/>
        <w:rPr>
          <w:rFonts w:hint="eastAsia" w:ascii="宋体" w:hAnsi="宋体" w:cs="宋体"/>
          <w:color w:val="auto"/>
          <w:kern w:val="0"/>
          <w:szCs w:val="24"/>
          <w:highlight w:val="none"/>
          <w:lang w:val="en-US" w:eastAsia="zh-CN"/>
        </w:rPr>
      </w:pPr>
    </w:p>
    <w:p w14:paraId="64FCD3B9">
      <w:pPr>
        <w:pageBreakBefore w:val="0"/>
        <w:widowControl/>
        <w:kinsoku/>
        <w:wordWrap/>
        <w:overflowPunct/>
        <w:topLinePunct w:val="0"/>
        <w:bidi w:val="0"/>
        <w:spacing w:line="360" w:lineRule="auto"/>
        <w:jc w:val="center"/>
        <w:rPr>
          <w:rFonts w:hint="eastAsia" w:ascii="宋体" w:hAnsi="宋体" w:cs="宋体"/>
          <w:color w:val="auto"/>
          <w:kern w:val="0"/>
          <w:szCs w:val="24"/>
          <w:highlight w:val="none"/>
          <w:lang w:val="en-US" w:eastAsia="zh-CN"/>
        </w:rPr>
      </w:pPr>
    </w:p>
    <w:p w14:paraId="0192249D">
      <w:pPr>
        <w:pageBreakBefore w:val="0"/>
        <w:widowControl/>
        <w:kinsoku/>
        <w:wordWrap/>
        <w:overflowPunct/>
        <w:topLinePunct w:val="0"/>
        <w:bidi w:val="0"/>
        <w:spacing w:line="360" w:lineRule="auto"/>
        <w:jc w:val="center"/>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格式</w:t>
      </w:r>
      <w:r>
        <w:rPr>
          <w:rFonts w:hint="eastAsia" w:ascii="宋体" w:hAnsi="宋体" w:cs="宋体"/>
          <w:color w:val="auto"/>
          <w:kern w:val="0"/>
          <w:szCs w:val="24"/>
          <w:highlight w:val="none"/>
        </w:rPr>
        <w:t>自行编制</w:t>
      </w:r>
    </w:p>
    <w:p w14:paraId="5E933EB3">
      <w:pPr>
        <w:pageBreakBefore w:val="0"/>
        <w:widowControl/>
        <w:kinsoku/>
        <w:wordWrap/>
        <w:overflowPunct/>
        <w:topLinePunct w:val="0"/>
        <w:bidi w:val="0"/>
        <w:spacing w:line="360" w:lineRule="auto"/>
        <w:jc w:val="left"/>
        <w:rPr>
          <w:rFonts w:hint="eastAsia" w:ascii="宋体" w:hAnsi="宋体" w:cs="宋体"/>
          <w:color w:val="auto"/>
          <w:kern w:val="0"/>
          <w:sz w:val="24"/>
          <w:szCs w:val="24"/>
          <w:highlight w:val="none"/>
        </w:rPr>
      </w:pPr>
    </w:p>
    <w:p w14:paraId="51D9448D">
      <w:pPr>
        <w:pageBreakBefore w:val="0"/>
        <w:widowControl/>
        <w:kinsoku/>
        <w:wordWrap/>
        <w:overflowPunct/>
        <w:topLinePunct w:val="0"/>
        <w:bidi w:val="0"/>
        <w:spacing w:line="360" w:lineRule="auto"/>
        <w:jc w:val="left"/>
        <w:rPr>
          <w:rFonts w:hint="eastAsia" w:ascii="宋体" w:hAnsi="宋体" w:cs="宋体"/>
          <w:color w:val="auto"/>
          <w:kern w:val="0"/>
          <w:sz w:val="24"/>
          <w:szCs w:val="24"/>
          <w:highlight w:val="none"/>
        </w:rPr>
      </w:pPr>
    </w:p>
    <w:p w14:paraId="1727AD44">
      <w:pPr>
        <w:pageBreakBefore w:val="0"/>
        <w:widowControl/>
        <w:kinsoku/>
        <w:wordWrap/>
        <w:overflowPunct/>
        <w:topLinePunct w:val="0"/>
        <w:bidi w:val="0"/>
        <w:spacing w:line="360" w:lineRule="auto"/>
        <w:jc w:val="left"/>
        <w:rPr>
          <w:rFonts w:hint="eastAsia" w:ascii="宋体" w:hAnsi="宋体" w:cs="宋体"/>
          <w:color w:val="auto"/>
          <w:kern w:val="0"/>
          <w:sz w:val="24"/>
          <w:szCs w:val="24"/>
          <w:highlight w:val="none"/>
        </w:rPr>
      </w:pPr>
    </w:p>
    <w:p w14:paraId="682ECD96">
      <w:pPr>
        <w:pageBreakBefore w:val="0"/>
        <w:widowControl/>
        <w:kinsoku/>
        <w:wordWrap/>
        <w:overflowPunct/>
        <w:topLinePunct w:val="0"/>
        <w:bidi w:val="0"/>
        <w:spacing w:line="360" w:lineRule="auto"/>
        <w:rPr>
          <w:rFonts w:hint="eastAsia" w:ascii="宋体" w:hAnsi="宋体" w:cs="宋体"/>
          <w:b/>
          <w:color w:val="auto"/>
          <w:kern w:val="0"/>
          <w:sz w:val="44"/>
          <w:szCs w:val="44"/>
          <w:highlight w:val="none"/>
        </w:rPr>
      </w:pPr>
      <w:r>
        <w:rPr>
          <w:rFonts w:ascii="宋体" w:hAnsi="宋体" w:cs="宋体"/>
          <w:b/>
          <w:color w:val="auto"/>
          <w:kern w:val="0"/>
          <w:sz w:val="44"/>
          <w:szCs w:val="44"/>
          <w:highlight w:val="none"/>
        </w:rPr>
        <w:br w:type="page"/>
      </w:r>
    </w:p>
    <w:p w14:paraId="6691E30F">
      <w:pPr>
        <w:pageBreakBefore w:val="0"/>
        <w:widowControl/>
        <w:kinsoku/>
        <w:wordWrap/>
        <w:overflowPunct/>
        <w:topLinePunct w:val="0"/>
        <w:bidi w:val="0"/>
        <w:spacing w:line="360" w:lineRule="auto"/>
        <w:jc w:val="center"/>
        <w:rPr>
          <w:rFonts w:hint="eastAsia" w:ascii="宋体" w:hAnsi="宋体" w:cs="宋体"/>
          <w:b/>
          <w:color w:val="auto"/>
          <w:kern w:val="0"/>
          <w:sz w:val="44"/>
          <w:szCs w:val="44"/>
          <w:highlight w:val="none"/>
        </w:rPr>
      </w:pPr>
    </w:p>
    <w:p w14:paraId="05C0A20D">
      <w:pPr>
        <w:pageBreakBefore w:val="0"/>
        <w:widowControl/>
        <w:kinsoku/>
        <w:wordWrap/>
        <w:overflowPunct/>
        <w:topLinePunct w:val="0"/>
        <w:bidi w:val="0"/>
        <w:spacing w:line="360" w:lineRule="auto"/>
        <w:jc w:val="center"/>
        <w:rPr>
          <w:rFonts w:hint="eastAsia" w:ascii="宋体" w:hAnsi="宋体" w:cs="宋体"/>
          <w:b/>
          <w:color w:val="auto"/>
          <w:kern w:val="0"/>
          <w:sz w:val="44"/>
          <w:szCs w:val="44"/>
          <w:highlight w:val="none"/>
        </w:rPr>
      </w:pPr>
    </w:p>
    <w:p w14:paraId="4A1579E7">
      <w:pPr>
        <w:pageBreakBefore w:val="0"/>
        <w:widowControl/>
        <w:kinsoku/>
        <w:wordWrap/>
        <w:overflowPunct/>
        <w:topLinePunct w:val="0"/>
        <w:bidi w:val="0"/>
        <w:spacing w:line="360" w:lineRule="auto"/>
        <w:jc w:val="center"/>
        <w:rPr>
          <w:rFonts w:hint="eastAsia" w:ascii="宋体" w:hAnsi="宋体" w:cs="宋体"/>
          <w:b/>
          <w:color w:val="auto"/>
          <w:kern w:val="0"/>
          <w:sz w:val="44"/>
          <w:szCs w:val="44"/>
          <w:highlight w:val="none"/>
        </w:rPr>
      </w:pPr>
    </w:p>
    <w:p w14:paraId="34F28110">
      <w:pPr>
        <w:pageBreakBefore w:val="0"/>
        <w:widowControl/>
        <w:kinsoku/>
        <w:wordWrap/>
        <w:overflowPunct/>
        <w:topLinePunct w:val="0"/>
        <w:bidi w:val="0"/>
        <w:spacing w:line="360" w:lineRule="auto"/>
        <w:jc w:val="center"/>
        <w:rPr>
          <w:rFonts w:hint="eastAsia" w:ascii="宋体" w:hAnsi="宋体" w:cs="宋体"/>
          <w:b/>
          <w:color w:val="auto"/>
          <w:kern w:val="0"/>
          <w:sz w:val="44"/>
          <w:szCs w:val="44"/>
          <w:highlight w:val="none"/>
        </w:rPr>
      </w:pPr>
    </w:p>
    <w:p w14:paraId="564E1D1A">
      <w:pPr>
        <w:pageBreakBefore w:val="0"/>
        <w:widowControl/>
        <w:kinsoku/>
        <w:wordWrap/>
        <w:overflowPunct/>
        <w:topLinePunct w:val="0"/>
        <w:bidi w:val="0"/>
        <w:spacing w:line="360" w:lineRule="auto"/>
        <w:jc w:val="center"/>
        <w:rPr>
          <w:rFonts w:hint="eastAsia" w:ascii="宋体" w:hAnsi="宋体" w:cs="宋体"/>
          <w:b/>
          <w:color w:val="auto"/>
          <w:kern w:val="0"/>
          <w:sz w:val="44"/>
          <w:szCs w:val="44"/>
          <w:highlight w:val="none"/>
        </w:rPr>
      </w:pPr>
    </w:p>
    <w:p w14:paraId="0DBF4391">
      <w:pPr>
        <w:pageBreakBefore w:val="0"/>
        <w:widowControl/>
        <w:kinsoku/>
        <w:wordWrap/>
        <w:overflowPunct/>
        <w:topLinePunct w:val="0"/>
        <w:bidi w:val="0"/>
        <w:spacing w:line="360" w:lineRule="auto"/>
        <w:jc w:val="center"/>
        <w:outlineLvl w:val="1"/>
        <w:rPr>
          <w:rFonts w:hint="eastAsia" w:ascii="宋体" w:hAnsi="宋体" w:cs="宋体"/>
          <w:b/>
          <w:color w:val="auto"/>
          <w:kern w:val="0"/>
          <w:sz w:val="36"/>
          <w:szCs w:val="44"/>
          <w:highlight w:val="none"/>
        </w:rPr>
      </w:pPr>
      <w:r>
        <w:rPr>
          <w:rFonts w:hint="eastAsia" w:ascii="宋体" w:hAnsi="宋体" w:cs="宋体"/>
          <w:b/>
          <w:color w:val="auto"/>
          <w:kern w:val="0"/>
          <w:sz w:val="36"/>
          <w:szCs w:val="44"/>
          <w:highlight w:val="none"/>
        </w:rPr>
        <w:t>资格响应文件</w:t>
      </w:r>
    </w:p>
    <w:p w14:paraId="7D8FD256">
      <w:pPr>
        <w:pStyle w:val="15"/>
        <w:pageBreakBefore w:val="0"/>
        <w:kinsoku/>
        <w:wordWrap/>
        <w:overflowPunct/>
        <w:topLinePunct w:val="0"/>
        <w:bidi w:val="0"/>
        <w:spacing w:line="360" w:lineRule="auto"/>
        <w:rPr>
          <w:rFonts w:hint="eastAsia" w:ascii="宋体" w:hAnsi="宋体" w:cs="宋体"/>
          <w:b/>
          <w:color w:val="auto"/>
          <w:kern w:val="0"/>
          <w:sz w:val="36"/>
          <w:szCs w:val="44"/>
          <w:highlight w:val="none"/>
        </w:rPr>
      </w:pPr>
    </w:p>
    <w:p w14:paraId="11852415">
      <w:pPr>
        <w:pageBreakBefore w:val="0"/>
        <w:kinsoku/>
        <w:wordWrap/>
        <w:overflowPunct/>
        <w:topLinePunct w:val="0"/>
        <w:bidi w:val="0"/>
        <w:spacing w:line="360" w:lineRule="auto"/>
        <w:rPr>
          <w:rFonts w:hint="eastAsia" w:ascii="宋体" w:hAnsi="宋体" w:cs="宋体"/>
          <w:b/>
          <w:color w:val="auto"/>
          <w:kern w:val="0"/>
          <w:sz w:val="36"/>
          <w:szCs w:val="44"/>
          <w:highlight w:val="none"/>
        </w:rPr>
      </w:pPr>
    </w:p>
    <w:p w14:paraId="5E70235A">
      <w:pPr>
        <w:pStyle w:val="15"/>
        <w:pageBreakBefore w:val="0"/>
        <w:kinsoku/>
        <w:wordWrap/>
        <w:overflowPunct/>
        <w:topLinePunct w:val="0"/>
        <w:bidi w:val="0"/>
        <w:spacing w:line="360" w:lineRule="auto"/>
        <w:rPr>
          <w:rFonts w:hint="eastAsia" w:ascii="宋体" w:hAnsi="宋体" w:cs="宋体"/>
          <w:b/>
          <w:color w:val="auto"/>
          <w:kern w:val="0"/>
          <w:sz w:val="36"/>
          <w:szCs w:val="44"/>
          <w:highlight w:val="none"/>
        </w:rPr>
      </w:pPr>
    </w:p>
    <w:p w14:paraId="0F091747">
      <w:pPr>
        <w:pageBreakBefore w:val="0"/>
        <w:kinsoku/>
        <w:wordWrap/>
        <w:overflowPunct/>
        <w:topLinePunct w:val="0"/>
        <w:bidi w:val="0"/>
        <w:spacing w:line="360" w:lineRule="auto"/>
        <w:rPr>
          <w:rFonts w:hint="eastAsia" w:ascii="宋体" w:hAnsi="宋体" w:cs="宋体"/>
          <w:b/>
          <w:color w:val="auto"/>
          <w:kern w:val="0"/>
          <w:sz w:val="36"/>
          <w:szCs w:val="44"/>
          <w:highlight w:val="none"/>
        </w:rPr>
      </w:pPr>
    </w:p>
    <w:p w14:paraId="6ACEC1A0">
      <w:pPr>
        <w:pStyle w:val="15"/>
        <w:pageBreakBefore w:val="0"/>
        <w:kinsoku/>
        <w:wordWrap/>
        <w:overflowPunct/>
        <w:topLinePunct w:val="0"/>
        <w:bidi w:val="0"/>
        <w:spacing w:line="360" w:lineRule="auto"/>
        <w:rPr>
          <w:color w:val="auto"/>
          <w:highlight w:val="none"/>
        </w:rPr>
      </w:pPr>
    </w:p>
    <w:p w14:paraId="4686649A">
      <w:pPr>
        <w:rPr>
          <w:rFonts w:hint="eastAsia" w:ascii="宋体" w:hAnsi="宋体" w:cs="宋体"/>
          <w:b/>
          <w:color w:val="auto"/>
          <w:kern w:val="44"/>
          <w:szCs w:val="21"/>
          <w:highlight w:val="none"/>
        </w:rPr>
      </w:pPr>
      <w:r>
        <w:rPr>
          <w:rFonts w:hint="eastAsia" w:ascii="宋体" w:hAnsi="宋体" w:cs="宋体"/>
          <w:b/>
          <w:color w:val="auto"/>
          <w:kern w:val="44"/>
          <w:szCs w:val="21"/>
          <w:highlight w:val="none"/>
        </w:rPr>
        <w:br w:type="page"/>
      </w:r>
    </w:p>
    <w:p w14:paraId="0964D91C">
      <w:pPr>
        <w:adjustRightInd w:val="0"/>
        <w:snapToGrid w:val="0"/>
        <w:spacing w:after="0" w:line="540" w:lineRule="exact"/>
        <w:ind w:firstLine="0"/>
        <w:jc w:val="center"/>
        <w:rPr>
          <w:rFonts w:hint="eastAsia" w:ascii="宋体" w:hAnsi="宋体" w:eastAsia="宋体" w:cs="宋体"/>
          <w:b/>
          <w:bCs w:val="0"/>
          <w:color w:val="auto"/>
          <w:kern w:val="2"/>
          <w:sz w:val="21"/>
          <w:szCs w:val="21"/>
          <w:highlight w:val="none"/>
          <w:lang w:eastAsia="zh-CN"/>
        </w:rPr>
      </w:pPr>
      <w:r>
        <w:rPr>
          <w:rFonts w:hint="eastAsia" w:ascii="宋体" w:hAnsi="宋体" w:cs="宋体"/>
          <w:b/>
          <w:bCs w:val="0"/>
          <w:color w:val="auto"/>
          <w:kern w:val="44"/>
          <w:szCs w:val="21"/>
          <w:highlight w:val="none"/>
        </w:rPr>
        <w:t>1、</w:t>
      </w:r>
      <w:r>
        <w:rPr>
          <w:rFonts w:hint="eastAsia" w:ascii="宋体" w:hAnsi="宋体" w:eastAsia="宋体" w:cs="宋体"/>
          <w:b/>
          <w:bCs w:val="0"/>
          <w:color w:val="auto"/>
          <w:kern w:val="2"/>
          <w:sz w:val="21"/>
          <w:szCs w:val="21"/>
          <w:highlight w:val="none"/>
          <w:lang w:eastAsia="zh-CN"/>
        </w:rPr>
        <w:t>政府采购供应商信用承诺函</w:t>
      </w:r>
    </w:p>
    <w:p w14:paraId="6EB2E10F">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致</w:t>
      </w:r>
      <w:r>
        <w:rPr>
          <w:rFonts w:hint="eastAsia" w:ascii="宋体" w:hAnsi="宋体" w:eastAsia="宋体" w:cs="宋体"/>
          <w:color w:val="auto"/>
          <w:sz w:val="21"/>
          <w:szCs w:val="21"/>
          <w:highlight w:val="none"/>
          <w:u w:val="single"/>
          <w:lang w:eastAsia="zh-CN"/>
        </w:rPr>
        <w:t xml:space="preserve">  （采购人或采购代理机构）  </w:t>
      </w:r>
      <w:r>
        <w:rPr>
          <w:rFonts w:hint="eastAsia" w:ascii="宋体" w:hAnsi="宋体" w:eastAsia="宋体" w:cs="宋体"/>
          <w:color w:val="auto"/>
          <w:sz w:val="21"/>
          <w:szCs w:val="21"/>
          <w:highlight w:val="none"/>
          <w:lang w:eastAsia="zh-CN"/>
        </w:rPr>
        <w:t>：</w:t>
      </w:r>
    </w:p>
    <w:p w14:paraId="563ED071">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供应商名称（自然人姓名）：</w:t>
      </w:r>
      <w:r>
        <w:rPr>
          <w:rFonts w:hint="eastAsia" w:ascii="宋体" w:hAnsi="宋体" w:cs="宋体"/>
          <w:color w:val="auto"/>
          <w:sz w:val="21"/>
          <w:szCs w:val="21"/>
          <w:highlight w:val="none"/>
          <w:u w:val="single"/>
          <w:lang w:val="en-US" w:eastAsia="zh-CN"/>
        </w:rPr>
        <w:t xml:space="preserve">                               </w:t>
      </w:r>
    </w:p>
    <w:p w14:paraId="24C70D60">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统一社会信用代码（身份证号码）：</w:t>
      </w:r>
      <w:r>
        <w:rPr>
          <w:rFonts w:hint="eastAsia" w:ascii="宋体" w:hAnsi="宋体" w:cs="宋体"/>
          <w:color w:val="auto"/>
          <w:sz w:val="21"/>
          <w:szCs w:val="21"/>
          <w:highlight w:val="none"/>
          <w:u w:val="single"/>
          <w:lang w:val="en-US" w:eastAsia="zh-CN"/>
        </w:rPr>
        <w:t xml:space="preserve">                         </w:t>
      </w:r>
    </w:p>
    <w:p w14:paraId="24C19806">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法定代表人（负责人）：</w:t>
      </w:r>
      <w:r>
        <w:rPr>
          <w:rFonts w:hint="eastAsia" w:ascii="宋体" w:hAnsi="宋体" w:eastAsia="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p>
    <w:p w14:paraId="6C9206A0">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联系地址和电话：</w:t>
      </w:r>
      <w:r>
        <w:rPr>
          <w:rFonts w:hint="eastAsia" w:ascii="宋体" w:hAnsi="宋体" w:eastAsia="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p>
    <w:p w14:paraId="4DC9E55F">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为维护公平、公正、公开的政府采购市场秩序，树立诚实守信的政府采购供应商形象，本单位（本人）自愿作出以下承诺：</w:t>
      </w:r>
    </w:p>
    <w:p w14:paraId="349F1875">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一、我单位（本人）自愿参加本次政府采购活动（项目名称：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569DF020">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（一）具有独立承担民事责任的能力；</w:t>
      </w:r>
    </w:p>
    <w:p w14:paraId="2E827DF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（二）具有良好的商业信誉和健全的财务会计制度；</w:t>
      </w:r>
    </w:p>
    <w:p w14:paraId="5E21A11B">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（三）具有履行合同所必需的设备和专业技术能力；</w:t>
      </w:r>
    </w:p>
    <w:p w14:paraId="1CFAD2E1">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（四）有依法缴纳税收和社会保障资金的良好记录；</w:t>
      </w:r>
    </w:p>
    <w:p w14:paraId="7C400145">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（五）参加政府采购活动前三年内，在经营活动中没有重大违法记录；</w:t>
      </w:r>
    </w:p>
    <w:p w14:paraId="446F12C7">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（六）符合法律、行政法规规定的其他条件。</w:t>
      </w:r>
    </w:p>
    <w:p w14:paraId="740F28BA">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二、我单位（本人）保证上述承诺事项的真实性。如所作信用承诺不实，自愿承担一切法律责任，接受政府采购监管部门和其他机关的审查和处罚。</w:t>
      </w:r>
    </w:p>
    <w:p w14:paraId="38F510E3">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p>
    <w:p w14:paraId="7F2508A9">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供应商（电子章）：</w:t>
      </w:r>
    </w:p>
    <w:p w14:paraId="05A6EF8B">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法定代表人或授权代表、负责人、本人(签字或电子印章)：</w:t>
      </w:r>
    </w:p>
    <w:p w14:paraId="00C241E9">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日期：   年  月  日</w:t>
      </w:r>
    </w:p>
    <w:p w14:paraId="07CD741B">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eastAsia="zh-CN"/>
        </w:rPr>
      </w:pPr>
    </w:p>
    <w:p w14:paraId="7E0FFE74">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注：1.供应商须在投标（响应）文件中按此模板提供承诺函，既未提供上述承诺函，又未提供对应事项证明材料的，视为未实质性响应采购文件要求，按无效投标（响应）处理。</w:t>
      </w:r>
    </w:p>
    <w:p w14:paraId="56BF69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i w:val="0"/>
          <w:iCs w:val="0"/>
          <w:color w:val="auto"/>
          <w:spacing w:val="0"/>
          <w:kern w:val="24"/>
          <w:sz w:val="18"/>
          <w:szCs w:val="18"/>
          <w:highlight w:val="none"/>
          <w:lang w:val="en-US"/>
        </w:rPr>
      </w:pPr>
      <w:r>
        <w:rPr>
          <w:rFonts w:hint="eastAsia" w:ascii="宋体" w:hAnsi="宋体" w:eastAsia="宋体" w:cs="宋体"/>
          <w:color w:val="auto"/>
          <w:sz w:val="21"/>
          <w:szCs w:val="21"/>
          <w:highlight w:val="none"/>
          <w:lang w:eastAsia="zh-CN"/>
        </w:rPr>
        <w:t>2.供应商的法定代表人或者授权代表的签字或盖章应真实、有效，如由授权代表签字或盖章的，应提供“法定代表人授权书”</w:t>
      </w:r>
      <w:r>
        <w:rPr>
          <w:rFonts w:hint="eastAsia" w:ascii="宋体" w:hAnsi="宋体" w:eastAsia="宋体" w:cs="宋体"/>
          <w:b w:val="0"/>
          <w:bCs w:val="0"/>
          <w:i w:val="0"/>
          <w:iCs w:val="0"/>
          <w:color w:val="auto"/>
          <w:spacing w:val="0"/>
          <w:kern w:val="24"/>
          <w:sz w:val="18"/>
          <w:szCs w:val="18"/>
          <w:highlight w:val="none"/>
          <w:lang w:val="en-US" w:eastAsia="zh-CN"/>
        </w:rPr>
        <w:t>。</w:t>
      </w:r>
    </w:p>
    <w:p w14:paraId="32EB2158">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p>
    <w:p w14:paraId="7FECC067">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p>
    <w:p w14:paraId="1D48DB20">
      <w:pPr>
        <w:rPr>
          <w:rFonts w:hint="eastAsia" w:ascii="宋体" w:hAnsi="宋体" w:cs="宋体"/>
          <w:b/>
          <w:color w:val="auto"/>
          <w:kern w:val="44"/>
          <w:szCs w:val="21"/>
          <w:highlight w:val="none"/>
        </w:rPr>
      </w:pPr>
      <w:r>
        <w:rPr>
          <w:rFonts w:hint="eastAsia" w:ascii="宋体" w:hAnsi="宋体" w:cs="宋体"/>
          <w:b/>
          <w:color w:val="auto"/>
          <w:kern w:val="44"/>
          <w:szCs w:val="21"/>
          <w:highlight w:val="none"/>
        </w:rPr>
        <w:br w:type="page"/>
      </w:r>
    </w:p>
    <w:p w14:paraId="772C913A">
      <w:pPr>
        <w:pageBreakBefore w:val="0"/>
        <w:widowControl/>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rPr>
        <w:t>中小企业声明函（工程、服务）</w:t>
      </w:r>
    </w:p>
    <w:p w14:paraId="03CC56A2">
      <w:pPr>
        <w:pStyle w:val="53"/>
        <w:pageBreakBefore w:val="0"/>
        <w:kinsoku/>
        <w:wordWrap/>
        <w:overflowPunct/>
        <w:topLinePunct w:val="0"/>
        <w:bidi w:val="0"/>
        <w:snapToGrid w:val="0"/>
        <w:spacing w:line="360" w:lineRule="auto"/>
        <w:ind w:firstLine="420" w:firstLineChars="200"/>
        <w:rPr>
          <w:rFonts w:hint="eastAsia" w:cs="宋体"/>
          <w:color w:val="auto"/>
          <w:kern w:val="44"/>
          <w:highlight w:val="none"/>
        </w:rPr>
      </w:pPr>
      <w:r>
        <w:rPr>
          <w:rFonts w:hint="eastAsia" w:cs="宋体"/>
          <w:color w:val="auto"/>
          <w:kern w:val="44"/>
          <w:highlight w:val="none"/>
        </w:rPr>
        <w:t>本公司(联合体)郑重声明,根据《政府采购促进中小企业发展管理办法》(财库(2020)46号)的规定,本公司(联合体)参加</w:t>
      </w:r>
      <w:r>
        <w:rPr>
          <w:rFonts w:hint="eastAsia" w:cs="宋体"/>
          <w:b/>
          <w:i/>
          <w:color w:val="auto"/>
          <w:kern w:val="44"/>
          <w:highlight w:val="none"/>
          <w:u w:val="single"/>
        </w:rPr>
        <w:t>(单位名称)</w:t>
      </w:r>
      <w:r>
        <w:rPr>
          <w:rFonts w:hint="eastAsia" w:cs="宋体"/>
          <w:color w:val="auto"/>
          <w:kern w:val="44"/>
          <w:highlight w:val="none"/>
        </w:rPr>
        <w:t>的</w:t>
      </w:r>
      <w:r>
        <w:rPr>
          <w:rFonts w:hint="eastAsia" w:cs="宋体"/>
          <w:b/>
          <w:i/>
          <w:color w:val="auto"/>
          <w:kern w:val="44"/>
          <w:highlight w:val="none"/>
          <w:u w:val="single"/>
        </w:rPr>
        <w:t>(项目名称)</w:t>
      </w:r>
      <w:r>
        <w:rPr>
          <w:rFonts w:hint="eastAsia" w:cs="宋体"/>
          <w:color w:val="auto"/>
          <w:kern w:val="44"/>
          <w:highlight w:val="none"/>
        </w:rPr>
        <w:t>采购活动,</w:t>
      </w:r>
      <w:r>
        <w:rPr>
          <w:rFonts w:hint="eastAsia" w:cs="宋体"/>
          <w:b/>
          <w:color w:val="auto"/>
          <w:kern w:val="44"/>
          <w:highlight w:val="none"/>
        </w:rPr>
        <w:t>工程的施工单位全部为符合政策要求的中小企业（或者：服务全部由符合政策要求的中小企业承接）</w:t>
      </w:r>
      <w:r>
        <w:rPr>
          <w:rFonts w:hint="eastAsia" w:cs="宋体"/>
          <w:color w:val="auto"/>
          <w:kern w:val="44"/>
          <w:highlight w:val="none"/>
        </w:rPr>
        <w:t>。相关企业(含联合体中的中小企业、签订分包意向协议的中小企业)的具体情况如下：</w:t>
      </w:r>
    </w:p>
    <w:p w14:paraId="5124425E">
      <w:pPr>
        <w:pStyle w:val="53"/>
        <w:pageBreakBefore w:val="0"/>
        <w:kinsoku/>
        <w:wordWrap/>
        <w:overflowPunct/>
        <w:topLinePunct w:val="0"/>
        <w:bidi w:val="0"/>
        <w:snapToGrid w:val="0"/>
        <w:spacing w:line="360" w:lineRule="auto"/>
        <w:ind w:firstLine="420" w:firstLineChars="200"/>
        <w:rPr>
          <w:rFonts w:hint="eastAsia" w:cs="宋体"/>
          <w:color w:val="auto"/>
          <w:kern w:val="44"/>
          <w:highlight w:val="none"/>
        </w:rPr>
      </w:pPr>
      <w:r>
        <w:rPr>
          <w:rFonts w:hint="eastAsia" w:cs="宋体"/>
          <w:color w:val="auto"/>
          <w:kern w:val="44"/>
          <w:highlight w:val="none"/>
        </w:rPr>
        <w:t>1.</w:t>
      </w:r>
      <w:r>
        <w:rPr>
          <w:rFonts w:hint="eastAsia" w:cs="宋体"/>
          <w:b/>
          <w:i/>
          <w:color w:val="auto"/>
          <w:kern w:val="44"/>
          <w:highlight w:val="none"/>
          <w:u w:val="single"/>
        </w:rPr>
        <w:t>(标的名称)</w:t>
      </w:r>
      <w:r>
        <w:rPr>
          <w:rFonts w:hint="eastAsia" w:cs="宋体"/>
          <w:color w:val="auto"/>
          <w:kern w:val="44"/>
          <w:highlight w:val="none"/>
        </w:rPr>
        <w:t>，属于</w:t>
      </w:r>
      <w:r>
        <w:rPr>
          <w:rFonts w:hint="eastAsia" w:cs="宋体"/>
          <w:b/>
          <w:i/>
          <w:color w:val="auto"/>
          <w:kern w:val="44"/>
          <w:highlight w:val="none"/>
          <w:u w:val="single"/>
        </w:rPr>
        <w:t>（所属行业）</w:t>
      </w:r>
      <w:r>
        <w:rPr>
          <w:rFonts w:hint="eastAsia" w:cs="宋体"/>
          <w:color w:val="auto"/>
          <w:kern w:val="44"/>
          <w:highlight w:val="none"/>
        </w:rPr>
        <w:t>；承建（承接）企业为</w:t>
      </w:r>
      <w:r>
        <w:rPr>
          <w:rFonts w:hint="eastAsia" w:cs="宋体"/>
          <w:b/>
          <w:i/>
          <w:color w:val="auto"/>
          <w:kern w:val="44"/>
          <w:highlight w:val="none"/>
          <w:u w:val="single"/>
        </w:rPr>
        <w:t>（企业名称）</w:t>
      </w:r>
      <w:r>
        <w:rPr>
          <w:rFonts w:hint="eastAsia" w:cs="宋体"/>
          <w:color w:val="auto"/>
          <w:kern w:val="44"/>
          <w:highlight w:val="none"/>
        </w:rPr>
        <w:t>，从业人员</w:t>
      </w:r>
      <w:r>
        <w:rPr>
          <w:rFonts w:hint="eastAsia" w:cs="宋体"/>
          <w:color w:val="auto"/>
          <w:kern w:val="44"/>
          <w:highlight w:val="none"/>
          <w:u w:val="single"/>
        </w:rPr>
        <w:t xml:space="preserve">    </w:t>
      </w:r>
      <w:r>
        <w:rPr>
          <w:rFonts w:hint="eastAsia" w:cs="宋体"/>
          <w:color w:val="auto"/>
          <w:kern w:val="44"/>
          <w:highlight w:val="none"/>
        </w:rPr>
        <w:t>人，营业收入为</w:t>
      </w:r>
      <w:r>
        <w:rPr>
          <w:rFonts w:hint="eastAsia" w:cs="宋体"/>
          <w:color w:val="auto"/>
          <w:kern w:val="44"/>
          <w:highlight w:val="none"/>
          <w:u w:val="single"/>
        </w:rPr>
        <w:t xml:space="preserve">    </w:t>
      </w:r>
      <w:r>
        <w:rPr>
          <w:rFonts w:hint="eastAsia" w:cs="宋体"/>
          <w:color w:val="auto"/>
          <w:kern w:val="44"/>
          <w:highlight w:val="none"/>
        </w:rPr>
        <w:t>万元，资产总额为</w:t>
      </w:r>
      <w:r>
        <w:rPr>
          <w:rFonts w:hint="eastAsia" w:cs="宋体"/>
          <w:color w:val="auto"/>
          <w:kern w:val="44"/>
          <w:highlight w:val="none"/>
          <w:u w:val="single"/>
        </w:rPr>
        <w:t xml:space="preserve">    </w:t>
      </w:r>
      <w:r>
        <w:rPr>
          <w:rFonts w:hint="eastAsia" w:cs="宋体"/>
          <w:color w:val="auto"/>
          <w:kern w:val="44"/>
          <w:highlight w:val="none"/>
        </w:rPr>
        <w:t>万元，属于</w:t>
      </w:r>
      <w:r>
        <w:rPr>
          <w:rFonts w:hint="eastAsia" w:cs="宋体"/>
          <w:b/>
          <w:i/>
          <w:color w:val="auto"/>
          <w:kern w:val="44"/>
          <w:highlight w:val="none"/>
          <w:u w:val="single"/>
        </w:rPr>
        <w:t>(中型企业、小型企业、微型企业)</w:t>
      </w:r>
      <w:r>
        <w:rPr>
          <w:rFonts w:hint="eastAsia" w:cs="宋体"/>
          <w:color w:val="auto"/>
          <w:kern w:val="44"/>
          <w:highlight w:val="none"/>
        </w:rPr>
        <w:t>；</w:t>
      </w:r>
    </w:p>
    <w:p w14:paraId="7712EEDB">
      <w:pPr>
        <w:pStyle w:val="53"/>
        <w:pageBreakBefore w:val="0"/>
        <w:kinsoku/>
        <w:wordWrap/>
        <w:overflowPunct/>
        <w:topLinePunct w:val="0"/>
        <w:bidi w:val="0"/>
        <w:snapToGrid w:val="0"/>
        <w:spacing w:line="360" w:lineRule="auto"/>
        <w:ind w:firstLine="420" w:firstLineChars="200"/>
        <w:rPr>
          <w:rFonts w:hint="eastAsia" w:cs="宋体"/>
          <w:color w:val="auto"/>
          <w:kern w:val="44"/>
          <w:highlight w:val="none"/>
        </w:rPr>
      </w:pPr>
      <w:r>
        <w:rPr>
          <w:rFonts w:hint="eastAsia" w:cs="宋体"/>
          <w:color w:val="auto"/>
          <w:kern w:val="44"/>
          <w:highlight w:val="none"/>
        </w:rPr>
        <w:t xml:space="preserve">2. </w:t>
      </w:r>
      <w:r>
        <w:rPr>
          <w:rFonts w:hint="eastAsia" w:cs="宋体"/>
          <w:b/>
          <w:i/>
          <w:color w:val="auto"/>
          <w:kern w:val="44"/>
          <w:highlight w:val="none"/>
          <w:u w:val="single"/>
        </w:rPr>
        <w:t>(标的名称)</w:t>
      </w:r>
      <w:r>
        <w:rPr>
          <w:rFonts w:hint="eastAsia" w:cs="宋体"/>
          <w:color w:val="auto"/>
          <w:kern w:val="44"/>
          <w:highlight w:val="none"/>
        </w:rPr>
        <w:t>，属于</w:t>
      </w:r>
      <w:r>
        <w:rPr>
          <w:rFonts w:hint="eastAsia" w:cs="宋体"/>
          <w:b/>
          <w:i/>
          <w:color w:val="auto"/>
          <w:kern w:val="44"/>
          <w:highlight w:val="none"/>
          <w:u w:val="single"/>
        </w:rPr>
        <w:t>（所属行业）</w:t>
      </w:r>
      <w:r>
        <w:rPr>
          <w:rFonts w:hint="eastAsia" w:cs="宋体"/>
          <w:color w:val="auto"/>
          <w:kern w:val="44"/>
          <w:highlight w:val="none"/>
        </w:rPr>
        <w:t>；承建（承接）企业为</w:t>
      </w:r>
      <w:r>
        <w:rPr>
          <w:rFonts w:hint="eastAsia" w:cs="宋体"/>
          <w:b/>
          <w:i/>
          <w:color w:val="auto"/>
          <w:kern w:val="44"/>
          <w:highlight w:val="none"/>
          <w:u w:val="single"/>
        </w:rPr>
        <w:t>（企业名称）</w:t>
      </w:r>
      <w:r>
        <w:rPr>
          <w:rFonts w:hint="eastAsia" w:cs="宋体"/>
          <w:color w:val="auto"/>
          <w:kern w:val="44"/>
          <w:highlight w:val="none"/>
        </w:rPr>
        <w:t>，从业人员</w:t>
      </w:r>
      <w:r>
        <w:rPr>
          <w:rFonts w:hint="eastAsia" w:cs="宋体"/>
          <w:color w:val="auto"/>
          <w:kern w:val="44"/>
          <w:highlight w:val="none"/>
          <w:u w:val="single"/>
        </w:rPr>
        <w:t xml:space="preserve">    </w:t>
      </w:r>
      <w:r>
        <w:rPr>
          <w:rFonts w:hint="eastAsia" w:cs="宋体"/>
          <w:color w:val="auto"/>
          <w:kern w:val="44"/>
          <w:highlight w:val="none"/>
        </w:rPr>
        <w:t>人，营业收入为</w:t>
      </w:r>
      <w:r>
        <w:rPr>
          <w:rFonts w:hint="eastAsia" w:cs="宋体"/>
          <w:color w:val="auto"/>
          <w:kern w:val="44"/>
          <w:highlight w:val="none"/>
          <w:u w:val="single"/>
        </w:rPr>
        <w:t xml:space="preserve">    </w:t>
      </w:r>
      <w:r>
        <w:rPr>
          <w:rFonts w:hint="eastAsia" w:cs="宋体"/>
          <w:color w:val="auto"/>
          <w:kern w:val="44"/>
          <w:highlight w:val="none"/>
        </w:rPr>
        <w:t>万元，资产总额为</w:t>
      </w:r>
      <w:r>
        <w:rPr>
          <w:rFonts w:hint="eastAsia" w:cs="宋体"/>
          <w:color w:val="auto"/>
          <w:kern w:val="44"/>
          <w:highlight w:val="none"/>
          <w:u w:val="single"/>
        </w:rPr>
        <w:t xml:space="preserve">    </w:t>
      </w:r>
      <w:r>
        <w:rPr>
          <w:rFonts w:hint="eastAsia" w:cs="宋体"/>
          <w:color w:val="auto"/>
          <w:kern w:val="44"/>
          <w:highlight w:val="none"/>
        </w:rPr>
        <w:t>万元，属于</w:t>
      </w:r>
      <w:r>
        <w:rPr>
          <w:rFonts w:hint="eastAsia" w:cs="宋体"/>
          <w:b/>
          <w:i/>
          <w:color w:val="auto"/>
          <w:kern w:val="44"/>
          <w:highlight w:val="none"/>
          <w:u w:val="single"/>
        </w:rPr>
        <w:t>(中型企业、小型企业、微型企业)</w:t>
      </w:r>
      <w:r>
        <w:rPr>
          <w:rFonts w:hint="eastAsia" w:cs="宋体"/>
          <w:color w:val="auto"/>
          <w:kern w:val="44"/>
          <w:highlight w:val="none"/>
        </w:rPr>
        <w:t>；</w:t>
      </w:r>
    </w:p>
    <w:p w14:paraId="2C62382D">
      <w:pPr>
        <w:pStyle w:val="53"/>
        <w:pageBreakBefore w:val="0"/>
        <w:kinsoku/>
        <w:wordWrap/>
        <w:overflowPunct/>
        <w:topLinePunct w:val="0"/>
        <w:bidi w:val="0"/>
        <w:snapToGrid w:val="0"/>
        <w:spacing w:line="360" w:lineRule="auto"/>
        <w:ind w:firstLine="420" w:firstLineChars="200"/>
        <w:rPr>
          <w:rFonts w:hint="eastAsia" w:cs="宋体"/>
          <w:color w:val="auto"/>
          <w:kern w:val="44"/>
          <w:highlight w:val="none"/>
        </w:rPr>
      </w:pPr>
      <w:r>
        <w:rPr>
          <w:rFonts w:cs="宋体"/>
          <w:color w:val="auto"/>
          <w:kern w:val="44"/>
          <w:highlight w:val="none"/>
        </w:rPr>
        <w:t>3.…………</w:t>
      </w:r>
    </w:p>
    <w:p w14:paraId="4F11F07C">
      <w:pPr>
        <w:pStyle w:val="53"/>
        <w:pageBreakBefore w:val="0"/>
        <w:kinsoku/>
        <w:wordWrap/>
        <w:overflowPunct/>
        <w:topLinePunct w:val="0"/>
        <w:bidi w:val="0"/>
        <w:snapToGrid w:val="0"/>
        <w:spacing w:line="360" w:lineRule="auto"/>
        <w:ind w:firstLine="420" w:firstLineChars="200"/>
        <w:rPr>
          <w:rFonts w:hint="eastAsia" w:cs="宋体"/>
          <w:color w:val="auto"/>
          <w:kern w:val="44"/>
          <w:highlight w:val="none"/>
        </w:rPr>
      </w:pPr>
      <w:r>
        <w:rPr>
          <w:rFonts w:hint="eastAsia" w:cs="宋体"/>
          <w:color w:val="auto"/>
          <w:kern w:val="44"/>
          <w:highlight w:val="none"/>
        </w:rPr>
        <w:t>以上企业，不属于大企业的分支机构，不存在控股股东为大企业的情形，也不存在与大企业的负责人为同一人的情形。</w:t>
      </w:r>
    </w:p>
    <w:p w14:paraId="7E43B297">
      <w:pPr>
        <w:pStyle w:val="53"/>
        <w:pageBreakBefore w:val="0"/>
        <w:kinsoku/>
        <w:wordWrap/>
        <w:overflowPunct/>
        <w:topLinePunct w:val="0"/>
        <w:bidi w:val="0"/>
        <w:snapToGrid w:val="0"/>
        <w:spacing w:line="360" w:lineRule="auto"/>
        <w:ind w:firstLine="420" w:firstLineChars="200"/>
        <w:rPr>
          <w:rFonts w:hint="eastAsia" w:cs="宋体"/>
          <w:color w:val="auto"/>
          <w:kern w:val="44"/>
          <w:highlight w:val="none"/>
        </w:rPr>
      </w:pPr>
      <w:r>
        <w:rPr>
          <w:rFonts w:hint="eastAsia" w:cs="宋体"/>
          <w:color w:val="auto"/>
          <w:kern w:val="44"/>
          <w:highlight w:val="none"/>
        </w:rPr>
        <w:t>本企业对上述声明内容的真实性负责。如有虚假，将依法承担相应责任。</w:t>
      </w:r>
    </w:p>
    <w:p w14:paraId="06273A21">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29EDAD6D">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1E22F33C">
      <w:pPr>
        <w:pageBreakBefore w:val="0"/>
        <w:kinsoku/>
        <w:wordWrap/>
        <w:overflowPunct/>
        <w:topLinePunct w:val="0"/>
        <w:bidi w:val="0"/>
        <w:spacing w:line="360" w:lineRule="auto"/>
        <w:ind w:firstLine="6090" w:firstLineChars="2900"/>
        <w:rPr>
          <w:rFonts w:hint="eastAsia" w:ascii="宋体" w:hAnsi="宋体" w:cs="宋体"/>
          <w:color w:val="auto"/>
          <w:kern w:val="44"/>
          <w:szCs w:val="21"/>
          <w:highlight w:val="none"/>
        </w:rPr>
      </w:pPr>
      <w:r>
        <w:rPr>
          <w:rFonts w:hint="eastAsia" w:ascii="宋体" w:hAnsi="宋体" w:cs="宋体"/>
          <w:color w:val="auto"/>
          <w:kern w:val="44"/>
          <w:szCs w:val="21"/>
          <w:highlight w:val="none"/>
        </w:rPr>
        <w:t>企业名称(盖章)：</w:t>
      </w:r>
    </w:p>
    <w:p w14:paraId="3DDA06F6">
      <w:pPr>
        <w:pageBreakBefore w:val="0"/>
        <w:kinsoku/>
        <w:wordWrap/>
        <w:overflowPunct/>
        <w:topLinePunct w:val="0"/>
        <w:bidi w:val="0"/>
        <w:spacing w:line="360" w:lineRule="auto"/>
        <w:ind w:firstLine="6090" w:firstLineChars="2900"/>
        <w:rPr>
          <w:rFonts w:hint="eastAsia" w:ascii="宋体" w:hAnsi="宋体" w:cs="宋体"/>
          <w:color w:val="auto"/>
          <w:kern w:val="44"/>
          <w:szCs w:val="21"/>
          <w:highlight w:val="none"/>
        </w:rPr>
      </w:pPr>
      <w:r>
        <w:rPr>
          <w:rFonts w:hint="eastAsia" w:ascii="宋体" w:hAnsi="宋体" w:cs="宋体"/>
          <w:color w:val="auto"/>
          <w:kern w:val="44"/>
          <w:szCs w:val="21"/>
          <w:highlight w:val="none"/>
        </w:rPr>
        <w:t>日期：</w:t>
      </w:r>
    </w:p>
    <w:p w14:paraId="7049CDC0">
      <w:pPr>
        <w:pageBreakBefore w:val="0"/>
        <w:kinsoku/>
        <w:wordWrap/>
        <w:overflowPunct/>
        <w:topLinePunct w:val="0"/>
        <w:bidi w:val="0"/>
        <w:spacing w:line="360" w:lineRule="auto"/>
        <w:rPr>
          <w:rFonts w:hint="eastAsia" w:ascii="宋体" w:hAnsi="宋体" w:cs="宋体"/>
          <w:color w:val="auto"/>
          <w:kern w:val="44"/>
          <w:szCs w:val="21"/>
          <w:highlight w:val="none"/>
        </w:rPr>
      </w:pPr>
    </w:p>
    <w:p w14:paraId="5A673C67">
      <w:pPr>
        <w:pageBreakBefore w:val="0"/>
        <w:kinsoku/>
        <w:wordWrap/>
        <w:overflowPunct/>
        <w:topLinePunct w:val="0"/>
        <w:bidi w:val="0"/>
        <w:spacing w:line="360" w:lineRule="auto"/>
        <w:rPr>
          <w:rFonts w:hint="eastAsia" w:ascii="宋体" w:hAnsi="宋体" w:cs="宋体"/>
          <w:b/>
          <w:color w:val="auto"/>
          <w:kern w:val="44"/>
          <w:szCs w:val="21"/>
          <w:highlight w:val="none"/>
        </w:rPr>
      </w:pPr>
      <w:r>
        <w:rPr>
          <w:rFonts w:hint="eastAsia" w:ascii="宋体" w:hAnsi="宋体" w:cs="宋体"/>
          <w:b/>
          <w:color w:val="auto"/>
          <w:kern w:val="44"/>
          <w:szCs w:val="21"/>
          <w:highlight w:val="none"/>
        </w:rPr>
        <w:t>注：（1）从业人员、营业收入、资产总额填报上一年度数据，无一年度数据的新成立企业可不填报。</w:t>
      </w:r>
    </w:p>
    <w:p w14:paraId="45852CC9">
      <w:pPr>
        <w:pageBreakBefore w:val="0"/>
        <w:kinsoku/>
        <w:wordWrap/>
        <w:overflowPunct/>
        <w:topLinePunct w:val="0"/>
        <w:bidi w:val="0"/>
        <w:spacing w:line="360" w:lineRule="auto"/>
        <w:rPr>
          <w:rFonts w:hint="eastAsia" w:ascii="宋体" w:hAnsi="宋体" w:cs="宋体"/>
          <w:b/>
          <w:color w:val="auto"/>
          <w:kern w:val="44"/>
          <w:szCs w:val="21"/>
          <w:highlight w:val="none"/>
        </w:rPr>
      </w:pPr>
      <w:r>
        <w:rPr>
          <w:rFonts w:hint="eastAsia" w:ascii="宋体" w:hAnsi="宋体" w:cs="宋体"/>
          <w:b/>
          <w:color w:val="auto"/>
          <w:kern w:val="44"/>
          <w:szCs w:val="21"/>
          <w:highlight w:val="none"/>
        </w:rPr>
        <w:t>（2）供应商应按实际情况填写此表，对填写内容的真实性负责，并附在报价要求响应文件后。供应商提供声明函内容不实的，属于提供虚假材料谋取中标、成交。</w:t>
      </w:r>
    </w:p>
    <w:p w14:paraId="2113EE0B">
      <w:pPr>
        <w:pageBreakBefore w:val="0"/>
        <w:kinsoku/>
        <w:wordWrap/>
        <w:overflowPunct/>
        <w:topLinePunct w:val="0"/>
        <w:bidi w:val="0"/>
        <w:spacing w:line="360" w:lineRule="auto"/>
        <w:ind w:left="422" w:hanging="422" w:hangingChars="200"/>
        <w:jc w:val="center"/>
        <w:rPr>
          <w:rFonts w:hint="eastAsia" w:ascii="宋体" w:hAnsi="宋体" w:cs="宋体"/>
          <w:b/>
          <w:color w:val="auto"/>
          <w:kern w:val="44"/>
          <w:szCs w:val="21"/>
          <w:highlight w:val="none"/>
        </w:rPr>
      </w:pPr>
    </w:p>
    <w:p w14:paraId="149FD95E">
      <w:pPr>
        <w:pageBreakBefore w:val="0"/>
        <w:kinsoku/>
        <w:wordWrap/>
        <w:overflowPunct/>
        <w:topLinePunct w:val="0"/>
        <w:bidi w:val="0"/>
        <w:spacing w:line="360" w:lineRule="auto"/>
        <w:ind w:left="422" w:hanging="422" w:hangingChars="200"/>
        <w:jc w:val="center"/>
        <w:rPr>
          <w:rFonts w:hint="eastAsia" w:ascii="宋体" w:hAnsi="宋体" w:cs="宋体"/>
          <w:b/>
          <w:color w:val="auto"/>
          <w:kern w:val="44"/>
          <w:szCs w:val="21"/>
          <w:highlight w:val="none"/>
        </w:rPr>
      </w:pPr>
    </w:p>
    <w:p w14:paraId="5362958F">
      <w:pPr>
        <w:pageBreakBefore w:val="0"/>
        <w:widowControl/>
        <w:kinsoku/>
        <w:wordWrap/>
        <w:overflowPunct/>
        <w:topLinePunct w:val="0"/>
        <w:bidi w:val="0"/>
        <w:spacing w:line="360" w:lineRule="auto"/>
        <w:jc w:val="left"/>
        <w:rPr>
          <w:rFonts w:hint="eastAsia" w:ascii="宋体" w:hAnsi="宋体" w:cs="宋体"/>
          <w:b/>
          <w:color w:val="auto"/>
          <w:kern w:val="44"/>
          <w:szCs w:val="21"/>
          <w:highlight w:val="none"/>
        </w:rPr>
      </w:pPr>
      <w:r>
        <w:rPr>
          <w:rFonts w:ascii="宋体" w:hAnsi="宋体" w:cs="宋体"/>
          <w:b/>
          <w:color w:val="auto"/>
          <w:kern w:val="44"/>
          <w:szCs w:val="21"/>
          <w:highlight w:val="none"/>
        </w:rPr>
        <w:br w:type="page"/>
      </w:r>
    </w:p>
    <w:p w14:paraId="3696742B">
      <w:pPr>
        <w:pageBreakBefore w:val="0"/>
        <w:widowControl/>
        <w:kinsoku/>
        <w:wordWrap/>
        <w:overflowPunct/>
        <w:topLinePunct w:val="0"/>
        <w:bidi w:val="0"/>
        <w:snapToGrid w:val="0"/>
        <w:spacing w:line="360" w:lineRule="auto"/>
        <w:jc w:val="center"/>
        <w:rPr>
          <w:rFonts w:hint="eastAsia" w:ascii="宋体" w:hAnsi="宋体" w:cs="宋体"/>
          <w:b/>
          <w:color w:val="auto"/>
          <w:kern w:val="0"/>
          <w:sz w:val="24"/>
          <w:szCs w:val="21"/>
          <w:highlight w:val="none"/>
        </w:rPr>
      </w:pPr>
    </w:p>
    <w:p w14:paraId="08106173">
      <w:pPr>
        <w:pageBreakBefore w:val="0"/>
        <w:widowControl/>
        <w:kinsoku/>
        <w:wordWrap/>
        <w:overflowPunct/>
        <w:topLinePunct w:val="0"/>
        <w:bidi w:val="0"/>
        <w:snapToGrid w:val="0"/>
        <w:spacing w:line="360" w:lineRule="auto"/>
        <w:jc w:val="center"/>
        <w:rPr>
          <w:rFonts w:hint="eastAsia" w:ascii="宋体" w:hAnsi="宋体" w:cs="宋体"/>
          <w:b/>
          <w:color w:val="auto"/>
          <w:kern w:val="0"/>
          <w:sz w:val="24"/>
          <w:szCs w:val="21"/>
          <w:highlight w:val="none"/>
        </w:rPr>
      </w:pPr>
      <w:r>
        <w:rPr>
          <w:rFonts w:hint="eastAsia" w:ascii="宋体" w:hAnsi="宋体" w:cs="宋体"/>
          <w:b/>
          <w:color w:val="auto"/>
          <w:kern w:val="0"/>
          <w:sz w:val="24"/>
          <w:szCs w:val="21"/>
          <w:highlight w:val="none"/>
        </w:rPr>
        <w:t>残疾人福利性单位声明函</w:t>
      </w:r>
    </w:p>
    <w:p w14:paraId="77772BBA">
      <w:pPr>
        <w:pStyle w:val="53"/>
        <w:pageBreakBefore w:val="0"/>
        <w:kinsoku/>
        <w:wordWrap/>
        <w:overflowPunct/>
        <w:topLinePunct w:val="0"/>
        <w:bidi w:val="0"/>
        <w:snapToGrid w:val="0"/>
        <w:spacing w:line="360" w:lineRule="auto"/>
        <w:ind w:firstLine="420" w:firstLineChars="200"/>
        <w:jc w:val="center"/>
        <w:rPr>
          <w:rFonts w:hint="eastAsia" w:eastAsia="宋体"/>
          <w:color w:val="auto"/>
          <w:highlight w:val="none"/>
          <w:lang w:eastAsia="zh-CN"/>
        </w:rPr>
      </w:pPr>
      <w:r>
        <w:rPr>
          <w:rFonts w:hint="eastAsia"/>
          <w:color w:val="auto"/>
          <w:highlight w:val="none"/>
          <w:lang w:eastAsia="zh-CN"/>
        </w:rPr>
        <w:t>（如不涉及，可不填写）</w:t>
      </w:r>
    </w:p>
    <w:p w14:paraId="31D56C31">
      <w:pPr>
        <w:pStyle w:val="53"/>
        <w:pageBreakBefore w:val="0"/>
        <w:kinsoku/>
        <w:wordWrap/>
        <w:overflowPunct/>
        <w:topLinePunct w:val="0"/>
        <w:bidi w:val="0"/>
        <w:snapToGrid w:val="0"/>
        <w:spacing w:line="360" w:lineRule="auto"/>
        <w:ind w:firstLine="420" w:firstLineChars="200"/>
        <w:jc w:val="left"/>
        <w:rPr>
          <w:rFonts w:hint="eastAsia"/>
          <w:color w:val="auto"/>
          <w:highlight w:val="none"/>
        </w:rPr>
      </w:pPr>
      <w:r>
        <w:rPr>
          <w:rFonts w:hint="eastAsia"/>
          <w:color w:val="auto"/>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3A463BF">
      <w:pPr>
        <w:pStyle w:val="53"/>
        <w:pageBreakBefore w:val="0"/>
        <w:kinsoku/>
        <w:wordWrap/>
        <w:overflowPunct/>
        <w:topLinePunct w:val="0"/>
        <w:bidi w:val="0"/>
        <w:snapToGrid w:val="0"/>
        <w:spacing w:line="360" w:lineRule="auto"/>
        <w:ind w:firstLine="420" w:firstLineChars="200"/>
        <w:jc w:val="left"/>
        <w:rPr>
          <w:rFonts w:hint="eastAsia"/>
          <w:color w:val="auto"/>
          <w:highlight w:val="none"/>
        </w:rPr>
      </w:pPr>
      <w:r>
        <w:rPr>
          <w:rFonts w:hint="eastAsia"/>
          <w:color w:val="auto"/>
          <w:highlight w:val="none"/>
        </w:rPr>
        <w:t>本单位对上述声明的真实性负责。如有虚假，将依法承担相应责任。</w:t>
      </w:r>
    </w:p>
    <w:p w14:paraId="34938F52">
      <w:pPr>
        <w:pStyle w:val="53"/>
        <w:pageBreakBefore w:val="0"/>
        <w:kinsoku/>
        <w:wordWrap/>
        <w:overflowPunct/>
        <w:topLinePunct w:val="0"/>
        <w:bidi w:val="0"/>
        <w:snapToGrid w:val="0"/>
        <w:spacing w:line="360" w:lineRule="auto"/>
        <w:ind w:firstLine="5880" w:firstLineChars="2800"/>
        <w:rPr>
          <w:rFonts w:hint="eastAsia"/>
          <w:color w:val="auto"/>
          <w:highlight w:val="none"/>
        </w:rPr>
      </w:pPr>
    </w:p>
    <w:p w14:paraId="1BEE1D13">
      <w:pPr>
        <w:pStyle w:val="53"/>
        <w:pageBreakBefore w:val="0"/>
        <w:kinsoku/>
        <w:wordWrap/>
        <w:overflowPunct/>
        <w:topLinePunct w:val="0"/>
        <w:bidi w:val="0"/>
        <w:snapToGrid w:val="0"/>
        <w:spacing w:line="360" w:lineRule="auto"/>
        <w:ind w:firstLine="5880" w:firstLineChars="2800"/>
        <w:rPr>
          <w:rFonts w:hint="eastAsia"/>
          <w:color w:val="auto"/>
          <w:highlight w:val="none"/>
        </w:rPr>
      </w:pPr>
    </w:p>
    <w:p w14:paraId="18DE250A">
      <w:pPr>
        <w:pStyle w:val="53"/>
        <w:pageBreakBefore w:val="0"/>
        <w:kinsoku/>
        <w:wordWrap/>
        <w:overflowPunct/>
        <w:topLinePunct w:val="0"/>
        <w:bidi w:val="0"/>
        <w:snapToGrid w:val="0"/>
        <w:spacing w:line="360" w:lineRule="auto"/>
        <w:ind w:firstLine="5880" w:firstLineChars="2800"/>
        <w:rPr>
          <w:rFonts w:hint="eastAsia"/>
          <w:color w:val="auto"/>
          <w:highlight w:val="none"/>
        </w:rPr>
      </w:pPr>
      <w:r>
        <w:rPr>
          <w:rFonts w:hint="eastAsia"/>
          <w:color w:val="auto"/>
          <w:highlight w:val="none"/>
        </w:rPr>
        <w:t>单位名称（盖章）：</w:t>
      </w:r>
    </w:p>
    <w:p w14:paraId="1D3FC0E2">
      <w:pPr>
        <w:pStyle w:val="53"/>
        <w:pageBreakBefore w:val="0"/>
        <w:kinsoku/>
        <w:wordWrap/>
        <w:overflowPunct/>
        <w:topLinePunct w:val="0"/>
        <w:bidi w:val="0"/>
        <w:snapToGrid w:val="0"/>
        <w:spacing w:line="360" w:lineRule="auto"/>
        <w:ind w:firstLine="5880" w:firstLineChars="2800"/>
        <w:rPr>
          <w:rFonts w:hint="eastAsia"/>
          <w:color w:val="auto"/>
          <w:highlight w:val="none"/>
        </w:rPr>
      </w:pPr>
      <w:r>
        <w:rPr>
          <w:rFonts w:hint="eastAsia"/>
          <w:color w:val="auto"/>
          <w:highlight w:val="none"/>
        </w:rPr>
        <w:t>日  期：</w:t>
      </w:r>
    </w:p>
    <w:p w14:paraId="31D7662F">
      <w:pPr>
        <w:pageBreakBefore w:val="0"/>
        <w:shd w:val="solid" w:color="FFFFFF" w:fill="auto"/>
        <w:kinsoku/>
        <w:wordWrap/>
        <w:overflowPunct/>
        <w:topLinePunct w:val="0"/>
        <w:autoSpaceDN w:val="0"/>
        <w:bidi w:val="0"/>
        <w:snapToGrid w:val="0"/>
        <w:spacing w:line="360" w:lineRule="auto"/>
        <w:rPr>
          <w:rFonts w:hint="eastAsia" w:ascii="宋体" w:hAnsi="宋体"/>
          <w:b/>
          <w:color w:val="auto"/>
          <w:szCs w:val="21"/>
          <w:highlight w:val="none"/>
        </w:rPr>
      </w:pPr>
    </w:p>
    <w:p w14:paraId="2F77E8E0">
      <w:pPr>
        <w:pageBreakBefore w:val="0"/>
        <w:shd w:val="solid" w:color="FFFFFF" w:fill="auto"/>
        <w:kinsoku/>
        <w:wordWrap/>
        <w:overflowPunct/>
        <w:topLinePunct w:val="0"/>
        <w:autoSpaceDN w:val="0"/>
        <w:bidi w:val="0"/>
        <w:snapToGrid w:val="0"/>
        <w:spacing w:line="360" w:lineRule="auto"/>
        <w:rPr>
          <w:rFonts w:hint="eastAsia" w:ascii="宋体" w:hAnsi="宋体"/>
          <w:b/>
          <w:color w:val="auto"/>
          <w:szCs w:val="21"/>
          <w:highlight w:val="none"/>
        </w:rPr>
      </w:pPr>
    </w:p>
    <w:p w14:paraId="262D9E03">
      <w:pPr>
        <w:pageBreakBefore w:val="0"/>
        <w:shd w:val="solid" w:color="FFFFFF" w:fill="auto"/>
        <w:kinsoku/>
        <w:wordWrap/>
        <w:overflowPunct/>
        <w:topLinePunct w:val="0"/>
        <w:autoSpaceDN w:val="0"/>
        <w:bidi w:val="0"/>
        <w:snapToGrid w:val="0"/>
        <w:spacing w:line="360" w:lineRule="auto"/>
        <w:rPr>
          <w:rFonts w:hint="eastAsia" w:hAnsi="宋体"/>
          <w:b/>
          <w:color w:val="auto"/>
          <w:szCs w:val="21"/>
          <w:highlight w:val="none"/>
        </w:rPr>
      </w:pPr>
      <w:r>
        <w:rPr>
          <w:rFonts w:hint="eastAsia" w:hAnsi="宋体"/>
          <w:b/>
          <w:color w:val="auto"/>
          <w:szCs w:val="21"/>
          <w:highlight w:val="none"/>
        </w:rPr>
        <w:t>注：符合条件的残疾人福利性单位在参加政府采购活动时，应当提供本声明函且装订在响应文件中，并对声明的真实性负责。供应商提供的《残疾人福利性单位声明函》与事实不符的，依照《政府采购法》第七十七条第一款的规定追究法律责任。</w:t>
      </w:r>
    </w:p>
    <w:p w14:paraId="3F139B40">
      <w:pPr>
        <w:pageBreakBefore w:val="0"/>
        <w:shd w:val="solid" w:color="FFFFFF" w:fill="auto"/>
        <w:kinsoku/>
        <w:wordWrap/>
        <w:overflowPunct/>
        <w:topLinePunct w:val="0"/>
        <w:autoSpaceDN w:val="0"/>
        <w:bidi w:val="0"/>
        <w:snapToGrid w:val="0"/>
        <w:spacing w:line="360" w:lineRule="auto"/>
        <w:rPr>
          <w:rFonts w:hint="eastAsia" w:ascii="宋体" w:hAnsi="宋体"/>
          <w:b/>
          <w:color w:val="auto"/>
          <w:szCs w:val="21"/>
          <w:highlight w:val="none"/>
        </w:rPr>
      </w:pPr>
      <w:r>
        <w:rPr>
          <w:rFonts w:hint="eastAsia" w:hAnsi="宋体"/>
          <w:b/>
          <w:color w:val="auto"/>
          <w:szCs w:val="21"/>
          <w:highlight w:val="none"/>
        </w:rPr>
        <w:t xml:space="preserve">    若供应商不属于残疾人福利性单位的，可不提供此函。</w:t>
      </w:r>
    </w:p>
    <w:p w14:paraId="214F67ED">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3AE26C7A">
      <w:pPr>
        <w:keepNext/>
        <w:keepLines/>
        <w:pageBreakBefore w:val="0"/>
        <w:kinsoku/>
        <w:wordWrap/>
        <w:overflowPunct/>
        <w:topLinePunct w:val="0"/>
        <w:bidi w:val="0"/>
        <w:spacing w:line="360" w:lineRule="auto"/>
        <w:jc w:val="center"/>
        <w:outlineLvl w:val="9"/>
        <w:rPr>
          <w:rFonts w:hint="eastAsia" w:ascii="宋体" w:hAnsi="宋体" w:cs="宋体"/>
          <w:b/>
          <w:bCs/>
          <w:color w:val="auto"/>
          <w:szCs w:val="21"/>
          <w:highlight w:val="none"/>
        </w:rPr>
      </w:pPr>
    </w:p>
    <w:p w14:paraId="5067CED1">
      <w:pPr>
        <w:keepNext/>
        <w:keepLines/>
        <w:pageBreakBefore w:val="0"/>
        <w:kinsoku/>
        <w:wordWrap/>
        <w:overflowPunct/>
        <w:topLinePunct w:val="0"/>
        <w:bidi w:val="0"/>
        <w:spacing w:line="360" w:lineRule="auto"/>
        <w:jc w:val="center"/>
        <w:outlineLvl w:val="9"/>
        <w:rPr>
          <w:rFonts w:hint="eastAsia" w:ascii="宋体" w:hAnsi="宋体" w:cs="宋体"/>
          <w:b/>
          <w:bCs/>
          <w:color w:val="auto"/>
          <w:szCs w:val="21"/>
          <w:highlight w:val="none"/>
        </w:rPr>
      </w:pPr>
      <w:r>
        <w:rPr>
          <w:rFonts w:hint="eastAsia" w:ascii="宋体" w:hAnsi="宋体" w:cs="宋体"/>
          <w:b/>
          <w:bCs/>
          <w:color w:val="auto"/>
          <w:szCs w:val="21"/>
          <w:highlight w:val="none"/>
        </w:rPr>
        <w:t>监狱企业证明文件</w:t>
      </w:r>
    </w:p>
    <w:p w14:paraId="397614B9">
      <w:pPr>
        <w:keepNext/>
        <w:keepLines/>
        <w:pageBreakBefore w:val="0"/>
        <w:kinsoku/>
        <w:wordWrap/>
        <w:overflowPunct/>
        <w:topLinePunct w:val="0"/>
        <w:bidi w:val="0"/>
        <w:spacing w:line="360" w:lineRule="auto"/>
        <w:jc w:val="center"/>
        <w:outlineLvl w:val="9"/>
        <w:rPr>
          <w:rFonts w:hint="eastAsia" w:ascii="宋体" w:hAnsi="宋体" w:cs="宋体"/>
          <w:b/>
          <w:bCs/>
          <w:color w:val="auto"/>
          <w:szCs w:val="21"/>
          <w:highlight w:val="none"/>
        </w:rPr>
      </w:pPr>
      <w:r>
        <w:rPr>
          <w:rFonts w:hint="eastAsia" w:ascii="宋体" w:hAnsi="宋体" w:cs="宋体"/>
          <w:b/>
          <w:bCs/>
          <w:color w:val="auto"/>
          <w:szCs w:val="21"/>
          <w:highlight w:val="none"/>
        </w:rPr>
        <w:t>（不属于监狱企业的无需填写）</w:t>
      </w:r>
    </w:p>
    <w:tbl>
      <w:tblPr>
        <w:tblStyle w:val="37"/>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0DD3A7BC">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6200" w:hRule="atLeast"/>
        </w:trPr>
        <w:tc>
          <w:tcPr>
            <w:tcW w:w="9037" w:type="dxa"/>
            <w:vAlign w:val="center"/>
          </w:tcPr>
          <w:p w14:paraId="0205CD29">
            <w:pPr>
              <w:pageBreakBefore w:val="0"/>
              <w:kinsoku/>
              <w:wordWrap/>
              <w:overflowPunct/>
              <w:topLinePunct w:val="0"/>
              <w:bidi w:val="0"/>
              <w:spacing w:line="360" w:lineRule="auto"/>
              <w:ind w:firstLine="371" w:firstLineChars="177"/>
              <w:rPr>
                <w:rFonts w:hint="eastAsia" w:ascii="宋体" w:hAnsi="宋体" w:cs="宋体"/>
                <w:color w:val="auto"/>
                <w:kern w:val="0"/>
                <w:szCs w:val="21"/>
                <w:highlight w:val="none"/>
              </w:rPr>
            </w:pPr>
            <w:r>
              <w:rPr>
                <w:rFonts w:hint="eastAsia" w:ascii="宋体" w:hAnsi="宋体" w:cs="宋体"/>
                <w:color w:val="auto"/>
                <w:kern w:val="0"/>
                <w:szCs w:val="21"/>
                <w:highlight w:val="none"/>
              </w:rPr>
              <w:t>备注:（1）根据《关于政府采购支持监狱企业发展有关问题的通知》（财库[2014]68号）的规定，符合规定要求的供应商视同为小型和微型企业。</w:t>
            </w:r>
          </w:p>
          <w:p w14:paraId="339C4A1A">
            <w:pPr>
              <w:pageBreakBefore w:val="0"/>
              <w:kinsoku/>
              <w:wordWrap/>
              <w:overflowPunct/>
              <w:topLinePunct w:val="0"/>
              <w:bidi w:val="0"/>
              <w:spacing w:line="360" w:lineRule="auto"/>
              <w:ind w:firstLine="371" w:firstLineChars="177"/>
              <w:rPr>
                <w:rFonts w:hint="eastAsia" w:ascii="宋体" w:hAnsi="宋体" w:cs="宋体"/>
                <w:b/>
                <w:i/>
                <w:color w:val="auto"/>
                <w:kern w:val="0"/>
                <w:szCs w:val="21"/>
                <w:highlight w:val="none"/>
              </w:rPr>
            </w:pPr>
            <w:r>
              <w:rPr>
                <w:rFonts w:hint="eastAsia" w:ascii="宋体" w:hAnsi="宋体" w:cs="宋体"/>
                <w:color w:val="auto"/>
                <w:kern w:val="0"/>
                <w:szCs w:val="21"/>
                <w:highlight w:val="none"/>
              </w:rPr>
              <w:t>（2）监狱企业证明文件：省级或以上监狱管理局、戒毒管理局（含新疆生产建设兵团）出具的属于监狱企业的证明文件，如提供其他监狱企业制造的货物，还须同时提供该企业为监狱企业的证明文件。提供复印件加盖磋商响应供应商公章</w:t>
            </w:r>
          </w:p>
        </w:tc>
      </w:tr>
    </w:tbl>
    <w:p w14:paraId="0BD68B13">
      <w:pPr>
        <w:pageBreakBefore w:val="0"/>
        <w:kinsoku/>
        <w:wordWrap/>
        <w:overflowPunct/>
        <w:topLinePunct w:val="0"/>
        <w:bidi w:val="0"/>
        <w:spacing w:line="360" w:lineRule="auto"/>
        <w:ind w:left="422" w:hanging="422" w:hangingChars="200"/>
        <w:jc w:val="center"/>
        <w:rPr>
          <w:rFonts w:hint="eastAsia" w:ascii="宋体" w:hAnsi="宋体" w:cs="宋体"/>
          <w:b/>
          <w:color w:val="auto"/>
          <w:kern w:val="44"/>
          <w:szCs w:val="21"/>
          <w:highlight w:val="none"/>
        </w:rPr>
      </w:pPr>
    </w:p>
    <w:p w14:paraId="02CB2A84">
      <w:pPr>
        <w:pageBreakBefore w:val="0"/>
        <w:kinsoku/>
        <w:wordWrap/>
        <w:overflowPunct/>
        <w:topLinePunct w:val="0"/>
        <w:bidi w:val="0"/>
        <w:spacing w:line="360" w:lineRule="auto"/>
        <w:ind w:left="422" w:hanging="422" w:hangingChars="200"/>
        <w:jc w:val="center"/>
        <w:rPr>
          <w:rFonts w:hint="eastAsia" w:ascii="宋体" w:hAnsi="宋体" w:cs="宋体"/>
          <w:b/>
          <w:color w:val="auto"/>
          <w:kern w:val="44"/>
          <w:szCs w:val="21"/>
          <w:highlight w:val="none"/>
        </w:rPr>
      </w:pPr>
    </w:p>
    <w:p w14:paraId="472AB590">
      <w:pPr>
        <w:pageBreakBefore w:val="0"/>
        <w:widowControl/>
        <w:kinsoku/>
        <w:wordWrap/>
        <w:overflowPunct/>
        <w:topLinePunct w:val="0"/>
        <w:bidi w:val="0"/>
        <w:snapToGrid w:val="0"/>
        <w:spacing w:line="360" w:lineRule="auto"/>
        <w:jc w:val="center"/>
        <w:rPr>
          <w:rFonts w:hint="eastAsia" w:ascii="宋体" w:hAnsi="宋体" w:cs="宋体"/>
          <w:b/>
          <w:color w:val="auto"/>
          <w:kern w:val="0"/>
          <w:sz w:val="24"/>
          <w:szCs w:val="21"/>
          <w:highlight w:val="none"/>
        </w:rPr>
      </w:pPr>
    </w:p>
    <w:p w14:paraId="66F36FFF">
      <w:pPr>
        <w:pageBreakBefore w:val="0"/>
        <w:kinsoku/>
        <w:wordWrap/>
        <w:overflowPunct/>
        <w:topLinePunct w:val="0"/>
        <w:bidi w:val="0"/>
        <w:spacing w:line="360" w:lineRule="auto"/>
        <w:rPr>
          <w:rFonts w:hint="eastAsia" w:ascii="宋体" w:hAnsi="宋体" w:cs="宋体"/>
          <w:b/>
          <w:color w:val="auto"/>
          <w:kern w:val="0"/>
          <w:sz w:val="24"/>
          <w:szCs w:val="21"/>
          <w:highlight w:val="none"/>
        </w:rPr>
      </w:pPr>
      <w:r>
        <w:rPr>
          <w:rFonts w:hint="eastAsia" w:ascii="宋体" w:hAnsi="宋体" w:cs="宋体"/>
          <w:b/>
          <w:color w:val="auto"/>
          <w:kern w:val="0"/>
          <w:sz w:val="24"/>
          <w:szCs w:val="21"/>
          <w:highlight w:val="none"/>
        </w:rPr>
        <w:br w:type="page"/>
      </w:r>
    </w:p>
    <w:p w14:paraId="16265B58">
      <w:pPr>
        <w:pageBreakBefore w:val="0"/>
        <w:widowControl/>
        <w:kinsoku/>
        <w:wordWrap/>
        <w:overflowPunct/>
        <w:topLinePunct w:val="0"/>
        <w:bidi w:val="0"/>
        <w:snapToGrid w:val="0"/>
        <w:spacing w:line="360" w:lineRule="auto"/>
        <w:jc w:val="center"/>
        <w:rPr>
          <w:rFonts w:hint="eastAsia" w:ascii="宋体" w:hAnsi="宋体" w:cs="宋体"/>
          <w:b/>
          <w:color w:val="auto"/>
          <w:kern w:val="0"/>
          <w:sz w:val="24"/>
          <w:szCs w:val="21"/>
          <w:highlight w:val="none"/>
        </w:rPr>
      </w:pPr>
    </w:p>
    <w:p w14:paraId="4C842437">
      <w:pPr>
        <w:pageBreakBefore w:val="0"/>
        <w:widowControl/>
        <w:kinsoku/>
        <w:wordWrap/>
        <w:overflowPunct/>
        <w:topLinePunct w:val="0"/>
        <w:bidi w:val="0"/>
        <w:snapToGrid w:val="0"/>
        <w:spacing w:line="360" w:lineRule="auto"/>
        <w:jc w:val="center"/>
        <w:rPr>
          <w:rFonts w:hint="eastAsia" w:ascii="宋体" w:hAnsi="宋体" w:cs="宋体"/>
          <w:b/>
          <w:color w:val="auto"/>
          <w:kern w:val="0"/>
          <w:sz w:val="24"/>
          <w:szCs w:val="21"/>
          <w:highlight w:val="none"/>
        </w:rPr>
      </w:pPr>
      <w:r>
        <w:rPr>
          <w:rFonts w:hint="eastAsia" w:ascii="宋体" w:hAnsi="宋体" w:cs="宋体"/>
          <w:b/>
          <w:color w:val="auto"/>
          <w:kern w:val="0"/>
          <w:sz w:val="24"/>
          <w:szCs w:val="21"/>
          <w:highlight w:val="none"/>
        </w:rPr>
        <w:t>商品包装和快递包装承诺</w:t>
      </w:r>
    </w:p>
    <w:p w14:paraId="1A87EB98">
      <w:pPr>
        <w:pStyle w:val="53"/>
        <w:pageBreakBefore w:val="0"/>
        <w:kinsoku/>
        <w:wordWrap/>
        <w:overflowPunct/>
        <w:topLinePunct w:val="0"/>
        <w:bidi w:val="0"/>
        <w:snapToGrid w:val="0"/>
        <w:spacing w:line="360" w:lineRule="auto"/>
        <w:jc w:val="center"/>
        <w:rPr>
          <w:rFonts w:hint="eastAsia" w:ascii="宋体" w:hAnsi="宋体" w:cs="宋体"/>
          <w:color w:val="auto"/>
          <w:highlight w:val="none"/>
        </w:rPr>
      </w:pPr>
      <w:r>
        <w:rPr>
          <w:rFonts w:hint="eastAsia"/>
          <w:color w:val="auto"/>
          <w:highlight w:val="none"/>
          <w:lang w:eastAsia="zh-CN"/>
        </w:rPr>
        <w:t>（如不涉及，可不填写）</w:t>
      </w:r>
    </w:p>
    <w:p w14:paraId="10D071C2">
      <w:pPr>
        <w:pageBreakBefore w:val="0"/>
        <w:widowControl/>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cs="宋体"/>
          <w:color w:val="auto"/>
          <w:szCs w:val="21"/>
          <w:highlight w:val="none"/>
        </w:rPr>
      </w:pPr>
      <w:r>
        <w:rPr>
          <w:rFonts w:hint="eastAsia" w:ascii="宋体" w:hAnsi="宋体" w:cs="宋体"/>
          <w:color w:val="auto"/>
          <w:szCs w:val="21"/>
          <w:highlight w:val="none"/>
        </w:rPr>
        <w:t>本公司现参与____________项目（招标编号：____________）的采购活动，本公司承诺所供商品包装符合《商品包装政府采购需求标准（试行）》，快递包装符合《快递包装政府采购需求标准（试行）》。</w:t>
      </w:r>
    </w:p>
    <w:p w14:paraId="27A8DE31">
      <w:pPr>
        <w:pageBreakBefore w:val="0"/>
        <w:widowControl/>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cs="宋体"/>
          <w:color w:val="auto"/>
          <w:szCs w:val="21"/>
          <w:highlight w:val="none"/>
        </w:rPr>
      </w:pPr>
      <w:r>
        <w:rPr>
          <w:rFonts w:hint="eastAsia" w:ascii="宋体" w:hAnsi="宋体" w:cs="宋体"/>
          <w:color w:val="auto"/>
          <w:szCs w:val="21"/>
          <w:highlight w:val="none"/>
        </w:rPr>
        <w:t>如上述声明不真实，愿意按照政府采购有关法律法规的规定接受处罚。</w:t>
      </w:r>
    </w:p>
    <w:p w14:paraId="1460D8EB">
      <w:pPr>
        <w:pageBreakBefore w:val="0"/>
        <w:widowControl/>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cs="宋体"/>
          <w:color w:val="auto"/>
          <w:szCs w:val="21"/>
          <w:highlight w:val="none"/>
        </w:rPr>
      </w:pPr>
      <w:r>
        <w:rPr>
          <w:rFonts w:hint="eastAsia" w:ascii="宋体" w:hAnsi="宋体" w:cs="宋体"/>
          <w:color w:val="auto"/>
          <w:szCs w:val="21"/>
          <w:highlight w:val="none"/>
        </w:rPr>
        <w:t>特此声明</w:t>
      </w:r>
    </w:p>
    <w:p w14:paraId="08C6E541">
      <w:pPr>
        <w:pStyle w:val="53"/>
        <w:pageBreakBefore w:val="0"/>
        <w:kinsoku/>
        <w:wordWrap/>
        <w:overflowPunct/>
        <w:topLinePunct w:val="0"/>
        <w:bidi w:val="0"/>
        <w:snapToGrid w:val="0"/>
        <w:spacing w:line="360" w:lineRule="auto"/>
        <w:ind w:firstLine="5880" w:firstLineChars="2800"/>
        <w:rPr>
          <w:rFonts w:hint="eastAsia"/>
          <w:color w:val="auto"/>
          <w:highlight w:val="none"/>
        </w:rPr>
      </w:pPr>
    </w:p>
    <w:p w14:paraId="076AD22F">
      <w:pPr>
        <w:pStyle w:val="53"/>
        <w:pageBreakBefore w:val="0"/>
        <w:kinsoku/>
        <w:wordWrap/>
        <w:overflowPunct/>
        <w:topLinePunct w:val="0"/>
        <w:bidi w:val="0"/>
        <w:snapToGrid w:val="0"/>
        <w:spacing w:line="360" w:lineRule="auto"/>
        <w:ind w:firstLine="5880" w:firstLineChars="2800"/>
        <w:rPr>
          <w:rFonts w:hint="eastAsia"/>
          <w:color w:val="auto"/>
          <w:highlight w:val="none"/>
        </w:rPr>
      </w:pPr>
    </w:p>
    <w:p w14:paraId="5155A4DC">
      <w:pPr>
        <w:pStyle w:val="53"/>
        <w:pageBreakBefore w:val="0"/>
        <w:kinsoku/>
        <w:wordWrap/>
        <w:overflowPunct/>
        <w:topLinePunct w:val="0"/>
        <w:bidi w:val="0"/>
        <w:snapToGrid w:val="0"/>
        <w:spacing w:line="360" w:lineRule="auto"/>
        <w:ind w:firstLine="5040" w:firstLineChars="2400"/>
        <w:rPr>
          <w:rFonts w:hint="eastAsia"/>
          <w:color w:val="auto"/>
          <w:highlight w:val="none"/>
          <w:u w:val="single"/>
        </w:rPr>
      </w:pPr>
      <w:r>
        <w:rPr>
          <w:rFonts w:hint="eastAsia"/>
          <w:color w:val="auto"/>
          <w:highlight w:val="none"/>
        </w:rPr>
        <w:t>单位名称（加盖公章）：</w:t>
      </w:r>
      <w:r>
        <w:rPr>
          <w:rFonts w:hint="eastAsia"/>
          <w:color w:val="auto"/>
          <w:highlight w:val="none"/>
          <w:u w:val="single"/>
        </w:rPr>
        <w:t xml:space="preserve">            </w:t>
      </w:r>
    </w:p>
    <w:p w14:paraId="5DA2793E">
      <w:pPr>
        <w:pageBreakBefore w:val="0"/>
        <w:kinsoku/>
        <w:wordWrap/>
        <w:overflowPunct/>
        <w:topLinePunct w:val="0"/>
        <w:bidi w:val="0"/>
        <w:spacing w:line="360" w:lineRule="auto"/>
        <w:ind w:left="3780" w:leftChars="1800" w:firstLine="1260" w:firstLineChars="600"/>
        <w:outlineLvl w:val="9"/>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日期：</w:t>
      </w:r>
      <w:r>
        <w:rPr>
          <w:rFonts w:hint="eastAsia" w:ascii="宋体" w:hAnsi="宋体" w:cs="宋体"/>
          <w:b w:val="0"/>
          <w:color w:val="auto"/>
          <w:sz w:val="21"/>
          <w:szCs w:val="21"/>
          <w:highlight w:val="none"/>
          <w:u w:val="single"/>
        </w:rPr>
        <w:t xml:space="preserve">       </w:t>
      </w:r>
      <w:r>
        <w:rPr>
          <w:rFonts w:hint="eastAsia" w:ascii="宋体" w:hAnsi="宋体" w:cs="宋体"/>
          <w:b w:val="0"/>
          <w:color w:val="auto"/>
          <w:sz w:val="21"/>
          <w:szCs w:val="21"/>
          <w:highlight w:val="none"/>
        </w:rPr>
        <w:t>年</w:t>
      </w:r>
      <w:r>
        <w:rPr>
          <w:rFonts w:hint="eastAsia" w:ascii="宋体" w:hAnsi="宋体" w:cs="宋体"/>
          <w:b w:val="0"/>
          <w:color w:val="auto"/>
          <w:sz w:val="21"/>
          <w:szCs w:val="21"/>
          <w:highlight w:val="none"/>
          <w:u w:val="single"/>
        </w:rPr>
        <w:t xml:space="preserve">    </w:t>
      </w:r>
      <w:r>
        <w:rPr>
          <w:rFonts w:hint="eastAsia" w:ascii="宋体" w:hAnsi="宋体" w:cs="宋体"/>
          <w:b w:val="0"/>
          <w:color w:val="auto"/>
          <w:sz w:val="21"/>
          <w:szCs w:val="21"/>
          <w:highlight w:val="none"/>
        </w:rPr>
        <w:t>月</w:t>
      </w:r>
      <w:r>
        <w:rPr>
          <w:rFonts w:hint="eastAsia" w:ascii="宋体" w:hAnsi="宋体" w:cs="宋体"/>
          <w:b w:val="0"/>
          <w:color w:val="auto"/>
          <w:sz w:val="21"/>
          <w:szCs w:val="21"/>
          <w:highlight w:val="none"/>
          <w:u w:val="single"/>
        </w:rPr>
        <w:t xml:space="preserve">    </w:t>
      </w:r>
      <w:r>
        <w:rPr>
          <w:rFonts w:hint="eastAsia" w:ascii="宋体" w:hAnsi="宋体" w:cs="宋体"/>
          <w:b w:val="0"/>
          <w:color w:val="auto"/>
          <w:sz w:val="21"/>
          <w:szCs w:val="21"/>
          <w:highlight w:val="none"/>
        </w:rPr>
        <w:t>日</w:t>
      </w:r>
    </w:p>
    <w:p w14:paraId="3D1219E3">
      <w:pPr>
        <w:pageBreakBefore w:val="0"/>
        <w:kinsoku/>
        <w:wordWrap/>
        <w:overflowPunct/>
        <w:topLinePunct w:val="0"/>
        <w:bidi w:val="0"/>
        <w:spacing w:line="360" w:lineRule="auto"/>
        <w:ind w:left="422" w:hanging="422" w:hangingChars="200"/>
        <w:jc w:val="center"/>
        <w:rPr>
          <w:rFonts w:hint="eastAsia" w:ascii="宋体" w:hAnsi="宋体" w:cs="宋体"/>
          <w:b/>
          <w:color w:val="auto"/>
          <w:kern w:val="44"/>
          <w:szCs w:val="21"/>
          <w:highlight w:val="none"/>
        </w:rPr>
      </w:pPr>
    </w:p>
    <w:p w14:paraId="0E9ABB08">
      <w:pPr>
        <w:pageBreakBefore w:val="0"/>
        <w:kinsoku/>
        <w:wordWrap/>
        <w:overflowPunct/>
        <w:topLinePunct w:val="0"/>
        <w:bidi w:val="0"/>
        <w:spacing w:line="360" w:lineRule="auto"/>
        <w:rPr>
          <w:rFonts w:hint="eastAsia" w:ascii="宋体" w:hAnsi="宋体" w:eastAsia="宋体" w:cs="宋体"/>
          <w:b/>
          <w:color w:val="auto"/>
          <w:kern w:val="44"/>
          <w:sz w:val="21"/>
          <w:szCs w:val="21"/>
          <w:highlight w:val="none"/>
          <w:lang w:val="en-US" w:eastAsia="zh-CN" w:bidi="ar-SA"/>
        </w:rPr>
      </w:pPr>
      <w:r>
        <w:rPr>
          <w:rFonts w:hint="eastAsia" w:ascii="宋体" w:hAnsi="宋体" w:eastAsia="宋体" w:cs="宋体"/>
          <w:b/>
          <w:color w:val="auto"/>
          <w:kern w:val="44"/>
          <w:sz w:val="21"/>
          <w:szCs w:val="21"/>
          <w:highlight w:val="none"/>
          <w:lang w:val="en-US" w:eastAsia="zh-CN" w:bidi="ar-SA"/>
        </w:rPr>
        <w:br w:type="page"/>
      </w:r>
    </w:p>
    <w:p w14:paraId="2C79B5C1">
      <w:pPr>
        <w:pageBreakBefore w:val="0"/>
        <w:numPr>
          <w:ilvl w:val="0"/>
          <w:numId w:val="0"/>
        </w:numPr>
        <w:kinsoku/>
        <w:wordWrap/>
        <w:overflowPunct/>
        <w:topLinePunct w:val="0"/>
        <w:bidi w:val="0"/>
        <w:spacing w:line="360" w:lineRule="auto"/>
        <w:ind w:left="422" w:leftChars="0" w:hanging="422" w:hangingChars="200"/>
        <w:jc w:val="center"/>
        <w:outlineLvl w:val="2"/>
        <w:rPr>
          <w:rFonts w:hint="eastAsia" w:ascii="宋体" w:hAnsi="宋体" w:cs="宋体"/>
          <w:b/>
          <w:color w:val="auto"/>
          <w:kern w:val="44"/>
          <w:szCs w:val="21"/>
          <w:highlight w:val="none"/>
        </w:rPr>
      </w:pPr>
    </w:p>
    <w:p w14:paraId="7C3B93DF">
      <w:pPr>
        <w:pageBreakBefore w:val="0"/>
        <w:numPr>
          <w:ilvl w:val="0"/>
          <w:numId w:val="0"/>
        </w:numPr>
        <w:kinsoku/>
        <w:wordWrap/>
        <w:overflowPunct/>
        <w:topLinePunct w:val="0"/>
        <w:bidi w:val="0"/>
        <w:spacing w:line="360" w:lineRule="auto"/>
        <w:ind w:left="422" w:leftChars="0" w:hanging="422" w:hangingChars="200"/>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rPr>
        <w:t>中国政府采购网和信用中国网查询结果</w:t>
      </w:r>
    </w:p>
    <w:p w14:paraId="14A4C016">
      <w:pPr>
        <w:pageBreakBefore w:val="0"/>
        <w:widowControl/>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cs="宋体"/>
          <w:color w:val="auto"/>
          <w:szCs w:val="21"/>
          <w:highlight w:val="none"/>
        </w:rPr>
      </w:pPr>
      <w:r>
        <w:rPr>
          <w:rFonts w:hint="eastAsia" w:ascii="宋体" w:hAnsi="宋体"/>
          <w:color w:val="auto"/>
          <w:szCs w:val="21"/>
          <w:highlight w:val="none"/>
        </w:rPr>
        <w:t>供应商可在响应文件中提供相应网站查询结果截图，不提供的将由采购代理机构工作人员于开标当日对各供应商信用记录进行查询。</w:t>
      </w:r>
    </w:p>
    <w:p w14:paraId="0CE7B370">
      <w:pPr>
        <w:pageBreakBefore w:val="0"/>
        <w:kinsoku/>
        <w:wordWrap/>
        <w:overflowPunct/>
        <w:topLinePunct w:val="0"/>
        <w:bidi w:val="0"/>
        <w:spacing w:line="360" w:lineRule="auto"/>
        <w:rPr>
          <w:rFonts w:hint="eastAsia" w:ascii="宋体" w:hAnsi="宋体" w:cs="宋体"/>
          <w:b/>
          <w:color w:val="auto"/>
          <w:kern w:val="44"/>
          <w:szCs w:val="21"/>
          <w:highlight w:val="none"/>
        </w:rPr>
      </w:pPr>
    </w:p>
    <w:p w14:paraId="2FDB8FAD">
      <w:pPr>
        <w:pStyle w:val="15"/>
        <w:pageBreakBefore w:val="0"/>
        <w:kinsoku/>
        <w:wordWrap/>
        <w:overflowPunct/>
        <w:topLinePunct w:val="0"/>
        <w:bidi w:val="0"/>
        <w:spacing w:line="360" w:lineRule="auto"/>
        <w:rPr>
          <w:rFonts w:hint="eastAsia" w:ascii="宋体" w:hAnsi="宋体" w:cs="宋体"/>
          <w:b/>
          <w:color w:val="auto"/>
          <w:kern w:val="44"/>
          <w:szCs w:val="21"/>
          <w:highlight w:val="none"/>
        </w:rPr>
      </w:pPr>
    </w:p>
    <w:p w14:paraId="1523BE56">
      <w:pPr>
        <w:pageBreakBefore w:val="0"/>
        <w:kinsoku/>
        <w:wordWrap/>
        <w:overflowPunct/>
        <w:topLinePunct w:val="0"/>
        <w:bidi w:val="0"/>
        <w:spacing w:line="360" w:lineRule="auto"/>
        <w:rPr>
          <w:rFonts w:hint="eastAsia" w:ascii="宋体" w:hAnsi="宋体" w:cs="宋体"/>
          <w:b/>
          <w:color w:val="auto"/>
          <w:kern w:val="44"/>
          <w:szCs w:val="21"/>
          <w:highlight w:val="none"/>
        </w:rPr>
      </w:pPr>
    </w:p>
    <w:p w14:paraId="17499E98">
      <w:pPr>
        <w:pageBreakBefore w:val="0"/>
        <w:kinsoku/>
        <w:wordWrap/>
        <w:overflowPunct/>
        <w:topLinePunct w:val="0"/>
        <w:bidi w:val="0"/>
        <w:spacing w:line="360" w:lineRule="auto"/>
        <w:ind w:left="422" w:hanging="422" w:hangingChars="200"/>
        <w:jc w:val="center"/>
        <w:outlineLvl w:val="2"/>
        <w:rPr>
          <w:rFonts w:hint="eastAsia" w:ascii="宋体" w:hAnsi="宋体" w:eastAsia="宋体" w:cs="宋体"/>
          <w:b/>
          <w:color w:val="auto"/>
          <w:kern w:val="44"/>
          <w:szCs w:val="21"/>
          <w:highlight w:val="none"/>
        </w:rPr>
      </w:pPr>
      <w:r>
        <w:rPr>
          <w:rFonts w:hint="eastAsia" w:ascii="宋体" w:hAnsi="宋体" w:cs="宋体"/>
          <w:b/>
          <w:color w:val="auto"/>
          <w:kern w:val="44"/>
          <w:szCs w:val="21"/>
          <w:highlight w:val="none"/>
          <w:lang w:eastAsia="zh-CN"/>
        </w:rPr>
        <w:t>保证金证明、</w:t>
      </w:r>
      <w:r>
        <w:rPr>
          <w:rFonts w:hint="eastAsia" w:ascii="宋体" w:hAnsi="宋体" w:eastAsia="宋体" w:cs="宋体"/>
          <w:b/>
          <w:color w:val="auto"/>
          <w:kern w:val="44"/>
          <w:szCs w:val="21"/>
          <w:highlight w:val="none"/>
        </w:rPr>
        <w:t>基本账户开户许可证（或基本存款账户信息）</w:t>
      </w:r>
    </w:p>
    <w:p w14:paraId="7E55ED47">
      <w:pPr>
        <w:pageBreakBefore w:val="0"/>
        <w:kinsoku/>
        <w:wordWrap/>
        <w:overflowPunct/>
        <w:topLinePunct w:val="0"/>
        <w:bidi w:val="0"/>
        <w:spacing w:line="360" w:lineRule="auto"/>
        <w:rPr>
          <w:rFonts w:hint="eastAsia" w:ascii="宋体" w:hAnsi="宋体" w:cs="宋体"/>
          <w:b/>
          <w:color w:val="auto"/>
          <w:kern w:val="44"/>
          <w:szCs w:val="21"/>
          <w:highlight w:val="none"/>
        </w:rPr>
      </w:pPr>
    </w:p>
    <w:p w14:paraId="417CC89C">
      <w:pPr>
        <w:pStyle w:val="15"/>
        <w:pageBreakBefore w:val="0"/>
        <w:kinsoku/>
        <w:wordWrap/>
        <w:overflowPunct/>
        <w:topLinePunct w:val="0"/>
        <w:bidi w:val="0"/>
        <w:spacing w:line="360" w:lineRule="auto"/>
        <w:rPr>
          <w:rFonts w:hint="eastAsia" w:ascii="宋体" w:hAnsi="宋体" w:cs="宋体"/>
          <w:b/>
          <w:color w:val="auto"/>
          <w:kern w:val="44"/>
          <w:szCs w:val="21"/>
          <w:highlight w:val="none"/>
        </w:rPr>
      </w:pPr>
    </w:p>
    <w:p w14:paraId="7CAAD77A">
      <w:pPr>
        <w:pageBreakBefore w:val="0"/>
        <w:kinsoku/>
        <w:wordWrap/>
        <w:overflowPunct/>
        <w:topLinePunct w:val="0"/>
        <w:bidi w:val="0"/>
        <w:spacing w:line="360" w:lineRule="auto"/>
        <w:jc w:val="both"/>
        <w:rPr>
          <w:rFonts w:hint="eastAsia" w:ascii="宋体" w:hAnsi="宋体" w:cs="宋体"/>
          <w:b/>
          <w:color w:val="auto"/>
          <w:kern w:val="44"/>
          <w:szCs w:val="21"/>
          <w:highlight w:val="none"/>
        </w:rPr>
      </w:pPr>
    </w:p>
    <w:p w14:paraId="411957C2">
      <w:pPr>
        <w:pageBreakBefore w:val="0"/>
        <w:kinsoku/>
        <w:wordWrap/>
        <w:overflowPunct/>
        <w:topLinePunct w:val="0"/>
        <w:bidi w:val="0"/>
        <w:spacing w:line="360" w:lineRule="auto"/>
        <w:rPr>
          <w:rFonts w:hint="eastAsia" w:ascii="宋体" w:hAnsi="宋体" w:cs="宋体"/>
          <w:b/>
          <w:color w:val="auto"/>
          <w:kern w:val="44"/>
          <w:szCs w:val="21"/>
          <w:highlight w:val="none"/>
        </w:rPr>
      </w:pPr>
    </w:p>
    <w:p w14:paraId="044891CF">
      <w:pPr>
        <w:pageBreakBefore w:val="0"/>
        <w:kinsoku/>
        <w:wordWrap/>
        <w:overflowPunct/>
        <w:topLinePunct w:val="0"/>
        <w:bidi w:val="0"/>
        <w:spacing w:line="360" w:lineRule="auto"/>
        <w:ind w:left="422" w:hanging="422" w:hangingChars="200"/>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rPr>
        <w:t>供应商认为需要提供的其他资格证明材料</w:t>
      </w:r>
    </w:p>
    <w:p w14:paraId="6F0E6DFD">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179E812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36CE04A5">
      <w:pPr>
        <w:pageBreakBefore w:val="0"/>
        <w:widowControl/>
        <w:kinsoku/>
        <w:wordWrap/>
        <w:overflowPunct/>
        <w:topLinePunct w:val="0"/>
        <w:bidi w:val="0"/>
        <w:spacing w:line="360" w:lineRule="auto"/>
        <w:jc w:val="center"/>
        <w:rPr>
          <w:rFonts w:hint="eastAsia" w:ascii="宋体" w:hAnsi="宋体" w:cs="宋体"/>
          <w:color w:val="auto"/>
          <w:kern w:val="0"/>
          <w:szCs w:val="21"/>
          <w:highlight w:val="none"/>
        </w:rPr>
      </w:pPr>
      <w:r>
        <w:rPr>
          <w:rFonts w:ascii="宋体" w:hAnsi="宋体" w:cs="宋体"/>
          <w:color w:val="auto"/>
          <w:kern w:val="0"/>
          <w:szCs w:val="21"/>
          <w:highlight w:val="none"/>
        </w:rPr>
        <w:br w:type="page"/>
      </w:r>
    </w:p>
    <w:p w14:paraId="1895065C">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bookmarkStart w:id="34" w:name="_Toc175644078"/>
    </w:p>
    <w:p w14:paraId="2821B7C9">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309474FC">
      <w:pPr>
        <w:pageBreakBefore w:val="0"/>
        <w:widowControl/>
        <w:kinsoku/>
        <w:wordWrap/>
        <w:overflowPunct/>
        <w:topLinePunct w:val="0"/>
        <w:bidi w:val="0"/>
        <w:spacing w:line="360" w:lineRule="auto"/>
        <w:jc w:val="both"/>
        <w:rPr>
          <w:rFonts w:hint="eastAsia" w:ascii="宋体" w:hAnsi="宋体" w:cs="宋体"/>
          <w:b/>
          <w:color w:val="auto"/>
          <w:kern w:val="0"/>
          <w:sz w:val="36"/>
          <w:szCs w:val="44"/>
          <w:highlight w:val="none"/>
        </w:rPr>
      </w:pPr>
    </w:p>
    <w:p w14:paraId="4A58AEA7">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473124F8">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717C0210">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1ACDB0C5">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436411F0">
      <w:pPr>
        <w:pageBreakBefore w:val="0"/>
        <w:widowControl/>
        <w:kinsoku/>
        <w:wordWrap/>
        <w:overflowPunct/>
        <w:topLinePunct w:val="0"/>
        <w:bidi w:val="0"/>
        <w:spacing w:line="360" w:lineRule="auto"/>
        <w:jc w:val="center"/>
        <w:outlineLvl w:val="1"/>
        <w:rPr>
          <w:rFonts w:hint="eastAsia" w:ascii="宋体" w:hAnsi="宋体" w:cs="宋体"/>
          <w:b/>
          <w:color w:val="auto"/>
          <w:kern w:val="0"/>
          <w:sz w:val="36"/>
          <w:szCs w:val="44"/>
          <w:highlight w:val="none"/>
        </w:rPr>
      </w:pPr>
      <w:r>
        <w:rPr>
          <w:rFonts w:hint="eastAsia" w:ascii="宋体" w:hAnsi="宋体" w:cs="宋体"/>
          <w:b/>
          <w:color w:val="auto"/>
          <w:kern w:val="0"/>
          <w:sz w:val="36"/>
          <w:szCs w:val="44"/>
          <w:highlight w:val="none"/>
        </w:rPr>
        <w:t>商务技术响应文件</w:t>
      </w:r>
    </w:p>
    <w:p w14:paraId="711107D7">
      <w:pPr>
        <w:pStyle w:val="15"/>
        <w:pageBreakBefore w:val="0"/>
        <w:kinsoku/>
        <w:wordWrap/>
        <w:overflowPunct/>
        <w:topLinePunct w:val="0"/>
        <w:bidi w:val="0"/>
        <w:spacing w:line="360" w:lineRule="auto"/>
        <w:rPr>
          <w:rFonts w:hint="eastAsia" w:ascii="宋体" w:hAnsi="宋体" w:cs="宋体"/>
          <w:b/>
          <w:color w:val="auto"/>
          <w:kern w:val="0"/>
          <w:sz w:val="36"/>
          <w:szCs w:val="44"/>
          <w:highlight w:val="none"/>
        </w:rPr>
      </w:pPr>
    </w:p>
    <w:p w14:paraId="3566B346">
      <w:pPr>
        <w:pageBreakBefore w:val="0"/>
        <w:kinsoku/>
        <w:wordWrap/>
        <w:overflowPunct/>
        <w:topLinePunct w:val="0"/>
        <w:bidi w:val="0"/>
        <w:spacing w:line="360" w:lineRule="auto"/>
        <w:rPr>
          <w:rFonts w:hint="eastAsia" w:ascii="宋体" w:hAnsi="宋体" w:cs="宋体"/>
          <w:b/>
          <w:color w:val="auto"/>
          <w:kern w:val="0"/>
          <w:sz w:val="36"/>
          <w:szCs w:val="44"/>
          <w:highlight w:val="none"/>
        </w:rPr>
      </w:pPr>
    </w:p>
    <w:p w14:paraId="14C3B289">
      <w:pPr>
        <w:pStyle w:val="15"/>
        <w:pageBreakBefore w:val="0"/>
        <w:kinsoku/>
        <w:wordWrap/>
        <w:overflowPunct/>
        <w:topLinePunct w:val="0"/>
        <w:bidi w:val="0"/>
        <w:spacing w:line="360" w:lineRule="auto"/>
        <w:rPr>
          <w:rFonts w:hint="eastAsia" w:ascii="宋体" w:hAnsi="宋体" w:cs="宋体"/>
          <w:b/>
          <w:color w:val="auto"/>
          <w:kern w:val="0"/>
          <w:sz w:val="36"/>
          <w:szCs w:val="44"/>
          <w:highlight w:val="none"/>
        </w:rPr>
      </w:pPr>
    </w:p>
    <w:p w14:paraId="7BB40B66">
      <w:pPr>
        <w:pageBreakBefore w:val="0"/>
        <w:kinsoku/>
        <w:wordWrap/>
        <w:overflowPunct/>
        <w:topLinePunct w:val="0"/>
        <w:bidi w:val="0"/>
        <w:spacing w:line="360" w:lineRule="auto"/>
        <w:rPr>
          <w:rFonts w:hint="eastAsia" w:ascii="宋体" w:hAnsi="宋体" w:cs="宋体"/>
          <w:b/>
          <w:color w:val="auto"/>
          <w:kern w:val="0"/>
          <w:sz w:val="36"/>
          <w:szCs w:val="44"/>
          <w:highlight w:val="none"/>
        </w:rPr>
      </w:pPr>
    </w:p>
    <w:p w14:paraId="4526548C">
      <w:pPr>
        <w:pStyle w:val="15"/>
        <w:pageBreakBefore w:val="0"/>
        <w:kinsoku/>
        <w:wordWrap/>
        <w:overflowPunct/>
        <w:topLinePunct w:val="0"/>
        <w:bidi w:val="0"/>
        <w:spacing w:line="360" w:lineRule="auto"/>
        <w:rPr>
          <w:color w:val="auto"/>
          <w:highlight w:val="none"/>
        </w:rPr>
      </w:pPr>
    </w:p>
    <w:p w14:paraId="6FDE0BE4">
      <w:pPr>
        <w:pageBreakBefore w:val="0"/>
        <w:kinsoku/>
        <w:wordWrap/>
        <w:overflowPunct/>
        <w:topLinePunct w:val="0"/>
        <w:bidi w:val="0"/>
        <w:spacing w:line="360" w:lineRule="auto"/>
        <w:rPr>
          <w:rFonts w:hint="eastAsia" w:ascii="宋体" w:hAnsi="宋体" w:cs="宋体"/>
          <w:b/>
          <w:color w:val="auto"/>
          <w:kern w:val="44"/>
          <w:szCs w:val="21"/>
          <w:highlight w:val="none"/>
        </w:rPr>
      </w:pPr>
      <w:r>
        <w:rPr>
          <w:rFonts w:hint="eastAsia" w:ascii="宋体" w:hAnsi="宋体" w:cs="宋体"/>
          <w:b/>
          <w:color w:val="auto"/>
          <w:kern w:val="44"/>
          <w:szCs w:val="21"/>
          <w:highlight w:val="none"/>
        </w:rPr>
        <w:br w:type="page"/>
      </w:r>
    </w:p>
    <w:p w14:paraId="6A864883">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rPr>
        <w:t>1、法定代表人（负责人）身份证明书或法定代表人（负责人）授权委托书</w:t>
      </w:r>
    </w:p>
    <w:p w14:paraId="3C98B8A2">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法定代表人（负责人）身份证明书</w:t>
      </w:r>
    </w:p>
    <w:p w14:paraId="49F00009">
      <w:pPr>
        <w:pageBreakBefore w:val="0"/>
        <w:widowControl/>
        <w:kinsoku/>
        <w:wordWrap/>
        <w:overflowPunct/>
        <w:topLinePunct w:val="0"/>
        <w:bidi w:val="0"/>
        <w:spacing w:line="360" w:lineRule="auto"/>
        <w:jc w:val="center"/>
        <w:rPr>
          <w:rFonts w:hint="eastAsia" w:ascii="宋体" w:hAnsi="宋体" w:cs="宋体"/>
          <w:color w:val="auto"/>
          <w:kern w:val="0"/>
          <w:szCs w:val="21"/>
          <w:highlight w:val="none"/>
        </w:rPr>
      </w:pPr>
    </w:p>
    <w:p w14:paraId="173E234D">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单位名称：</w:t>
      </w:r>
      <w:r>
        <w:rPr>
          <w:rFonts w:hint="eastAsia" w:ascii="宋体" w:hAnsi="宋体" w:cs="宋体"/>
          <w:color w:val="auto"/>
          <w:kern w:val="44"/>
          <w:szCs w:val="21"/>
          <w:highlight w:val="none"/>
          <w:u w:val="single"/>
        </w:rPr>
        <w:t xml:space="preserve">                  </w:t>
      </w:r>
    </w:p>
    <w:p w14:paraId="45DD0622">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单位性质：</w:t>
      </w:r>
      <w:r>
        <w:rPr>
          <w:rFonts w:hint="eastAsia" w:ascii="宋体" w:hAnsi="宋体" w:cs="宋体"/>
          <w:color w:val="auto"/>
          <w:kern w:val="44"/>
          <w:szCs w:val="21"/>
          <w:highlight w:val="none"/>
          <w:u w:val="single"/>
        </w:rPr>
        <w:t xml:space="preserve">                  </w:t>
      </w:r>
    </w:p>
    <w:p w14:paraId="4B4112EE">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地    址：</w:t>
      </w:r>
      <w:r>
        <w:rPr>
          <w:rFonts w:hint="eastAsia" w:ascii="宋体" w:hAnsi="宋体" w:cs="宋体"/>
          <w:color w:val="auto"/>
          <w:kern w:val="44"/>
          <w:szCs w:val="21"/>
          <w:highlight w:val="none"/>
          <w:u w:val="single"/>
        </w:rPr>
        <w:t xml:space="preserve">                  </w:t>
      </w:r>
    </w:p>
    <w:p w14:paraId="1A80005E">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成立时间：</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年</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月</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日</w:t>
      </w:r>
    </w:p>
    <w:p w14:paraId="3B9AC9B3">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经营期限：</w:t>
      </w:r>
      <w:r>
        <w:rPr>
          <w:rFonts w:hint="eastAsia" w:ascii="宋体" w:hAnsi="宋体" w:cs="宋体"/>
          <w:color w:val="auto"/>
          <w:kern w:val="44"/>
          <w:szCs w:val="21"/>
          <w:highlight w:val="none"/>
          <w:u w:val="single"/>
        </w:rPr>
        <w:t xml:space="preserve">                  </w:t>
      </w:r>
    </w:p>
    <w:p w14:paraId="3C38B0A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姓    名：</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 xml:space="preserve">    性  别：</w:t>
      </w:r>
      <w:r>
        <w:rPr>
          <w:rFonts w:hint="eastAsia" w:ascii="宋体" w:hAnsi="宋体" w:cs="宋体"/>
          <w:color w:val="auto"/>
          <w:kern w:val="44"/>
          <w:szCs w:val="21"/>
          <w:highlight w:val="none"/>
          <w:u w:val="single"/>
        </w:rPr>
        <w:t xml:space="preserve">         </w:t>
      </w:r>
    </w:p>
    <w:p w14:paraId="65DE6563">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年    龄：</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 xml:space="preserve">    职  务：</w:t>
      </w:r>
      <w:r>
        <w:rPr>
          <w:rFonts w:hint="eastAsia" w:ascii="宋体" w:hAnsi="宋体" w:cs="宋体"/>
          <w:color w:val="auto"/>
          <w:kern w:val="44"/>
          <w:szCs w:val="21"/>
          <w:highlight w:val="none"/>
          <w:u w:val="single"/>
        </w:rPr>
        <w:t xml:space="preserve">         </w:t>
      </w:r>
    </w:p>
    <w:p w14:paraId="1FE47BEE">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系</w:t>
      </w:r>
      <w:r>
        <w:rPr>
          <w:rFonts w:hint="eastAsia" w:ascii="宋体" w:hAnsi="宋体" w:cs="宋体"/>
          <w:color w:val="auto"/>
          <w:kern w:val="44"/>
          <w:szCs w:val="21"/>
          <w:highlight w:val="none"/>
          <w:u w:val="single"/>
        </w:rPr>
        <w:t xml:space="preserve">       （供应商名称）          </w:t>
      </w:r>
      <w:r>
        <w:rPr>
          <w:rFonts w:hint="eastAsia" w:ascii="宋体" w:hAnsi="宋体" w:cs="宋体"/>
          <w:color w:val="auto"/>
          <w:kern w:val="44"/>
          <w:szCs w:val="21"/>
          <w:highlight w:val="none"/>
        </w:rPr>
        <w:t>的法定代表人（负责人）。</w:t>
      </w:r>
    </w:p>
    <w:p w14:paraId="1B7321B2">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2AE0610A">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特此证明。</w:t>
      </w:r>
    </w:p>
    <w:p w14:paraId="7CF77906">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3CEAC474">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157F77ED">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附：法定代表人（负责人）身份证扫描件</w:t>
      </w:r>
    </w:p>
    <w:p w14:paraId="56287425">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68FCA05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3EA0B8FF">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36E5E4B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2C84A876">
      <w:pPr>
        <w:pageBreakBefore w:val="0"/>
        <w:kinsoku/>
        <w:wordWrap/>
        <w:overflowPunct/>
        <w:topLinePunct w:val="0"/>
        <w:autoSpaceDN w:val="0"/>
        <w:bidi w:val="0"/>
        <w:spacing w:line="360" w:lineRule="auto"/>
        <w:ind w:firstLine="2940" w:firstLineChars="1400"/>
        <w:rPr>
          <w:rFonts w:hint="eastAsia" w:ascii="宋体" w:hAnsi="宋体"/>
          <w:color w:val="auto"/>
          <w:szCs w:val="21"/>
          <w:highlight w:val="none"/>
        </w:rPr>
      </w:pPr>
      <w:bookmarkStart w:id="35" w:name="_Toc86202635"/>
      <w:bookmarkStart w:id="36" w:name="_Toc175644065"/>
      <w:r>
        <w:rPr>
          <w:rFonts w:hint="eastAsia" w:ascii="宋体" w:hAnsi="宋体"/>
          <w:color w:val="auto"/>
          <w:szCs w:val="21"/>
          <w:highlight w:val="none"/>
        </w:rPr>
        <w:t>供应商</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（公章）</w:t>
      </w:r>
    </w:p>
    <w:p w14:paraId="783F7820">
      <w:pPr>
        <w:pageBreakBefore w:val="0"/>
        <w:kinsoku/>
        <w:wordWrap/>
        <w:overflowPunct/>
        <w:topLinePunct w:val="0"/>
        <w:autoSpaceDN w:val="0"/>
        <w:bidi w:val="0"/>
        <w:spacing w:line="360" w:lineRule="auto"/>
        <w:ind w:firstLine="2940" w:firstLineChars="1400"/>
        <w:rPr>
          <w:rFonts w:hint="eastAsia" w:ascii="宋体" w:hAnsi="宋体" w:cs="宋体"/>
          <w:color w:val="auto"/>
          <w:kern w:val="0"/>
          <w:szCs w:val="21"/>
          <w:highlight w:val="none"/>
        </w:rPr>
      </w:pPr>
      <w:r>
        <w:rPr>
          <w:rFonts w:ascii="宋体" w:hAnsi="宋体"/>
          <w:color w:val="auto"/>
          <w:szCs w:val="21"/>
          <w:highlight w:val="none"/>
        </w:rPr>
        <w:t>法定代表人</w:t>
      </w:r>
      <w:r>
        <w:rPr>
          <w:rFonts w:hint="eastAsia" w:ascii="宋体" w:hAnsi="宋体"/>
          <w:color w:val="auto"/>
          <w:szCs w:val="21"/>
          <w:highlight w:val="none"/>
        </w:rPr>
        <w:t>（负责人）：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（签字或盖章）</w:t>
      </w:r>
    </w:p>
    <w:p w14:paraId="35F06BD8">
      <w:pPr>
        <w:pageBreakBefore w:val="0"/>
        <w:kinsoku/>
        <w:wordWrap/>
        <w:overflowPunct/>
        <w:topLinePunct w:val="0"/>
        <w:autoSpaceDN w:val="0"/>
        <w:bidi w:val="0"/>
        <w:spacing w:line="360" w:lineRule="auto"/>
        <w:ind w:firstLine="2940" w:firstLineChars="1400"/>
        <w:rPr>
          <w:rFonts w:hint="eastAsia" w:ascii="宋体" w:hAnsi="宋体"/>
          <w:color w:val="auto"/>
          <w:szCs w:val="21"/>
          <w:highlight w:val="none"/>
        </w:rPr>
      </w:pPr>
      <w:r>
        <w:rPr>
          <w:rFonts w:ascii="宋体" w:hAnsi="宋体"/>
          <w:color w:val="auto"/>
          <w:szCs w:val="21"/>
          <w:highlight w:val="none"/>
        </w:rPr>
        <w:t>日   期：</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63661FFF">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5FE6745E">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r>
        <w:rPr>
          <w:rFonts w:ascii="宋体" w:hAnsi="宋体" w:cs="宋体"/>
          <w:b/>
          <w:bCs/>
          <w:color w:val="auto"/>
          <w:spacing w:val="20"/>
          <w:kern w:val="0"/>
          <w:szCs w:val="21"/>
          <w:highlight w:val="none"/>
        </w:rPr>
        <w:br w:type="page"/>
      </w:r>
      <w:r>
        <w:rPr>
          <w:rFonts w:hint="eastAsia" w:ascii="宋体" w:hAnsi="宋体" w:cs="宋体"/>
          <w:b/>
          <w:color w:val="auto"/>
          <w:kern w:val="44"/>
          <w:szCs w:val="21"/>
          <w:highlight w:val="none"/>
        </w:rPr>
        <w:t>法定代表人（负责人）授权委托书</w:t>
      </w:r>
    </w:p>
    <w:p w14:paraId="270B2838">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7212BFA9">
      <w:pPr>
        <w:pageBreakBefore w:val="0"/>
        <w:kinsoku/>
        <w:wordWrap/>
        <w:overflowPunct/>
        <w:topLinePunct w:val="0"/>
        <w:bidi w:val="0"/>
        <w:spacing w:line="360" w:lineRule="auto"/>
        <w:rPr>
          <w:rFonts w:hint="eastAsia" w:ascii="宋体" w:hAnsi="宋体" w:cs="宋体"/>
          <w:color w:val="auto"/>
          <w:kern w:val="44"/>
          <w:szCs w:val="21"/>
          <w:highlight w:val="none"/>
        </w:rPr>
      </w:pPr>
      <w:r>
        <w:rPr>
          <w:rFonts w:hint="eastAsia" w:ascii="宋体" w:hAnsi="宋体" w:cs="宋体"/>
          <w:color w:val="auto"/>
          <w:kern w:val="44"/>
          <w:szCs w:val="21"/>
          <w:highlight w:val="none"/>
        </w:rPr>
        <w:t>致：</w:t>
      </w:r>
      <w:r>
        <w:rPr>
          <w:rFonts w:hint="eastAsia" w:ascii="宋体" w:hAnsi="宋体" w:cs="宋体"/>
          <w:color w:val="auto"/>
          <w:kern w:val="44"/>
          <w:szCs w:val="21"/>
          <w:highlight w:val="none"/>
          <w:u w:val="single"/>
        </w:rPr>
        <w:t xml:space="preserve">    采购人名称     </w:t>
      </w:r>
    </w:p>
    <w:p w14:paraId="544FB5FF">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本授权书声明：注册于</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（供应商住址）的</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（供应商名称）法定代表人（负责人）</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（法定代表人（负责人）姓名、职务）代表本公司授权</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（供应商代表姓名、职务）为本公司的合法代理人，就贵方组织的</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项目，项目编号：</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，以本公司名义处理一切与之有关的事务。</w:t>
      </w:r>
    </w:p>
    <w:p w14:paraId="1105DE5E">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本授权书于</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年</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月</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日生效，特此声明。</w:t>
      </w:r>
    </w:p>
    <w:p w14:paraId="293070C0">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42623CD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附：供应商</w:t>
      </w:r>
      <w:r>
        <w:rPr>
          <w:rFonts w:ascii="宋体" w:hAnsi="宋体" w:cs="宋体"/>
          <w:color w:val="auto"/>
          <w:kern w:val="44"/>
          <w:szCs w:val="21"/>
          <w:highlight w:val="none"/>
        </w:rPr>
        <w:t>代表</w:t>
      </w:r>
      <w:r>
        <w:rPr>
          <w:rFonts w:hint="eastAsia" w:ascii="宋体" w:hAnsi="宋体" w:cs="宋体"/>
          <w:color w:val="auto"/>
          <w:kern w:val="44"/>
          <w:szCs w:val="21"/>
          <w:highlight w:val="none"/>
        </w:rPr>
        <w:t>身份证扫描件</w:t>
      </w:r>
    </w:p>
    <w:p w14:paraId="4DC585D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2DAD1CC5">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bookmarkEnd w:id="35"/>
    <w:bookmarkEnd w:id="36"/>
    <w:p w14:paraId="65356ED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4DEAB7BA">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（公章）</w:t>
      </w:r>
    </w:p>
    <w:p w14:paraId="40973130">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ascii="宋体" w:hAnsi="宋体"/>
          <w:color w:val="auto"/>
          <w:szCs w:val="21"/>
          <w:highlight w:val="none"/>
        </w:rPr>
        <w:t>法定代表人</w:t>
      </w:r>
      <w:r>
        <w:rPr>
          <w:rFonts w:hint="eastAsia" w:ascii="宋体" w:hAnsi="宋体"/>
          <w:color w:val="auto"/>
          <w:szCs w:val="21"/>
          <w:highlight w:val="none"/>
        </w:rPr>
        <w:t>（负责人）：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（签字或盖章）</w:t>
      </w:r>
    </w:p>
    <w:p w14:paraId="0346D762">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hint="eastAsia" w:ascii="宋体" w:hAnsi="宋体" w:cs="宋体"/>
          <w:color w:val="auto"/>
          <w:kern w:val="0"/>
          <w:szCs w:val="21"/>
          <w:highlight w:val="none"/>
        </w:rPr>
        <w:t>供应商代表</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(签字或盖章)</w:t>
      </w:r>
    </w:p>
    <w:p w14:paraId="4FC16F04">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ascii="宋体" w:hAnsi="宋体"/>
          <w:color w:val="auto"/>
          <w:szCs w:val="21"/>
          <w:highlight w:val="none"/>
        </w:rPr>
        <w:t>日   期：</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4ACCD0EF">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2E78418F">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5677D188">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4DAE2C4A">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注：供应商法定代表人（负责人）本人参加磋商活动的，可不提供法定代表人（负责人）授权委托书。</w:t>
      </w:r>
    </w:p>
    <w:p w14:paraId="2DE60394">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6C23FF6F">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ascii="宋体" w:hAnsi="宋体" w:cs="宋体"/>
          <w:b/>
          <w:bCs/>
          <w:color w:val="auto"/>
          <w:spacing w:val="20"/>
          <w:kern w:val="0"/>
          <w:szCs w:val="21"/>
          <w:highlight w:val="none"/>
        </w:rPr>
        <w:br w:type="page"/>
      </w:r>
      <w:bookmarkEnd w:id="34"/>
      <w:r>
        <w:rPr>
          <w:rFonts w:hint="eastAsia" w:ascii="宋体" w:hAnsi="宋体" w:cs="宋体"/>
          <w:b/>
          <w:color w:val="auto"/>
          <w:kern w:val="44"/>
          <w:szCs w:val="21"/>
          <w:highlight w:val="none"/>
        </w:rPr>
        <w:t>2、供应商</w:t>
      </w:r>
      <w:r>
        <w:rPr>
          <w:rFonts w:ascii="宋体" w:hAnsi="宋体" w:cs="宋体"/>
          <w:b/>
          <w:color w:val="auto"/>
          <w:kern w:val="44"/>
          <w:szCs w:val="21"/>
          <w:highlight w:val="none"/>
        </w:rPr>
        <w:t>近</w:t>
      </w:r>
      <w:r>
        <w:rPr>
          <w:rFonts w:hint="eastAsia" w:ascii="宋体" w:hAnsi="宋体" w:cs="宋体"/>
          <w:b/>
          <w:color w:val="auto"/>
          <w:kern w:val="44"/>
          <w:szCs w:val="21"/>
          <w:highlight w:val="none"/>
          <w:lang w:val="en-US" w:eastAsia="zh-CN"/>
        </w:rPr>
        <w:t>三年</w:t>
      </w:r>
      <w:r>
        <w:rPr>
          <w:rFonts w:hint="eastAsia" w:ascii="宋体" w:hAnsi="宋体" w:cs="宋体"/>
          <w:b/>
          <w:color w:val="auto"/>
          <w:kern w:val="44"/>
          <w:szCs w:val="21"/>
          <w:highlight w:val="none"/>
        </w:rPr>
        <w:t>同类型</w:t>
      </w:r>
      <w:r>
        <w:rPr>
          <w:rFonts w:ascii="宋体" w:hAnsi="宋体" w:cs="宋体"/>
          <w:b/>
          <w:color w:val="auto"/>
          <w:kern w:val="44"/>
          <w:szCs w:val="21"/>
          <w:highlight w:val="none"/>
        </w:rPr>
        <w:t>项目</w:t>
      </w:r>
      <w:r>
        <w:rPr>
          <w:rFonts w:hint="eastAsia" w:ascii="宋体" w:hAnsi="宋体" w:cs="宋体"/>
          <w:b/>
          <w:color w:val="auto"/>
          <w:kern w:val="44"/>
          <w:szCs w:val="21"/>
          <w:highlight w:val="none"/>
        </w:rPr>
        <w:t>业绩及相关证明资料</w:t>
      </w:r>
    </w:p>
    <w:tbl>
      <w:tblPr>
        <w:tblStyle w:val="37"/>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191"/>
        <w:gridCol w:w="1571"/>
        <w:gridCol w:w="1144"/>
        <w:gridCol w:w="1144"/>
        <w:gridCol w:w="1236"/>
        <w:gridCol w:w="904"/>
        <w:gridCol w:w="1086"/>
      </w:tblGrid>
      <w:tr w14:paraId="162C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94" w:type="dxa"/>
            <w:vMerge w:val="restart"/>
            <w:tcBorders>
              <w:top w:val="single" w:color="auto" w:sz="4" w:space="0"/>
              <w:left w:val="single" w:color="auto" w:sz="4" w:space="0"/>
              <w:bottom w:val="single" w:color="auto" w:sz="4" w:space="0"/>
              <w:right w:val="single" w:color="auto" w:sz="4" w:space="0"/>
            </w:tcBorders>
            <w:vAlign w:val="center"/>
          </w:tcPr>
          <w:p w14:paraId="3C0B27C8">
            <w:pPr>
              <w:pageBreakBefore w:val="0"/>
              <w:kinsoku/>
              <w:wordWrap/>
              <w:overflowPunct/>
              <w:topLinePunct w:val="0"/>
              <w:bidi w:val="0"/>
              <w:spacing w:line="360" w:lineRule="auto"/>
              <w:jc w:val="center"/>
              <w:rPr>
                <w:color w:val="auto"/>
                <w:highlight w:val="none"/>
              </w:rPr>
            </w:pPr>
            <w:r>
              <w:rPr>
                <w:rFonts w:hint="eastAsia"/>
                <w:color w:val="auto"/>
                <w:highlight w:val="none"/>
              </w:rPr>
              <w:t>序号</w:t>
            </w:r>
          </w:p>
        </w:tc>
        <w:tc>
          <w:tcPr>
            <w:tcW w:w="1191" w:type="dxa"/>
            <w:vMerge w:val="restart"/>
            <w:tcBorders>
              <w:top w:val="single" w:color="auto" w:sz="4" w:space="0"/>
              <w:left w:val="single" w:color="auto" w:sz="4" w:space="0"/>
              <w:bottom w:val="single" w:color="auto" w:sz="4" w:space="0"/>
              <w:right w:val="single" w:color="000000" w:sz="4" w:space="0"/>
            </w:tcBorders>
            <w:vAlign w:val="center"/>
          </w:tcPr>
          <w:p w14:paraId="1301F136">
            <w:pPr>
              <w:pageBreakBefore w:val="0"/>
              <w:kinsoku/>
              <w:wordWrap/>
              <w:overflowPunct/>
              <w:topLinePunct w:val="0"/>
              <w:bidi w:val="0"/>
              <w:spacing w:line="360" w:lineRule="auto"/>
              <w:jc w:val="center"/>
              <w:rPr>
                <w:color w:val="auto"/>
                <w:highlight w:val="none"/>
              </w:rPr>
            </w:pPr>
            <w:r>
              <w:rPr>
                <w:rFonts w:hint="eastAsia"/>
                <w:color w:val="auto"/>
                <w:highlight w:val="none"/>
              </w:rPr>
              <w:t>年份</w:t>
            </w:r>
          </w:p>
        </w:tc>
        <w:tc>
          <w:tcPr>
            <w:tcW w:w="1571" w:type="dxa"/>
            <w:vMerge w:val="restart"/>
            <w:tcBorders>
              <w:top w:val="single" w:color="auto" w:sz="4" w:space="0"/>
              <w:left w:val="single" w:color="auto" w:sz="4" w:space="0"/>
              <w:bottom w:val="single" w:color="auto" w:sz="4" w:space="0"/>
              <w:right w:val="single" w:color="auto" w:sz="4" w:space="0"/>
            </w:tcBorders>
            <w:vAlign w:val="center"/>
          </w:tcPr>
          <w:p w14:paraId="4C8F5804">
            <w:pPr>
              <w:pageBreakBefore w:val="0"/>
              <w:kinsoku/>
              <w:wordWrap/>
              <w:overflowPunct/>
              <w:topLinePunct w:val="0"/>
              <w:bidi w:val="0"/>
              <w:spacing w:line="360" w:lineRule="auto"/>
              <w:jc w:val="center"/>
              <w:rPr>
                <w:color w:val="auto"/>
                <w:highlight w:val="none"/>
              </w:rPr>
            </w:pPr>
            <w:r>
              <w:rPr>
                <w:rFonts w:hint="eastAsia"/>
                <w:color w:val="auto"/>
                <w:highlight w:val="none"/>
              </w:rPr>
              <w:t>项目名称</w:t>
            </w:r>
          </w:p>
        </w:tc>
        <w:tc>
          <w:tcPr>
            <w:tcW w:w="1144" w:type="dxa"/>
            <w:vMerge w:val="restart"/>
            <w:tcBorders>
              <w:top w:val="single" w:color="auto" w:sz="4" w:space="0"/>
              <w:left w:val="single" w:color="auto" w:sz="4" w:space="0"/>
              <w:bottom w:val="single" w:color="auto" w:sz="4" w:space="0"/>
              <w:right w:val="single" w:color="auto" w:sz="4" w:space="0"/>
            </w:tcBorders>
            <w:vAlign w:val="center"/>
          </w:tcPr>
          <w:p w14:paraId="32308285">
            <w:pPr>
              <w:pageBreakBefore w:val="0"/>
              <w:kinsoku/>
              <w:wordWrap/>
              <w:overflowPunct/>
              <w:topLinePunct w:val="0"/>
              <w:bidi w:val="0"/>
              <w:spacing w:line="360" w:lineRule="auto"/>
              <w:jc w:val="center"/>
              <w:rPr>
                <w:color w:val="auto"/>
                <w:highlight w:val="none"/>
              </w:rPr>
            </w:pPr>
            <w:r>
              <w:rPr>
                <w:rFonts w:hint="eastAsia"/>
                <w:color w:val="auto"/>
                <w:highlight w:val="none"/>
              </w:rPr>
              <w:t>合同金额（万元）</w:t>
            </w:r>
          </w:p>
        </w:tc>
        <w:tc>
          <w:tcPr>
            <w:tcW w:w="1144" w:type="dxa"/>
            <w:vMerge w:val="restart"/>
            <w:tcBorders>
              <w:top w:val="single" w:color="auto" w:sz="4" w:space="0"/>
              <w:left w:val="single" w:color="auto" w:sz="4" w:space="0"/>
              <w:bottom w:val="single" w:color="auto" w:sz="4" w:space="0"/>
              <w:right w:val="single" w:color="auto" w:sz="4" w:space="0"/>
            </w:tcBorders>
            <w:vAlign w:val="center"/>
          </w:tcPr>
          <w:p w14:paraId="0A0C05D5">
            <w:pPr>
              <w:pageBreakBefore w:val="0"/>
              <w:kinsoku/>
              <w:wordWrap/>
              <w:overflowPunct/>
              <w:topLinePunct w:val="0"/>
              <w:bidi w:val="0"/>
              <w:spacing w:line="360" w:lineRule="auto"/>
              <w:jc w:val="center"/>
              <w:rPr>
                <w:color w:val="auto"/>
                <w:highlight w:val="none"/>
              </w:rPr>
            </w:pPr>
            <w:r>
              <w:rPr>
                <w:rFonts w:hint="eastAsia"/>
                <w:color w:val="auto"/>
                <w:highlight w:val="none"/>
              </w:rPr>
              <w:t>服务期限</w:t>
            </w:r>
          </w:p>
        </w:tc>
        <w:tc>
          <w:tcPr>
            <w:tcW w:w="3226" w:type="dxa"/>
            <w:gridSpan w:val="3"/>
            <w:tcBorders>
              <w:top w:val="single" w:color="auto" w:sz="4" w:space="0"/>
              <w:left w:val="single" w:color="auto" w:sz="4" w:space="0"/>
              <w:bottom w:val="single" w:color="auto" w:sz="4" w:space="0"/>
              <w:right w:val="single" w:color="auto" w:sz="4" w:space="0"/>
            </w:tcBorders>
            <w:vAlign w:val="center"/>
          </w:tcPr>
          <w:p w14:paraId="0A4863DF">
            <w:pPr>
              <w:pageBreakBefore w:val="0"/>
              <w:kinsoku/>
              <w:wordWrap/>
              <w:overflowPunct/>
              <w:topLinePunct w:val="0"/>
              <w:bidi w:val="0"/>
              <w:spacing w:line="360" w:lineRule="auto"/>
              <w:jc w:val="center"/>
              <w:rPr>
                <w:color w:val="auto"/>
                <w:highlight w:val="none"/>
              </w:rPr>
            </w:pPr>
            <w:r>
              <w:rPr>
                <w:rFonts w:hint="eastAsia"/>
                <w:color w:val="auto"/>
                <w:highlight w:val="none"/>
              </w:rPr>
              <w:t>业主情况</w:t>
            </w:r>
          </w:p>
        </w:tc>
      </w:tr>
      <w:tr w14:paraId="5E04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14:paraId="32ABE051">
            <w:pPr>
              <w:pageBreakBefore w:val="0"/>
              <w:kinsoku/>
              <w:wordWrap/>
              <w:overflowPunct/>
              <w:topLinePunct w:val="0"/>
              <w:bidi w:val="0"/>
              <w:spacing w:line="360" w:lineRule="auto"/>
              <w:jc w:val="center"/>
              <w:rPr>
                <w:color w:val="auto"/>
                <w:highlight w:val="none"/>
              </w:rPr>
            </w:pPr>
          </w:p>
        </w:tc>
        <w:tc>
          <w:tcPr>
            <w:tcW w:w="1191" w:type="dxa"/>
            <w:vMerge w:val="continue"/>
            <w:tcBorders>
              <w:top w:val="single" w:color="auto" w:sz="4" w:space="0"/>
              <w:left w:val="single" w:color="auto" w:sz="4" w:space="0"/>
              <w:bottom w:val="single" w:color="auto" w:sz="4" w:space="0"/>
              <w:right w:val="single" w:color="000000" w:sz="4" w:space="0"/>
            </w:tcBorders>
            <w:vAlign w:val="center"/>
          </w:tcPr>
          <w:p w14:paraId="06C96270">
            <w:pPr>
              <w:pageBreakBefore w:val="0"/>
              <w:kinsoku/>
              <w:wordWrap/>
              <w:overflowPunct/>
              <w:topLinePunct w:val="0"/>
              <w:bidi w:val="0"/>
              <w:spacing w:line="360" w:lineRule="auto"/>
              <w:jc w:val="center"/>
              <w:rPr>
                <w:color w:val="auto"/>
                <w:highlight w:val="none"/>
              </w:rPr>
            </w:pPr>
          </w:p>
        </w:tc>
        <w:tc>
          <w:tcPr>
            <w:tcW w:w="1571" w:type="dxa"/>
            <w:vMerge w:val="continue"/>
            <w:tcBorders>
              <w:top w:val="single" w:color="auto" w:sz="4" w:space="0"/>
              <w:left w:val="single" w:color="auto" w:sz="4" w:space="0"/>
              <w:bottom w:val="single" w:color="auto" w:sz="4" w:space="0"/>
              <w:right w:val="single" w:color="auto" w:sz="4" w:space="0"/>
            </w:tcBorders>
            <w:vAlign w:val="center"/>
          </w:tcPr>
          <w:p w14:paraId="76D22273">
            <w:pPr>
              <w:pageBreakBefore w:val="0"/>
              <w:kinsoku/>
              <w:wordWrap/>
              <w:overflowPunct/>
              <w:topLinePunct w:val="0"/>
              <w:bidi w:val="0"/>
              <w:spacing w:line="360" w:lineRule="auto"/>
              <w:jc w:val="center"/>
              <w:rPr>
                <w:color w:val="auto"/>
                <w:highlight w:val="none"/>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768085B8">
            <w:pPr>
              <w:pageBreakBefore w:val="0"/>
              <w:kinsoku/>
              <w:wordWrap/>
              <w:overflowPunct/>
              <w:topLinePunct w:val="0"/>
              <w:bidi w:val="0"/>
              <w:spacing w:line="360" w:lineRule="auto"/>
              <w:jc w:val="center"/>
              <w:rPr>
                <w:color w:val="auto"/>
                <w:highlight w:val="none"/>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3B96CC12">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231F9B7E">
            <w:pPr>
              <w:pageBreakBefore w:val="0"/>
              <w:kinsoku/>
              <w:wordWrap/>
              <w:overflowPunct/>
              <w:topLinePunct w:val="0"/>
              <w:bidi w:val="0"/>
              <w:spacing w:line="360" w:lineRule="auto"/>
              <w:jc w:val="center"/>
              <w:rPr>
                <w:color w:val="auto"/>
                <w:highlight w:val="none"/>
              </w:rPr>
            </w:pPr>
            <w:r>
              <w:rPr>
                <w:rFonts w:hint="eastAsia"/>
                <w:color w:val="auto"/>
                <w:highlight w:val="none"/>
              </w:rPr>
              <w:t>单位名称</w:t>
            </w:r>
          </w:p>
        </w:tc>
        <w:tc>
          <w:tcPr>
            <w:tcW w:w="904" w:type="dxa"/>
            <w:tcBorders>
              <w:top w:val="single" w:color="auto" w:sz="4" w:space="0"/>
              <w:left w:val="single" w:color="auto" w:sz="4" w:space="0"/>
              <w:bottom w:val="single" w:color="auto" w:sz="4" w:space="0"/>
              <w:right w:val="single" w:color="auto" w:sz="4" w:space="0"/>
            </w:tcBorders>
            <w:vAlign w:val="center"/>
          </w:tcPr>
          <w:p w14:paraId="0E9CF928">
            <w:pPr>
              <w:pageBreakBefore w:val="0"/>
              <w:kinsoku/>
              <w:wordWrap/>
              <w:overflowPunct/>
              <w:topLinePunct w:val="0"/>
              <w:bidi w:val="0"/>
              <w:spacing w:line="360" w:lineRule="auto"/>
              <w:jc w:val="center"/>
              <w:rPr>
                <w:color w:val="auto"/>
                <w:highlight w:val="none"/>
              </w:rPr>
            </w:pPr>
            <w:r>
              <w:rPr>
                <w:rFonts w:hint="eastAsia"/>
                <w:color w:val="auto"/>
                <w:highlight w:val="none"/>
              </w:rPr>
              <w:t>经办人</w:t>
            </w:r>
          </w:p>
        </w:tc>
        <w:tc>
          <w:tcPr>
            <w:tcW w:w="1086" w:type="dxa"/>
            <w:tcBorders>
              <w:top w:val="single" w:color="auto" w:sz="4" w:space="0"/>
              <w:left w:val="single" w:color="auto" w:sz="4" w:space="0"/>
              <w:bottom w:val="single" w:color="auto" w:sz="4" w:space="0"/>
              <w:right w:val="single" w:color="auto" w:sz="4" w:space="0"/>
            </w:tcBorders>
            <w:vAlign w:val="center"/>
          </w:tcPr>
          <w:p w14:paraId="370F38D7">
            <w:pPr>
              <w:pageBreakBefore w:val="0"/>
              <w:kinsoku/>
              <w:wordWrap/>
              <w:overflowPunct/>
              <w:topLinePunct w:val="0"/>
              <w:bidi w:val="0"/>
              <w:spacing w:line="360" w:lineRule="auto"/>
              <w:jc w:val="center"/>
              <w:rPr>
                <w:color w:val="auto"/>
                <w:highlight w:val="none"/>
              </w:rPr>
            </w:pPr>
            <w:r>
              <w:rPr>
                <w:rFonts w:hint="eastAsia"/>
                <w:color w:val="auto"/>
                <w:highlight w:val="none"/>
              </w:rPr>
              <w:t>联系方式</w:t>
            </w:r>
          </w:p>
        </w:tc>
      </w:tr>
      <w:tr w14:paraId="5CCD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A7B196B">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0F8B1EE7">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672D2F26">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4B76BD97">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25541C34">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26CAC245">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4B8BA091">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469BA9CD">
            <w:pPr>
              <w:pageBreakBefore w:val="0"/>
              <w:kinsoku/>
              <w:wordWrap/>
              <w:overflowPunct/>
              <w:topLinePunct w:val="0"/>
              <w:bidi w:val="0"/>
              <w:spacing w:line="360" w:lineRule="auto"/>
              <w:jc w:val="center"/>
              <w:rPr>
                <w:color w:val="auto"/>
                <w:highlight w:val="none"/>
              </w:rPr>
            </w:pPr>
          </w:p>
        </w:tc>
      </w:tr>
      <w:tr w14:paraId="438A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3819626">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7D6A152E">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69BB7CB2">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58ABA396">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4BAF930C">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29A9203B">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58464E59">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1C38A126">
            <w:pPr>
              <w:pageBreakBefore w:val="0"/>
              <w:kinsoku/>
              <w:wordWrap/>
              <w:overflowPunct/>
              <w:topLinePunct w:val="0"/>
              <w:bidi w:val="0"/>
              <w:spacing w:line="360" w:lineRule="auto"/>
              <w:jc w:val="center"/>
              <w:rPr>
                <w:color w:val="auto"/>
                <w:highlight w:val="none"/>
              </w:rPr>
            </w:pPr>
          </w:p>
        </w:tc>
      </w:tr>
      <w:tr w14:paraId="5583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31D4A0F">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55AF0374">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36246976">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2DEE920F">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34661A26">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4C05EF55">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1ABB6D51">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235D834F">
            <w:pPr>
              <w:pageBreakBefore w:val="0"/>
              <w:kinsoku/>
              <w:wordWrap/>
              <w:overflowPunct/>
              <w:topLinePunct w:val="0"/>
              <w:bidi w:val="0"/>
              <w:spacing w:line="360" w:lineRule="auto"/>
              <w:jc w:val="center"/>
              <w:rPr>
                <w:color w:val="auto"/>
                <w:highlight w:val="none"/>
              </w:rPr>
            </w:pPr>
          </w:p>
        </w:tc>
      </w:tr>
      <w:tr w14:paraId="5B16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76515EE">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6C0707A0">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64BC7FDB">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2E81E2C8">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47E5CD8D">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560B6B38">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0F1D2AC0">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6CFDAE56">
            <w:pPr>
              <w:pageBreakBefore w:val="0"/>
              <w:kinsoku/>
              <w:wordWrap/>
              <w:overflowPunct/>
              <w:topLinePunct w:val="0"/>
              <w:bidi w:val="0"/>
              <w:spacing w:line="360" w:lineRule="auto"/>
              <w:jc w:val="center"/>
              <w:rPr>
                <w:color w:val="auto"/>
                <w:highlight w:val="none"/>
              </w:rPr>
            </w:pPr>
          </w:p>
        </w:tc>
      </w:tr>
      <w:tr w14:paraId="4D22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3D3A5E">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02F5109A">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0E8A9F84">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77164DF0">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2DB8EFDE">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2AD6DEE8">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10323A28">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71EDDC22">
            <w:pPr>
              <w:pageBreakBefore w:val="0"/>
              <w:kinsoku/>
              <w:wordWrap/>
              <w:overflowPunct/>
              <w:topLinePunct w:val="0"/>
              <w:bidi w:val="0"/>
              <w:spacing w:line="360" w:lineRule="auto"/>
              <w:jc w:val="center"/>
              <w:rPr>
                <w:color w:val="auto"/>
                <w:highlight w:val="none"/>
              </w:rPr>
            </w:pPr>
          </w:p>
        </w:tc>
      </w:tr>
      <w:tr w14:paraId="65FC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F481D3D">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1C9680EF">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54DD0725">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3E680ABB">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38707E2D">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4EA560CF">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397FC495">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75A56ABB">
            <w:pPr>
              <w:pageBreakBefore w:val="0"/>
              <w:kinsoku/>
              <w:wordWrap/>
              <w:overflowPunct/>
              <w:topLinePunct w:val="0"/>
              <w:bidi w:val="0"/>
              <w:spacing w:line="360" w:lineRule="auto"/>
              <w:jc w:val="center"/>
              <w:rPr>
                <w:color w:val="auto"/>
                <w:highlight w:val="none"/>
              </w:rPr>
            </w:pPr>
          </w:p>
        </w:tc>
      </w:tr>
      <w:tr w14:paraId="0F8B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38F5E1">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383D6D0A">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278CEA3B">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6402ABDA">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5587C2E7">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544D09A8">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2A7867E5">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68368B50">
            <w:pPr>
              <w:pageBreakBefore w:val="0"/>
              <w:kinsoku/>
              <w:wordWrap/>
              <w:overflowPunct/>
              <w:topLinePunct w:val="0"/>
              <w:bidi w:val="0"/>
              <w:spacing w:line="360" w:lineRule="auto"/>
              <w:jc w:val="center"/>
              <w:rPr>
                <w:color w:val="auto"/>
                <w:highlight w:val="none"/>
              </w:rPr>
            </w:pPr>
          </w:p>
        </w:tc>
      </w:tr>
      <w:tr w14:paraId="50E2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4171ACA">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356B9CC3">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7C69B589">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7E663AA8">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32E542D5">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2041AC57">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127D399C">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6917CB65">
            <w:pPr>
              <w:pageBreakBefore w:val="0"/>
              <w:kinsoku/>
              <w:wordWrap/>
              <w:overflowPunct/>
              <w:topLinePunct w:val="0"/>
              <w:bidi w:val="0"/>
              <w:spacing w:line="360" w:lineRule="auto"/>
              <w:jc w:val="center"/>
              <w:rPr>
                <w:color w:val="auto"/>
                <w:highlight w:val="none"/>
              </w:rPr>
            </w:pPr>
          </w:p>
        </w:tc>
      </w:tr>
      <w:tr w14:paraId="7294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69CF26E">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6E0D3F6C">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0D470DCB">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79E8EC73">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77C3F175">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3313151C">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7E1D9388">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4FB1C9BB">
            <w:pPr>
              <w:pageBreakBefore w:val="0"/>
              <w:kinsoku/>
              <w:wordWrap/>
              <w:overflowPunct/>
              <w:topLinePunct w:val="0"/>
              <w:bidi w:val="0"/>
              <w:spacing w:line="360" w:lineRule="auto"/>
              <w:jc w:val="center"/>
              <w:rPr>
                <w:color w:val="auto"/>
                <w:highlight w:val="none"/>
              </w:rPr>
            </w:pPr>
          </w:p>
        </w:tc>
      </w:tr>
      <w:tr w14:paraId="2940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102F75">
            <w:pPr>
              <w:pageBreakBefore w:val="0"/>
              <w:kinsoku/>
              <w:wordWrap/>
              <w:overflowPunct/>
              <w:topLinePunct w:val="0"/>
              <w:bidi w:val="0"/>
              <w:spacing w:line="360" w:lineRule="auto"/>
              <w:jc w:val="center"/>
              <w:rPr>
                <w:color w:val="auto"/>
                <w:highlight w:val="none"/>
              </w:rPr>
            </w:pPr>
          </w:p>
        </w:tc>
        <w:tc>
          <w:tcPr>
            <w:tcW w:w="1191" w:type="dxa"/>
            <w:tcBorders>
              <w:top w:val="single" w:color="auto" w:sz="4" w:space="0"/>
              <w:left w:val="single" w:color="auto" w:sz="4" w:space="0"/>
              <w:bottom w:val="single" w:color="auto" w:sz="4" w:space="0"/>
              <w:right w:val="single" w:color="000000" w:sz="4" w:space="0"/>
            </w:tcBorders>
            <w:vAlign w:val="center"/>
          </w:tcPr>
          <w:p w14:paraId="7FF98D9E">
            <w:pPr>
              <w:pageBreakBefore w:val="0"/>
              <w:kinsoku/>
              <w:wordWrap/>
              <w:overflowPunct/>
              <w:topLinePunct w:val="0"/>
              <w:bidi w:val="0"/>
              <w:spacing w:line="360" w:lineRule="auto"/>
              <w:jc w:val="center"/>
              <w:rPr>
                <w:color w:val="auto"/>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14:paraId="23BAD8BE">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5219ABB1">
            <w:pPr>
              <w:pageBreakBefore w:val="0"/>
              <w:kinsoku/>
              <w:wordWrap/>
              <w:overflowPunct/>
              <w:topLinePunct w:val="0"/>
              <w:bidi w:val="0"/>
              <w:spacing w:line="360" w:lineRule="auto"/>
              <w:jc w:val="center"/>
              <w:rPr>
                <w:color w:val="auto"/>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14:paraId="3DDC87C2">
            <w:pPr>
              <w:pageBreakBefore w:val="0"/>
              <w:kinsoku/>
              <w:wordWrap/>
              <w:overflowPunct/>
              <w:topLinePunct w:val="0"/>
              <w:bidi w:val="0"/>
              <w:spacing w:line="360" w:lineRule="auto"/>
              <w:jc w:val="center"/>
              <w:rPr>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5050EAE0">
            <w:pPr>
              <w:pageBreakBefore w:val="0"/>
              <w:kinsoku/>
              <w:wordWrap/>
              <w:overflowPunct/>
              <w:topLinePunct w:val="0"/>
              <w:bidi w:val="0"/>
              <w:spacing w:line="360" w:lineRule="auto"/>
              <w:jc w:val="center"/>
              <w:rPr>
                <w:color w:val="auto"/>
                <w:highlight w:val="none"/>
              </w:rPr>
            </w:pPr>
          </w:p>
        </w:tc>
        <w:tc>
          <w:tcPr>
            <w:tcW w:w="904" w:type="dxa"/>
            <w:tcBorders>
              <w:top w:val="single" w:color="auto" w:sz="4" w:space="0"/>
              <w:left w:val="single" w:color="auto" w:sz="4" w:space="0"/>
              <w:bottom w:val="single" w:color="auto" w:sz="4" w:space="0"/>
              <w:right w:val="single" w:color="auto" w:sz="4" w:space="0"/>
            </w:tcBorders>
            <w:vAlign w:val="center"/>
          </w:tcPr>
          <w:p w14:paraId="4B4F8591">
            <w:pPr>
              <w:pageBreakBefore w:val="0"/>
              <w:kinsoku/>
              <w:wordWrap/>
              <w:overflowPunct/>
              <w:topLinePunct w:val="0"/>
              <w:bidi w:val="0"/>
              <w:spacing w:line="360" w:lineRule="auto"/>
              <w:jc w:val="center"/>
              <w:rPr>
                <w:color w:val="auto"/>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44C3DE9F">
            <w:pPr>
              <w:pageBreakBefore w:val="0"/>
              <w:kinsoku/>
              <w:wordWrap/>
              <w:overflowPunct/>
              <w:topLinePunct w:val="0"/>
              <w:bidi w:val="0"/>
              <w:spacing w:line="360" w:lineRule="auto"/>
              <w:jc w:val="center"/>
              <w:rPr>
                <w:color w:val="auto"/>
                <w:highlight w:val="none"/>
              </w:rPr>
            </w:pPr>
          </w:p>
        </w:tc>
      </w:tr>
    </w:tbl>
    <w:p w14:paraId="24442793">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后附近</w:t>
      </w:r>
      <w:r>
        <w:rPr>
          <w:rFonts w:hint="eastAsia" w:ascii="宋体" w:hAnsi="宋体" w:cs="宋体"/>
          <w:color w:val="auto"/>
          <w:kern w:val="44"/>
          <w:szCs w:val="21"/>
          <w:highlight w:val="none"/>
          <w:lang w:val="en-US" w:eastAsia="zh-CN"/>
        </w:rPr>
        <w:t>三年</w:t>
      </w:r>
      <w:r>
        <w:rPr>
          <w:rFonts w:hint="eastAsia" w:ascii="宋体" w:hAnsi="宋体" w:cs="宋体"/>
          <w:color w:val="auto"/>
          <w:kern w:val="44"/>
          <w:szCs w:val="21"/>
          <w:highlight w:val="none"/>
        </w:rPr>
        <w:t>的同类项目业绩相关证明材料。</w:t>
      </w:r>
    </w:p>
    <w:p w14:paraId="12BA4A65">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38617C82">
      <w:pPr>
        <w:pageBreakBefore w:val="0"/>
        <w:kinsoku/>
        <w:wordWrap/>
        <w:overflowPunct/>
        <w:topLinePunct w:val="0"/>
        <w:bidi w:val="0"/>
        <w:spacing w:line="360" w:lineRule="auto"/>
        <w:rPr>
          <w:rFonts w:hint="eastAsia" w:hAnsi="宋体"/>
          <w:b/>
          <w:color w:val="auto"/>
          <w:sz w:val="21"/>
          <w:highlight w:val="none"/>
        </w:rPr>
      </w:pPr>
      <w:r>
        <w:rPr>
          <w:rFonts w:hint="eastAsia" w:hAnsi="宋体"/>
          <w:b/>
          <w:color w:val="auto"/>
          <w:sz w:val="21"/>
          <w:highlight w:val="none"/>
        </w:rPr>
        <w:br w:type="page"/>
      </w:r>
    </w:p>
    <w:p w14:paraId="0FC4BD91">
      <w:pPr>
        <w:pStyle w:val="21"/>
        <w:pageBreakBefore w:val="0"/>
        <w:kinsoku/>
        <w:wordWrap/>
        <w:overflowPunct/>
        <w:topLinePunct w:val="0"/>
        <w:bidi w:val="0"/>
        <w:snapToGrid w:val="0"/>
        <w:spacing w:line="360" w:lineRule="auto"/>
        <w:jc w:val="center"/>
        <w:outlineLvl w:val="2"/>
        <w:rPr>
          <w:rFonts w:hint="eastAsia" w:hAnsi="宋体"/>
          <w:b/>
          <w:color w:val="auto"/>
          <w:sz w:val="21"/>
          <w:highlight w:val="none"/>
        </w:rPr>
      </w:pPr>
      <w:r>
        <w:rPr>
          <w:rFonts w:hint="eastAsia" w:hAnsi="宋体"/>
          <w:b/>
          <w:color w:val="auto"/>
          <w:sz w:val="21"/>
          <w:highlight w:val="none"/>
        </w:rPr>
        <w:t>3、项目管理机构配备情况表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446"/>
        <w:gridCol w:w="989"/>
        <w:gridCol w:w="978"/>
        <w:gridCol w:w="8"/>
        <w:gridCol w:w="1001"/>
        <w:gridCol w:w="1043"/>
        <w:gridCol w:w="7"/>
        <w:gridCol w:w="1644"/>
        <w:gridCol w:w="772"/>
      </w:tblGrid>
      <w:tr w14:paraId="6170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916" w:type="dxa"/>
            <w:vAlign w:val="center"/>
          </w:tcPr>
          <w:p w14:paraId="09A911F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序号</w:t>
            </w:r>
          </w:p>
        </w:tc>
        <w:tc>
          <w:tcPr>
            <w:tcW w:w="1446" w:type="dxa"/>
            <w:vAlign w:val="center"/>
          </w:tcPr>
          <w:p w14:paraId="3623ADC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拟在本项目任职</w:t>
            </w:r>
          </w:p>
        </w:tc>
        <w:tc>
          <w:tcPr>
            <w:tcW w:w="989" w:type="dxa"/>
            <w:vAlign w:val="center"/>
          </w:tcPr>
          <w:p w14:paraId="11CDFB0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姓名</w:t>
            </w:r>
          </w:p>
        </w:tc>
        <w:tc>
          <w:tcPr>
            <w:tcW w:w="978" w:type="dxa"/>
            <w:vAlign w:val="center"/>
          </w:tcPr>
          <w:p w14:paraId="2624895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年龄</w:t>
            </w:r>
          </w:p>
        </w:tc>
        <w:tc>
          <w:tcPr>
            <w:tcW w:w="1009" w:type="dxa"/>
            <w:gridSpan w:val="2"/>
            <w:vAlign w:val="center"/>
          </w:tcPr>
          <w:p w14:paraId="62B6DA1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学历</w:t>
            </w:r>
          </w:p>
        </w:tc>
        <w:tc>
          <w:tcPr>
            <w:tcW w:w="1043" w:type="dxa"/>
            <w:vAlign w:val="center"/>
          </w:tcPr>
          <w:p w14:paraId="1BD8FF9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专业</w:t>
            </w:r>
          </w:p>
        </w:tc>
        <w:tc>
          <w:tcPr>
            <w:tcW w:w="1651" w:type="dxa"/>
            <w:gridSpan w:val="2"/>
            <w:vAlign w:val="center"/>
          </w:tcPr>
          <w:p w14:paraId="6ED1306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执</w:t>
            </w:r>
            <w:r>
              <w:rPr>
                <w:rFonts w:hint="eastAsia" w:ascii="宋体" w:hAnsi="宋体" w:cs="Arial"/>
                <w:color w:val="auto"/>
                <w:kern w:val="0"/>
                <w:szCs w:val="21"/>
                <w:highlight w:val="none"/>
              </w:rPr>
              <w:t>（职）</w:t>
            </w:r>
            <w:r>
              <w:rPr>
                <w:rFonts w:ascii="宋体" w:hAnsi="宋体" w:cs="Arial"/>
                <w:color w:val="auto"/>
                <w:kern w:val="0"/>
                <w:szCs w:val="21"/>
                <w:highlight w:val="none"/>
              </w:rPr>
              <w:t>业资格或职称</w:t>
            </w:r>
          </w:p>
        </w:tc>
        <w:tc>
          <w:tcPr>
            <w:tcW w:w="772" w:type="dxa"/>
            <w:vAlign w:val="center"/>
          </w:tcPr>
          <w:p w14:paraId="6A3A80E9">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备注</w:t>
            </w:r>
          </w:p>
        </w:tc>
      </w:tr>
      <w:tr w14:paraId="5D6A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2C1F8DC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518F3B4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7EE2C64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5CDE3CD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54D08E8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5FF867A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57AE05C7">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4A208A6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52E0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4AC61D37">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2D5BB128">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31A80DC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172507ED">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02ADBBE9">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5E0E7E9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6D1B090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4136156E">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412B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18F08499">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5E1BACE2">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66C448FE">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133131E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61537D5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5AFD9049">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4C95142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0E3277D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3078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49C49E9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1704042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10213AF2">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65DF0E68">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3938AA5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4DEB7710">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5D43882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02CA931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6662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1D9E7D5D">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643C277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72C2A910">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30DCCAC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215C8A8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763AA957">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437F6212">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08E222E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375A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7C72450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46D05A2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421FF81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5F7C72D9">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444EE46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219CD04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17F02378">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728D71F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7A76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2A5EBFB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0FECFA1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11420EF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2E4489F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166ECFE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342BC490">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0E209FC2">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149D87F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4946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2C19D7E0">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767B75B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79605A1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006D894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0537A5E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42E3A11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31A7304D">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75F4BEC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34DE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40552FF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1F1EB58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7827EEB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2EFDAC10">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54BEA3A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3099F0B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1CB4D0F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5FC21CF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1181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566CB08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22BDDA2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6865F3B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2A43712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7858851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76F6855D">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6A674209">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165D39D9">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4F65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1DF0F54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3FFE3F9E">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17DB6B4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57AFB60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0AE6CA3E">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52E959A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5D205CA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3D8FC42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5B2D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03142C5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37F59DF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64B99B1E">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3F80B9F2">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486A4FE8">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31884CB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54F34B90">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14A6B9A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4918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7D905F3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446" w:type="dxa"/>
          </w:tcPr>
          <w:p w14:paraId="26A2673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3F5EDB3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350D6B5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5EDC64BD">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481188F7">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63C0518E">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6405AF0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2F5D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3E50C7E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1446" w:type="dxa"/>
          </w:tcPr>
          <w:p w14:paraId="3C1173E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9" w:type="dxa"/>
          </w:tcPr>
          <w:p w14:paraId="0499663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986" w:type="dxa"/>
            <w:gridSpan w:val="2"/>
          </w:tcPr>
          <w:p w14:paraId="0BF28C38">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01" w:type="dxa"/>
          </w:tcPr>
          <w:p w14:paraId="72FA041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050" w:type="dxa"/>
            <w:gridSpan w:val="2"/>
          </w:tcPr>
          <w:p w14:paraId="7C7B54E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644" w:type="dxa"/>
          </w:tcPr>
          <w:p w14:paraId="2274C91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772" w:type="dxa"/>
          </w:tcPr>
          <w:p w14:paraId="7553EAA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bl>
    <w:p w14:paraId="38CE575C">
      <w:pPr>
        <w:pStyle w:val="21"/>
        <w:pageBreakBefore w:val="0"/>
        <w:kinsoku/>
        <w:wordWrap/>
        <w:overflowPunct/>
        <w:topLinePunct w:val="0"/>
        <w:bidi w:val="0"/>
        <w:snapToGrid w:val="0"/>
        <w:spacing w:line="360" w:lineRule="auto"/>
        <w:rPr>
          <w:rFonts w:hint="eastAsia" w:hAnsi="宋体"/>
          <w:color w:val="auto"/>
          <w:kern w:val="0"/>
          <w:sz w:val="21"/>
          <w:highlight w:val="none"/>
        </w:rPr>
      </w:pPr>
      <w:r>
        <w:rPr>
          <w:rFonts w:hint="eastAsia"/>
          <w:color w:val="auto"/>
          <w:sz w:val="21"/>
          <w:highlight w:val="none"/>
        </w:rPr>
        <w:t>后附拟派项目人员相关证件的复印件。</w:t>
      </w:r>
    </w:p>
    <w:p w14:paraId="418C7E01">
      <w:pPr>
        <w:pageBreakBefore w:val="0"/>
        <w:kinsoku/>
        <w:wordWrap/>
        <w:overflowPunct/>
        <w:topLinePunct w:val="0"/>
        <w:bidi w:val="0"/>
        <w:spacing w:line="360" w:lineRule="auto"/>
        <w:rPr>
          <w:rFonts w:hint="eastAsia" w:ascii="宋体" w:hAnsi="宋体" w:cs="宋体"/>
          <w:color w:val="auto"/>
          <w:kern w:val="44"/>
          <w:szCs w:val="21"/>
          <w:highlight w:val="none"/>
        </w:rPr>
      </w:pPr>
    </w:p>
    <w:p w14:paraId="45CAB917">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r>
        <w:rPr>
          <w:rFonts w:ascii="宋体" w:hAnsi="宋体"/>
          <w:b/>
          <w:color w:val="auto"/>
          <w:szCs w:val="21"/>
          <w:highlight w:val="none"/>
        </w:rPr>
        <w:br w:type="page"/>
      </w:r>
    </w:p>
    <w:p w14:paraId="0D2B8133">
      <w:pPr>
        <w:pageBreakBefore w:val="0"/>
        <w:kinsoku/>
        <w:wordWrap/>
        <w:overflowPunct/>
        <w:topLinePunct w:val="0"/>
        <w:bidi w:val="0"/>
        <w:spacing w:line="360" w:lineRule="auto"/>
        <w:rPr>
          <w:rFonts w:hint="eastAsia" w:ascii="宋体" w:hAnsi="宋体" w:cs="宋体"/>
          <w:color w:val="auto"/>
          <w:kern w:val="44"/>
          <w:szCs w:val="21"/>
          <w:highlight w:val="none"/>
        </w:rPr>
      </w:pPr>
    </w:p>
    <w:p w14:paraId="59082CD6">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rPr>
        <w:t>4、商务、技术条款偏离表</w:t>
      </w:r>
    </w:p>
    <w:p w14:paraId="29ACE722">
      <w:pPr>
        <w:pageBreakBefore w:val="0"/>
        <w:widowControl/>
        <w:kinsoku/>
        <w:wordWrap/>
        <w:overflowPunct/>
        <w:topLinePunct w:val="0"/>
        <w:bidi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项目名称：</w:t>
      </w:r>
    </w:p>
    <w:p w14:paraId="692BD193">
      <w:pPr>
        <w:pageBreakBefore w:val="0"/>
        <w:widowControl/>
        <w:kinsoku/>
        <w:wordWrap/>
        <w:overflowPunct/>
        <w:topLinePunct w:val="0"/>
        <w:bidi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项目编号：</w:t>
      </w:r>
    </w:p>
    <w:tbl>
      <w:tblPr>
        <w:tblStyle w:val="37"/>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48"/>
        <w:gridCol w:w="2434"/>
        <w:gridCol w:w="2434"/>
        <w:gridCol w:w="1718"/>
        <w:gridCol w:w="1298"/>
      </w:tblGrid>
      <w:tr w14:paraId="1852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5113E68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序号</w:t>
            </w:r>
          </w:p>
        </w:tc>
        <w:tc>
          <w:tcPr>
            <w:tcW w:w="2434" w:type="dxa"/>
            <w:shd w:val="clear" w:color="auto" w:fill="auto"/>
            <w:tcMar>
              <w:top w:w="0" w:type="dxa"/>
              <w:left w:w="28" w:type="dxa"/>
              <w:bottom w:w="0" w:type="dxa"/>
              <w:right w:w="28" w:type="dxa"/>
            </w:tcMar>
            <w:vAlign w:val="center"/>
          </w:tcPr>
          <w:p w14:paraId="037F484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磋商</w:t>
            </w:r>
            <w:r>
              <w:rPr>
                <w:rFonts w:ascii="宋体" w:hAnsi="宋体" w:cs="Arial"/>
                <w:color w:val="auto"/>
                <w:kern w:val="0"/>
                <w:szCs w:val="21"/>
                <w:highlight w:val="none"/>
              </w:rPr>
              <w:t>文件商务、技术</w:t>
            </w:r>
          </w:p>
          <w:p w14:paraId="4505462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规范及要求</w:t>
            </w:r>
          </w:p>
        </w:tc>
        <w:tc>
          <w:tcPr>
            <w:tcW w:w="2434" w:type="dxa"/>
            <w:shd w:val="clear" w:color="auto" w:fill="auto"/>
            <w:tcMar>
              <w:top w:w="0" w:type="dxa"/>
              <w:left w:w="28" w:type="dxa"/>
              <w:bottom w:w="0" w:type="dxa"/>
              <w:right w:w="28" w:type="dxa"/>
            </w:tcMar>
            <w:vAlign w:val="center"/>
          </w:tcPr>
          <w:p w14:paraId="7660348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响应文件</w:t>
            </w:r>
          </w:p>
          <w:p w14:paraId="63CB34DE">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对应内容</w:t>
            </w:r>
          </w:p>
        </w:tc>
        <w:tc>
          <w:tcPr>
            <w:tcW w:w="1718" w:type="dxa"/>
            <w:shd w:val="clear" w:color="auto" w:fill="auto"/>
            <w:tcMar>
              <w:top w:w="0" w:type="dxa"/>
              <w:left w:w="28" w:type="dxa"/>
              <w:bottom w:w="0" w:type="dxa"/>
              <w:right w:w="28" w:type="dxa"/>
            </w:tcMar>
            <w:vAlign w:val="center"/>
          </w:tcPr>
          <w:p w14:paraId="05B81A2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偏离情况</w:t>
            </w:r>
          </w:p>
        </w:tc>
        <w:tc>
          <w:tcPr>
            <w:tcW w:w="1298" w:type="dxa"/>
            <w:shd w:val="clear" w:color="auto" w:fill="auto"/>
            <w:tcMar>
              <w:top w:w="0" w:type="dxa"/>
              <w:left w:w="28" w:type="dxa"/>
              <w:bottom w:w="0" w:type="dxa"/>
              <w:right w:w="28" w:type="dxa"/>
            </w:tcMar>
            <w:vAlign w:val="center"/>
          </w:tcPr>
          <w:p w14:paraId="02D09E38">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ascii="宋体" w:hAnsi="宋体" w:cs="Arial"/>
                <w:color w:val="auto"/>
                <w:kern w:val="0"/>
                <w:szCs w:val="21"/>
                <w:highlight w:val="none"/>
              </w:rPr>
              <w:t>备注</w:t>
            </w:r>
          </w:p>
        </w:tc>
      </w:tr>
      <w:tr w14:paraId="4EE0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2FF0F01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4938915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1A2D1D7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718" w:type="dxa"/>
            <w:shd w:val="clear" w:color="auto" w:fill="auto"/>
            <w:tcMar>
              <w:top w:w="0" w:type="dxa"/>
              <w:left w:w="28" w:type="dxa"/>
              <w:bottom w:w="0" w:type="dxa"/>
              <w:right w:w="28" w:type="dxa"/>
            </w:tcMar>
            <w:vAlign w:val="center"/>
          </w:tcPr>
          <w:p w14:paraId="4FD003B2">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298" w:type="dxa"/>
            <w:shd w:val="clear" w:color="auto" w:fill="auto"/>
            <w:tcMar>
              <w:top w:w="0" w:type="dxa"/>
              <w:left w:w="28" w:type="dxa"/>
              <w:bottom w:w="0" w:type="dxa"/>
              <w:right w:w="28" w:type="dxa"/>
            </w:tcMar>
            <w:vAlign w:val="center"/>
          </w:tcPr>
          <w:p w14:paraId="7A2A969B">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06B4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1E83665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31FB043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05DD39D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718" w:type="dxa"/>
            <w:shd w:val="clear" w:color="auto" w:fill="auto"/>
            <w:tcMar>
              <w:top w:w="0" w:type="dxa"/>
              <w:left w:w="28" w:type="dxa"/>
              <w:bottom w:w="0" w:type="dxa"/>
              <w:right w:w="28" w:type="dxa"/>
            </w:tcMar>
            <w:vAlign w:val="center"/>
          </w:tcPr>
          <w:p w14:paraId="13011672">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298" w:type="dxa"/>
            <w:shd w:val="clear" w:color="auto" w:fill="auto"/>
            <w:tcMar>
              <w:top w:w="0" w:type="dxa"/>
              <w:left w:w="28" w:type="dxa"/>
              <w:bottom w:w="0" w:type="dxa"/>
              <w:right w:w="28" w:type="dxa"/>
            </w:tcMar>
            <w:vAlign w:val="center"/>
          </w:tcPr>
          <w:p w14:paraId="2BC6DA5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30CD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73DEB2C5">
            <w:pPr>
              <w:pStyle w:val="15"/>
              <w:pageBreakBefore w:val="0"/>
              <w:kinsoku/>
              <w:wordWrap/>
              <w:overflowPunct/>
              <w:topLinePunct w:val="0"/>
              <w:bidi w:val="0"/>
              <w:spacing w:line="360" w:lineRule="auto"/>
              <w:jc w:val="center"/>
              <w:rPr>
                <w:color w:val="auto"/>
                <w:highlight w:val="none"/>
              </w:rPr>
            </w:pPr>
          </w:p>
        </w:tc>
        <w:tc>
          <w:tcPr>
            <w:tcW w:w="2434" w:type="dxa"/>
            <w:shd w:val="clear" w:color="auto" w:fill="auto"/>
            <w:tcMar>
              <w:top w:w="0" w:type="dxa"/>
              <w:left w:w="28" w:type="dxa"/>
              <w:bottom w:w="0" w:type="dxa"/>
              <w:right w:w="28" w:type="dxa"/>
            </w:tcMar>
            <w:vAlign w:val="center"/>
          </w:tcPr>
          <w:p w14:paraId="417D26C7">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794579D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718" w:type="dxa"/>
            <w:shd w:val="clear" w:color="auto" w:fill="auto"/>
            <w:tcMar>
              <w:top w:w="0" w:type="dxa"/>
              <w:left w:w="28" w:type="dxa"/>
              <w:bottom w:w="0" w:type="dxa"/>
              <w:right w:w="28" w:type="dxa"/>
            </w:tcMar>
            <w:vAlign w:val="center"/>
          </w:tcPr>
          <w:p w14:paraId="795FBC8A">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298" w:type="dxa"/>
            <w:shd w:val="clear" w:color="auto" w:fill="auto"/>
            <w:tcMar>
              <w:top w:w="0" w:type="dxa"/>
              <w:left w:w="28" w:type="dxa"/>
              <w:bottom w:w="0" w:type="dxa"/>
              <w:right w:w="28" w:type="dxa"/>
            </w:tcMar>
            <w:vAlign w:val="center"/>
          </w:tcPr>
          <w:p w14:paraId="68D0E427">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124A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5D7D08A1">
            <w:pPr>
              <w:pStyle w:val="15"/>
              <w:pageBreakBefore w:val="0"/>
              <w:kinsoku/>
              <w:wordWrap/>
              <w:overflowPunct/>
              <w:topLinePunct w:val="0"/>
              <w:bidi w:val="0"/>
              <w:spacing w:line="360" w:lineRule="auto"/>
              <w:jc w:val="center"/>
              <w:rPr>
                <w:color w:val="auto"/>
                <w:highlight w:val="none"/>
              </w:rPr>
            </w:pPr>
          </w:p>
        </w:tc>
        <w:tc>
          <w:tcPr>
            <w:tcW w:w="2434" w:type="dxa"/>
            <w:shd w:val="clear" w:color="auto" w:fill="auto"/>
            <w:tcMar>
              <w:top w:w="0" w:type="dxa"/>
              <w:left w:w="28" w:type="dxa"/>
              <w:bottom w:w="0" w:type="dxa"/>
              <w:right w:w="28" w:type="dxa"/>
            </w:tcMar>
            <w:vAlign w:val="center"/>
          </w:tcPr>
          <w:p w14:paraId="20C0FD27">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26BC93E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718" w:type="dxa"/>
            <w:shd w:val="clear" w:color="auto" w:fill="auto"/>
            <w:tcMar>
              <w:top w:w="0" w:type="dxa"/>
              <w:left w:w="28" w:type="dxa"/>
              <w:bottom w:w="0" w:type="dxa"/>
              <w:right w:w="28" w:type="dxa"/>
            </w:tcMar>
            <w:vAlign w:val="center"/>
          </w:tcPr>
          <w:p w14:paraId="2B8259B0">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298" w:type="dxa"/>
            <w:shd w:val="clear" w:color="auto" w:fill="auto"/>
            <w:tcMar>
              <w:top w:w="0" w:type="dxa"/>
              <w:left w:w="28" w:type="dxa"/>
              <w:bottom w:w="0" w:type="dxa"/>
              <w:right w:w="28" w:type="dxa"/>
            </w:tcMar>
            <w:vAlign w:val="center"/>
          </w:tcPr>
          <w:p w14:paraId="42B76FD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2244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3E3CBD47">
            <w:pPr>
              <w:pStyle w:val="15"/>
              <w:pageBreakBefore w:val="0"/>
              <w:kinsoku/>
              <w:wordWrap/>
              <w:overflowPunct/>
              <w:topLinePunct w:val="0"/>
              <w:bidi w:val="0"/>
              <w:spacing w:line="360" w:lineRule="auto"/>
              <w:jc w:val="center"/>
              <w:rPr>
                <w:color w:val="auto"/>
                <w:highlight w:val="none"/>
              </w:rPr>
            </w:pPr>
          </w:p>
        </w:tc>
        <w:tc>
          <w:tcPr>
            <w:tcW w:w="2434" w:type="dxa"/>
            <w:shd w:val="clear" w:color="auto" w:fill="auto"/>
            <w:tcMar>
              <w:top w:w="0" w:type="dxa"/>
              <w:left w:w="28" w:type="dxa"/>
              <w:bottom w:w="0" w:type="dxa"/>
              <w:right w:w="28" w:type="dxa"/>
            </w:tcMar>
            <w:vAlign w:val="center"/>
          </w:tcPr>
          <w:p w14:paraId="3B3619B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25867CC5">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718" w:type="dxa"/>
            <w:shd w:val="clear" w:color="auto" w:fill="auto"/>
            <w:tcMar>
              <w:top w:w="0" w:type="dxa"/>
              <w:left w:w="28" w:type="dxa"/>
              <w:bottom w:w="0" w:type="dxa"/>
              <w:right w:w="28" w:type="dxa"/>
            </w:tcMar>
            <w:vAlign w:val="center"/>
          </w:tcPr>
          <w:p w14:paraId="336D56E0">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298" w:type="dxa"/>
            <w:shd w:val="clear" w:color="auto" w:fill="auto"/>
            <w:tcMar>
              <w:top w:w="0" w:type="dxa"/>
              <w:left w:w="28" w:type="dxa"/>
              <w:bottom w:w="0" w:type="dxa"/>
              <w:right w:w="28" w:type="dxa"/>
            </w:tcMar>
            <w:vAlign w:val="center"/>
          </w:tcPr>
          <w:p w14:paraId="04AAA9E4">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7435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3243BD1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6BB9537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3FC527EC">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718" w:type="dxa"/>
            <w:shd w:val="clear" w:color="auto" w:fill="auto"/>
            <w:tcMar>
              <w:top w:w="0" w:type="dxa"/>
              <w:left w:w="28" w:type="dxa"/>
              <w:bottom w:w="0" w:type="dxa"/>
              <w:right w:w="28" w:type="dxa"/>
            </w:tcMar>
            <w:vAlign w:val="center"/>
          </w:tcPr>
          <w:p w14:paraId="09995B16">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298" w:type="dxa"/>
            <w:shd w:val="clear" w:color="auto" w:fill="auto"/>
            <w:tcMar>
              <w:top w:w="0" w:type="dxa"/>
              <w:left w:w="28" w:type="dxa"/>
              <w:bottom w:w="0" w:type="dxa"/>
              <w:right w:w="28" w:type="dxa"/>
            </w:tcMar>
            <w:vAlign w:val="center"/>
          </w:tcPr>
          <w:p w14:paraId="5B480001">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r w14:paraId="4D0E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3488AC32">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434" w:type="dxa"/>
            <w:shd w:val="clear" w:color="auto" w:fill="auto"/>
            <w:tcMar>
              <w:top w:w="0" w:type="dxa"/>
              <w:left w:w="28" w:type="dxa"/>
              <w:bottom w:w="0" w:type="dxa"/>
              <w:right w:w="28" w:type="dxa"/>
            </w:tcMar>
            <w:vAlign w:val="center"/>
          </w:tcPr>
          <w:p w14:paraId="7A42CCC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2434" w:type="dxa"/>
            <w:shd w:val="clear" w:color="auto" w:fill="auto"/>
            <w:tcMar>
              <w:top w:w="0" w:type="dxa"/>
              <w:left w:w="28" w:type="dxa"/>
              <w:bottom w:w="0" w:type="dxa"/>
              <w:right w:w="28" w:type="dxa"/>
            </w:tcMar>
            <w:vAlign w:val="center"/>
          </w:tcPr>
          <w:p w14:paraId="6FB80873">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718" w:type="dxa"/>
            <w:shd w:val="clear" w:color="auto" w:fill="auto"/>
            <w:tcMar>
              <w:top w:w="0" w:type="dxa"/>
              <w:left w:w="28" w:type="dxa"/>
              <w:bottom w:w="0" w:type="dxa"/>
              <w:right w:w="28" w:type="dxa"/>
            </w:tcMar>
            <w:vAlign w:val="center"/>
          </w:tcPr>
          <w:p w14:paraId="0229094F">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c>
          <w:tcPr>
            <w:tcW w:w="1298" w:type="dxa"/>
            <w:shd w:val="clear" w:color="auto" w:fill="auto"/>
            <w:tcMar>
              <w:top w:w="0" w:type="dxa"/>
              <w:left w:w="28" w:type="dxa"/>
              <w:bottom w:w="0" w:type="dxa"/>
              <w:right w:w="28" w:type="dxa"/>
            </w:tcMar>
            <w:vAlign w:val="center"/>
          </w:tcPr>
          <w:p w14:paraId="7B56D3F8">
            <w:pPr>
              <w:pageBreakBefore w:val="0"/>
              <w:widowControl/>
              <w:kinsoku/>
              <w:wordWrap/>
              <w:overflowPunct/>
              <w:topLinePunct w:val="0"/>
              <w:bidi w:val="0"/>
              <w:spacing w:line="360" w:lineRule="auto"/>
              <w:jc w:val="center"/>
              <w:rPr>
                <w:rFonts w:hint="eastAsia" w:ascii="宋体" w:hAnsi="宋体" w:cs="Arial"/>
                <w:color w:val="auto"/>
                <w:kern w:val="0"/>
                <w:szCs w:val="21"/>
                <w:highlight w:val="none"/>
              </w:rPr>
            </w:pPr>
          </w:p>
        </w:tc>
      </w:tr>
    </w:tbl>
    <w:p w14:paraId="491F0049">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注：未在本表中明确写明偏离情况的，均视为完全响应本次采购商务、技术条款，造成的相应后果由供应商自行承担。</w:t>
      </w:r>
    </w:p>
    <w:p w14:paraId="455AD4A0">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ascii="宋体" w:hAnsi="宋体" w:cs="宋体"/>
          <w:color w:val="auto"/>
          <w:kern w:val="44"/>
          <w:szCs w:val="21"/>
          <w:highlight w:val="none"/>
        </w:rPr>
        <w:t xml:space="preserve"> </w:t>
      </w:r>
    </w:p>
    <w:p w14:paraId="489BCB60">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（公章）</w:t>
      </w:r>
    </w:p>
    <w:p w14:paraId="1BD60622">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hint="eastAsia" w:ascii="宋体" w:hAnsi="宋体" w:cs="宋体"/>
          <w:color w:val="auto"/>
          <w:kern w:val="0"/>
          <w:szCs w:val="21"/>
          <w:highlight w:val="none"/>
        </w:rPr>
        <w:t>供应商代表</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(签字或盖章)</w:t>
      </w:r>
    </w:p>
    <w:p w14:paraId="68B117C7">
      <w:pPr>
        <w:pageBreakBefore w:val="0"/>
        <w:kinsoku/>
        <w:wordWrap/>
        <w:overflowPunct/>
        <w:topLinePunct w:val="0"/>
        <w:autoSpaceDN w:val="0"/>
        <w:bidi w:val="0"/>
        <w:spacing w:line="360" w:lineRule="auto"/>
        <w:ind w:firstLine="4235" w:firstLineChars="2017"/>
        <w:rPr>
          <w:rFonts w:hint="eastAsia" w:ascii="宋体" w:hAnsi="宋体" w:cs="宋体"/>
          <w:b/>
          <w:color w:val="auto"/>
          <w:kern w:val="44"/>
          <w:szCs w:val="21"/>
          <w:highlight w:val="none"/>
        </w:rPr>
      </w:pPr>
      <w:r>
        <w:rPr>
          <w:rFonts w:ascii="宋体" w:hAnsi="宋体"/>
          <w:color w:val="auto"/>
          <w:szCs w:val="21"/>
          <w:highlight w:val="none"/>
        </w:rPr>
        <w:t>日   期：</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3680C218">
      <w:pPr>
        <w:rPr>
          <w:rFonts w:hint="eastAsia" w:ascii="宋体" w:hAnsi="宋体" w:cs="宋体"/>
          <w:b/>
          <w:color w:val="auto"/>
          <w:kern w:val="44"/>
          <w:szCs w:val="21"/>
          <w:highlight w:val="none"/>
        </w:rPr>
      </w:pPr>
      <w:r>
        <w:rPr>
          <w:rFonts w:hint="eastAsia" w:ascii="宋体" w:hAnsi="宋体" w:cs="宋体"/>
          <w:b/>
          <w:color w:val="auto"/>
          <w:kern w:val="44"/>
          <w:szCs w:val="21"/>
          <w:highlight w:val="none"/>
        </w:rPr>
        <w:br w:type="page"/>
      </w:r>
    </w:p>
    <w:p w14:paraId="1828FD9E">
      <w:pPr>
        <w:pageBreakBefore w:val="0"/>
        <w:kinsoku/>
        <w:wordWrap/>
        <w:overflowPunct/>
        <w:topLinePunct w:val="0"/>
        <w:bidi w:val="0"/>
        <w:spacing w:line="360" w:lineRule="auto"/>
        <w:jc w:val="center"/>
        <w:outlineLvl w:val="9"/>
        <w:rPr>
          <w:rFonts w:hint="eastAsia" w:ascii="宋体" w:hAnsi="宋体" w:cs="宋体"/>
          <w:b/>
          <w:color w:val="auto"/>
          <w:kern w:val="44"/>
          <w:szCs w:val="21"/>
          <w:highlight w:val="none"/>
          <w:lang w:val="en-US" w:eastAsia="zh-CN"/>
        </w:rPr>
      </w:pPr>
    </w:p>
    <w:p w14:paraId="6CEA2E04">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lang w:val="en-US" w:eastAsia="zh-CN"/>
        </w:rPr>
        <w:t>5</w:t>
      </w:r>
      <w:r>
        <w:rPr>
          <w:rFonts w:hint="eastAsia" w:ascii="宋体" w:hAnsi="宋体" w:cs="宋体"/>
          <w:b/>
          <w:color w:val="auto"/>
          <w:kern w:val="44"/>
          <w:szCs w:val="21"/>
          <w:highlight w:val="none"/>
        </w:rPr>
        <w:t>、服务方案</w:t>
      </w:r>
    </w:p>
    <w:p w14:paraId="2DF6EDE6">
      <w:pPr>
        <w:pStyle w:val="147"/>
        <w:pageBreakBefore w:val="0"/>
        <w:kinsoku/>
        <w:wordWrap/>
        <w:overflowPunct/>
        <w:topLinePunct w:val="0"/>
        <w:bidi w:val="0"/>
        <w:spacing w:line="360" w:lineRule="auto"/>
        <w:ind w:left="473"/>
        <w:rPr>
          <w:rFonts w:hint="eastAsia" w:cs="宋体"/>
          <w:color w:val="auto"/>
          <w:kern w:val="44"/>
          <w:szCs w:val="21"/>
          <w:highlight w:val="none"/>
        </w:rPr>
      </w:pPr>
      <w:r>
        <w:rPr>
          <w:rFonts w:hint="eastAsia" w:cs="宋体"/>
          <w:color w:val="auto"/>
          <w:kern w:val="44"/>
          <w:szCs w:val="21"/>
          <w:highlight w:val="none"/>
        </w:rPr>
        <w:t>结合第四部分商务、技术要求及评审办法来写</w:t>
      </w:r>
    </w:p>
    <w:p w14:paraId="75116871">
      <w:pPr>
        <w:pStyle w:val="147"/>
        <w:pageBreakBefore w:val="0"/>
        <w:kinsoku/>
        <w:wordWrap/>
        <w:overflowPunct/>
        <w:topLinePunct w:val="0"/>
        <w:bidi w:val="0"/>
        <w:spacing w:line="360" w:lineRule="auto"/>
        <w:ind w:left="473"/>
        <w:rPr>
          <w:rFonts w:hint="eastAsia" w:cs="宋体"/>
          <w:color w:val="auto"/>
          <w:kern w:val="44"/>
          <w:szCs w:val="21"/>
          <w:highlight w:val="none"/>
        </w:rPr>
      </w:pPr>
    </w:p>
    <w:p w14:paraId="37E0B9BA">
      <w:pPr>
        <w:pStyle w:val="147"/>
        <w:pageBreakBefore w:val="0"/>
        <w:kinsoku/>
        <w:wordWrap/>
        <w:overflowPunct/>
        <w:topLinePunct w:val="0"/>
        <w:bidi w:val="0"/>
        <w:spacing w:line="360" w:lineRule="auto"/>
        <w:ind w:left="473"/>
        <w:rPr>
          <w:rFonts w:hint="eastAsia" w:cs="宋体"/>
          <w:color w:val="auto"/>
          <w:kern w:val="44"/>
          <w:szCs w:val="21"/>
          <w:highlight w:val="none"/>
        </w:rPr>
      </w:pPr>
    </w:p>
    <w:p w14:paraId="4341E604">
      <w:pPr>
        <w:pStyle w:val="147"/>
        <w:pageBreakBefore w:val="0"/>
        <w:kinsoku/>
        <w:wordWrap/>
        <w:overflowPunct/>
        <w:topLinePunct w:val="0"/>
        <w:bidi w:val="0"/>
        <w:spacing w:line="360" w:lineRule="auto"/>
        <w:ind w:left="473"/>
        <w:rPr>
          <w:rFonts w:hint="eastAsia" w:cs="宋体"/>
          <w:color w:val="auto"/>
          <w:kern w:val="44"/>
          <w:szCs w:val="21"/>
          <w:highlight w:val="none"/>
        </w:rPr>
      </w:pPr>
    </w:p>
    <w:p w14:paraId="5222124D">
      <w:pPr>
        <w:pStyle w:val="147"/>
        <w:pageBreakBefore w:val="0"/>
        <w:kinsoku/>
        <w:wordWrap/>
        <w:overflowPunct/>
        <w:topLinePunct w:val="0"/>
        <w:bidi w:val="0"/>
        <w:spacing w:line="360" w:lineRule="auto"/>
        <w:ind w:left="473"/>
        <w:rPr>
          <w:rFonts w:hint="eastAsia" w:cs="宋体"/>
          <w:color w:val="auto"/>
          <w:kern w:val="44"/>
          <w:szCs w:val="21"/>
          <w:highlight w:val="none"/>
        </w:rPr>
      </w:pPr>
    </w:p>
    <w:p w14:paraId="2D5976FB">
      <w:pPr>
        <w:pStyle w:val="147"/>
        <w:pageBreakBefore w:val="0"/>
        <w:kinsoku/>
        <w:wordWrap/>
        <w:overflowPunct/>
        <w:topLinePunct w:val="0"/>
        <w:bidi w:val="0"/>
        <w:spacing w:line="360" w:lineRule="auto"/>
        <w:ind w:left="473"/>
        <w:rPr>
          <w:rFonts w:hint="eastAsia" w:cs="宋体"/>
          <w:color w:val="auto"/>
          <w:kern w:val="44"/>
          <w:szCs w:val="21"/>
          <w:highlight w:val="none"/>
        </w:rPr>
      </w:pPr>
    </w:p>
    <w:p w14:paraId="5C36425D">
      <w:pPr>
        <w:pStyle w:val="147"/>
        <w:pageBreakBefore w:val="0"/>
        <w:kinsoku/>
        <w:wordWrap/>
        <w:overflowPunct/>
        <w:topLinePunct w:val="0"/>
        <w:bidi w:val="0"/>
        <w:spacing w:line="360" w:lineRule="auto"/>
        <w:ind w:left="473"/>
        <w:rPr>
          <w:rFonts w:hint="eastAsia" w:cs="宋体"/>
          <w:color w:val="auto"/>
          <w:kern w:val="44"/>
          <w:szCs w:val="21"/>
          <w:highlight w:val="none"/>
        </w:rPr>
      </w:pPr>
    </w:p>
    <w:p w14:paraId="289CD90E">
      <w:pPr>
        <w:pStyle w:val="147"/>
        <w:pageBreakBefore w:val="0"/>
        <w:kinsoku/>
        <w:wordWrap/>
        <w:overflowPunct/>
        <w:topLinePunct w:val="0"/>
        <w:bidi w:val="0"/>
        <w:spacing w:line="360" w:lineRule="auto"/>
        <w:ind w:left="473"/>
        <w:rPr>
          <w:rFonts w:hint="eastAsia" w:cs="宋体"/>
          <w:color w:val="auto"/>
          <w:kern w:val="44"/>
          <w:szCs w:val="21"/>
          <w:highlight w:val="none"/>
        </w:rPr>
      </w:pPr>
    </w:p>
    <w:p w14:paraId="35E714F8">
      <w:pPr>
        <w:pStyle w:val="147"/>
        <w:pageBreakBefore w:val="0"/>
        <w:kinsoku/>
        <w:wordWrap/>
        <w:overflowPunct/>
        <w:topLinePunct w:val="0"/>
        <w:bidi w:val="0"/>
        <w:spacing w:line="360" w:lineRule="auto"/>
        <w:ind w:left="473"/>
        <w:rPr>
          <w:rFonts w:hint="eastAsia" w:cs="宋体"/>
          <w:color w:val="auto"/>
          <w:kern w:val="44"/>
          <w:szCs w:val="21"/>
          <w:highlight w:val="none"/>
        </w:rPr>
      </w:pPr>
    </w:p>
    <w:p w14:paraId="243FBDD0">
      <w:pPr>
        <w:pStyle w:val="147"/>
        <w:pageBreakBefore w:val="0"/>
        <w:kinsoku/>
        <w:wordWrap/>
        <w:overflowPunct/>
        <w:topLinePunct w:val="0"/>
        <w:bidi w:val="0"/>
        <w:spacing w:line="360" w:lineRule="auto"/>
        <w:ind w:left="473"/>
        <w:rPr>
          <w:rFonts w:hint="eastAsia" w:cs="宋体"/>
          <w:color w:val="auto"/>
          <w:kern w:val="44"/>
          <w:szCs w:val="21"/>
          <w:highlight w:val="none"/>
        </w:rPr>
      </w:pPr>
    </w:p>
    <w:p w14:paraId="0633A7B8">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lang w:val="en-US" w:eastAsia="zh-CN"/>
        </w:rPr>
        <w:t>6</w:t>
      </w:r>
      <w:r>
        <w:rPr>
          <w:rFonts w:hint="eastAsia" w:ascii="宋体" w:hAnsi="宋体" w:cs="宋体"/>
          <w:b/>
          <w:color w:val="auto"/>
          <w:kern w:val="44"/>
          <w:szCs w:val="21"/>
          <w:highlight w:val="none"/>
        </w:rPr>
        <w:t>、供应商认为需要提供的其他相关材料</w:t>
      </w:r>
    </w:p>
    <w:p w14:paraId="06B5FFD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08FA79EE">
      <w:pPr>
        <w:rPr>
          <w:rFonts w:hint="eastAsia" w:ascii="宋体" w:hAnsi="宋体" w:cs="宋体"/>
          <w:b/>
          <w:color w:val="auto"/>
          <w:kern w:val="0"/>
          <w:sz w:val="36"/>
          <w:szCs w:val="44"/>
          <w:highlight w:val="none"/>
        </w:rPr>
      </w:pPr>
      <w:r>
        <w:rPr>
          <w:rFonts w:hint="eastAsia" w:ascii="宋体" w:hAnsi="宋体" w:cs="宋体"/>
          <w:b/>
          <w:color w:val="auto"/>
          <w:kern w:val="0"/>
          <w:sz w:val="36"/>
          <w:szCs w:val="44"/>
          <w:highlight w:val="none"/>
        </w:rPr>
        <w:br w:type="page"/>
      </w:r>
    </w:p>
    <w:p w14:paraId="0C246705">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6B90F033">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325BB603">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1463AB24">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368F6550">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0C83B254">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24ED5355">
      <w:pPr>
        <w:pageBreakBefore w:val="0"/>
        <w:widowControl/>
        <w:kinsoku/>
        <w:wordWrap/>
        <w:overflowPunct/>
        <w:topLinePunct w:val="0"/>
        <w:bidi w:val="0"/>
        <w:spacing w:line="360" w:lineRule="auto"/>
        <w:jc w:val="center"/>
        <w:rPr>
          <w:rFonts w:hint="eastAsia" w:ascii="宋体" w:hAnsi="宋体" w:cs="宋体"/>
          <w:b/>
          <w:color w:val="auto"/>
          <w:kern w:val="0"/>
          <w:sz w:val="36"/>
          <w:szCs w:val="44"/>
          <w:highlight w:val="none"/>
        </w:rPr>
      </w:pPr>
    </w:p>
    <w:p w14:paraId="036250B5">
      <w:pPr>
        <w:pageBreakBefore w:val="0"/>
        <w:widowControl/>
        <w:kinsoku/>
        <w:wordWrap/>
        <w:overflowPunct/>
        <w:topLinePunct w:val="0"/>
        <w:bidi w:val="0"/>
        <w:spacing w:line="360" w:lineRule="auto"/>
        <w:jc w:val="center"/>
        <w:outlineLvl w:val="1"/>
        <w:rPr>
          <w:rFonts w:hint="eastAsia" w:ascii="宋体" w:hAnsi="宋体" w:cs="宋体"/>
          <w:b/>
          <w:color w:val="auto"/>
          <w:kern w:val="0"/>
          <w:sz w:val="36"/>
          <w:szCs w:val="44"/>
          <w:highlight w:val="none"/>
        </w:rPr>
      </w:pPr>
      <w:r>
        <w:rPr>
          <w:rFonts w:hint="eastAsia" w:ascii="宋体" w:hAnsi="宋体" w:cs="宋体"/>
          <w:b/>
          <w:color w:val="auto"/>
          <w:kern w:val="0"/>
          <w:sz w:val="36"/>
          <w:szCs w:val="44"/>
          <w:highlight w:val="none"/>
        </w:rPr>
        <w:t>报价要求响应文件</w:t>
      </w:r>
    </w:p>
    <w:p w14:paraId="6DBEEB65">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3A7C7DCD">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54F2EC1A">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5342C93E">
      <w:pPr>
        <w:pageBreakBefore w:val="0"/>
        <w:kinsoku/>
        <w:wordWrap/>
        <w:overflowPunct/>
        <w:topLinePunct w:val="0"/>
        <w:bidi w:val="0"/>
        <w:spacing w:line="360" w:lineRule="auto"/>
        <w:rPr>
          <w:rFonts w:hint="eastAsia" w:ascii="宋体" w:hAnsi="宋体" w:cs="宋体"/>
          <w:b/>
          <w:color w:val="auto"/>
          <w:kern w:val="44"/>
          <w:szCs w:val="21"/>
          <w:highlight w:val="none"/>
        </w:rPr>
      </w:pPr>
      <w:r>
        <w:rPr>
          <w:rFonts w:hint="eastAsia" w:ascii="宋体" w:hAnsi="宋体" w:cs="宋体"/>
          <w:b/>
          <w:color w:val="auto"/>
          <w:kern w:val="44"/>
          <w:szCs w:val="21"/>
          <w:highlight w:val="none"/>
        </w:rPr>
        <w:br w:type="page"/>
      </w:r>
    </w:p>
    <w:p w14:paraId="065877FE">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rPr>
        <w:t>1、磋 商 函</w:t>
      </w:r>
    </w:p>
    <w:p w14:paraId="0AFFF6E3">
      <w:pPr>
        <w:pageBreakBefore w:val="0"/>
        <w:kinsoku/>
        <w:wordWrap/>
        <w:overflowPunct/>
        <w:topLinePunct w:val="0"/>
        <w:bidi w:val="0"/>
        <w:spacing w:line="360" w:lineRule="auto"/>
        <w:rPr>
          <w:rFonts w:hint="eastAsia" w:ascii="宋体" w:hAnsi="宋体" w:cs="宋体"/>
          <w:color w:val="auto"/>
          <w:kern w:val="44"/>
          <w:szCs w:val="21"/>
          <w:highlight w:val="none"/>
        </w:rPr>
      </w:pPr>
      <w:r>
        <w:rPr>
          <w:rFonts w:hint="eastAsia" w:ascii="宋体" w:hAnsi="宋体" w:cs="宋体"/>
          <w:color w:val="auto"/>
          <w:kern w:val="44"/>
          <w:szCs w:val="21"/>
          <w:highlight w:val="none"/>
        </w:rPr>
        <w:t>致：</w:t>
      </w:r>
      <w:r>
        <w:rPr>
          <w:rFonts w:hint="eastAsia" w:ascii="宋体" w:hAnsi="宋体" w:cs="宋体"/>
          <w:color w:val="auto"/>
          <w:kern w:val="44"/>
          <w:szCs w:val="21"/>
          <w:highlight w:val="none"/>
          <w:u w:val="single"/>
        </w:rPr>
        <w:t xml:space="preserve">   采购单位名称     </w:t>
      </w:r>
    </w:p>
    <w:p w14:paraId="18AF0B01">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(供应商全称)授权</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(供应商代表姓名)</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(职务/职称)为我方代表，参加贵方组织的</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(项目名称、项目编号)磋商的有关活动，并对此项目进行报价。为此：</w:t>
      </w:r>
    </w:p>
    <w:p w14:paraId="0E45E31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1、我方已仔细研究了本项目磋商文件的全部内容，愿意以以下报价，按照磋商文件要求及合同约定完成项目。</w:t>
      </w:r>
    </w:p>
    <w:p w14:paraId="2A265010">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人民币（大写）</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w:t>
      </w:r>
      <w:r>
        <w:rPr>
          <w:rFonts w:hint="eastAsia" w:ascii="宋体" w:hAnsi="宋体" w:cs="宋体"/>
          <w:color w:val="auto"/>
          <w:kern w:val="44"/>
          <w:szCs w:val="21"/>
          <w:highlight w:val="none"/>
          <w:u w:val="single"/>
        </w:rPr>
        <w:t xml:space="preserve">               </w:t>
      </w:r>
      <w:r>
        <w:rPr>
          <w:rFonts w:hint="eastAsia" w:ascii="宋体" w:hAnsi="宋体" w:cs="宋体"/>
          <w:color w:val="auto"/>
          <w:kern w:val="44"/>
          <w:szCs w:val="21"/>
          <w:highlight w:val="none"/>
        </w:rPr>
        <w:t>元）</w:t>
      </w:r>
    </w:p>
    <w:p w14:paraId="1ADA33B5">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u w:val="single"/>
        </w:rPr>
      </w:pPr>
      <w:r>
        <w:rPr>
          <w:rFonts w:hint="eastAsia" w:ascii="宋体" w:hAnsi="宋体" w:cs="宋体"/>
          <w:color w:val="auto"/>
          <w:kern w:val="0"/>
          <w:szCs w:val="21"/>
          <w:highlight w:val="none"/>
          <w:lang w:eastAsia="zh-CN"/>
        </w:rPr>
        <w:t>服务期限</w:t>
      </w:r>
      <w:r>
        <w:rPr>
          <w:rFonts w:hint="eastAsia" w:ascii="宋体" w:hAnsi="宋体" w:cs="宋体"/>
          <w:color w:val="auto"/>
          <w:kern w:val="44"/>
          <w:szCs w:val="21"/>
          <w:highlight w:val="none"/>
        </w:rPr>
        <w:t>：</w:t>
      </w:r>
      <w:r>
        <w:rPr>
          <w:rFonts w:hint="eastAsia" w:ascii="宋体" w:hAnsi="宋体" w:cs="宋体"/>
          <w:color w:val="auto"/>
          <w:kern w:val="44"/>
          <w:szCs w:val="21"/>
          <w:highlight w:val="none"/>
          <w:u w:val="single"/>
        </w:rPr>
        <w:t xml:space="preserve">                  </w:t>
      </w:r>
    </w:p>
    <w:p w14:paraId="22613304">
      <w:pPr>
        <w:pStyle w:val="147"/>
        <w:pageBreakBefore w:val="0"/>
        <w:kinsoku/>
        <w:wordWrap/>
        <w:overflowPunct/>
        <w:topLinePunct w:val="0"/>
        <w:bidi w:val="0"/>
        <w:spacing w:line="360" w:lineRule="auto"/>
        <w:ind w:left="473"/>
        <w:rPr>
          <w:rFonts w:hint="eastAsia" w:cs="宋体"/>
          <w:color w:val="auto"/>
          <w:kern w:val="44"/>
          <w:szCs w:val="21"/>
          <w:highlight w:val="none"/>
          <w:u w:val="single"/>
        </w:rPr>
      </w:pPr>
      <w:r>
        <w:rPr>
          <w:rFonts w:hint="eastAsia" w:cs="宋体"/>
          <w:color w:val="auto"/>
          <w:kern w:val="44"/>
          <w:szCs w:val="21"/>
          <w:highlight w:val="none"/>
          <w:lang w:val="en-US" w:eastAsia="zh-CN"/>
        </w:rPr>
        <w:t>服务标准</w:t>
      </w:r>
      <w:r>
        <w:rPr>
          <w:rFonts w:hint="eastAsia" w:cs="宋体"/>
          <w:color w:val="auto"/>
          <w:kern w:val="44"/>
          <w:szCs w:val="21"/>
          <w:highlight w:val="none"/>
        </w:rPr>
        <w:t>：</w:t>
      </w:r>
      <w:r>
        <w:rPr>
          <w:rFonts w:hint="eastAsia" w:cs="宋体"/>
          <w:color w:val="auto"/>
          <w:kern w:val="44"/>
          <w:szCs w:val="21"/>
          <w:highlight w:val="none"/>
          <w:u w:val="single"/>
        </w:rPr>
        <w:t xml:space="preserve">             </w:t>
      </w:r>
      <w:r>
        <w:rPr>
          <w:rFonts w:hint="eastAsia" w:cs="宋体"/>
          <w:color w:val="auto"/>
          <w:kern w:val="44"/>
          <w:szCs w:val="21"/>
          <w:highlight w:val="none"/>
          <w:u w:val="single"/>
          <w:lang w:val="en-US" w:eastAsia="zh-CN"/>
        </w:rPr>
        <w:t xml:space="preserve"> </w:t>
      </w:r>
      <w:r>
        <w:rPr>
          <w:rFonts w:hint="eastAsia" w:cs="宋体"/>
          <w:color w:val="auto"/>
          <w:kern w:val="44"/>
          <w:szCs w:val="21"/>
          <w:highlight w:val="none"/>
          <w:u w:val="single"/>
        </w:rPr>
        <w:t xml:space="preserve">     </w:t>
      </w:r>
    </w:p>
    <w:p w14:paraId="1C0C18C8">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2、我方同意在本项目磋商文件中规定的响应文件递交截止日起的有效期90</w:t>
      </w:r>
      <w:r>
        <w:rPr>
          <w:rFonts w:hint="eastAsia" w:ascii="宋体" w:hAnsi="宋体" w:cs="宋体"/>
          <w:color w:val="auto"/>
          <w:kern w:val="44"/>
          <w:szCs w:val="21"/>
          <w:highlight w:val="none"/>
          <w:lang w:eastAsia="zh-CN"/>
        </w:rPr>
        <w:t>日历</w:t>
      </w:r>
      <w:r>
        <w:rPr>
          <w:rFonts w:hint="eastAsia" w:ascii="宋体" w:hAnsi="宋体" w:cs="宋体"/>
          <w:color w:val="auto"/>
          <w:kern w:val="44"/>
          <w:szCs w:val="21"/>
          <w:highlight w:val="none"/>
        </w:rPr>
        <w:t>天内遵守本响应文件中的承诺且在此期限期满之前均具有约束力。</w:t>
      </w:r>
    </w:p>
    <w:p w14:paraId="171F663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3、提供磋商须知规定的全部响应文件。</w:t>
      </w:r>
    </w:p>
    <w:p w14:paraId="2AA1BA67">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4、我方承诺：完全理解最后报价超过采购预算金额时，响应文件将被拒绝。</w:t>
      </w:r>
    </w:p>
    <w:p w14:paraId="1978DA83">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5、保证忠实地执行双方所签订的合同，并承担合同规定的责任和义务。</w:t>
      </w:r>
    </w:p>
    <w:p w14:paraId="4C6385F1">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6、承诺完全满足和响应磋商文件中的各项商务和技术要求，若有偏差，已在响应文件商务条款偏离表中予以明确特别说明。</w:t>
      </w:r>
    </w:p>
    <w:p w14:paraId="21164ACA">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7、保证遵守磋商文件的规定。</w:t>
      </w:r>
    </w:p>
    <w:p w14:paraId="6F3FF1D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8、如果在开标后规定的投标有效期内撤回响应文件，我方的磋商保证金可被贵方没收。</w:t>
      </w:r>
    </w:p>
    <w:p w14:paraId="032E73E5">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9、我方完全理解贵方不一定接受最低价的报价或收到的任何报价。</w:t>
      </w:r>
    </w:p>
    <w:p w14:paraId="2820CC1E">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10、我方愿意向贵方提供任何与本项目磋商有关的数据、情况和技术资料。若贵方需要，我方愿意提供我方做出的一切承诺的证明材料。</w:t>
      </w:r>
    </w:p>
    <w:p w14:paraId="0D437006">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11、我方已详细审核全部磋商文件，包括磋商文件修改书（如有的话）、参考资料及有关附件，确认无误。</w:t>
      </w:r>
    </w:p>
    <w:p w14:paraId="6F2D477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12、我方承诺：采购人若需追加采购本项目磋商文件所列货物及相关服务的，在不改变合同其他实质性条款的前提下，按相同或更优惠的折扣率保证供货。</w:t>
      </w:r>
    </w:p>
    <w:p w14:paraId="371C2774">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13、我方将严格遵守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E226B06">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（1）提供虚假材料谋取成交、成交的；</w:t>
      </w:r>
    </w:p>
    <w:p w14:paraId="1970B5E0">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（2）采取不正当手段诋毁、排挤其他供应商的；</w:t>
      </w:r>
    </w:p>
    <w:p w14:paraId="13FE0D0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（3）与采购人、其它供应商或者采购代理公司工作人员恶意串通的；</w:t>
      </w:r>
    </w:p>
    <w:p w14:paraId="14474174">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（4）向采购人、采购代理公司工作人员行贿或者提供其他不正当利益的；</w:t>
      </w:r>
    </w:p>
    <w:p w14:paraId="0CA6CC8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（5）在采购过程中与采购人进行协商磋商的；</w:t>
      </w:r>
    </w:p>
    <w:p w14:paraId="7601BC52">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（6）拒绝有关部门监督检查或提供虚假情况的。</w:t>
      </w:r>
    </w:p>
    <w:p w14:paraId="3BA28F19">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66588EE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所有有关本磋商的一切往来联系方式为：</w:t>
      </w:r>
    </w:p>
    <w:p w14:paraId="6E6FA93B">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地址：</w:t>
      </w:r>
      <w:r>
        <w:rPr>
          <w:rFonts w:hint="eastAsia" w:ascii="宋体" w:hAnsi="宋体" w:cs="宋体"/>
          <w:color w:val="auto"/>
          <w:kern w:val="44"/>
          <w:szCs w:val="21"/>
          <w:highlight w:val="none"/>
        </w:rPr>
        <w:tab/>
      </w:r>
      <w:r>
        <w:rPr>
          <w:rFonts w:hint="eastAsia" w:ascii="宋体" w:hAnsi="宋体" w:cs="宋体"/>
          <w:color w:val="auto"/>
          <w:kern w:val="44"/>
          <w:szCs w:val="21"/>
          <w:highlight w:val="none"/>
        </w:rPr>
        <w:t xml:space="preserve">                            邮编：</w:t>
      </w:r>
    </w:p>
    <w:p w14:paraId="4CBC30C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电话：</w:t>
      </w:r>
      <w:r>
        <w:rPr>
          <w:rFonts w:hint="eastAsia" w:ascii="宋体" w:hAnsi="宋体" w:cs="宋体"/>
          <w:color w:val="auto"/>
          <w:kern w:val="44"/>
          <w:szCs w:val="21"/>
          <w:highlight w:val="none"/>
        </w:rPr>
        <w:tab/>
      </w:r>
      <w:r>
        <w:rPr>
          <w:rFonts w:hint="eastAsia" w:ascii="宋体" w:hAnsi="宋体" w:cs="宋体"/>
          <w:color w:val="auto"/>
          <w:kern w:val="44"/>
          <w:szCs w:val="21"/>
          <w:highlight w:val="none"/>
        </w:rPr>
        <w:t xml:space="preserve">                            传真：</w:t>
      </w:r>
    </w:p>
    <w:p w14:paraId="6AA8DF65">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供应商代表姓名：</w:t>
      </w:r>
    </w:p>
    <w:p w14:paraId="6B8F04FF">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供应商代表联系电话：    （办公）      （移动）</w:t>
      </w:r>
    </w:p>
    <w:p w14:paraId="68BFACA3">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E-mail：</w:t>
      </w:r>
    </w:p>
    <w:p w14:paraId="1C4EC8C0">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157837EF">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（公章）</w:t>
      </w:r>
    </w:p>
    <w:p w14:paraId="4006788F">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hint="eastAsia" w:ascii="宋体" w:hAnsi="宋体" w:cs="宋体"/>
          <w:color w:val="auto"/>
          <w:kern w:val="0"/>
          <w:szCs w:val="21"/>
          <w:highlight w:val="none"/>
        </w:rPr>
        <w:t>供应商代表</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(签字或盖章)</w:t>
      </w:r>
    </w:p>
    <w:p w14:paraId="534BCA48">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ascii="宋体" w:hAnsi="宋体"/>
          <w:color w:val="auto"/>
          <w:szCs w:val="21"/>
          <w:highlight w:val="none"/>
        </w:rPr>
        <w:t>日   期：</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1D9C1F2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0964ADDC">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766E8059">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r>
        <w:rPr>
          <w:rFonts w:hint="eastAsia" w:ascii="宋体" w:hAnsi="宋体" w:cs="宋体"/>
          <w:color w:val="auto"/>
          <w:kern w:val="44"/>
          <w:szCs w:val="21"/>
          <w:highlight w:val="none"/>
        </w:rPr>
        <w:t>注：除可填报项目外，对本磋商函的任何修改将被视为非实质性响应磋商，从而导致该磋商被拒绝。</w:t>
      </w:r>
    </w:p>
    <w:p w14:paraId="083ED5B7">
      <w:pPr>
        <w:pageBreakBefore w:val="0"/>
        <w:tabs>
          <w:tab w:val="left" w:pos="1680"/>
        </w:tabs>
        <w:kinsoku/>
        <w:wordWrap/>
        <w:overflowPunct/>
        <w:topLinePunct w:val="0"/>
        <w:bidi w:val="0"/>
        <w:snapToGrid w:val="0"/>
        <w:spacing w:line="360" w:lineRule="auto"/>
        <w:rPr>
          <w:rFonts w:hint="eastAsia" w:ascii="宋体" w:hAnsi="宋体"/>
          <w:b/>
          <w:bCs/>
          <w:color w:val="auto"/>
          <w:szCs w:val="21"/>
          <w:highlight w:val="none"/>
        </w:rPr>
      </w:pPr>
    </w:p>
    <w:p w14:paraId="6D9978DD">
      <w:pPr>
        <w:pageBreakBefore w:val="0"/>
        <w:tabs>
          <w:tab w:val="left" w:pos="1680"/>
        </w:tabs>
        <w:kinsoku/>
        <w:wordWrap/>
        <w:overflowPunct/>
        <w:topLinePunct w:val="0"/>
        <w:bidi w:val="0"/>
        <w:snapToGrid w:val="0"/>
        <w:spacing w:line="360" w:lineRule="auto"/>
        <w:rPr>
          <w:rFonts w:hint="eastAsia" w:ascii="宋体" w:hAnsi="宋体"/>
          <w:b/>
          <w:bCs/>
          <w:color w:val="auto"/>
          <w:szCs w:val="21"/>
          <w:highlight w:val="none"/>
        </w:rPr>
      </w:pPr>
    </w:p>
    <w:p w14:paraId="33BE96A5">
      <w:pPr>
        <w:pageBreakBefore w:val="0"/>
        <w:numPr>
          <w:ilvl w:val="0"/>
          <w:numId w:val="2"/>
        </w:numPr>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ascii="宋体" w:hAnsi="宋体"/>
          <w:b/>
          <w:bCs/>
          <w:color w:val="auto"/>
          <w:szCs w:val="21"/>
          <w:highlight w:val="none"/>
        </w:rPr>
        <w:br w:type="page"/>
      </w:r>
      <w:r>
        <w:rPr>
          <w:rFonts w:hint="eastAsia" w:ascii="宋体" w:hAnsi="宋体" w:cs="宋体"/>
          <w:b/>
          <w:color w:val="auto"/>
          <w:kern w:val="44"/>
          <w:szCs w:val="21"/>
          <w:highlight w:val="none"/>
        </w:rPr>
        <w:t>报价一览表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579"/>
        <w:gridCol w:w="1957"/>
        <w:gridCol w:w="2005"/>
        <w:gridCol w:w="1654"/>
        <w:gridCol w:w="1800"/>
      </w:tblGrid>
      <w:tr w14:paraId="767F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9" w:hRule="atLeast"/>
          <w:jc w:val="center"/>
        </w:trPr>
        <w:tc>
          <w:tcPr>
            <w:tcW w:w="1579" w:type="dxa"/>
            <w:vAlign w:val="center"/>
          </w:tcPr>
          <w:p w14:paraId="5713EE0B">
            <w:pPr>
              <w:pageBreakBefore w:val="0"/>
              <w:kinsoku/>
              <w:wordWrap/>
              <w:overflowPunct/>
              <w:topLinePunct w:val="0"/>
              <w:bidi w:val="0"/>
              <w:spacing w:line="360" w:lineRule="auto"/>
              <w:jc w:val="center"/>
              <w:rPr>
                <w:rFonts w:hint="eastAsia" w:ascii="宋体" w:hAnsi="宋体" w:cs="宋体"/>
                <w:color w:val="auto"/>
                <w:highlight w:val="none"/>
              </w:rPr>
            </w:pPr>
            <w:r>
              <w:rPr>
                <w:rFonts w:hint="eastAsia" w:ascii="宋体" w:hAnsi="宋体" w:cs="宋体"/>
                <w:color w:val="auto"/>
                <w:highlight w:val="none"/>
              </w:rPr>
              <w:t>项目编号</w:t>
            </w:r>
          </w:p>
        </w:tc>
        <w:tc>
          <w:tcPr>
            <w:tcW w:w="1957" w:type="dxa"/>
            <w:vAlign w:val="center"/>
          </w:tcPr>
          <w:p w14:paraId="32A0075F">
            <w:pPr>
              <w:pageBreakBefore w:val="0"/>
              <w:kinsoku/>
              <w:wordWrap/>
              <w:overflowPunct/>
              <w:topLinePunct w:val="0"/>
              <w:bidi w:val="0"/>
              <w:spacing w:line="360" w:lineRule="auto"/>
              <w:jc w:val="center"/>
              <w:rPr>
                <w:rFonts w:hint="eastAsia" w:ascii="宋体" w:hAnsi="宋体" w:cs="宋体"/>
                <w:color w:val="auto"/>
                <w:highlight w:val="none"/>
              </w:rPr>
            </w:pPr>
            <w:r>
              <w:rPr>
                <w:rFonts w:hint="eastAsia" w:ascii="宋体" w:hAnsi="宋体" w:cs="宋体"/>
                <w:color w:val="auto"/>
                <w:highlight w:val="none"/>
              </w:rPr>
              <w:t>项目名称</w:t>
            </w:r>
          </w:p>
        </w:tc>
        <w:tc>
          <w:tcPr>
            <w:tcW w:w="2005" w:type="dxa"/>
            <w:vAlign w:val="center"/>
          </w:tcPr>
          <w:p w14:paraId="40478627">
            <w:pPr>
              <w:pageBreakBefore w:val="0"/>
              <w:kinsoku/>
              <w:wordWrap/>
              <w:overflowPunct/>
              <w:topLinePunct w:val="0"/>
              <w:bidi w:val="0"/>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服务期限</w:t>
            </w:r>
          </w:p>
        </w:tc>
        <w:tc>
          <w:tcPr>
            <w:tcW w:w="1654" w:type="dxa"/>
            <w:vAlign w:val="center"/>
          </w:tcPr>
          <w:p w14:paraId="2403BFB9">
            <w:pPr>
              <w:pageBreakBefore w:val="0"/>
              <w:kinsoku/>
              <w:wordWrap/>
              <w:overflowPunct/>
              <w:topLinePunct w:val="0"/>
              <w:bidi w:val="0"/>
              <w:spacing w:line="360" w:lineRule="auto"/>
              <w:jc w:val="center"/>
              <w:rPr>
                <w:rFonts w:hint="eastAsia" w:ascii="宋体" w:hAnsi="宋体" w:cs="宋体"/>
                <w:color w:val="auto"/>
                <w:highlight w:val="none"/>
              </w:rPr>
            </w:pPr>
            <w:r>
              <w:rPr>
                <w:rFonts w:hint="eastAsia" w:ascii="宋体" w:hAnsi="宋体" w:cs="宋体"/>
                <w:color w:val="auto"/>
                <w:highlight w:val="none"/>
              </w:rPr>
              <w:t>服务标准</w:t>
            </w:r>
          </w:p>
        </w:tc>
        <w:tc>
          <w:tcPr>
            <w:tcW w:w="1800" w:type="dxa"/>
            <w:vAlign w:val="center"/>
          </w:tcPr>
          <w:p w14:paraId="12F25A51">
            <w:pPr>
              <w:pageBreakBefore w:val="0"/>
              <w:kinsoku/>
              <w:wordWrap/>
              <w:overflowPunct/>
              <w:topLinePunct w:val="0"/>
              <w:bidi w:val="0"/>
              <w:spacing w:line="360" w:lineRule="auto"/>
              <w:jc w:val="center"/>
              <w:rPr>
                <w:rFonts w:hint="eastAsia" w:ascii="宋体" w:hAnsi="宋体" w:cs="宋体"/>
                <w:color w:val="auto"/>
                <w:highlight w:val="none"/>
              </w:rPr>
            </w:pPr>
            <w:r>
              <w:rPr>
                <w:rFonts w:hint="eastAsia" w:ascii="宋体" w:hAnsi="宋体" w:cs="宋体"/>
                <w:color w:val="auto"/>
                <w:highlight w:val="none"/>
              </w:rPr>
              <w:t>其他声明</w:t>
            </w:r>
          </w:p>
        </w:tc>
      </w:tr>
      <w:tr w14:paraId="65AD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5" w:hRule="atLeast"/>
          <w:jc w:val="center"/>
        </w:trPr>
        <w:tc>
          <w:tcPr>
            <w:tcW w:w="1579" w:type="dxa"/>
            <w:vAlign w:val="center"/>
          </w:tcPr>
          <w:p w14:paraId="1599F8C2">
            <w:pPr>
              <w:pageBreakBefore w:val="0"/>
              <w:kinsoku/>
              <w:wordWrap/>
              <w:overflowPunct/>
              <w:topLinePunct w:val="0"/>
              <w:bidi w:val="0"/>
              <w:spacing w:line="360" w:lineRule="auto"/>
              <w:ind w:firstLine="480"/>
              <w:jc w:val="center"/>
              <w:rPr>
                <w:rFonts w:hint="eastAsia" w:ascii="宋体" w:hAnsi="宋体" w:cs="宋体"/>
                <w:color w:val="auto"/>
                <w:highlight w:val="none"/>
              </w:rPr>
            </w:pPr>
          </w:p>
        </w:tc>
        <w:tc>
          <w:tcPr>
            <w:tcW w:w="1957" w:type="dxa"/>
            <w:vAlign w:val="center"/>
          </w:tcPr>
          <w:p w14:paraId="4EE8DC4E">
            <w:pPr>
              <w:pageBreakBefore w:val="0"/>
              <w:widowControl/>
              <w:kinsoku/>
              <w:wordWrap/>
              <w:overflowPunct/>
              <w:topLinePunct w:val="0"/>
              <w:bidi w:val="0"/>
              <w:spacing w:line="360" w:lineRule="auto"/>
              <w:ind w:firstLine="480"/>
              <w:jc w:val="center"/>
              <w:rPr>
                <w:rFonts w:hint="eastAsia" w:ascii="宋体" w:hAnsi="宋体" w:cs="宋体"/>
                <w:color w:val="auto"/>
                <w:highlight w:val="none"/>
              </w:rPr>
            </w:pPr>
          </w:p>
        </w:tc>
        <w:tc>
          <w:tcPr>
            <w:tcW w:w="2005" w:type="dxa"/>
            <w:vAlign w:val="center"/>
          </w:tcPr>
          <w:p w14:paraId="56586E28">
            <w:pPr>
              <w:pageBreakBefore w:val="0"/>
              <w:widowControl/>
              <w:kinsoku/>
              <w:wordWrap/>
              <w:overflowPunct/>
              <w:topLinePunct w:val="0"/>
              <w:bidi w:val="0"/>
              <w:spacing w:line="360" w:lineRule="auto"/>
              <w:jc w:val="center"/>
              <w:rPr>
                <w:rFonts w:hint="eastAsia" w:ascii="宋体" w:hAnsi="宋体" w:cs="宋体"/>
                <w:color w:val="auto"/>
                <w:highlight w:val="none"/>
              </w:rPr>
            </w:pPr>
          </w:p>
        </w:tc>
        <w:tc>
          <w:tcPr>
            <w:tcW w:w="1654" w:type="dxa"/>
          </w:tcPr>
          <w:p w14:paraId="1986DBDC">
            <w:pPr>
              <w:pageBreakBefore w:val="0"/>
              <w:widowControl/>
              <w:kinsoku/>
              <w:wordWrap/>
              <w:overflowPunct/>
              <w:topLinePunct w:val="0"/>
              <w:bidi w:val="0"/>
              <w:spacing w:line="360" w:lineRule="auto"/>
              <w:ind w:firstLine="480"/>
              <w:jc w:val="center"/>
              <w:rPr>
                <w:rFonts w:hint="eastAsia" w:ascii="宋体" w:hAnsi="宋体" w:cs="宋体"/>
                <w:color w:val="auto"/>
                <w:highlight w:val="none"/>
              </w:rPr>
            </w:pPr>
          </w:p>
        </w:tc>
        <w:tc>
          <w:tcPr>
            <w:tcW w:w="1800" w:type="dxa"/>
          </w:tcPr>
          <w:p w14:paraId="13B60B34">
            <w:pPr>
              <w:pageBreakBefore w:val="0"/>
              <w:widowControl/>
              <w:kinsoku/>
              <w:wordWrap/>
              <w:overflowPunct/>
              <w:topLinePunct w:val="0"/>
              <w:bidi w:val="0"/>
              <w:spacing w:line="360" w:lineRule="auto"/>
              <w:ind w:firstLine="480"/>
              <w:jc w:val="center"/>
              <w:rPr>
                <w:rFonts w:hint="eastAsia" w:ascii="宋体" w:hAnsi="宋体" w:cs="宋体"/>
                <w:color w:val="auto"/>
                <w:highlight w:val="none"/>
              </w:rPr>
            </w:pPr>
          </w:p>
        </w:tc>
      </w:tr>
      <w:tr w14:paraId="279C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8" w:hRule="atLeast"/>
          <w:jc w:val="center"/>
        </w:trPr>
        <w:tc>
          <w:tcPr>
            <w:tcW w:w="8995" w:type="dxa"/>
            <w:gridSpan w:val="5"/>
            <w:vAlign w:val="center"/>
          </w:tcPr>
          <w:p w14:paraId="4A2FD21D">
            <w:pPr>
              <w:pageBreakBefore w:val="0"/>
              <w:kinsoku/>
              <w:wordWrap/>
              <w:overflowPunct/>
              <w:topLinePunct w:val="0"/>
              <w:bidi w:val="0"/>
              <w:spacing w:line="360" w:lineRule="auto"/>
              <w:rPr>
                <w:rFonts w:hint="eastAsia" w:ascii="宋体" w:hAnsi="宋体" w:cs="宋体"/>
                <w:color w:val="auto"/>
                <w:highlight w:val="none"/>
                <w:u w:val="single"/>
              </w:rPr>
            </w:pPr>
            <w:r>
              <w:rPr>
                <w:rFonts w:hint="eastAsia" w:ascii="宋体" w:hAnsi="宋体" w:cs="宋体"/>
                <w:bCs/>
                <w:color w:val="auto"/>
                <w:highlight w:val="none"/>
              </w:rPr>
              <w:t>总</w:t>
            </w:r>
            <w:r>
              <w:rPr>
                <w:rFonts w:hint="eastAsia" w:ascii="宋体" w:hAnsi="宋体" w:cs="宋体"/>
                <w:color w:val="auto"/>
                <w:highlight w:val="none"/>
              </w:rPr>
              <w:t>报价：人民币大写</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u w:val="none"/>
              </w:rPr>
              <w:t>。</w:t>
            </w:r>
          </w:p>
        </w:tc>
      </w:tr>
    </w:tbl>
    <w:p w14:paraId="31A60232">
      <w:pPr>
        <w:pStyle w:val="133"/>
        <w:pageBreakBefore w:val="0"/>
        <w:kinsoku/>
        <w:wordWrap/>
        <w:overflowPunct/>
        <w:topLinePunct w:val="0"/>
        <w:bidi w:val="0"/>
        <w:spacing w:line="360" w:lineRule="auto"/>
        <w:ind w:firstLine="480" w:firstLineChars="200"/>
        <w:rPr>
          <w:rFonts w:hint="eastAsia"/>
          <w:bCs/>
          <w:color w:val="auto"/>
          <w:sz w:val="24"/>
          <w:szCs w:val="24"/>
          <w:highlight w:val="none"/>
          <w:lang w:val="en-US"/>
        </w:rPr>
      </w:pPr>
    </w:p>
    <w:p w14:paraId="7F5B21A5">
      <w:pPr>
        <w:pageBreakBefore w:val="0"/>
        <w:kinsoku/>
        <w:wordWrap/>
        <w:overflowPunct/>
        <w:topLinePunct w:val="0"/>
        <w:bidi w:val="0"/>
        <w:spacing w:line="360" w:lineRule="auto"/>
        <w:ind w:left="315" w:leftChars="150"/>
        <w:rPr>
          <w:rFonts w:hint="eastAsia" w:ascii="宋体" w:hAnsi="宋体"/>
          <w:color w:val="auto"/>
          <w:highlight w:val="none"/>
        </w:rPr>
      </w:pPr>
      <w:r>
        <w:rPr>
          <w:rFonts w:hint="eastAsia" w:ascii="宋体" w:hAnsi="宋体"/>
          <w:color w:val="auto"/>
          <w:highlight w:val="none"/>
        </w:rPr>
        <w:t>1、总报价应包括完成采购人提供的商务技术要求的全部费用（含税），</w:t>
      </w:r>
    </w:p>
    <w:p w14:paraId="6626AA54">
      <w:pPr>
        <w:pageBreakBefore w:val="0"/>
        <w:kinsoku/>
        <w:wordWrap/>
        <w:overflowPunct/>
        <w:topLinePunct w:val="0"/>
        <w:bidi w:val="0"/>
        <w:spacing w:line="360" w:lineRule="auto"/>
        <w:ind w:left="315" w:leftChars="150"/>
        <w:rPr>
          <w:rFonts w:hint="eastAsia" w:ascii="宋体" w:hAnsi="宋体"/>
          <w:color w:val="auto"/>
          <w:highlight w:val="none"/>
        </w:rPr>
      </w:pPr>
      <w:r>
        <w:rPr>
          <w:rFonts w:hint="eastAsia" w:ascii="宋体" w:hAnsi="宋体"/>
          <w:color w:val="auto"/>
          <w:highlight w:val="none"/>
        </w:rPr>
        <w:t>2、价格修正规定：如果以文字表示的数据与数字表示的有差别，以文字表示的为准。如果大小写金额不一致的，以大写金额为准。如果单价乘以数量不等于合价，以单价为准修正合价，但单价金额小数点有明显错误的,应以总价为准，并修改单价。如果明细价格相加不等于汇总价格，以明细价格为准。调整后的价格对供应商具有约束力，若供应商不同意以上修正，其报价将被拒绝。</w:t>
      </w:r>
    </w:p>
    <w:p w14:paraId="74614E3A">
      <w:pPr>
        <w:pageBreakBefore w:val="0"/>
        <w:kinsoku/>
        <w:wordWrap/>
        <w:overflowPunct/>
        <w:topLinePunct w:val="0"/>
        <w:bidi w:val="0"/>
        <w:spacing w:line="360" w:lineRule="auto"/>
        <w:ind w:firstLine="422" w:firstLineChars="200"/>
        <w:jc w:val="left"/>
        <w:rPr>
          <w:rFonts w:hint="eastAsia" w:ascii="宋体" w:hAnsi="宋体" w:cs="宋体"/>
          <w:b/>
          <w:color w:val="auto"/>
          <w:kern w:val="44"/>
          <w:szCs w:val="21"/>
          <w:highlight w:val="none"/>
        </w:rPr>
      </w:pPr>
    </w:p>
    <w:p w14:paraId="5402EE9F">
      <w:pPr>
        <w:pageBreakBefore w:val="0"/>
        <w:kinsoku/>
        <w:wordWrap/>
        <w:overflowPunct/>
        <w:topLinePunct w:val="0"/>
        <w:bidi w:val="0"/>
        <w:spacing w:line="360" w:lineRule="auto"/>
        <w:ind w:firstLine="420" w:firstLineChars="200"/>
        <w:rPr>
          <w:rFonts w:hint="eastAsia" w:ascii="宋体" w:hAnsi="宋体" w:cs="宋体"/>
          <w:color w:val="auto"/>
          <w:kern w:val="44"/>
          <w:szCs w:val="21"/>
          <w:highlight w:val="none"/>
        </w:rPr>
      </w:pPr>
    </w:p>
    <w:p w14:paraId="601C61C1">
      <w:pPr>
        <w:pageBreakBefore w:val="0"/>
        <w:kinsoku/>
        <w:wordWrap/>
        <w:overflowPunct/>
        <w:topLinePunct w:val="0"/>
        <w:autoSpaceDN w:val="0"/>
        <w:bidi w:val="0"/>
        <w:spacing w:line="360" w:lineRule="auto"/>
        <w:jc w:val="right"/>
        <w:rPr>
          <w:rFonts w:hint="eastAsia"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（公章）</w:t>
      </w:r>
    </w:p>
    <w:p w14:paraId="3BDF044D">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hint="eastAsia" w:ascii="宋体" w:hAnsi="宋体" w:cs="宋体"/>
          <w:color w:val="auto"/>
          <w:kern w:val="0"/>
          <w:szCs w:val="21"/>
          <w:highlight w:val="none"/>
        </w:rPr>
        <w:t>供应商代表</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(签字或盖章)</w:t>
      </w:r>
    </w:p>
    <w:p w14:paraId="75B4D9FB">
      <w:pPr>
        <w:pageBreakBefore w:val="0"/>
        <w:kinsoku/>
        <w:wordWrap/>
        <w:overflowPunct/>
        <w:topLinePunct w:val="0"/>
        <w:autoSpaceDN w:val="0"/>
        <w:bidi w:val="0"/>
        <w:spacing w:line="360" w:lineRule="auto"/>
        <w:ind w:firstLine="4235" w:firstLineChars="2017"/>
        <w:rPr>
          <w:rFonts w:hint="eastAsia" w:ascii="宋体" w:hAnsi="宋体"/>
          <w:color w:val="auto"/>
          <w:szCs w:val="21"/>
          <w:highlight w:val="none"/>
        </w:rPr>
      </w:pPr>
      <w:r>
        <w:rPr>
          <w:rFonts w:ascii="宋体" w:hAnsi="宋体"/>
          <w:color w:val="auto"/>
          <w:szCs w:val="21"/>
          <w:highlight w:val="none"/>
        </w:rPr>
        <w:t>日   期：</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5D2AD74A">
      <w:pPr>
        <w:pageBreakBefore w:val="0"/>
        <w:kinsoku/>
        <w:wordWrap/>
        <w:overflowPunct/>
        <w:topLinePunct w:val="0"/>
        <w:bidi w:val="0"/>
        <w:spacing w:line="360" w:lineRule="auto"/>
        <w:jc w:val="center"/>
        <w:rPr>
          <w:rFonts w:hint="eastAsia" w:ascii="宋体" w:hAnsi="宋体" w:cs="宋体"/>
          <w:b/>
          <w:color w:val="auto"/>
          <w:kern w:val="44"/>
          <w:szCs w:val="21"/>
          <w:highlight w:val="none"/>
        </w:rPr>
      </w:pPr>
    </w:p>
    <w:p w14:paraId="3E8B8DCB">
      <w:pPr>
        <w:pageBreakBefore w:val="0"/>
        <w:kinsoku/>
        <w:wordWrap/>
        <w:overflowPunct/>
        <w:topLinePunct w:val="0"/>
        <w:bidi w:val="0"/>
        <w:spacing w:line="360" w:lineRule="auto"/>
        <w:rPr>
          <w:rFonts w:hint="eastAsia" w:ascii="宋体" w:hAnsi="宋体" w:cs="宋体"/>
          <w:b/>
          <w:color w:val="auto"/>
          <w:kern w:val="44"/>
          <w:szCs w:val="21"/>
          <w:highlight w:val="none"/>
        </w:rPr>
      </w:pPr>
      <w:r>
        <w:rPr>
          <w:rFonts w:hint="eastAsia" w:ascii="宋体" w:hAnsi="宋体" w:cs="宋体"/>
          <w:b/>
          <w:color w:val="auto"/>
          <w:kern w:val="44"/>
          <w:szCs w:val="21"/>
          <w:highlight w:val="none"/>
        </w:rPr>
        <w:br w:type="page"/>
      </w:r>
    </w:p>
    <w:p w14:paraId="0C4BFF1B">
      <w:pPr>
        <w:pageBreakBefore w:val="0"/>
        <w:kinsoku/>
        <w:wordWrap/>
        <w:overflowPunct/>
        <w:topLinePunct w:val="0"/>
        <w:bidi w:val="0"/>
        <w:spacing w:line="360" w:lineRule="auto"/>
        <w:jc w:val="center"/>
        <w:outlineLvl w:val="2"/>
        <w:rPr>
          <w:rFonts w:hint="eastAsia" w:ascii="宋体" w:hAnsi="宋体" w:cs="宋体"/>
          <w:b/>
          <w:color w:val="auto"/>
          <w:kern w:val="44"/>
          <w:szCs w:val="21"/>
          <w:highlight w:val="none"/>
        </w:rPr>
      </w:pPr>
      <w:r>
        <w:rPr>
          <w:rFonts w:hint="eastAsia" w:ascii="宋体" w:hAnsi="宋体" w:cs="宋体"/>
          <w:b/>
          <w:color w:val="auto"/>
          <w:kern w:val="44"/>
          <w:szCs w:val="21"/>
          <w:highlight w:val="none"/>
        </w:rPr>
        <w:t>3、供应商认为需要提供的其他相关材料</w:t>
      </w:r>
    </w:p>
    <w:p w14:paraId="3FD25509">
      <w:pPr>
        <w:pStyle w:val="53"/>
        <w:pageBreakBefore w:val="0"/>
        <w:kinsoku/>
        <w:wordWrap/>
        <w:overflowPunct/>
        <w:topLinePunct w:val="0"/>
        <w:bidi w:val="0"/>
        <w:snapToGrid w:val="0"/>
        <w:spacing w:line="360" w:lineRule="auto"/>
        <w:ind w:firstLine="420" w:firstLineChars="200"/>
        <w:jc w:val="left"/>
        <w:rPr>
          <w:rFonts w:hint="eastAsia"/>
          <w:color w:val="auto"/>
          <w:highlight w:val="none"/>
        </w:rPr>
      </w:pPr>
    </w:p>
    <w:sectPr>
      <w:footerReference r:id="rId12" w:type="default"/>
      <w:pgSz w:w="11906" w:h="16838"/>
      <w:pgMar w:top="1418" w:right="1474" w:bottom="1418" w:left="1304" w:header="1021" w:footer="102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429A">
    <w:pPr>
      <w:pStyle w:val="25"/>
      <w:pBdr>
        <w:top w:val="none" w:color="auto" w:sz="0" w:space="1"/>
        <w:left w:val="none" w:color="auto" w:sz="0" w:space="0"/>
        <w:bottom w:val="none" w:color="auto" w:sz="0" w:space="0"/>
        <w:right w:val="none" w:color="auto" w:sz="0" w:space="0"/>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60F38">
    <w:pPr>
      <w:pStyle w:val="25"/>
      <w:pBdr>
        <w:top w:val="thickThinSmallGap" w:color="auto" w:sz="18" w:space="1"/>
      </w:pBdr>
      <w:jc w:val="center"/>
      <w:rPr>
        <w:rFonts w:hint="eastAsia" w:ascii="宋体" w:hAnsi="宋体"/>
        <w:b/>
      </w:rPr>
    </w:pPr>
    <w:r>
      <w:rPr>
        <w:rFonts w:ascii="宋体" w:hAnsi="宋体"/>
        <w:b/>
      </w:rPr>
      <w:fldChar w:fldCharType="begin"/>
    </w:r>
    <w:r>
      <w:rPr>
        <w:rFonts w:ascii="宋体" w:hAnsi="宋体"/>
        <w:b/>
      </w:rPr>
      <w:instrText xml:space="preserve"> PAGE   \* MERGEFORMAT </w:instrText>
    </w:r>
    <w:r>
      <w:rPr>
        <w:rFonts w:ascii="宋体" w:hAnsi="宋体"/>
        <w:b/>
      </w:rPr>
      <w:fldChar w:fldCharType="separate"/>
    </w:r>
    <w:r>
      <w:rPr>
        <w:rFonts w:ascii="宋体" w:hAnsi="宋体"/>
        <w:b/>
        <w:lang w:val="zh-CN"/>
      </w:rPr>
      <w:t>10</w:t>
    </w:r>
    <w:r>
      <w:rPr>
        <w:rFonts w:ascii="宋体" w:hAnsi="宋体"/>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10834">
    <w:pPr>
      <w:pStyle w:val="25"/>
      <w:pBdr>
        <w:top w:val="none" w:color="auto" w:sz="0" w:space="1"/>
        <w:left w:val="none" w:color="auto" w:sz="0" w:space="0"/>
        <w:bottom w:val="none" w:color="auto" w:sz="0" w:space="0"/>
        <w:right w:val="none" w:color="auto" w:sz="0" w:space="0"/>
        <w:between w:val="none" w:color="auto" w:sz="0" w:space="0"/>
      </w:pBd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83C8">
    <w:pPr>
      <w:pStyle w:val="25"/>
      <w:pBdr>
        <w:top w:val="none" w:color="auto" w:sz="0" w:space="1"/>
        <w:left w:val="none" w:color="auto" w:sz="0" w:space="0"/>
        <w:bottom w:val="none" w:color="auto" w:sz="0" w:space="0"/>
        <w:right w:val="none" w:color="auto" w:sz="0" w:space="0"/>
        <w:between w:val="none" w:color="auto" w:sz="0" w:space="0"/>
      </w:pBd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335F0">
    <w:pPr>
      <w:pStyle w:val="25"/>
      <w:pBdr>
        <w:top w:val="none" w:color="auto" w:sz="0" w:space="1"/>
        <w:left w:val="none" w:color="auto" w:sz="0" w:space="0"/>
        <w:bottom w:val="none" w:color="auto" w:sz="0" w:space="0"/>
        <w:right w:val="none" w:color="auto" w:sz="0" w:space="0"/>
        <w:between w:val="none" w:color="auto" w:sz="0" w:space="0"/>
      </w:pBd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5E42D">
    <w:pPr>
      <w:pStyle w:val="25"/>
      <w:pBdr>
        <w:top w:val="none" w:color="auto" w:sz="0" w:space="1"/>
        <w:left w:val="none" w:color="auto" w:sz="0" w:space="0"/>
        <w:bottom w:val="none" w:color="auto" w:sz="0" w:space="0"/>
        <w:right w:val="none" w:color="auto" w:sz="0" w:space="0"/>
        <w:between w:val="none" w:color="auto" w:sz="0" w:space="0"/>
      </w:pBd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A1910">
    <w:pPr>
      <w:pStyle w:val="25"/>
      <w:pBdr>
        <w:top w:val="none" w:color="auto" w:sz="0" w:space="1"/>
        <w:left w:val="none" w:color="auto" w:sz="0" w:space="0"/>
        <w:bottom w:val="none" w:color="auto" w:sz="0" w:space="0"/>
        <w:right w:val="none" w:color="auto" w:sz="0" w:space="0"/>
        <w:between w:val="none" w:color="auto" w:sz="0" w:space="0"/>
      </w:pBdr>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3C82F">
    <w:pPr>
      <w:pStyle w:val="25"/>
      <w:pBdr>
        <w:top w:val="none" w:color="auto" w:sz="0" w:space="1"/>
        <w:left w:val="none" w:color="auto" w:sz="0" w:space="0"/>
        <w:bottom w:val="none" w:color="auto" w:sz="0" w:space="0"/>
        <w:right w:val="none" w:color="auto" w:sz="0" w:space="0"/>
        <w:between w:val="none" w:color="auto" w:sz="0" w:space="0"/>
      </w:pBd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E39F9">
                          <w:pPr>
                            <w:pStyle w:val="25"/>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4E39F9">
                    <w:pPr>
                      <w:pStyle w:val="25"/>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7DCF">
    <w:pPr>
      <w:widowControl/>
      <w:pBdr>
        <w:bottom w:val="none" w:color="auto" w:sz="0" w:space="0"/>
      </w:pBdr>
      <w:jc w:val="both"/>
      <w:rPr>
        <w:bCs/>
        <w:spacing w:val="-6"/>
        <w:kern w:val="0"/>
        <w:sz w:val="18"/>
        <w:szCs w:val="18"/>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E87FD">
    <w:pPr>
      <w:pStyle w:val="26"/>
      <w:pBdr>
        <w:bottom w:val="thinThickSmallGap" w:color="auto" w:sz="18" w:space="1"/>
      </w:pBdr>
      <w:jc w:val="right"/>
      <w:rPr>
        <w:b/>
        <w:sz w:val="21"/>
        <w:szCs w:val="21"/>
      </w:rPr>
    </w:pPr>
    <w:r>
      <w:rPr>
        <w:rFonts w:hint="eastAsia" w:ascii="宋体" w:hAnsi="宋体" w:cs="宋体"/>
        <w:szCs w:val="21"/>
      </w:rPr>
      <w:t>机场大道绿化、路面及路灯照明设施养护维修·磋商文件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B4C54"/>
    <w:multiLevelType w:val="multilevel"/>
    <w:tmpl w:val="0B0B4C54"/>
    <w:lvl w:ilvl="0" w:tentative="0">
      <w:start w:val="1"/>
      <w:numFmt w:val="japaneseCounting"/>
      <w:pStyle w:val="61"/>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pStyle w:val="60"/>
      <w:lvlText w:val="%3."/>
      <w:lvlJc w:val="right"/>
      <w:pPr>
        <w:ind w:left="1260" w:hanging="420"/>
      </w:pPr>
    </w:lvl>
    <w:lvl w:ilvl="3" w:tentative="0">
      <w:start w:val="1"/>
      <w:numFmt w:val="decimal"/>
      <w:pStyle w:val="6"/>
      <w:lvlText w:val="%4."/>
      <w:lvlJc w:val="left"/>
      <w:pPr>
        <w:ind w:left="1680" w:hanging="420"/>
      </w:pPr>
    </w:lvl>
    <w:lvl w:ilvl="4" w:tentative="0">
      <w:start w:val="1"/>
      <w:numFmt w:val="lowerLetter"/>
      <w:pStyle w:val="7"/>
      <w:lvlText w:val="%5)"/>
      <w:lvlJc w:val="left"/>
      <w:pPr>
        <w:ind w:left="2100" w:hanging="420"/>
      </w:pPr>
    </w:lvl>
    <w:lvl w:ilvl="5" w:tentative="0">
      <w:start w:val="1"/>
      <w:numFmt w:val="lowerRoman"/>
      <w:pStyle w:val="8"/>
      <w:lvlText w:val="%6."/>
      <w:lvlJc w:val="right"/>
      <w:pPr>
        <w:ind w:left="2520" w:hanging="420"/>
      </w:pPr>
    </w:lvl>
    <w:lvl w:ilvl="6" w:tentative="0">
      <w:start w:val="1"/>
      <w:numFmt w:val="decimal"/>
      <w:pStyle w:val="9"/>
      <w:lvlText w:val="%7."/>
      <w:lvlJc w:val="left"/>
      <w:pPr>
        <w:ind w:left="2940" w:hanging="420"/>
      </w:pPr>
    </w:lvl>
    <w:lvl w:ilvl="7" w:tentative="0">
      <w:start w:val="1"/>
      <w:numFmt w:val="lowerLetter"/>
      <w:pStyle w:val="10"/>
      <w:lvlText w:val="%8)"/>
      <w:lvlJc w:val="left"/>
      <w:pPr>
        <w:ind w:left="3360" w:hanging="420"/>
      </w:pPr>
    </w:lvl>
    <w:lvl w:ilvl="8" w:tentative="0">
      <w:start w:val="1"/>
      <w:numFmt w:val="lowerRoman"/>
      <w:pStyle w:val="11"/>
      <w:lvlText w:val="%9."/>
      <w:lvlJc w:val="right"/>
      <w:pPr>
        <w:ind w:left="3780" w:hanging="420"/>
      </w:pPr>
    </w:lvl>
  </w:abstractNum>
  <w:abstractNum w:abstractNumId="1">
    <w:nsid w:val="6863D069"/>
    <w:multiLevelType w:val="singleLevel"/>
    <w:tmpl w:val="6863D06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3MjVlNGViZDc1NjNhNWY2YTA0MWU3ODg4OWRmMDQifQ=="/>
  </w:docVars>
  <w:rsids>
    <w:rsidRoot w:val="00172A27"/>
    <w:rsid w:val="0000189D"/>
    <w:rsid w:val="00001A4D"/>
    <w:rsid w:val="00001C15"/>
    <w:rsid w:val="00001FB2"/>
    <w:rsid w:val="00002A34"/>
    <w:rsid w:val="0000313A"/>
    <w:rsid w:val="000031A4"/>
    <w:rsid w:val="0000376B"/>
    <w:rsid w:val="0000397B"/>
    <w:rsid w:val="00003D19"/>
    <w:rsid w:val="0000475B"/>
    <w:rsid w:val="00004C15"/>
    <w:rsid w:val="0000543E"/>
    <w:rsid w:val="0000567A"/>
    <w:rsid w:val="0000574E"/>
    <w:rsid w:val="000058B3"/>
    <w:rsid w:val="00005C34"/>
    <w:rsid w:val="000062D2"/>
    <w:rsid w:val="00006648"/>
    <w:rsid w:val="00006695"/>
    <w:rsid w:val="00006804"/>
    <w:rsid w:val="0000741F"/>
    <w:rsid w:val="00007E31"/>
    <w:rsid w:val="00010AE1"/>
    <w:rsid w:val="00010E4C"/>
    <w:rsid w:val="000124A7"/>
    <w:rsid w:val="00014882"/>
    <w:rsid w:val="00014CC8"/>
    <w:rsid w:val="00014D5E"/>
    <w:rsid w:val="0001521D"/>
    <w:rsid w:val="0001536D"/>
    <w:rsid w:val="00015B00"/>
    <w:rsid w:val="0001699C"/>
    <w:rsid w:val="000171E5"/>
    <w:rsid w:val="000173CA"/>
    <w:rsid w:val="000178B2"/>
    <w:rsid w:val="000178EF"/>
    <w:rsid w:val="00017D42"/>
    <w:rsid w:val="00017DE1"/>
    <w:rsid w:val="00020CE7"/>
    <w:rsid w:val="000216A5"/>
    <w:rsid w:val="00021950"/>
    <w:rsid w:val="00021F26"/>
    <w:rsid w:val="000221C0"/>
    <w:rsid w:val="000223F3"/>
    <w:rsid w:val="00023921"/>
    <w:rsid w:val="00024069"/>
    <w:rsid w:val="00024391"/>
    <w:rsid w:val="000244E8"/>
    <w:rsid w:val="00024786"/>
    <w:rsid w:val="00024ECC"/>
    <w:rsid w:val="00024F3E"/>
    <w:rsid w:val="00024F82"/>
    <w:rsid w:val="000250E6"/>
    <w:rsid w:val="00025781"/>
    <w:rsid w:val="000260A6"/>
    <w:rsid w:val="000263DC"/>
    <w:rsid w:val="0002657C"/>
    <w:rsid w:val="00026814"/>
    <w:rsid w:val="0002783D"/>
    <w:rsid w:val="000304EA"/>
    <w:rsid w:val="000307D9"/>
    <w:rsid w:val="000318DD"/>
    <w:rsid w:val="00031A41"/>
    <w:rsid w:val="00032990"/>
    <w:rsid w:val="0003412F"/>
    <w:rsid w:val="00034370"/>
    <w:rsid w:val="00034584"/>
    <w:rsid w:val="0003473A"/>
    <w:rsid w:val="00034E17"/>
    <w:rsid w:val="00035092"/>
    <w:rsid w:val="00035122"/>
    <w:rsid w:val="00035637"/>
    <w:rsid w:val="00035E96"/>
    <w:rsid w:val="00035F4A"/>
    <w:rsid w:val="00036C49"/>
    <w:rsid w:val="00036CB8"/>
    <w:rsid w:val="0003714A"/>
    <w:rsid w:val="00040129"/>
    <w:rsid w:val="00040FE1"/>
    <w:rsid w:val="000412CE"/>
    <w:rsid w:val="00041D14"/>
    <w:rsid w:val="000420BB"/>
    <w:rsid w:val="00042390"/>
    <w:rsid w:val="00042B95"/>
    <w:rsid w:val="00042C65"/>
    <w:rsid w:val="0004365A"/>
    <w:rsid w:val="00043EEB"/>
    <w:rsid w:val="0004455B"/>
    <w:rsid w:val="00044827"/>
    <w:rsid w:val="00046144"/>
    <w:rsid w:val="000466E8"/>
    <w:rsid w:val="000468B9"/>
    <w:rsid w:val="00046FB5"/>
    <w:rsid w:val="0004782F"/>
    <w:rsid w:val="00050136"/>
    <w:rsid w:val="000508FE"/>
    <w:rsid w:val="0005185B"/>
    <w:rsid w:val="00051906"/>
    <w:rsid w:val="00052049"/>
    <w:rsid w:val="00052B1D"/>
    <w:rsid w:val="00052FFB"/>
    <w:rsid w:val="0005337C"/>
    <w:rsid w:val="00053B00"/>
    <w:rsid w:val="00054302"/>
    <w:rsid w:val="00054551"/>
    <w:rsid w:val="00055878"/>
    <w:rsid w:val="00056A52"/>
    <w:rsid w:val="00056AAC"/>
    <w:rsid w:val="00056BD6"/>
    <w:rsid w:val="0005712D"/>
    <w:rsid w:val="00057B9A"/>
    <w:rsid w:val="0006085B"/>
    <w:rsid w:val="0006089F"/>
    <w:rsid w:val="00060C79"/>
    <w:rsid w:val="00060CF8"/>
    <w:rsid w:val="00061375"/>
    <w:rsid w:val="00062F5B"/>
    <w:rsid w:val="0006303C"/>
    <w:rsid w:val="00063798"/>
    <w:rsid w:val="00063E12"/>
    <w:rsid w:val="000646C1"/>
    <w:rsid w:val="00064B58"/>
    <w:rsid w:val="00065C5C"/>
    <w:rsid w:val="00066201"/>
    <w:rsid w:val="00066DCC"/>
    <w:rsid w:val="00066FE0"/>
    <w:rsid w:val="00067868"/>
    <w:rsid w:val="000678E2"/>
    <w:rsid w:val="000706D4"/>
    <w:rsid w:val="00070C4C"/>
    <w:rsid w:val="000714E6"/>
    <w:rsid w:val="00071AFA"/>
    <w:rsid w:val="00071BE0"/>
    <w:rsid w:val="000723F3"/>
    <w:rsid w:val="00072B47"/>
    <w:rsid w:val="00072C53"/>
    <w:rsid w:val="00072C58"/>
    <w:rsid w:val="00073684"/>
    <w:rsid w:val="00073750"/>
    <w:rsid w:val="00074510"/>
    <w:rsid w:val="000748F1"/>
    <w:rsid w:val="00075ACB"/>
    <w:rsid w:val="000766DB"/>
    <w:rsid w:val="00076F75"/>
    <w:rsid w:val="00077B83"/>
    <w:rsid w:val="000802B2"/>
    <w:rsid w:val="00080A26"/>
    <w:rsid w:val="00080A8D"/>
    <w:rsid w:val="00080E8D"/>
    <w:rsid w:val="00080EE1"/>
    <w:rsid w:val="0008106D"/>
    <w:rsid w:val="00082093"/>
    <w:rsid w:val="0008251A"/>
    <w:rsid w:val="0008253F"/>
    <w:rsid w:val="000827FD"/>
    <w:rsid w:val="00082CBE"/>
    <w:rsid w:val="00083C4E"/>
    <w:rsid w:val="00085D93"/>
    <w:rsid w:val="0008623C"/>
    <w:rsid w:val="00086327"/>
    <w:rsid w:val="000864FB"/>
    <w:rsid w:val="00086823"/>
    <w:rsid w:val="000870AE"/>
    <w:rsid w:val="00087845"/>
    <w:rsid w:val="0009163F"/>
    <w:rsid w:val="0009295B"/>
    <w:rsid w:val="00093A30"/>
    <w:rsid w:val="00093CB7"/>
    <w:rsid w:val="000940AA"/>
    <w:rsid w:val="000943D6"/>
    <w:rsid w:val="0009445D"/>
    <w:rsid w:val="00094BF4"/>
    <w:rsid w:val="00094C01"/>
    <w:rsid w:val="00094F01"/>
    <w:rsid w:val="0009544A"/>
    <w:rsid w:val="000961A5"/>
    <w:rsid w:val="00096C66"/>
    <w:rsid w:val="00096D0B"/>
    <w:rsid w:val="000975B3"/>
    <w:rsid w:val="00097CF1"/>
    <w:rsid w:val="000A098B"/>
    <w:rsid w:val="000A1CC4"/>
    <w:rsid w:val="000A473F"/>
    <w:rsid w:val="000A655E"/>
    <w:rsid w:val="000A6AA5"/>
    <w:rsid w:val="000A6D41"/>
    <w:rsid w:val="000A7533"/>
    <w:rsid w:val="000A75DB"/>
    <w:rsid w:val="000A7731"/>
    <w:rsid w:val="000A7F85"/>
    <w:rsid w:val="000B0496"/>
    <w:rsid w:val="000B1132"/>
    <w:rsid w:val="000B163D"/>
    <w:rsid w:val="000B1860"/>
    <w:rsid w:val="000B1D8D"/>
    <w:rsid w:val="000B5BE1"/>
    <w:rsid w:val="000B6524"/>
    <w:rsid w:val="000B6942"/>
    <w:rsid w:val="000B6DC6"/>
    <w:rsid w:val="000B79F5"/>
    <w:rsid w:val="000C115E"/>
    <w:rsid w:val="000C17FD"/>
    <w:rsid w:val="000C253B"/>
    <w:rsid w:val="000C2D59"/>
    <w:rsid w:val="000C3972"/>
    <w:rsid w:val="000C3B18"/>
    <w:rsid w:val="000C3C01"/>
    <w:rsid w:val="000C3F66"/>
    <w:rsid w:val="000C44CB"/>
    <w:rsid w:val="000C4696"/>
    <w:rsid w:val="000C666B"/>
    <w:rsid w:val="000C738C"/>
    <w:rsid w:val="000C7D6F"/>
    <w:rsid w:val="000D072A"/>
    <w:rsid w:val="000D0D9C"/>
    <w:rsid w:val="000D2417"/>
    <w:rsid w:val="000D35B1"/>
    <w:rsid w:val="000D389C"/>
    <w:rsid w:val="000D3FE3"/>
    <w:rsid w:val="000D4708"/>
    <w:rsid w:val="000D4D9B"/>
    <w:rsid w:val="000D531E"/>
    <w:rsid w:val="000D55D6"/>
    <w:rsid w:val="000D5BBE"/>
    <w:rsid w:val="000D5D98"/>
    <w:rsid w:val="000D6593"/>
    <w:rsid w:val="000D7A62"/>
    <w:rsid w:val="000E0489"/>
    <w:rsid w:val="000E0BA2"/>
    <w:rsid w:val="000E0ECF"/>
    <w:rsid w:val="000E1107"/>
    <w:rsid w:val="000E1A3F"/>
    <w:rsid w:val="000E2304"/>
    <w:rsid w:val="000E43C6"/>
    <w:rsid w:val="000E4B15"/>
    <w:rsid w:val="000E4D54"/>
    <w:rsid w:val="000E50D0"/>
    <w:rsid w:val="000E5121"/>
    <w:rsid w:val="000E5F38"/>
    <w:rsid w:val="000E600F"/>
    <w:rsid w:val="000E6C56"/>
    <w:rsid w:val="000E7076"/>
    <w:rsid w:val="000E71A9"/>
    <w:rsid w:val="000E755B"/>
    <w:rsid w:val="000E7932"/>
    <w:rsid w:val="000F00C2"/>
    <w:rsid w:val="000F1D49"/>
    <w:rsid w:val="000F1DF0"/>
    <w:rsid w:val="000F250C"/>
    <w:rsid w:val="000F31FA"/>
    <w:rsid w:val="000F4150"/>
    <w:rsid w:val="000F4244"/>
    <w:rsid w:val="000F486D"/>
    <w:rsid w:val="000F4E81"/>
    <w:rsid w:val="000F58D7"/>
    <w:rsid w:val="000F66E9"/>
    <w:rsid w:val="000F6F03"/>
    <w:rsid w:val="000F75E2"/>
    <w:rsid w:val="000F799A"/>
    <w:rsid w:val="000F7FFE"/>
    <w:rsid w:val="00100615"/>
    <w:rsid w:val="00100B66"/>
    <w:rsid w:val="001017E8"/>
    <w:rsid w:val="001021C6"/>
    <w:rsid w:val="00103128"/>
    <w:rsid w:val="00103831"/>
    <w:rsid w:val="00103F2F"/>
    <w:rsid w:val="001049A7"/>
    <w:rsid w:val="001050BB"/>
    <w:rsid w:val="0010599A"/>
    <w:rsid w:val="00105B6A"/>
    <w:rsid w:val="00105BE3"/>
    <w:rsid w:val="001062D4"/>
    <w:rsid w:val="001065C6"/>
    <w:rsid w:val="00106715"/>
    <w:rsid w:val="001067DB"/>
    <w:rsid w:val="0010768D"/>
    <w:rsid w:val="00107C07"/>
    <w:rsid w:val="00110344"/>
    <w:rsid w:val="00110CDD"/>
    <w:rsid w:val="00110F73"/>
    <w:rsid w:val="001110E1"/>
    <w:rsid w:val="0011110E"/>
    <w:rsid w:val="00111354"/>
    <w:rsid w:val="00111392"/>
    <w:rsid w:val="001121C1"/>
    <w:rsid w:val="0011241F"/>
    <w:rsid w:val="00112A6E"/>
    <w:rsid w:val="00112CB9"/>
    <w:rsid w:val="0011369E"/>
    <w:rsid w:val="0011395E"/>
    <w:rsid w:val="00113CE1"/>
    <w:rsid w:val="00113D22"/>
    <w:rsid w:val="00114F5B"/>
    <w:rsid w:val="001153E9"/>
    <w:rsid w:val="00115603"/>
    <w:rsid w:val="00115AA8"/>
    <w:rsid w:val="001160D9"/>
    <w:rsid w:val="001163F0"/>
    <w:rsid w:val="00116585"/>
    <w:rsid w:val="001170E1"/>
    <w:rsid w:val="0011737A"/>
    <w:rsid w:val="001174AA"/>
    <w:rsid w:val="00117627"/>
    <w:rsid w:val="001201F8"/>
    <w:rsid w:val="00120961"/>
    <w:rsid w:val="00120D31"/>
    <w:rsid w:val="0012151E"/>
    <w:rsid w:val="001218C1"/>
    <w:rsid w:val="001220DB"/>
    <w:rsid w:val="00122A8B"/>
    <w:rsid w:val="001235BA"/>
    <w:rsid w:val="001239DF"/>
    <w:rsid w:val="00123A24"/>
    <w:rsid w:val="00123C30"/>
    <w:rsid w:val="0012408F"/>
    <w:rsid w:val="001243E7"/>
    <w:rsid w:val="00124B6D"/>
    <w:rsid w:val="00124FCB"/>
    <w:rsid w:val="001250BA"/>
    <w:rsid w:val="001253BC"/>
    <w:rsid w:val="0012777A"/>
    <w:rsid w:val="00127CCA"/>
    <w:rsid w:val="00130473"/>
    <w:rsid w:val="00130A03"/>
    <w:rsid w:val="00130C42"/>
    <w:rsid w:val="0013140D"/>
    <w:rsid w:val="00132754"/>
    <w:rsid w:val="00132BDF"/>
    <w:rsid w:val="00133D0B"/>
    <w:rsid w:val="00133E36"/>
    <w:rsid w:val="001340D0"/>
    <w:rsid w:val="00134558"/>
    <w:rsid w:val="00134ED9"/>
    <w:rsid w:val="00135534"/>
    <w:rsid w:val="00135D73"/>
    <w:rsid w:val="001366D6"/>
    <w:rsid w:val="00136F45"/>
    <w:rsid w:val="001376DD"/>
    <w:rsid w:val="0013782E"/>
    <w:rsid w:val="00137EAD"/>
    <w:rsid w:val="0014078A"/>
    <w:rsid w:val="001410B0"/>
    <w:rsid w:val="00141D23"/>
    <w:rsid w:val="00142543"/>
    <w:rsid w:val="00142663"/>
    <w:rsid w:val="001427BF"/>
    <w:rsid w:val="001427CB"/>
    <w:rsid w:val="00142955"/>
    <w:rsid w:val="001430C8"/>
    <w:rsid w:val="00143675"/>
    <w:rsid w:val="001443AA"/>
    <w:rsid w:val="00144673"/>
    <w:rsid w:val="00144AE0"/>
    <w:rsid w:val="00144BFA"/>
    <w:rsid w:val="00144C22"/>
    <w:rsid w:val="00144D7B"/>
    <w:rsid w:val="00144EE8"/>
    <w:rsid w:val="00145190"/>
    <w:rsid w:val="001467CA"/>
    <w:rsid w:val="001468BC"/>
    <w:rsid w:val="00146E67"/>
    <w:rsid w:val="00147A77"/>
    <w:rsid w:val="00147BD4"/>
    <w:rsid w:val="001512AE"/>
    <w:rsid w:val="0015139D"/>
    <w:rsid w:val="00151533"/>
    <w:rsid w:val="001527EA"/>
    <w:rsid w:val="00152AA7"/>
    <w:rsid w:val="00153958"/>
    <w:rsid w:val="00154268"/>
    <w:rsid w:val="00154FA3"/>
    <w:rsid w:val="00154FE1"/>
    <w:rsid w:val="00155030"/>
    <w:rsid w:val="00155853"/>
    <w:rsid w:val="00155FBF"/>
    <w:rsid w:val="00156902"/>
    <w:rsid w:val="0015746C"/>
    <w:rsid w:val="001576B5"/>
    <w:rsid w:val="00157782"/>
    <w:rsid w:val="00160C55"/>
    <w:rsid w:val="00160DE7"/>
    <w:rsid w:val="00160F03"/>
    <w:rsid w:val="00161183"/>
    <w:rsid w:val="0016168B"/>
    <w:rsid w:val="00161697"/>
    <w:rsid w:val="0016196A"/>
    <w:rsid w:val="00162380"/>
    <w:rsid w:val="001633E8"/>
    <w:rsid w:val="00163438"/>
    <w:rsid w:val="0016394C"/>
    <w:rsid w:val="00163B0C"/>
    <w:rsid w:val="00163BF3"/>
    <w:rsid w:val="001649F4"/>
    <w:rsid w:val="00166DC3"/>
    <w:rsid w:val="00167B64"/>
    <w:rsid w:val="00171406"/>
    <w:rsid w:val="001718F1"/>
    <w:rsid w:val="00171C9D"/>
    <w:rsid w:val="00172A27"/>
    <w:rsid w:val="00172CBE"/>
    <w:rsid w:val="00172D00"/>
    <w:rsid w:val="00173678"/>
    <w:rsid w:val="0017368B"/>
    <w:rsid w:val="001737B7"/>
    <w:rsid w:val="0017401F"/>
    <w:rsid w:val="00174140"/>
    <w:rsid w:val="00174BC9"/>
    <w:rsid w:val="00174D0B"/>
    <w:rsid w:val="00174D3E"/>
    <w:rsid w:val="001753C7"/>
    <w:rsid w:val="00175A74"/>
    <w:rsid w:val="00176E07"/>
    <w:rsid w:val="00176F2D"/>
    <w:rsid w:val="001770D9"/>
    <w:rsid w:val="00177393"/>
    <w:rsid w:val="001773E8"/>
    <w:rsid w:val="001775CC"/>
    <w:rsid w:val="00180AA7"/>
    <w:rsid w:val="00180BAD"/>
    <w:rsid w:val="0018104D"/>
    <w:rsid w:val="001819A7"/>
    <w:rsid w:val="001820E7"/>
    <w:rsid w:val="00182DA8"/>
    <w:rsid w:val="00183319"/>
    <w:rsid w:val="001837AA"/>
    <w:rsid w:val="0018387D"/>
    <w:rsid w:val="00183C91"/>
    <w:rsid w:val="00184A77"/>
    <w:rsid w:val="00185C47"/>
    <w:rsid w:val="00185E40"/>
    <w:rsid w:val="00186E2C"/>
    <w:rsid w:val="00186F40"/>
    <w:rsid w:val="00187346"/>
    <w:rsid w:val="001878B9"/>
    <w:rsid w:val="001907CF"/>
    <w:rsid w:val="00191BFE"/>
    <w:rsid w:val="001921C2"/>
    <w:rsid w:val="001921C7"/>
    <w:rsid w:val="0019259D"/>
    <w:rsid w:val="00192BBB"/>
    <w:rsid w:val="00192C1E"/>
    <w:rsid w:val="00193073"/>
    <w:rsid w:val="00193149"/>
    <w:rsid w:val="00193266"/>
    <w:rsid w:val="0019379B"/>
    <w:rsid w:val="00193E3F"/>
    <w:rsid w:val="001948E1"/>
    <w:rsid w:val="00196736"/>
    <w:rsid w:val="0019725B"/>
    <w:rsid w:val="001A0453"/>
    <w:rsid w:val="001A0988"/>
    <w:rsid w:val="001A0F9B"/>
    <w:rsid w:val="001A116E"/>
    <w:rsid w:val="001A1212"/>
    <w:rsid w:val="001A1BCC"/>
    <w:rsid w:val="001A297B"/>
    <w:rsid w:val="001A2FD6"/>
    <w:rsid w:val="001A4EE5"/>
    <w:rsid w:val="001A589D"/>
    <w:rsid w:val="001A592B"/>
    <w:rsid w:val="001A5C4A"/>
    <w:rsid w:val="001A5CB7"/>
    <w:rsid w:val="001A6A49"/>
    <w:rsid w:val="001A7033"/>
    <w:rsid w:val="001B0634"/>
    <w:rsid w:val="001B0F0E"/>
    <w:rsid w:val="001B10C2"/>
    <w:rsid w:val="001B1EA2"/>
    <w:rsid w:val="001B2254"/>
    <w:rsid w:val="001B30F5"/>
    <w:rsid w:val="001B32E6"/>
    <w:rsid w:val="001B3E84"/>
    <w:rsid w:val="001B496E"/>
    <w:rsid w:val="001B6BBC"/>
    <w:rsid w:val="001B6DD0"/>
    <w:rsid w:val="001B6F83"/>
    <w:rsid w:val="001B718E"/>
    <w:rsid w:val="001B71D4"/>
    <w:rsid w:val="001B7BC8"/>
    <w:rsid w:val="001B7C58"/>
    <w:rsid w:val="001B7F24"/>
    <w:rsid w:val="001C0806"/>
    <w:rsid w:val="001C0DA2"/>
    <w:rsid w:val="001C1364"/>
    <w:rsid w:val="001C1C77"/>
    <w:rsid w:val="001C2828"/>
    <w:rsid w:val="001C29B1"/>
    <w:rsid w:val="001C38F7"/>
    <w:rsid w:val="001C40A2"/>
    <w:rsid w:val="001C4A6C"/>
    <w:rsid w:val="001C4AEF"/>
    <w:rsid w:val="001C4BA7"/>
    <w:rsid w:val="001C55BB"/>
    <w:rsid w:val="001C5EF8"/>
    <w:rsid w:val="001C72DA"/>
    <w:rsid w:val="001C76C7"/>
    <w:rsid w:val="001D00AF"/>
    <w:rsid w:val="001D01B0"/>
    <w:rsid w:val="001D0347"/>
    <w:rsid w:val="001D0C50"/>
    <w:rsid w:val="001D0DE5"/>
    <w:rsid w:val="001D176A"/>
    <w:rsid w:val="001D2168"/>
    <w:rsid w:val="001D2A21"/>
    <w:rsid w:val="001D2B95"/>
    <w:rsid w:val="001D3792"/>
    <w:rsid w:val="001D3C12"/>
    <w:rsid w:val="001D4213"/>
    <w:rsid w:val="001D4DB8"/>
    <w:rsid w:val="001D52C3"/>
    <w:rsid w:val="001D5C15"/>
    <w:rsid w:val="001D60F9"/>
    <w:rsid w:val="001D76B0"/>
    <w:rsid w:val="001D7912"/>
    <w:rsid w:val="001E0C88"/>
    <w:rsid w:val="001E0FDE"/>
    <w:rsid w:val="001E105C"/>
    <w:rsid w:val="001E1A50"/>
    <w:rsid w:val="001E1C8E"/>
    <w:rsid w:val="001E2A0E"/>
    <w:rsid w:val="001E2BB7"/>
    <w:rsid w:val="001E337D"/>
    <w:rsid w:val="001E458A"/>
    <w:rsid w:val="001E56E7"/>
    <w:rsid w:val="001E57BE"/>
    <w:rsid w:val="001E5C06"/>
    <w:rsid w:val="001E6C7E"/>
    <w:rsid w:val="001E7255"/>
    <w:rsid w:val="001E74C5"/>
    <w:rsid w:val="001E7690"/>
    <w:rsid w:val="001E7720"/>
    <w:rsid w:val="001E7C37"/>
    <w:rsid w:val="001F1E3F"/>
    <w:rsid w:val="001F1E80"/>
    <w:rsid w:val="001F2727"/>
    <w:rsid w:val="001F2A7D"/>
    <w:rsid w:val="001F3AC2"/>
    <w:rsid w:val="001F4A9B"/>
    <w:rsid w:val="001F4F87"/>
    <w:rsid w:val="001F50DA"/>
    <w:rsid w:val="001F5331"/>
    <w:rsid w:val="001F648D"/>
    <w:rsid w:val="001F66AF"/>
    <w:rsid w:val="001F6887"/>
    <w:rsid w:val="001F6FAB"/>
    <w:rsid w:val="001F79BA"/>
    <w:rsid w:val="001F7B77"/>
    <w:rsid w:val="00200260"/>
    <w:rsid w:val="00200B3F"/>
    <w:rsid w:val="002017BB"/>
    <w:rsid w:val="00201933"/>
    <w:rsid w:val="00201AD3"/>
    <w:rsid w:val="00201C67"/>
    <w:rsid w:val="0020231C"/>
    <w:rsid w:val="00202D3E"/>
    <w:rsid w:val="00202E22"/>
    <w:rsid w:val="00203704"/>
    <w:rsid w:val="00203D0E"/>
    <w:rsid w:val="00204A1D"/>
    <w:rsid w:val="00204C85"/>
    <w:rsid w:val="00204F67"/>
    <w:rsid w:val="002057D2"/>
    <w:rsid w:val="002057FD"/>
    <w:rsid w:val="00205871"/>
    <w:rsid w:val="0020593C"/>
    <w:rsid w:val="002059D5"/>
    <w:rsid w:val="00205D14"/>
    <w:rsid w:val="00205D25"/>
    <w:rsid w:val="00205F8C"/>
    <w:rsid w:val="00206801"/>
    <w:rsid w:val="002073E6"/>
    <w:rsid w:val="0020775D"/>
    <w:rsid w:val="00210212"/>
    <w:rsid w:val="0021087C"/>
    <w:rsid w:val="0021191F"/>
    <w:rsid w:val="00211EC1"/>
    <w:rsid w:val="002123D9"/>
    <w:rsid w:val="00212B92"/>
    <w:rsid w:val="00213118"/>
    <w:rsid w:val="00213394"/>
    <w:rsid w:val="00213E09"/>
    <w:rsid w:val="002149D1"/>
    <w:rsid w:val="002151DC"/>
    <w:rsid w:val="00215AA7"/>
    <w:rsid w:val="0021660C"/>
    <w:rsid w:val="00217305"/>
    <w:rsid w:val="00217460"/>
    <w:rsid w:val="00217811"/>
    <w:rsid w:val="002209C5"/>
    <w:rsid w:val="002211A9"/>
    <w:rsid w:val="00221E6A"/>
    <w:rsid w:val="0022241D"/>
    <w:rsid w:val="00222E24"/>
    <w:rsid w:val="0022361E"/>
    <w:rsid w:val="00223B63"/>
    <w:rsid w:val="002242EB"/>
    <w:rsid w:val="002248E6"/>
    <w:rsid w:val="00224A2A"/>
    <w:rsid w:val="00224F58"/>
    <w:rsid w:val="00225F12"/>
    <w:rsid w:val="0022601F"/>
    <w:rsid w:val="002271F6"/>
    <w:rsid w:val="0022798C"/>
    <w:rsid w:val="00227F2E"/>
    <w:rsid w:val="0023139A"/>
    <w:rsid w:val="0023156F"/>
    <w:rsid w:val="00232DC2"/>
    <w:rsid w:val="00234169"/>
    <w:rsid w:val="002346B8"/>
    <w:rsid w:val="00236836"/>
    <w:rsid w:val="00236AE8"/>
    <w:rsid w:val="00236CAA"/>
    <w:rsid w:val="00236EEB"/>
    <w:rsid w:val="00237AC0"/>
    <w:rsid w:val="00237E02"/>
    <w:rsid w:val="0024079C"/>
    <w:rsid w:val="00240FDB"/>
    <w:rsid w:val="002419D2"/>
    <w:rsid w:val="00241C4C"/>
    <w:rsid w:val="00242ABE"/>
    <w:rsid w:val="0024311E"/>
    <w:rsid w:val="0024392E"/>
    <w:rsid w:val="00243F09"/>
    <w:rsid w:val="00244065"/>
    <w:rsid w:val="00244AD0"/>
    <w:rsid w:val="00244E27"/>
    <w:rsid w:val="00244FE4"/>
    <w:rsid w:val="00245C3C"/>
    <w:rsid w:val="0024618A"/>
    <w:rsid w:val="00246D22"/>
    <w:rsid w:val="00246DB9"/>
    <w:rsid w:val="002475D7"/>
    <w:rsid w:val="002479F4"/>
    <w:rsid w:val="00247A12"/>
    <w:rsid w:val="002501EA"/>
    <w:rsid w:val="00251741"/>
    <w:rsid w:val="002519B5"/>
    <w:rsid w:val="0025290E"/>
    <w:rsid w:val="00252C52"/>
    <w:rsid w:val="00252D28"/>
    <w:rsid w:val="0025353B"/>
    <w:rsid w:val="0025436F"/>
    <w:rsid w:val="002549AD"/>
    <w:rsid w:val="00254BC4"/>
    <w:rsid w:val="00254F65"/>
    <w:rsid w:val="002551F2"/>
    <w:rsid w:val="00255870"/>
    <w:rsid w:val="00255A3A"/>
    <w:rsid w:val="00255DB3"/>
    <w:rsid w:val="00255DBF"/>
    <w:rsid w:val="002566A4"/>
    <w:rsid w:val="00256BDD"/>
    <w:rsid w:val="0025713A"/>
    <w:rsid w:val="00257677"/>
    <w:rsid w:val="00257B06"/>
    <w:rsid w:val="00257E8B"/>
    <w:rsid w:val="00261023"/>
    <w:rsid w:val="0026142E"/>
    <w:rsid w:val="002614C0"/>
    <w:rsid w:val="00261760"/>
    <w:rsid w:val="002622FC"/>
    <w:rsid w:val="002623C3"/>
    <w:rsid w:val="002628E3"/>
    <w:rsid w:val="0026324B"/>
    <w:rsid w:val="002636EA"/>
    <w:rsid w:val="002638A2"/>
    <w:rsid w:val="00263947"/>
    <w:rsid w:val="00263CB0"/>
    <w:rsid w:val="002646FD"/>
    <w:rsid w:val="00264DB5"/>
    <w:rsid w:val="00265C5E"/>
    <w:rsid w:val="00266D85"/>
    <w:rsid w:val="00266E82"/>
    <w:rsid w:val="0026740A"/>
    <w:rsid w:val="002705BE"/>
    <w:rsid w:val="00270903"/>
    <w:rsid w:val="00271251"/>
    <w:rsid w:val="00271987"/>
    <w:rsid w:val="002722A2"/>
    <w:rsid w:val="00272968"/>
    <w:rsid w:val="00273351"/>
    <w:rsid w:val="00273BE8"/>
    <w:rsid w:val="00274DF1"/>
    <w:rsid w:val="00275B5D"/>
    <w:rsid w:val="0027632F"/>
    <w:rsid w:val="002763C2"/>
    <w:rsid w:val="00276620"/>
    <w:rsid w:val="00276FB1"/>
    <w:rsid w:val="002772BA"/>
    <w:rsid w:val="00280136"/>
    <w:rsid w:val="0028020B"/>
    <w:rsid w:val="0028057A"/>
    <w:rsid w:val="00280DF9"/>
    <w:rsid w:val="00281DB2"/>
    <w:rsid w:val="00282348"/>
    <w:rsid w:val="00282B7F"/>
    <w:rsid w:val="0028325C"/>
    <w:rsid w:val="00283AD1"/>
    <w:rsid w:val="00283F65"/>
    <w:rsid w:val="00285410"/>
    <w:rsid w:val="002855D7"/>
    <w:rsid w:val="0028567D"/>
    <w:rsid w:val="00285872"/>
    <w:rsid w:val="00285D0A"/>
    <w:rsid w:val="002860B2"/>
    <w:rsid w:val="00287882"/>
    <w:rsid w:val="00287D84"/>
    <w:rsid w:val="0029026F"/>
    <w:rsid w:val="002906AF"/>
    <w:rsid w:val="00292292"/>
    <w:rsid w:val="00292341"/>
    <w:rsid w:val="00292619"/>
    <w:rsid w:val="002928CC"/>
    <w:rsid w:val="00293716"/>
    <w:rsid w:val="002939B1"/>
    <w:rsid w:val="00293B32"/>
    <w:rsid w:val="00294129"/>
    <w:rsid w:val="002945D5"/>
    <w:rsid w:val="00294921"/>
    <w:rsid w:val="00294AA5"/>
    <w:rsid w:val="00294AE6"/>
    <w:rsid w:val="00294C5F"/>
    <w:rsid w:val="00294F25"/>
    <w:rsid w:val="002956B1"/>
    <w:rsid w:val="00295D27"/>
    <w:rsid w:val="00295EB1"/>
    <w:rsid w:val="002A0655"/>
    <w:rsid w:val="002A0EE0"/>
    <w:rsid w:val="002A1C20"/>
    <w:rsid w:val="002A20AB"/>
    <w:rsid w:val="002A2605"/>
    <w:rsid w:val="002A26F5"/>
    <w:rsid w:val="002A2892"/>
    <w:rsid w:val="002A3D0B"/>
    <w:rsid w:val="002A409A"/>
    <w:rsid w:val="002A545B"/>
    <w:rsid w:val="002A5BD0"/>
    <w:rsid w:val="002A6244"/>
    <w:rsid w:val="002A674A"/>
    <w:rsid w:val="002A722D"/>
    <w:rsid w:val="002A729C"/>
    <w:rsid w:val="002A7857"/>
    <w:rsid w:val="002A7ABD"/>
    <w:rsid w:val="002B0CDC"/>
    <w:rsid w:val="002B0E90"/>
    <w:rsid w:val="002B1C80"/>
    <w:rsid w:val="002B3127"/>
    <w:rsid w:val="002B36E3"/>
    <w:rsid w:val="002B4429"/>
    <w:rsid w:val="002B46F6"/>
    <w:rsid w:val="002B59D4"/>
    <w:rsid w:val="002B6A82"/>
    <w:rsid w:val="002C024B"/>
    <w:rsid w:val="002C0458"/>
    <w:rsid w:val="002C0468"/>
    <w:rsid w:val="002C0EB0"/>
    <w:rsid w:val="002C14BE"/>
    <w:rsid w:val="002C1DB0"/>
    <w:rsid w:val="002C30D1"/>
    <w:rsid w:val="002C352A"/>
    <w:rsid w:val="002C55E4"/>
    <w:rsid w:val="002C5954"/>
    <w:rsid w:val="002C647E"/>
    <w:rsid w:val="002C6BB4"/>
    <w:rsid w:val="002D004C"/>
    <w:rsid w:val="002D0792"/>
    <w:rsid w:val="002D0ACB"/>
    <w:rsid w:val="002D0DDC"/>
    <w:rsid w:val="002D121A"/>
    <w:rsid w:val="002D14DA"/>
    <w:rsid w:val="002D17FA"/>
    <w:rsid w:val="002D2BD9"/>
    <w:rsid w:val="002D33A8"/>
    <w:rsid w:val="002D3964"/>
    <w:rsid w:val="002D3AB6"/>
    <w:rsid w:val="002D3C86"/>
    <w:rsid w:val="002D3E38"/>
    <w:rsid w:val="002D4377"/>
    <w:rsid w:val="002D463E"/>
    <w:rsid w:val="002D5A61"/>
    <w:rsid w:val="002D5B26"/>
    <w:rsid w:val="002D78C1"/>
    <w:rsid w:val="002E06C1"/>
    <w:rsid w:val="002E0B64"/>
    <w:rsid w:val="002E1040"/>
    <w:rsid w:val="002E206E"/>
    <w:rsid w:val="002E2349"/>
    <w:rsid w:val="002E26FE"/>
    <w:rsid w:val="002E2B32"/>
    <w:rsid w:val="002E2F5C"/>
    <w:rsid w:val="002E3330"/>
    <w:rsid w:val="002E3617"/>
    <w:rsid w:val="002E381E"/>
    <w:rsid w:val="002E4AA3"/>
    <w:rsid w:val="002E4E50"/>
    <w:rsid w:val="002E5FB6"/>
    <w:rsid w:val="002E6492"/>
    <w:rsid w:val="002E650B"/>
    <w:rsid w:val="002E65D2"/>
    <w:rsid w:val="002E6DF8"/>
    <w:rsid w:val="002E7014"/>
    <w:rsid w:val="002E727A"/>
    <w:rsid w:val="002F01DA"/>
    <w:rsid w:val="002F036C"/>
    <w:rsid w:val="002F19D6"/>
    <w:rsid w:val="002F232D"/>
    <w:rsid w:val="002F2F54"/>
    <w:rsid w:val="002F3534"/>
    <w:rsid w:val="002F3845"/>
    <w:rsid w:val="002F3E4B"/>
    <w:rsid w:val="002F4042"/>
    <w:rsid w:val="002F412E"/>
    <w:rsid w:val="002F4240"/>
    <w:rsid w:val="002F4E58"/>
    <w:rsid w:val="002F529B"/>
    <w:rsid w:val="002F65DE"/>
    <w:rsid w:val="00300025"/>
    <w:rsid w:val="00300053"/>
    <w:rsid w:val="00300C48"/>
    <w:rsid w:val="00301434"/>
    <w:rsid w:val="003018A7"/>
    <w:rsid w:val="003021A7"/>
    <w:rsid w:val="003022BD"/>
    <w:rsid w:val="00302AC6"/>
    <w:rsid w:val="0030383F"/>
    <w:rsid w:val="00303B91"/>
    <w:rsid w:val="003044F3"/>
    <w:rsid w:val="00304598"/>
    <w:rsid w:val="00304F54"/>
    <w:rsid w:val="00305F99"/>
    <w:rsid w:val="003062C5"/>
    <w:rsid w:val="003065CD"/>
    <w:rsid w:val="00306AA1"/>
    <w:rsid w:val="00306E60"/>
    <w:rsid w:val="003070B8"/>
    <w:rsid w:val="00307202"/>
    <w:rsid w:val="003075F4"/>
    <w:rsid w:val="003110F5"/>
    <w:rsid w:val="003110FC"/>
    <w:rsid w:val="003111C2"/>
    <w:rsid w:val="003111C7"/>
    <w:rsid w:val="0031123B"/>
    <w:rsid w:val="00311404"/>
    <w:rsid w:val="0031257C"/>
    <w:rsid w:val="00312687"/>
    <w:rsid w:val="00313178"/>
    <w:rsid w:val="00313FD2"/>
    <w:rsid w:val="003142F3"/>
    <w:rsid w:val="00314365"/>
    <w:rsid w:val="00314727"/>
    <w:rsid w:val="00314B5E"/>
    <w:rsid w:val="00315DE4"/>
    <w:rsid w:val="00316F7A"/>
    <w:rsid w:val="003171FD"/>
    <w:rsid w:val="00320943"/>
    <w:rsid w:val="00320F30"/>
    <w:rsid w:val="003219D9"/>
    <w:rsid w:val="00321D8E"/>
    <w:rsid w:val="003233E0"/>
    <w:rsid w:val="003249E9"/>
    <w:rsid w:val="003250DD"/>
    <w:rsid w:val="00325AF4"/>
    <w:rsid w:val="00326137"/>
    <w:rsid w:val="00326158"/>
    <w:rsid w:val="003264B6"/>
    <w:rsid w:val="003269FF"/>
    <w:rsid w:val="00326F26"/>
    <w:rsid w:val="00327154"/>
    <w:rsid w:val="003275D9"/>
    <w:rsid w:val="00331408"/>
    <w:rsid w:val="00331723"/>
    <w:rsid w:val="00331924"/>
    <w:rsid w:val="00331AB8"/>
    <w:rsid w:val="00332702"/>
    <w:rsid w:val="003332F6"/>
    <w:rsid w:val="00333D87"/>
    <w:rsid w:val="00333F7F"/>
    <w:rsid w:val="00334084"/>
    <w:rsid w:val="00336F8E"/>
    <w:rsid w:val="003370E8"/>
    <w:rsid w:val="0033753A"/>
    <w:rsid w:val="0033793F"/>
    <w:rsid w:val="0034080E"/>
    <w:rsid w:val="003409A3"/>
    <w:rsid w:val="00341E84"/>
    <w:rsid w:val="00342186"/>
    <w:rsid w:val="00342B7A"/>
    <w:rsid w:val="003430AF"/>
    <w:rsid w:val="0034356D"/>
    <w:rsid w:val="003450FF"/>
    <w:rsid w:val="00345EB4"/>
    <w:rsid w:val="003465C6"/>
    <w:rsid w:val="00346613"/>
    <w:rsid w:val="00346F95"/>
    <w:rsid w:val="00347317"/>
    <w:rsid w:val="00347654"/>
    <w:rsid w:val="00347D42"/>
    <w:rsid w:val="0035095C"/>
    <w:rsid w:val="003511CC"/>
    <w:rsid w:val="0035141E"/>
    <w:rsid w:val="003530B0"/>
    <w:rsid w:val="00353B3A"/>
    <w:rsid w:val="003546BB"/>
    <w:rsid w:val="00354AE9"/>
    <w:rsid w:val="00354F75"/>
    <w:rsid w:val="00355268"/>
    <w:rsid w:val="00355938"/>
    <w:rsid w:val="00357193"/>
    <w:rsid w:val="00360756"/>
    <w:rsid w:val="00361424"/>
    <w:rsid w:val="00361FC3"/>
    <w:rsid w:val="003620A8"/>
    <w:rsid w:val="0036227D"/>
    <w:rsid w:val="0036284A"/>
    <w:rsid w:val="00362FCB"/>
    <w:rsid w:val="00364BC8"/>
    <w:rsid w:val="0036529B"/>
    <w:rsid w:val="00365374"/>
    <w:rsid w:val="00365905"/>
    <w:rsid w:val="00365AC2"/>
    <w:rsid w:val="00370B65"/>
    <w:rsid w:val="00371510"/>
    <w:rsid w:val="0037183A"/>
    <w:rsid w:val="00371A79"/>
    <w:rsid w:val="0037225B"/>
    <w:rsid w:val="00372498"/>
    <w:rsid w:val="003724C7"/>
    <w:rsid w:val="00372C78"/>
    <w:rsid w:val="00373B8B"/>
    <w:rsid w:val="00373CB0"/>
    <w:rsid w:val="00376511"/>
    <w:rsid w:val="00376C80"/>
    <w:rsid w:val="00376DE1"/>
    <w:rsid w:val="0037721C"/>
    <w:rsid w:val="00377359"/>
    <w:rsid w:val="00377667"/>
    <w:rsid w:val="00377C2D"/>
    <w:rsid w:val="00380518"/>
    <w:rsid w:val="00380569"/>
    <w:rsid w:val="0038068E"/>
    <w:rsid w:val="00380764"/>
    <w:rsid w:val="0038120D"/>
    <w:rsid w:val="00381310"/>
    <w:rsid w:val="00381EC1"/>
    <w:rsid w:val="00381F57"/>
    <w:rsid w:val="00382148"/>
    <w:rsid w:val="003822E8"/>
    <w:rsid w:val="003824B4"/>
    <w:rsid w:val="003825AC"/>
    <w:rsid w:val="0038286F"/>
    <w:rsid w:val="00382D36"/>
    <w:rsid w:val="00382E66"/>
    <w:rsid w:val="003832ED"/>
    <w:rsid w:val="0038458A"/>
    <w:rsid w:val="00385271"/>
    <w:rsid w:val="003856F6"/>
    <w:rsid w:val="0038577F"/>
    <w:rsid w:val="00385955"/>
    <w:rsid w:val="00385BB8"/>
    <w:rsid w:val="0038644B"/>
    <w:rsid w:val="003866A6"/>
    <w:rsid w:val="00386D6D"/>
    <w:rsid w:val="0038702F"/>
    <w:rsid w:val="003874F8"/>
    <w:rsid w:val="0038756F"/>
    <w:rsid w:val="00390909"/>
    <w:rsid w:val="00390DAA"/>
    <w:rsid w:val="00392023"/>
    <w:rsid w:val="0039216E"/>
    <w:rsid w:val="0039249D"/>
    <w:rsid w:val="00392D94"/>
    <w:rsid w:val="0039367D"/>
    <w:rsid w:val="003937A0"/>
    <w:rsid w:val="00393D78"/>
    <w:rsid w:val="00394BE8"/>
    <w:rsid w:val="00394C42"/>
    <w:rsid w:val="0039526B"/>
    <w:rsid w:val="003956C7"/>
    <w:rsid w:val="00395D4B"/>
    <w:rsid w:val="00396242"/>
    <w:rsid w:val="003963A9"/>
    <w:rsid w:val="00396747"/>
    <w:rsid w:val="003967C4"/>
    <w:rsid w:val="00396FFA"/>
    <w:rsid w:val="003975E3"/>
    <w:rsid w:val="00397DA2"/>
    <w:rsid w:val="00397E0A"/>
    <w:rsid w:val="003A005E"/>
    <w:rsid w:val="003A025C"/>
    <w:rsid w:val="003A09E1"/>
    <w:rsid w:val="003A170D"/>
    <w:rsid w:val="003A1887"/>
    <w:rsid w:val="003A1B6C"/>
    <w:rsid w:val="003A1B86"/>
    <w:rsid w:val="003A1F79"/>
    <w:rsid w:val="003A221F"/>
    <w:rsid w:val="003A22A6"/>
    <w:rsid w:val="003A2755"/>
    <w:rsid w:val="003A294B"/>
    <w:rsid w:val="003A3187"/>
    <w:rsid w:val="003A33C6"/>
    <w:rsid w:val="003A37E5"/>
    <w:rsid w:val="003A3A9E"/>
    <w:rsid w:val="003A3B5E"/>
    <w:rsid w:val="003A3FC2"/>
    <w:rsid w:val="003A4B47"/>
    <w:rsid w:val="003A4C31"/>
    <w:rsid w:val="003A57F5"/>
    <w:rsid w:val="003A7003"/>
    <w:rsid w:val="003B000E"/>
    <w:rsid w:val="003B146B"/>
    <w:rsid w:val="003B24D8"/>
    <w:rsid w:val="003B2A7F"/>
    <w:rsid w:val="003B3361"/>
    <w:rsid w:val="003B3B6A"/>
    <w:rsid w:val="003B5002"/>
    <w:rsid w:val="003B5194"/>
    <w:rsid w:val="003B5399"/>
    <w:rsid w:val="003B6327"/>
    <w:rsid w:val="003C0041"/>
    <w:rsid w:val="003C094B"/>
    <w:rsid w:val="003C0E62"/>
    <w:rsid w:val="003C1C3D"/>
    <w:rsid w:val="003C296F"/>
    <w:rsid w:val="003C3560"/>
    <w:rsid w:val="003C3867"/>
    <w:rsid w:val="003C3EDA"/>
    <w:rsid w:val="003C563C"/>
    <w:rsid w:val="003C5D81"/>
    <w:rsid w:val="003C5DF6"/>
    <w:rsid w:val="003C621A"/>
    <w:rsid w:val="003C6887"/>
    <w:rsid w:val="003C6CB6"/>
    <w:rsid w:val="003C78C5"/>
    <w:rsid w:val="003C7EF3"/>
    <w:rsid w:val="003D0754"/>
    <w:rsid w:val="003D0807"/>
    <w:rsid w:val="003D12CD"/>
    <w:rsid w:val="003D1A28"/>
    <w:rsid w:val="003D1EE5"/>
    <w:rsid w:val="003D2589"/>
    <w:rsid w:val="003D28B3"/>
    <w:rsid w:val="003D3025"/>
    <w:rsid w:val="003D36CB"/>
    <w:rsid w:val="003D36EB"/>
    <w:rsid w:val="003D3B9D"/>
    <w:rsid w:val="003D3D5C"/>
    <w:rsid w:val="003D3DDA"/>
    <w:rsid w:val="003D45ED"/>
    <w:rsid w:val="003D4645"/>
    <w:rsid w:val="003D5EA1"/>
    <w:rsid w:val="003D6145"/>
    <w:rsid w:val="003D626E"/>
    <w:rsid w:val="003D6656"/>
    <w:rsid w:val="003D69E0"/>
    <w:rsid w:val="003D6E4A"/>
    <w:rsid w:val="003D73BF"/>
    <w:rsid w:val="003D7E2C"/>
    <w:rsid w:val="003E1066"/>
    <w:rsid w:val="003E15ED"/>
    <w:rsid w:val="003E22AD"/>
    <w:rsid w:val="003E34D3"/>
    <w:rsid w:val="003E353B"/>
    <w:rsid w:val="003E3A7C"/>
    <w:rsid w:val="003E452C"/>
    <w:rsid w:val="003E4BFA"/>
    <w:rsid w:val="003E5234"/>
    <w:rsid w:val="003E5EA3"/>
    <w:rsid w:val="003E676F"/>
    <w:rsid w:val="003E69B7"/>
    <w:rsid w:val="003E6FCB"/>
    <w:rsid w:val="003E725B"/>
    <w:rsid w:val="003E7531"/>
    <w:rsid w:val="003E7AE1"/>
    <w:rsid w:val="003F09AF"/>
    <w:rsid w:val="003F0B5E"/>
    <w:rsid w:val="003F1117"/>
    <w:rsid w:val="003F15B0"/>
    <w:rsid w:val="003F19C4"/>
    <w:rsid w:val="003F2058"/>
    <w:rsid w:val="003F2AE6"/>
    <w:rsid w:val="003F2D83"/>
    <w:rsid w:val="003F2ED5"/>
    <w:rsid w:val="003F3949"/>
    <w:rsid w:val="003F40E8"/>
    <w:rsid w:val="003F4606"/>
    <w:rsid w:val="003F51D3"/>
    <w:rsid w:val="003F526B"/>
    <w:rsid w:val="003F5514"/>
    <w:rsid w:val="003F596C"/>
    <w:rsid w:val="003F5AF0"/>
    <w:rsid w:val="003F6901"/>
    <w:rsid w:val="003F69F1"/>
    <w:rsid w:val="003F6ACE"/>
    <w:rsid w:val="003F6C5F"/>
    <w:rsid w:val="003F6FCD"/>
    <w:rsid w:val="003F6FE8"/>
    <w:rsid w:val="003F7CCF"/>
    <w:rsid w:val="004003E4"/>
    <w:rsid w:val="004012F2"/>
    <w:rsid w:val="0040150C"/>
    <w:rsid w:val="0040294D"/>
    <w:rsid w:val="00402B63"/>
    <w:rsid w:val="00402D54"/>
    <w:rsid w:val="00402F65"/>
    <w:rsid w:val="0040384C"/>
    <w:rsid w:val="00404A02"/>
    <w:rsid w:val="00404EF3"/>
    <w:rsid w:val="00406382"/>
    <w:rsid w:val="004063D5"/>
    <w:rsid w:val="004065C6"/>
    <w:rsid w:val="0040761D"/>
    <w:rsid w:val="00407F49"/>
    <w:rsid w:val="004101D9"/>
    <w:rsid w:val="00410ADF"/>
    <w:rsid w:val="00410BBE"/>
    <w:rsid w:val="004119A3"/>
    <w:rsid w:val="00411DBA"/>
    <w:rsid w:val="0041230D"/>
    <w:rsid w:val="00412621"/>
    <w:rsid w:val="0041269F"/>
    <w:rsid w:val="00412FFA"/>
    <w:rsid w:val="00413987"/>
    <w:rsid w:val="004141EF"/>
    <w:rsid w:val="00415495"/>
    <w:rsid w:val="00415709"/>
    <w:rsid w:val="00415C74"/>
    <w:rsid w:val="0041600A"/>
    <w:rsid w:val="0041647A"/>
    <w:rsid w:val="00416855"/>
    <w:rsid w:val="00416E1D"/>
    <w:rsid w:val="00417050"/>
    <w:rsid w:val="004172D8"/>
    <w:rsid w:val="00417940"/>
    <w:rsid w:val="0042114A"/>
    <w:rsid w:val="004223DE"/>
    <w:rsid w:val="004245AA"/>
    <w:rsid w:val="004246DE"/>
    <w:rsid w:val="004248A4"/>
    <w:rsid w:val="0042587E"/>
    <w:rsid w:val="00426D48"/>
    <w:rsid w:val="00426FE0"/>
    <w:rsid w:val="004305C3"/>
    <w:rsid w:val="004305E7"/>
    <w:rsid w:val="00430E11"/>
    <w:rsid w:val="00430F65"/>
    <w:rsid w:val="00431254"/>
    <w:rsid w:val="00431E10"/>
    <w:rsid w:val="00432188"/>
    <w:rsid w:val="004322E6"/>
    <w:rsid w:val="00432A9B"/>
    <w:rsid w:val="00432FC5"/>
    <w:rsid w:val="004343A0"/>
    <w:rsid w:val="004343E6"/>
    <w:rsid w:val="00434CAC"/>
    <w:rsid w:val="00435404"/>
    <w:rsid w:val="00435C81"/>
    <w:rsid w:val="00436027"/>
    <w:rsid w:val="004361A3"/>
    <w:rsid w:val="0043739C"/>
    <w:rsid w:val="00437531"/>
    <w:rsid w:val="00440A4E"/>
    <w:rsid w:val="00442610"/>
    <w:rsid w:val="00442D20"/>
    <w:rsid w:val="004433C8"/>
    <w:rsid w:val="0044429F"/>
    <w:rsid w:val="004443A2"/>
    <w:rsid w:val="004448DD"/>
    <w:rsid w:val="004457D3"/>
    <w:rsid w:val="0044582E"/>
    <w:rsid w:val="00445B55"/>
    <w:rsid w:val="004461A7"/>
    <w:rsid w:val="0044658B"/>
    <w:rsid w:val="00446E7B"/>
    <w:rsid w:val="00446FB2"/>
    <w:rsid w:val="00447192"/>
    <w:rsid w:val="0044761B"/>
    <w:rsid w:val="004479E5"/>
    <w:rsid w:val="00447B79"/>
    <w:rsid w:val="004511CC"/>
    <w:rsid w:val="004519CE"/>
    <w:rsid w:val="00451A71"/>
    <w:rsid w:val="0045252C"/>
    <w:rsid w:val="00452EAE"/>
    <w:rsid w:val="00453132"/>
    <w:rsid w:val="004531BE"/>
    <w:rsid w:val="004535DC"/>
    <w:rsid w:val="004536D8"/>
    <w:rsid w:val="00453CC4"/>
    <w:rsid w:val="00454750"/>
    <w:rsid w:val="004547DB"/>
    <w:rsid w:val="00454E74"/>
    <w:rsid w:val="00456530"/>
    <w:rsid w:val="004568A7"/>
    <w:rsid w:val="004571E1"/>
    <w:rsid w:val="004575BC"/>
    <w:rsid w:val="0045776D"/>
    <w:rsid w:val="0045787C"/>
    <w:rsid w:val="00457C96"/>
    <w:rsid w:val="00457D62"/>
    <w:rsid w:val="0046062C"/>
    <w:rsid w:val="004608EA"/>
    <w:rsid w:val="00460901"/>
    <w:rsid w:val="00460F9B"/>
    <w:rsid w:val="00461038"/>
    <w:rsid w:val="00461058"/>
    <w:rsid w:val="004612B2"/>
    <w:rsid w:val="004612DC"/>
    <w:rsid w:val="0046199B"/>
    <w:rsid w:val="00463A33"/>
    <w:rsid w:val="00464CDC"/>
    <w:rsid w:val="00465457"/>
    <w:rsid w:val="00465620"/>
    <w:rsid w:val="00465710"/>
    <w:rsid w:val="00465945"/>
    <w:rsid w:val="00466500"/>
    <w:rsid w:val="00467AF0"/>
    <w:rsid w:val="00467EEB"/>
    <w:rsid w:val="00467F69"/>
    <w:rsid w:val="004701A0"/>
    <w:rsid w:val="00470C37"/>
    <w:rsid w:val="00470DD8"/>
    <w:rsid w:val="00470E74"/>
    <w:rsid w:val="00471128"/>
    <w:rsid w:val="00471E54"/>
    <w:rsid w:val="00472531"/>
    <w:rsid w:val="00472774"/>
    <w:rsid w:val="004747E5"/>
    <w:rsid w:val="004752A1"/>
    <w:rsid w:val="0047541C"/>
    <w:rsid w:val="004754D8"/>
    <w:rsid w:val="00475555"/>
    <w:rsid w:val="00475645"/>
    <w:rsid w:val="004765D8"/>
    <w:rsid w:val="004776F8"/>
    <w:rsid w:val="004777F2"/>
    <w:rsid w:val="0047786A"/>
    <w:rsid w:val="00477DC7"/>
    <w:rsid w:val="0048020E"/>
    <w:rsid w:val="00480694"/>
    <w:rsid w:val="004807CE"/>
    <w:rsid w:val="0048187A"/>
    <w:rsid w:val="00481BC6"/>
    <w:rsid w:val="00482044"/>
    <w:rsid w:val="00482459"/>
    <w:rsid w:val="00482E08"/>
    <w:rsid w:val="0048320D"/>
    <w:rsid w:val="00483448"/>
    <w:rsid w:val="004834B3"/>
    <w:rsid w:val="00483633"/>
    <w:rsid w:val="0048393F"/>
    <w:rsid w:val="004846CF"/>
    <w:rsid w:val="004849EB"/>
    <w:rsid w:val="00484D21"/>
    <w:rsid w:val="00484F80"/>
    <w:rsid w:val="0048516D"/>
    <w:rsid w:val="004858AE"/>
    <w:rsid w:val="00485C6D"/>
    <w:rsid w:val="00485D17"/>
    <w:rsid w:val="0048685F"/>
    <w:rsid w:val="00486B9B"/>
    <w:rsid w:val="00487BFC"/>
    <w:rsid w:val="00487E1E"/>
    <w:rsid w:val="004901DE"/>
    <w:rsid w:val="004904D7"/>
    <w:rsid w:val="004907CC"/>
    <w:rsid w:val="00490F1A"/>
    <w:rsid w:val="00491269"/>
    <w:rsid w:val="00491CDC"/>
    <w:rsid w:val="0049233D"/>
    <w:rsid w:val="004923B5"/>
    <w:rsid w:val="00492A63"/>
    <w:rsid w:val="00494247"/>
    <w:rsid w:val="0049476B"/>
    <w:rsid w:val="00494D2F"/>
    <w:rsid w:val="00495A40"/>
    <w:rsid w:val="0049640D"/>
    <w:rsid w:val="00497EBE"/>
    <w:rsid w:val="00497F58"/>
    <w:rsid w:val="004A089F"/>
    <w:rsid w:val="004A1201"/>
    <w:rsid w:val="004A1804"/>
    <w:rsid w:val="004A181C"/>
    <w:rsid w:val="004A1D6D"/>
    <w:rsid w:val="004A1F53"/>
    <w:rsid w:val="004A2729"/>
    <w:rsid w:val="004A300E"/>
    <w:rsid w:val="004A30C5"/>
    <w:rsid w:val="004A435B"/>
    <w:rsid w:val="004A4534"/>
    <w:rsid w:val="004A599B"/>
    <w:rsid w:val="004A5C11"/>
    <w:rsid w:val="004A6C52"/>
    <w:rsid w:val="004A7670"/>
    <w:rsid w:val="004A79BB"/>
    <w:rsid w:val="004A7AA8"/>
    <w:rsid w:val="004B0BDF"/>
    <w:rsid w:val="004B1FFC"/>
    <w:rsid w:val="004B2460"/>
    <w:rsid w:val="004B24C7"/>
    <w:rsid w:val="004B292A"/>
    <w:rsid w:val="004B2CBA"/>
    <w:rsid w:val="004B35AD"/>
    <w:rsid w:val="004B4132"/>
    <w:rsid w:val="004B492A"/>
    <w:rsid w:val="004B62CA"/>
    <w:rsid w:val="004B6640"/>
    <w:rsid w:val="004B6646"/>
    <w:rsid w:val="004B6AC0"/>
    <w:rsid w:val="004C1279"/>
    <w:rsid w:val="004C2C5C"/>
    <w:rsid w:val="004C33C5"/>
    <w:rsid w:val="004C3A63"/>
    <w:rsid w:val="004C3EF7"/>
    <w:rsid w:val="004C3F60"/>
    <w:rsid w:val="004C4D05"/>
    <w:rsid w:val="004C4D29"/>
    <w:rsid w:val="004C625E"/>
    <w:rsid w:val="004C6E48"/>
    <w:rsid w:val="004C7195"/>
    <w:rsid w:val="004C7600"/>
    <w:rsid w:val="004C7922"/>
    <w:rsid w:val="004D000E"/>
    <w:rsid w:val="004D04B5"/>
    <w:rsid w:val="004D18DE"/>
    <w:rsid w:val="004D3DCB"/>
    <w:rsid w:val="004D5048"/>
    <w:rsid w:val="004D5259"/>
    <w:rsid w:val="004D5ABD"/>
    <w:rsid w:val="004D5F53"/>
    <w:rsid w:val="004D65CB"/>
    <w:rsid w:val="004D6ECA"/>
    <w:rsid w:val="004D712C"/>
    <w:rsid w:val="004D7134"/>
    <w:rsid w:val="004D7B32"/>
    <w:rsid w:val="004D7FAC"/>
    <w:rsid w:val="004E0216"/>
    <w:rsid w:val="004E09C4"/>
    <w:rsid w:val="004E1006"/>
    <w:rsid w:val="004E1CFA"/>
    <w:rsid w:val="004E20CD"/>
    <w:rsid w:val="004E22F8"/>
    <w:rsid w:val="004E342C"/>
    <w:rsid w:val="004E3598"/>
    <w:rsid w:val="004E4712"/>
    <w:rsid w:val="004E48CB"/>
    <w:rsid w:val="004E525B"/>
    <w:rsid w:val="004E5667"/>
    <w:rsid w:val="004E5B24"/>
    <w:rsid w:val="004E5EC3"/>
    <w:rsid w:val="004E6759"/>
    <w:rsid w:val="004E70C4"/>
    <w:rsid w:val="004E70C9"/>
    <w:rsid w:val="004E7923"/>
    <w:rsid w:val="004E7B0F"/>
    <w:rsid w:val="004E7F50"/>
    <w:rsid w:val="004F060F"/>
    <w:rsid w:val="004F0635"/>
    <w:rsid w:val="004F098F"/>
    <w:rsid w:val="004F23D2"/>
    <w:rsid w:val="004F24C0"/>
    <w:rsid w:val="004F272F"/>
    <w:rsid w:val="004F2D0B"/>
    <w:rsid w:val="004F3E00"/>
    <w:rsid w:val="004F4B6D"/>
    <w:rsid w:val="004F5529"/>
    <w:rsid w:val="004F6852"/>
    <w:rsid w:val="004F776D"/>
    <w:rsid w:val="00501E91"/>
    <w:rsid w:val="00502C89"/>
    <w:rsid w:val="00502F01"/>
    <w:rsid w:val="0050334E"/>
    <w:rsid w:val="00504B70"/>
    <w:rsid w:val="00505B39"/>
    <w:rsid w:val="00506812"/>
    <w:rsid w:val="00506D60"/>
    <w:rsid w:val="00507375"/>
    <w:rsid w:val="00507669"/>
    <w:rsid w:val="00507796"/>
    <w:rsid w:val="005078CE"/>
    <w:rsid w:val="00510947"/>
    <w:rsid w:val="00510C6B"/>
    <w:rsid w:val="005110C4"/>
    <w:rsid w:val="0051146E"/>
    <w:rsid w:val="00512827"/>
    <w:rsid w:val="00513289"/>
    <w:rsid w:val="005137B5"/>
    <w:rsid w:val="005141DD"/>
    <w:rsid w:val="0051496C"/>
    <w:rsid w:val="00514EAB"/>
    <w:rsid w:val="005156B3"/>
    <w:rsid w:val="00515BED"/>
    <w:rsid w:val="00516142"/>
    <w:rsid w:val="005161D7"/>
    <w:rsid w:val="00516247"/>
    <w:rsid w:val="0051698F"/>
    <w:rsid w:val="00516C57"/>
    <w:rsid w:val="005173AD"/>
    <w:rsid w:val="00517598"/>
    <w:rsid w:val="0051770B"/>
    <w:rsid w:val="005208AC"/>
    <w:rsid w:val="00520CFF"/>
    <w:rsid w:val="005224B3"/>
    <w:rsid w:val="00522521"/>
    <w:rsid w:val="00522531"/>
    <w:rsid w:val="00522D71"/>
    <w:rsid w:val="00523C16"/>
    <w:rsid w:val="005246A7"/>
    <w:rsid w:val="00524B0D"/>
    <w:rsid w:val="00524B12"/>
    <w:rsid w:val="00525FD8"/>
    <w:rsid w:val="005269EA"/>
    <w:rsid w:val="00526EAA"/>
    <w:rsid w:val="0052771C"/>
    <w:rsid w:val="00527BDC"/>
    <w:rsid w:val="005300F0"/>
    <w:rsid w:val="005301B7"/>
    <w:rsid w:val="00530BDD"/>
    <w:rsid w:val="00531A01"/>
    <w:rsid w:val="00531D52"/>
    <w:rsid w:val="00532202"/>
    <w:rsid w:val="00532AEA"/>
    <w:rsid w:val="005335BF"/>
    <w:rsid w:val="00533DD8"/>
    <w:rsid w:val="005349C1"/>
    <w:rsid w:val="005417C8"/>
    <w:rsid w:val="005418F5"/>
    <w:rsid w:val="00541970"/>
    <w:rsid w:val="00541A34"/>
    <w:rsid w:val="00541C65"/>
    <w:rsid w:val="00542614"/>
    <w:rsid w:val="00542B54"/>
    <w:rsid w:val="00544AD8"/>
    <w:rsid w:val="00544CA6"/>
    <w:rsid w:val="00545C4F"/>
    <w:rsid w:val="00546971"/>
    <w:rsid w:val="00546CE1"/>
    <w:rsid w:val="005474B0"/>
    <w:rsid w:val="005479E9"/>
    <w:rsid w:val="00547FC1"/>
    <w:rsid w:val="00550551"/>
    <w:rsid w:val="00550827"/>
    <w:rsid w:val="00550BD4"/>
    <w:rsid w:val="00553746"/>
    <w:rsid w:val="00553787"/>
    <w:rsid w:val="00553953"/>
    <w:rsid w:val="00553BF7"/>
    <w:rsid w:val="005542C8"/>
    <w:rsid w:val="00554EF8"/>
    <w:rsid w:val="00555369"/>
    <w:rsid w:val="005557CC"/>
    <w:rsid w:val="00555BBF"/>
    <w:rsid w:val="005565CF"/>
    <w:rsid w:val="00556749"/>
    <w:rsid w:val="00556878"/>
    <w:rsid w:val="005572AF"/>
    <w:rsid w:val="0055733A"/>
    <w:rsid w:val="00557566"/>
    <w:rsid w:val="00557BFB"/>
    <w:rsid w:val="005601DD"/>
    <w:rsid w:val="00561069"/>
    <w:rsid w:val="0056149E"/>
    <w:rsid w:val="00561EE6"/>
    <w:rsid w:val="005623F2"/>
    <w:rsid w:val="00562447"/>
    <w:rsid w:val="00562669"/>
    <w:rsid w:val="00562B00"/>
    <w:rsid w:val="0056323E"/>
    <w:rsid w:val="00563341"/>
    <w:rsid w:val="005636DF"/>
    <w:rsid w:val="00564677"/>
    <w:rsid w:val="005649A8"/>
    <w:rsid w:val="0056585F"/>
    <w:rsid w:val="0056623F"/>
    <w:rsid w:val="0056745C"/>
    <w:rsid w:val="00567993"/>
    <w:rsid w:val="00567CB9"/>
    <w:rsid w:val="00570B15"/>
    <w:rsid w:val="00571852"/>
    <w:rsid w:val="00571B33"/>
    <w:rsid w:val="005721BA"/>
    <w:rsid w:val="00572636"/>
    <w:rsid w:val="00572B98"/>
    <w:rsid w:val="00572D2E"/>
    <w:rsid w:val="00572EC4"/>
    <w:rsid w:val="005746B2"/>
    <w:rsid w:val="00574C9A"/>
    <w:rsid w:val="0057513E"/>
    <w:rsid w:val="0057578F"/>
    <w:rsid w:val="00575AE3"/>
    <w:rsid w:val="00575E0D"/>
    <w:rsid w:val="005763F7"/>
    <w:rsid w:val="00576752"/>
    <w:rsid w:val="00576C25"/>
    <w:rsid w:val="0057755C"/>
    <w:rsid w:val="0057758D"/>
    <w:rsid w:val="00577924"/>
    <w:rsid w:val="00577939"/>
    <w:rsid w:val="00577C58"/>
    <w:rsid w:val="0058051C"/>
    <w:rsid w:val="005808F7"/>
    <w:rsid w:val="00580BC4"/>
    <w:rsid w:val="0058207D"/>
    <w:rsid w:val="005823AE"/>
    <w:rsid w:val="005829A9"/>
    <w:rsid w:val="00582C0A"/>
    <w:rsid w:val="00582E5C"/>
    <w:rsid w:val="00583FDC"/>
    <w:rsid w:val="005841A8"/>
    <w:rsid w:val="005842FA"/>
    <w:rsid w:val="00584A86"/>
    <w:rsid w:val="005855A2"/>
    <w:rsid w:val="00585AEE"/>
    <w:rsid w:val="00585B4D"/>
    <w:rsid w:val="0058709B"/>
    <w:rsid w:val="00587391"/>
    <w:rsid w:val="0059012C"/>
    <w:rsid w:val="00590782"/>
    <w:rsid w:val="00592900"/>
    <w:rsid w:val="00593410"/>
    <w:rsid w:val="00593529"/>
    <w:rsid w:val="00593A80"/>
    <w:rsid w:val="00594470"/>
    <w:rsid w:val="005945D0"/>
    <w:rsid w:val="00594B66"/>
    <w:rsid w:val="00594DAC"/>
    <w:rsid w:val="0059505C"/>
    <w:rsid w:val="0059507B"/>
    <w:rsid w:val="00595431"/>
    <w:rsid w:val="00595D1B"/>
    <w:rsid w:val="00595DBB"/>
    <w:rsid w:val="00595E56"/>
    <w:rsid w:val="00596324"/>
    <w:rsid w:val="0059668A"/>
    <w:rsid w:val="0059686F"/>
    <w:rsid w:val="00596B5D"/>
    <w:rsid w:val="00597138"/>
    <w:rsid w:val="005A011B"/>
    <w:rsid w:val="005A09C5"/>
    <w:rsid w:val="005A30A2"/>
    <w:rsid w:val="005A312D"/>
    <w:rsid w:val="005A324D"/>
    <w:rsid w:val="005A40D9"/>
    <w:rsid w:val="005A421A"/>
    <w:rsid w:val="005A46DE"/>
    <w:rsid w:val="005A547D"/>
    <w:rsid w:val="005A6538"/>
    <w:rsid w:val="005A7255"/>
    <w:rsid w:val="005A7C45"/>
    <w:rsid w:val="005B03ED"/>
    <w:rsid w:val="005B0499"/>
    <w:rsid w:val="005B105E"/>
    <w:rsid w:val="005B1711"/>
    <w:rsid w:val="005B1E78"/>
    <w:rsid w:val="005B25FC"/>
    <w:rsid w:val="005B388A"/>
    <w:rsid w:val="005B38FE"/>
    <w:rsid w:val="005B3D5F"/>
    <w:rsid w:val="005B5329"/>
    <w:rsid w:val="005B6E1C"/>
    <w:rsid w:val="005B7D39"/>
    <w:rsid w:val="005B7E68"/>
    <w:rsid w:val="005C014F"/>
    <w:rsid w:val="005C055E"/>
    <w:rsid w:val="005C11E2"/>
    <w:rsid w:val="005C1D3B"/>
    <w:rsid w:val="005C1D90"/>
    <w:rsid w:val="005C1E2C"/>
    <w:rsid w:val="005C1F38"/>
    <w:rsid w:val="005C22CD"/>
    <w:rsid w:val="005C2BA7"/>
    <w:rsid w:val="005C34EC"/>
    <w:rsid w:val="005C36ED"/>
    <w:rsid w:val="005C37C1"/>
    <w:rsid w:val="005C410A"/>
    <w:rsid w:val="005C57CA"/>
    <w:rsid w:val="005C57FD"/>
    <w:rsid w:val="005C5C8D"/>
    <w:rsid w:val="005C70DD"/>
    <w:rsid w:val="005C792C"/>
    <w:rsid w:val="005D0A02"/>
    <w:rsid w:val="005D0B66"/>
    <w:rsid w:val="005D0CC0"/>
    <w:rsid w:val="005D145B"/>
    <w:rsid w:val="005D16BD"/>
    <w:rsid w:val="005D24C4"/>
    <w:rsid w:val="005D24F3"/>
    <w:rsid w:val="005D28C6"/>
    <w:rsid w:val="005D2A1A"/>
    <w:rsid w:val="005D2C98"/>
    <w:rsid w:val="005D3A12"/>
    <w:rsid w:val="005D4B6E"/>
    <w:rsid w:val="005D52FC"/>
    <w:rsid w:val="005D5E19"/>
    <w:rsid w:val="005D5E5A"/>
    <w:rsid w:val="005D622B"/>
    <w:rsid w:val="005D66A1"/>
    <w:rsid w:val="005D686D"/>
    <w:rsid w:val="005D7A1F"/>
    <w:rsid w:val="005D7CA1"/>
    <w:rsid w:val="005E0191"/>
    <w:rsid w:val="005E09A9"/>
    <w:rsid w:val="005E0F26"/>
    <w:rsid w:val="005E12CC"/>
    <w:rsid w:val="005E1F49"/>
    <w:rsid w:val="005E25E6"/>
    <w:rsid w:val="005E2943"/>
    <w:rsid w:val="005E423E"/>
    <w:rsid w:val="005E4462"/>
    <w:rsid w:val="005E4582"/>
    <w:rsid w:val="005E4F57"/>
    <w:rsid w:val="005E516D"/>
    <w:rsid w:val="005E59C2"/>
    <w:rsid w:val="005E59EE"/>
    <w:rsid w:val="005E6032"/>
    <w:rsid w:val="005E6107"/>
    <w:rsid w:val="005E61DA"/>
    <w:rsid w:val="005E64BD"/>
    <w:rsid w:val="005E65B9"/>
    <w:rsid w:val="005E6CF8"/>
    <w:rsid w:val="005F0597"/>
    <w:rsid w:val="005F0866"/>
    <w:rsid w:val="005F10C0"/>
    <w:rsid w:val="005F1116"/>
    <w:rsid w:val="005F193B"/>
    <w:rsid w:val="005F19F7"/>
    <w:rsid w:val="005F23C8"/>
    <w:rsid w:val="005F28D6"/>
    <w:rsid w:val="005F3108"/>
    <w:rsid w:val="005F4633"/>
    <w:rsid w:val="005F489E"/>
    <w:rsid w:val="005F637E"/>
    <w:rsid w:val="005F6B54"/>
    <w:rsid w:val="005F6CF0"/>
    <w:rsid w:val="005F7C3F"/>
    <w:rsid w:val="00600565"/>
    <w:rsid w:val="00600B6D"/>
    <w:rsid w:val="00600E84"/>
    <w:rsid w:val="006011DA"/>
    <w:rsid w:val="00601703"/>
    <w:rsid w:val="006018E8"/>
    <w:rsid w:val="00601F07"/>
    <w:rsid w:val="006020F1"/>
    <w:rsid w:val="006024D8"/>
    <w:rsid w:val="00602865"/>
    <w:rsid w:val="006031DF"/>
    <w:rsid w:val="00603A88"/>
    <w:rsid w:val="00604409"/>
    <w:rsid w:val="00604569"/>
    <w:rsid w:val="00604637"/>
    <w:rsid w:val="00604CD5"/>
    <w:rsid w:val="00605C30"/>
    <w:rsid w:val="00606104"/>
    <w:rsid w:val="00606A11"/>
    <w:rsid w:val="00607062"/>
    <w:rsid w:val="0060778A"/>
    <w:rsid w:val="006105D8"/>
    <w:rsid w:val="00610D02"/>
    <w:rsid w:val="00610F8F"/>
    <w:rsid w:val="0061163C"/>
    <w:rsid w:val="00611911"/>
    <w:rsid w:val="00612465"/>
    <w:rsid w:val="00614AB9"/>
    <w:rsid w:val="00616A90"/>
    <w:rsid w:val="00617C00"/>
    <w:rsid w:val="00620379"/>
    <w:rsid w:val="006205E7"/>
    <w:rsid w:val="00620673"/>
    <w:rsid w:val="006209F4"/>
    <w:rsid w:val="00620D55"/>
    <w:rsid w:val="00621026"/>
    <w:rsid w:val="00621E5E"/>
    <w:rsid w:val="00621EA3"/>
    <w:rsid w:val="0062325C"/>
    <w:rsid w:val="00623463"/>
    <w:rsid w:val="006251FD"/>
    <w:rsid w:val="00625A22"/>
    <w:rsid w:val="00625B33"/>
    <w:rsid w:val="00625EEA"/>
    <w:rsid w:val="0062605D"/>
    <w:rsid w:val="00626268"/>
    <w:rsid w:val="00626603"/>
    <w:rsid w:val="00626D93"/>
    <w:rsid w:val="0062750E"/>
    <w:rsid w:val="00630676"/>
    <w:rsid w:val="00630CF0"/>
    <w:rsid w:val="00631342"/>
    <w:rsid w:val="0063136D"/>
    <w:rsid w:val="006317F8"/>
    <w:rsid w:val="006318E9"/>
    <w:rsid w:val="0063201F"/>
    <w:rsid w:val="006321F1"/>
    <w:rsid w:val="006327A9"/>
    <w:rsid w:val="00632B1B"/>
    <w:rsid w:val="006332D2"/>
    <w:rsid w:val="006336F4"/>
    <w:rsid w:val="00633A3E"/>
    <w:rsid w:val="00633FF7"/>
    <w:rsid w:val="00634189"/>
    <w:rsid w:val="006349FF"/>
    <w:rsid w:val="00635375"/>
    <w:rsid w:val="00635915"/>
    <w:rsid w:val="00635E92"/>
    <w:rsid w:val="00636034"/>
    <w:rsid w:val="00636044"/>
    <w:rsid w:val="006361D3"/>
    <w:rsid w:val="0063648A"/>
    <w:rsid w:val="0063702D"/>
    <w:rsid w:val="006374DC"/>
    <w:rsid w:val="00640275"/>
    <w:rsid w:val="0064072A"/>
    <w:rsid w:val="00641161"/>
    <w:rsid w:val="00641304"/>
    <w:rsid w:val="00641CC0"/>
    <w:rsid w:val="00641DCE"/>
    <w:rsid w:val="006423F4"/>
    <w:rsid w:val="00642522"/>
    <w:rsid w:val="006425B5"/>
    <w:rsid w:val="006432AF"/>
    <w:rsid w:val="0064352B"/>
    <w:rsid w:val="006439E7"/>
    <w:rsid w:val="00643DEC"/>
    <w:rsid w:val="006441F0"/>
    <w:rsid w:val="00644328"/>
    <w:rsid w:val="006443A4"/>
    <w:rsid w:val="00645EA7"/>
    <w:rsid w:val="00645F43"/>
    <w:rsid w:val="0064625D"/>
    <w:rsid w:val="006463C7"/>
    <w:rsid w:val="00646500"/>
    <w:rsid w:val="00647EDF"/>
    <w:rsid w:val="0065026E"/>
    <w:rsid w:val="0065129C"/>
    <w:rsid w:val="0065196F"/>
    <w:rsid w:val="00651AE5"/>
    <w:rsid w:val="00651CFE"/>
    <w:rsid w:val="00651F7B"/>
    <w:rsid w:val="00652072"/>
    <w:rsid w:val="0065246E"/>
    <w:rsid w:val="006524BB"/>
    <w:rsid w:val="00652531"/>
    <w:rsid w:val="00652569"/>
    <w:rsid w:val="00653333"/>
    <w:rsid w:val="0065344F"/>
    <w:rsid w:val="00653C6F"/>
    <w:rsid w:val="0065410D"/>
    <w:rsid w:val="00654315"/>
    <w:rsid w:val="006552D1"/>
    <w:rsid w:val="00655D24"/>
    <w:rsid w:val="0065653B"/>
    <w:rsid w:val="00656C0F"/>
    <w:rsid w:val="00657312"/>
    <w:rsid w:val="006577C7"/>
    <w:rsid w:val="00657A82"/>
    <w:rsid w:val="00657D6F"/>
    <w:rsid w:val="00661376"/>
    <w:rsid w:val="00661A15"/>
    <w:rsid w:val="0066208C"/>
    <w:rsid w:val="00662A22"/>
    <w:rsid w:val="00662C29"/>
    <w:rsid w:val="00662F3E"/>
    <w:rsid w:val="0066314C"/>
    <w:rsid w:val="00663A23"/>
    <w:rsid w:val="00663C35"/>
    <w:rsid w:val="0066581A"/>
    <w:rsid w:val="00665A1A"/>
    <w:rsid w:val="00666A97"/>
    <w:rsid w:val="00667832"/>
    <w:rsid w:val="00671763"/>
    <w:rsid w:val="0067183B"/>
    <w:rsid w:val="006727F2"/>
    <w:rsid w:val="00672AFA"/>
    <w:rsid w:val="00673375"/>
    <w:rsid w:val="006736A5"/>
    <w:rsid w:val="00673724"/>
    <w:rsid w:val="00673A4B"/>
    <w:rsid w:val="00673E6C"/>
    <w:rsid w:val="0067418D"/>
    <w:rsid w:val="0067596F"/>
    <w:rsid w:val="00676E92"/>
    <w:rsid w:val="00677DE3"/>
    <w:rsid w:val="00677FFE"/>
    <w:rsid w:val="0068044C"/>
    <w:rsid w:val="00680CF7"/>
    <w:rsid w:val="00682E0F"/>
    <w:rsid w:val="006846A9"/>
    <w:rsid w:val="00684D97"/>
    <w:rsid w:val="00685091"/>
    <w:rsid w:val="00685552"/>
    <w:rsid w:val="00685A49"/>
    <w:rsid w:val="00686A83"/>
    <w:rsid w:val="00687213"/>
    <w:rsid w:val="00687AC3"/>
    <w:rsid w:val="00687BC6"/>
    <w:rsid w:val="00687E3C"/>
    <w:rsid w:val="0069012F"/>
    <w:rsid w:val="00690901"/>
    <w:rsid w:val="00691545"/>
    <w:rsid w:val="006918A8"/>
    <w:rsid w:val="00691F39"/>
    <w:rsid w:val="00692168"/>
    <w:rsid w:val="00692278"/>
    <w:rsid w:val="00692503"/>
    <w:rsid w:val="0069274E"/>
    <w:rsid w:val="00692A3B"/>
    <w:rsid w:val="00692B07"/>
    <w:rsid w:val="00694374"/>
    <w:rsid w:val="00694779"/>
    <w:rsid w:val="006951EF"/>
    <w:rsid w:val="0069556C"/>
    <w:rsid w:val="00695A3A"/>
    <w:rsid w:val="00695F4D"/>
    <w:rsid w:val="006963C8"/>
    <w:rsid w:val="006965FA"/>
    <w:rsid w:val="006967CB"/>
    <w:rsid w:val="00696ED4"/>
    <w:rsid w:val="006978B5"/>
    <w:rsid w:val="00697952"/>
    <w:rsid w:val="00697FF1"/>
    <w:rsid w:val="006A0E89"/>
    <w:rsid w:val="006A1612"/>
    <w:rsid w:val="006A26A6"/>
    <w:rsid w:val="006A4B93"/>
    <w:rsid w:val="006A5014"/>
    <w:rsid w:val="006A50C1"/>
    <w:rsid w:val="006A50F8"/>
    <w:rsid w:val="006A5228"/>
    <w:rsid w:val="006A551C"/>
    <w:rsid w:val="006A673B"/>
    <w:rsid w:val="006A6AA4"/>
    <w:rsid w:val="006A79D2"/>
    <w:rsid w:val="006B0016"/>
    <w:rsid w:val="006B09A4"/>
    <w:rsid w:val="006B14DF"/>
    <w:rsid w:val="006B15F6"/>
    <w:rsid w:val="006B240E"/>
    <w:rsid w:val="006B2660"/>
    <w:rsid w:val="006B5164"/>
    <w:rsid w:val="006B5170"/>
    <w:rsid w:val="006B5E97"/>
    <w:rsid w:val="006B613A"/>
    <w:rsid w:val="006B684F"/>
    <w:rsid w:val="006B6C1A"/>
    <w:rsid w:val="006B7846"/>
    <w:rsid w:val="006C0342"/>
    <w:rsid w:val="006C0671"/>
    <w:rsid w:val="006C080C"/>
    <w:rsid w:val="006C089C"/>
    <w:rsid w:val="006C1B09"/>
    <w:rsid w:val="006C40CC"/>
    <w:rsid w:val="006C4301"/>
    <w:rsid w:val="006C4893"/>
    <w:rsid w:val="006C53B9"/>
    <w:rsid w:val="006C5999"/>
    <w:rsid w:val="006C6B2A"/>
    <w:rsid w:val="006C7EF9"/>
    <w:rsid w:val="006D0071"/>
    <w:rsid w:val="006D0374"/>
    <w:rsid w:val="006D0BB5"/>
    <w:rsid w:val="006D0EDC"/>
    <w:rsid w:val="006D1B79"/>
    <w:rsid w:val="006D1FE8"/>
    <w:rsid w:val="006D2066"/>
    <w:rsid w:val="006D4126"/>
    <w:rsid w:val="006D51B5"/>
    <w:rsid w:val="006D5815"/>
    <w:rsid w:val="006D58CF"/>
    <w:rsid w:val="006D5ED2"/>
    <w:rsid w:val="006D6A65"/>
    <w:rsid w:val="006D6DAD"/>
    <w:rsid w:val="006D6E0D"/>
    <w:rsid w:val="006E0526"/>
    <w:rsid w:val="006E07DC"/>
    <w:rsid w:val="006E09F0"/>
    <w:rsid w:val="006E10EA"/>
    <w:rsid w:val="006E1109"/>
    <w:rsid w:val="006E1E9C"/>
    <w:rsid w:val="006E322C"/>
    <w:rsid w:val="006E383D"/>
    <w:rsid w:val="006E43A1"/>
    <w:rsid w:val="006E47AE"/>
    <w:rsid w:val="006E4A14"/>
    <w:rsid w:val="006E4BF2"/>
    <w:rsid w:val="006E5601"/>
    <w:rsid w:val="006E5D69"/>
    <w:rsid w:val="006E65D7"/>
    <w:rsid w:val="006E6843"/>
    <w:rsid w:val="006E690D"/>
    <w:rsid w:val="006E6B9B"/>
    <w:rsid w:val="006E6E4F"/>
    <w:rsid w:val="006E7058"/>
    <w:rsid w:val="006E7C6F"/>
    <w:rsid w:val="006F0C75"/>
    <w:rsid w:val="006F1772"/>
    <w:rsid w:val="006F2E8B"/>
    <w:rsid w:val="006F331C"/>
    <w:rsid w:val="006F3A58"/>
    <w:rsid w:val="006F3D1F"/>
    <w:rsid w:val="006F3E09"/>
    <w:rsid w:val="006F3F06"/>
    <w:rsid w:val="006F43DD"/>
    <w:rsid w:val="006F490D"/>
    <w:rsid w:val="006F57B4"/>
    <w:rsid w:val="006F6334"/>
    <w:rsid w:val="006F639C"/>
    <w:rsid w:val="006F6E33"/>
    <w:rsid w:val="006F75B3"/>
    <w:rsid w:val="006F7DBE"/>
    <w:rsid w:val="006F7F8A"/>
    <w:rsid w:val="00700702"/>
    <w:rsid w:val="00700C14"/>
    <w:rsid w:val="00700FBF"/>
    <w:rsid w:val="0070169D"/>
    <w:rsid w:val="0070173B"/>
    <w:rsid w:val="00701918"/>
    <w:rsid w:val="0070197A"/>
    <w:rsid w:val="00702BBA"/>
    <w:rsid w:val="007030E5"/>
    <w:rsid w:val="00704065"/>
    <w:rsid w:val="00704175"/>
    <w:rsid w:val="0070494F"/>
    <w:rsid w:val="00704C22"/>
    <w:rsid w:val="00704E2B"/>
    <w:rsid w:val="0070632B"/>
    <w:rsid w:val="00706940"/>
    <w:rsid w:val="00706CEB"/>
    <w:rsid w:val="00706FD8"/>
    <w:rsid w:val="00707640"/>
    <w:rsid w:val="00707A9D"/>
    <w:rsid w:val="007101DD"/>
    <w:rsid w:val="00711297"/>
    <w:rsid w:val="00711363"/>
    <w:rsid w:val="00711899"/>
    <w:rsid w:val="00711CA3"/>
    <w:rsid w:val="00712065"/>
    <w:rsid w:val="00713FF0"/>
    <w:rsid w:val="0071429D"/>
    <w:rsid w:val="0071498F"/>
    <w:rsid w:val="00714AB1"/>
    <w:rsid w:val="00714DF3"/>
    <w:rsid w:val="00715505"/>
    <w:rsid w:val="007158BA"/>
    <w:rsid w:val="00715E13"/>
    <w:rsid w:val="007161E0"/>
    <w:rsid w:val="0071657C"/>
    <w:rsid w:val="007169F4"/>
    <w:rsid w:val="0071737D"/>
    <w:rsid w:val="00720F1E"/>
    <w:rsid w:val="00721058"/>
    <w:rsid w:val="007213B5"/>
    <w:rsid w:val="00721948"/>
    <w:rsid w:val="00722596"/>
    <w:rsid w:val="00722624"/>
    <w:rsid w:val="00722CD1"/>
    <w:rsid w:val="0072318B"/>
    <w:rsid w:val="00723369"/>
    <w:rsid w:val="0072445B"/>
    <w:rsid w:val="00724EDD"/>
    <w:rsid w:val="00724F99"/>
    <w:rsid w:val="0072556A"/>
    <w:rsid w:val="00725599"/>
    <w:rsid w:val="00725F5E"/>
    <w:rsid w:val="0072661C"/>
    <w:rsid w:val="00726F3C"/>
    <w:rsid w:val="007274FD"/>
    <w:rsid w:val="00727FFE"/>
    <w:rsid w:val="007300A6"/>
    <w:rsid w:val="007309B3"/>
    <w:rsid w:val="00730F1E"/>
    <w:rsid w:val="007310D3"/>
    <w:rsid w:val="0073129B"/>
    <w:rsid w:val="007312B7"/>
    <w:rsid w:val="00731854"/>
    <w:rsid w:val="007319F7"/>
    <w:rsid w:val="007321CC"/>
    <w:rsid w:val="00732D4D"/>
    <w:rsid w:val="007337AD"/>
    <w:rsid w:val="00733E63"/>
    <w:rsid w:val="00734512"/>
    <w:rsid w:val="00734651"/>
    <w:rsid w:val="00734FAA"/>
    <w:rsid w:val="00735D38"/>
    <w:rsid w:val="00735EB4"/>
    <w:rsid w:val="00736BE6"/>
    <w:rsid w:val="00737764"/>
    <w:rsid w:val="00737953"/>
    <w:rsid w:val="007402AF"/>
    <w:rsid w:val="00740684"/>
    <w:rsid w:val="0074072A"/>
    <w:rsid w:val="00740A7E"/>
    <w:rsid w:val="0074174F"/>
    <w:rsid w:val="00741B8B"/>
    <w:rsid w:val="00742059"/>
    <w:rsid w:val="0074388A"/>
    <w:rsid w:val="00743EC4"/>
    <w:rsid w:val="00744753"/>
    <w:rsid w:val="00744CEB"/>
    <w:rsid w:val="00746014"/>
    <w:rsid w:val="00746218"/>
    <w:rsid w:val="00746EFA"/>
    <w:rsid w:val="00746F98"/>
    <w:rsid w:val="00747263"/>
    <w:rsid w:val="0074730F"/>
    <w:rsid w:val="007474F0"/>
    <w:rsid w:val="00747527"/>
    <w:rsid w:val="007478A5"/>
    <w:rsid w:val="00747B97"/>
    <w:rsid w:val="00747F88"/>
    <w:rsid w:val="007500F2"/>
    <w:rsid w:val="007502F4"/>
    <w:rsid w:val="0075034F"/>
    <w:rsid w:val="00751374"/>
    <w:rsid w:val="0075177F"/>
    <w:rsid w:val="00751EFD"/>
    <w:rsid w:val="00752306"/>
    <w:rsid w:val="00753117"/>
    <w:rsid w:val="00753A27"/>
    <w:rsid w:val="00754173"/>
    <w:rsid w:val="00754A07"/>
    <w:rsid w:val="00754DC1"/>
    <w:rsid w:val="007554DB"/>
    <w:rsid w:val="00755B0F"/>
    <w:rsid w:val="007569B4"/>
    <w:rsid w:val="00756F1E"/>
    <w:rsid w:val="007579A9"/>
    <w:rsid w:val="00757BB1"/>
    <w:rsid w:val="00757D26"/>
    <w:rsid w:val="00757D75"/>
    <w:rsid w:val="00757E2F"/>
    <w:rsid w:val="0076073E"/>
    <w:rsid w:val="00760FF9"/>
    <w:rsid w:val="007611C8"/>
    <w:rsid w:val="007612CD"/>
    <w:rsid w:val="00761B55"/>
    <w:rsid w:val="0076260E"/>
    <w:rsid w:val="0076272A"/>
    <w:rsid w:val="00762C23"/>
    <w:rsid w:val="00763295"/>
    <w:rsid w:val="00763970"/>
    <w:rsid w:val="0076429B"/>
    <w:rsid w:val="007659ED"/>
    <w:rsid w:val="00765CB7"/>
    <w:rsid w:val="00765DD4"/>
    <w:rsid w:val="0076666D"/>
    <w:rsid w:val="007679C8"/>
    <w:rsid w:val="00770389"/>
    <w:rsid w:val="0077046B"/>
    <w:rsid w:val="007707C3"/>
    <w:rsid w:val="00770A5D"/>
    <w:rsid w:val="00771B00"/>
    <w:rsid w:val="00771B32"/>
    <w:rsid w:val="00771C66"/>
    <w:rsid w:val="00772554"/>
    <w:rsid w:val="007727F9"/>
    <w:rsid w:val="00773182"/>
    <w:rsid w:val="007731BD"/>
    <w:rsid w:val="00773559"/>
    <w:rsid w:val="007746C2"/>
    <w:rsid w:val="00774890"/>
    <w:rsid w:val="00774B35"/>
    <w:rsid w:val="007755C4"/>
    <w:rsid w:val="007759EB"/>
    <w:rsid w:val="00775FEF"/>
    <w:rsid w:val="00777078"/>
    <w:rsid w:val="00777BC6"/>
    <w:rsid w:val="00777DE1"/>
    <w:rsid w:val="00777E2A"/>
    <w:rsid w:val="00780938"/>
    <w:rsid w:val="0078094B"/>
    <w:rsid w:val="00780B3B"/>
    <w:rsid w:val="00781D26"/>
    <w:rsid w:val="00782A17"/>
    <w:rsid w:val="00783180"/>
    <w:rsid w:val="007831D3"/>
    <w:rsid w:val="007851F7"/>
    <w:rsid w:val="00785A50"/>
    <w:rsid w:val="00786A13"/>
    <w:rsid w:val="00787360"/>
    <w:rsid w:val="00787436"/>
    <w:rsid w:val="00787C0D"/>
    <w:rsid w:val="00790535"/>
    <w:rsid w:val="00790E30"/>
    <w:rsid w:val="00790E96"/>
    <w:rsid w:val="00791044"/>
    <w:rsid w:val="007911AB"/>
    <w:rsid w:val="00791B17"/>
    <w:rsid w:val="007920DA"/>
    <w:rsid w:val="007933D8"/>
    <w:rsid w:val="00793402"/>
    <w:rsid w:val="00793AEF"/>
    <w:rsid w:val="007940DC"/>
    <w:rsid w:val="007948C6"/>
    <w:rsid w:val="00794C6E"/>
    <w:rsid w:val="0079532E"/>
    <w:rsid w:val="007963A8"/>
    <w:rsid w:val="00797FC4"/>
    <w:rsid w:val="007A0242"/>
    <w:rsid w:val="007A0438"/>
    <w:rsid w:val="007A111C"/>
    <w:rsid w:val="007A1CB4"/>
    <w:rsid w:val="007A2D36"/>
    <w:rsid w:val="007A2F55"/>
    <w:rsid w:val="007A2F94"/>
    <w:rsid w:val="007A3790"/>
    <w:rsid w:val="007A3A82"/>
    <w:rsid w:val="007A4CE5"/>
    <w:rsid w:val="007A7B5B"/>
    <w:rsid w:val="007A7D15"/>
    <w:rsid w:val="007B0376"/>
    <w:rsid w:val="007B039B"/>
    <w:rsid w:val="007B047D"/>
    <w:rsid w:val="007B0A52"/>
    <w:rsid w:val="007B1197"/>
    <w:rsid w:val="007B1A09"/>
    <w:rsid w:val="007B1BED"/>
    <w:rsid w:val="007B3041"/>
    <w:rsid w:val="007B3E62"/>
    <w:rsid w:val="007B518C"/>
    <w:rsid w:val="007B548C"/>
    <w:rsid w:val="007B6446"/>
    <w:rsid w:val="007B6A67"/>
    <w:rsid w:val="007B6EEA"/>
    <w:rsid w:val="007C12CF"/>
    <w:rsid w:val="007C1BF0"/>
    <w:rsid w:val="007C27A5"/>
    <w:rsid w:val="007C29AE"/>
    <w:rsid w:val="007C323D"/>
    <w:rsid w:val="007C3530"/>
    <w:rsid w:val="007C36B4"/>
    <w:rsid w:val="007C3CE8"/>
    <w:rsid w:val="007C3FDC"/>
    <w:rsid w:val="007C471B"/>
    <w:rsid w:val="007C4D82"/>
    <w:rsid w:val="007C509F"/>
    <w:rsid w:val="007C58B7"/>
    <w:rsid w:val="007C5B14"/>
    <w:rsid w:val="007C666E"/>
    <w:rsid w:val="007C6D18"/>
    <w:rsid w:val="007C6D8D"/>
    <w:rsid w:val="007D046D"/>
    <w:rsid w:val="007D1242"/>
    <w:rsid w:val="007D1662"/>
    <w:rsid w:val="007D1A93"/>
    <w:rsid w:val="007D1BAF"/>
    <w:rsid w:val="007D1E86"/>
    <w:rsid w:val="007D3CD1"/>
    <w:rsid w:val="007D62F5"/>
    <w:rsid w:val="007D6521"/>
    <w:rsid w:val="007D66F0"/>
    <w:rsid w:val="007D7726"/>
    <w:rsid w:val="007D78CA"/>
    <w:rsid w:val="007D7912"/>
    <w:rsid w:val="007D7914"/>
    <w:rsid w:val="007D79B5"/>
    <w:rsid w:val="007D7D55"/>
    <w:rsid w:val="007E008D"/>
    <w:rsid w:val="007E0B65"/>
    <w:rsid w:val="007E1D82"/>
    <w:rsid w:val="007E1F20"/>
    <w:rsid w:val="007E2F34"/>
    <w:rsid w:val="007E36D7"/>
    <w:rsid w:val="007E4360"/>
    <w:rsid w:val="007E45C8"/>
    <w:rsid w:val="007E464C"/>
    <w:rsid w:val="007E4790"/>
    <w:rsid w:val="007E47C7"/>
    <w:rsid w:val="007E497F"/>
    <w:rsid w:val="007E4CC3"/>
    <w:rsid w:val="007E59BC"/>
    <w:rsid w:val="007E6442"/>
    <w:rsid w:val="007E6F07"/>
    <w:rsid w:val="007E789D"/>
    <w:rsid w:val="007F05AC"/>
    <w:rsid w:val="007F07D3"/>
    <w:rsid w:val="007F084D"/>
    <w:rsid w:val="007F0990"/>
    <w:rsid w:val="007F0EA5"/>
    <w:rsid w:val="007F0FCF"/>
    <w:rsid w:val="007F13B7"/>
    <w:rsid w:val="007F1431"/>
    <w:rsid w:val="007F15EB"/>
    <w:rsid w:val="007F1A41"/>
    <w:rsid w:val="007F1BAC"/>
    <w:rsid w:val="007F1E80"/>
    <w:rsid w:val="007F1F8D"/>
    <w:rsid w:val="007F2455"/>
    <w:rsid w:val="007F281C"/>
    <w:rsid w:val="007F2B3D"/>
    <w:rsid w:val="007F2FF6"/>
    <w:rsid w:val="007F32C2"/>
    <w:rsid w:val="007F3E1A"/>
    <w:rsid w:val="007F477F"/>
    <w:rsid w:val="007F481D"/>
    <w:rsid w:val="007F4E15"/>
    <w:rsid w:val="007F506A"/>
    <w:rsid w:val="007F539A"/>
    <w:rsid w:val="007F5411"/>
    <w:rsid w:val="007F5849"/>
    <w:rsid w:val="007F6029"/>
    <w:rsid w:val="007F65C8"/>
    <w:rsid w:val="007F6EB3"/>
    <w:rsid w:val="007F75A0"/>
    <w:rsid w:val="007F77DF"/>
    <w:rsid w:val="007F7C08"/>
    <w:rsid w:val="007F7DE0"/>
    <w:rsid w:val="007F7F0A"/>
    <w:rsid w:val="00800155"/>
    <w:rsid w:val="008003BF"/>
    <w:rsid w:val="00800F75"/>
    <w:rsid w:val="0080111A"/>
    <w:rsid w:val="00802CA7"/>
    <w:rsid w:val="00802D60"/>
    <w:rsid w:val="0080332C"/>
    <w:rsid w:val="00803791"/>
    <w:rsid w:val="00803B44"/>
    <w:rsid w:val="00803C40"/>
    <w:rsid w:val="00804D09"/>
    <w:rsid w:val="0080538A"/>
    <w:rsid w:val="00805E57"/>
    <w:rsid w:val="00805F2E"/>
    <w:rsid w:val="00806D91"/>
    <w:rsid w:val="0080704A"/>
    <w:rsid w:val="0080797F"/>
    <w:rsid w:val="00807BAB"/>
    <w:rsid w:val="008102F1"/>
    <w:rsid w:val="008111AA"/>
    <w:rsid w:val="00811BF5"/>
    <w:rsid w:val="008127FE"/>
    <w:rsid w:val="008129FD"/>
    <w:rsid w:val="00812DC8"/>
    <w:rsid w:val="008131DC"/>
    <w:rsid w:val="00813206"/>
    <w:rsid w:val="008149D9"/>
    <w:rsid w:val="0081545A"/>
    <w:rsid w:val="00815F82"/>
    <w:rsid w:val="00816667"/>
    <w:rsid w:val="00817652"/>
    <w:rsid w:val="0081774E"/>
    <w:rsid w:val="00821B5C"/>
    <w:rsid w:val="008221A4"/>
    <w:rsid w:val="0082299C"/>
    <w:rsid w:val="00822B63"/>
    <w:rsid w:val="00823CD7"/>
    <w:rsid w:val="00823FD7"/>
    <w:rsid w:val="0082430F"/>
    <w:rsid w:val="00824F67"/>
    <w:rsid w:val="008253EC"/>
    <w:rsid w:val="00825A43"/>
    <w:rsid w:val="00826BB2"/>
    <w:rsid w:val="00826FBD"/>
    <w:rsid w:val="0083041A"/>
    <w:rsid w:val="00830594"/>
    <w:rsid w:val="0083123A"/>
    <w:rsid w:val="00831AEC"/>
    <w:rsid w:val="00833958"/>
    <w:rsid w:val="00833B16"/>
    <w:rsid w:val="008349F7"/>
    <w:rsid w:val="00834E00"/>
    <w:rsid w:val="00835589"/>
    <w:rsid w:val="00835B5A"/>
    <w:rsid w:val="008365A7"/>
    <w:rsid w:val="00836C59"/>
    <w:rsid w:val="00837062"/>
    <w:rsid w:val="0083743C"/>
    <w:rsid w:val="0083749E"/>
    <w:rsid w:val="00837764"/>
    <w:rsid w:val="00837D03"/>
    <w:rsid w:val="00840CD7"/>
    <w:rsid w:val="00841150"/>
    <w:rsid w:val="008419D3"/>
    <w:rsid w:val="00841EC1"/>
    <w:rsid w:val="00842104"/>
    <w:rsid w:val="008421F3"/>
    <w:rsid w:val="0084222C"/>
    <w:rsid w:val="00842398"/>
    <w:rsid w:val="008425A7"/>
    <w:rsid w:val="00842AF8"/>
    <w:rsid w:val="0084418D"/>
    <w:rsid w:val="00844601"/>
    <w:rsid w:val="008454FA"/>
    <w:rsid w:val="00845CB6"/>
    <w:rsid w:val="0084683D"/>
    <w:rsid w:val="00846C8D"/>
    <w:rsid w:val="00847231"/>
    <w:rsid w:val="00847E0E"/>
    <w:rsid w:val="008516C0"/>
    <w:rsid w:val="00851D31"/>
    <w:rsid w:val="008525F7"/>
    <w:rsid w:val="00853E74"/>
    <w:rsid w:val="0085492E"/>
    <w:rsid w:val="0085545E"/>
    <w:rsid w:val="008559A3"/>
    <w:rsid w:val="008560CF"/>
    <w:rsid w:val="008560D0"/>
    <w:rsid w:val="008561DD"/>
    <w:rsid w:val="0085745A"/>
    <w:rsid w:val="008575C8"/>
    <w:rsid w:val="00857AEF"/>
    <w:rsid w:val="0086015B"/>
    <w:rsid w:val="00860511"/>
    <w:rsid w:val="00860F6D"/>
    <w:rsid w:val="00861891"/>
    <w:rsid w:val="00861E3C"/>
    <w:rsid w:val="00862E25"/>
    <w:rsid w:val="00863C4B"/>
    <w:rsid w:val="008643E8"/>
    <w:rsid w:val="008654A9"/>
    <w:rsid w:val="008654FA"/>
    <w:rsid w:val="00865688"/>
    <w:rsid w:val="00867217"/>
    <w:rsid w:val="00867CC3"/>
    <w:rsid w:val="008705FE"/>
    <w:rsid w:val="00870A7B"/>
    <w:rsid w:val="00870F52"/>
    <w:rsid w:val="008711C9"/>
    <w:rsid w:val="00871292"/>
    <w:rsid w:val="0087134C"/>
    <w:rsid w:val="00871D3C"/>
    <w:rsid w:val="008722B9"/>
    <w:rsid w:val="0087231A"/>
    <w:rsid w:val="0087242E"/>
    <w:rsid w:val="00872800"/>
    <w:rsid w:val="008738A0"/>
    <w:rsid w:val="00873DA4"/>
    <w:rsid w:val="008740D3"/>
    <w:rsid w:val="00874926"/>
    <w:rsid w:val="0087499F"/>
    <w:rsid w:val="0087539B"/>
    <w:rsid w:val="00875972"/>
    <w:rsid w:val="00875A12"/>
    <w:rsid w:val="0087644A"/>
    <w:rsid w:val="00877EF3"/>
    <w:rsid w:val="00880DE8"/>
    <w:rsid w:val="0088127A"/>
    <w:rsid w:val="00881E14"/>
    <w:rsid w:val="008824B1"/>
    <w:rsid w:val="00882D4E"/>
    <w:rsid w:val="00882DB0"/>
    <w:rsid w:val="008830DD"/>
    <w:rsid w:val="008834CF"/>
    <w:rsid w:val="00883870"/>
    <w:rsid w:val="00883E65"/>
    <w:rsid w:val="0088436A"/>
    <w:rsid w:val="00884510"/>
    <w:rsid w:val="00884755"/>
    <w:rsid w:val="00884A16"/>
    <w:rsid w:val="0088518B"/>
    <w:rsid w:val="00885F62"/>
    <w:rsid w:val="008868BF"/>
    <w:rsid w:val="008869A1"/>
    <w:rsid w:val="00887492"/>
    <w:rsid w:val="00887547"/>
    <w:rsid w:val="00887653"/>
    <w:rsid w:val="00887779"/>
    <w:rsid w:val="00890725"/>
    <w:rsid w:val="008912EE"/>
    <w:rsid w:val="00891D6F"/>
    <w:rsid w:val="0089241E"/>
    <w:rsid w:val="00892AA0"/>
    <w:rsid w:val="00893233"/>
    <w:rsid w:val="00894BFA"/>
    <w:rsid w:val="00894CAD"/>
    <w:rsid w:val="00895008"/>
    <w:rsid w:val="00896044"/>
    <w:rsid w:val="0089695F"/>
    <w:rsid w:val="00896BBE"/>
    <w:rsid w:val="00897F0E"/>
    <w:rsid w:val="008A07EF"/>
    <w:rsid w:val="008A0B1E"/>
    <w:rsid w:val="008A1B29"/>
    <w:rsid w:val="008A20CE"/>
    <w:rsid w:val="008A230F"/>
    <w:rsid w:val="008A2CEF"/>
    <w:rsid w:val="008A3915"/>
    <w:rsid w:val="008A3EEF"/>
    <w:rsid w:val="008A4086"/>
    <w:rsid w:val="008A440A"/>
    <w:rsid w:val="008A441C"/>
    <w:rsid w:val="008A4D65"/>
    <w:rsid w:val="008A5091"/>
    <w:rsid w:val="008A5FB6"/>
    <w:rsid w:val="008A607C"/>
    <w:rsid w:val="008A7122"/>
    <w:rsid w:val="008A734A"/>
    <w:rsid w:val="008A7B43"/>
    <w:rsid w:val="008B03EC"/>
    <w:rsid w:val="008B1102"/>
    <w:rsid w:val="008B1EE3"/>
    <w:rsid w:val="008B21B9"/>
    <w:rsid w:val="008B47DB"/>
    <w:rsid w:val="008B50B8"/>
    <w:rsid w:val="008B5824"/>
    <w:rsid w:val="008B5EEF"/>
    <w:rsid w:val="008B665D"/>
    <w:rsid w:val="008B6DEC"/>
    <w:rsid w:val="008B7316"/>
    <w:rsid w:val="008B7CD6"/>
    <w:rsid w:val="008B7D21"/>
    <w:rsid w:val="008C0142"/>
    <w:rsid w:val="008C026B"/>
    <w:rsid w:val="008C09F5"/>
    <w:rsid w:val="008C0BF8"/>
    <w:rsid w:val="008C0DD5"/>
    <w:rsid w:val="008C1AE0"/>
    <w:rsid w:val="008C1FFA"/>
    <w:rsid w:val="008C2333"/>
    <w:rsid w:val="008C23A2"/>
    <w:rsid w:val="008C2A66"/>
    <w:rsid w:val="008C371F"/>
    <w:rsid w:val="008C4B2B"/>
    <w:rsid w:val="008C4BD8"/>
    <w:rsid w:val="008C64FA"/>
    <w:rsid w:val="008C6971"/>
    <w:rsid w:val="008C6D81"/>
    <w:rsid w:val="008C6F2F"/>
    <w:rsid w:val="008C7622"/>
    <w:rsid w:val="008C7A0C"/>
    <w:rsid w:val="008C7CDA"/>
    <w:rsid w:val="008D17D2"/>
    <w:rsid w:val="008D222C"/>
    <w:rsid w:val="008D3151"/>
    <w:rsid w:val="008D3308"/>
    <w:rsid w:val="008D4E51"/>
    <w:rsid w:val="008D52F8"/>
    <w:rsid w:val="008D54A9"/>
    <w:rsid w:val="008D5A14"/>
    <w:rsid w:val="008D6378"/>
    <w:rsid w:val="008D6803"/>
    <w:rsid w:val="008D6CF8"/>
    <w:rsid w:val="008D6E39"/>
    <w:rsid w:val="008D7457"/>
    <w:rsid w:val="008D7E29"/>
    <w:rsid w:val="008E0173"/>
    <w:rsid w:val="008E0410"/>
    <w:rsid w:val="008E045F"/>
    <w:rsid w:val="008E0838"/>
    <w:rsid w:val="008E155F"/>
    <w:rsid w:val="008E1983"/>
    <w:rsid w:val="008E1C96"/>
    <w:rsid w:val="008E22F2"/>
    <w:rsid w:val="008E2401"/>
    <w:rsid w:val="008E2EEE"/>
    <w:rsid w:val="008E4064"/>
    <w:rsid w:val="008E48CD"/>
    <w:rsid w:val="008E536B"/>
    <w:rsid w:val="008E5BF3"/>
    <w:rsid w:val="008E5DAA"/>
    <w:rsid w:val="008E6484"/>
    <w:rsid w:val="008E6CB1"/>
    <w:rsid w:val="008E726D"/>
    <w:rsid w:val="008E7EEE"/>
    <w:rsid w:val="008F0578"/>
    <w:rsid w:val="008F0F43"/>
    <w:rsid w:val="008F267A"/>
    <w:rsid w:val="008F2D7F"/>
    <w:rsid w:val="008F486B"/>
    <w:rsid w:val="008F4E0B"/>
    <w:rsid w:val="008F60D5"/>
    <w:rsid w:val="008F6C34"/>
    <w:rsid w:val="008F6D61"/>
    <w:rsid w:val="008F6E1F"/>
    <w:rsid w:val="008F7010"/>
    <w:rsid w:val="008F7A2B"/>
    <w:rsid w:val="008F7CCF"/>
    <w:rsid w:val="008F7D6B"/>
    <w:rsid w:val="00901346"/>
    <w:rsid w:val="00903FBE"/>
    <w:rsid w:val="00904410"/>
    <w:rsid w:val="00904AFD"/>
    <w:rsid w:val="0090526E"/>
    <w:rsid w:val="009058FA"/>
    <w:rsid w:val="00905EB0"/>
    <w:rsid w:val="00906059"/>
    <w:rsid w:val="009060A4"/>
    <w:rsid w:val="00906391"/>
    <w:rsid w:val="00906A2C"/>
    <w:rsid w:val="00907C77"/>
    <w:rsid w:val="00907E17"/>
    <w:rsid w:val="00910627"/>
    <w:rsid w:val="00910E48"/>
    <w:rsid w:val="009117F1"/>
    <w:rsid w:val="00911D3C"/>
    <w:rsid w:val="00912452"/>
    <w:rsid w:val="009126CE"/>
    <w:rsid w:val="00913424"/>
    <w:rsid w:val="00913B8A"/>
    <w:rsid w:val="00913C18"/>
    <w:rsid w:val="009144C2"/>
    <w:rsid w:val="00914844"/>
    <w:rsid w:val="00914C42"/>
    <w:rsid w:val="0091563B"/>
    <w:rsid w:val="00917F96"/>
    <w:rsid w:val="00920348"/>
    <w:rsid w:val="0092039E"/>
    <w:rsid w:val="009207FC"/>
    <w:rsid w:val="00920C1F"/>
    <w:rsid w:val="0092153D"/>
    <w:rsid w:val="009219D2"/>
    <w:rsid w:val="00921E2E"/>
    <w:rsid w:val="00922BE4"/>
    <w:rsid w:val="00922C1D"/>
    <w:rsid w:val="00923336"/>
    <w:rsid w:val="00923617"/>
    <w:rsid w:val="009239FE"/>
    <w:rsid w:val="00923BED"/>
    <w:rsid w:val="00923E74"/>
    <w:rsid w:val="00924222"/>
    <w:rsid w:val="0092520E"/>
    <w:rsid w:val="00925F91"/>
    <w:rsid w:val="00926082"/>
    <w:rsid w:val="009269DD"/>
    <w:rsid w:val="00926CF4"/>
    <w:rsid w:val="00926E37"/>
    <w:rsid w:val="00926EFB"/>
    <w:rsid w:val="009277F7"/>
    <w:rsid w:val="00930E51"/>
    <w:rsid w:val="00931480"/>
    <w:rsid w:val="009315AA"/>
    <w:rsid w:val="0093254B"/>
    <w:rsid w:val="0093286D"/>
    <w:rsid w:val="0093288E"/>
    <w:rsid w:val="00932904"/>
    <w:rsid w:val="009329EE"/>
    <w:rsid w:val="00932ABA"/>
    <w:rsid w:val="009335F8"/>
    <w:rsid w:val="0093377A"/>
    <w:rsid w:val="0093395A"/>
    <w:rsid w:val="0093430C"/>
    <w:rsid w:val="00934EE4"/>
    <w:rsid w:val="009356AC"/>
    <w:rsid w:val="009358E4"/>
    <w:rsid w:val="009359AB"/>
    <w:rsid w:val="00935F3D"/>
    <w:rsid w:val="00935F6D"/>
    <w:rsid w:val="0093671E"/>
    <w:rsid w:val="00936D6B"/>
    <w:rsid w:val="009373BB"/>
    <w:rsid w:val="009375B4"/>
    <w:rsid w:val="00937DF1"/>
    <w:rsid w:val="0094001E"/>
    <w:rsid w:val="00940081"/>
    <w:rsid w:val="009402C2"/>
    <w:rsid w:val="0094179C"/>
    <w:rsid w:val="00941FA2"/>
    <w:rsid w:val="009432B5"/>
    <w:rsid w:val="00943B73"/>
    <w:rsid w:val="00944842"/>
    <w:rsid w:val="00944A6C"/>
    <w:rsid w:val="00944CC1"/>
    <w:rsid w:val="00945E75"/>
    <w:rsid w:val="00946A55"/>
    <w:rsid w:val="00947A69"/>
    <w:rsid w:val="0095010D"/>
    <w:rsid w:val="0095112A"/>
    <w:rsid w:val="009511F5"/>
    <w:rsid w:val="009517C6"/>
    <w:rsid w:val="009529E3"/>
    <w:rsid w:val="00952B02"/>
    <w:rsid w:val="00952DF1"/>
    <w:rsid w:val="00952FA5"/>
    <w:rsid w:val="00953483"/>
    <w:rsid w:val="009538B4"/>
    <w:rsid w:val="00954184"/>
    <w:rsid w:val="0095436B"/>
    <w:rsid w:val="00955DC0"/>
    <w:rsid w:val="00956510"/>
    <w:rsid w:val="00956AD3"/>
    <w:rsid w:val="00960555"/>
    <w:rsid w:val="00962BDF"/>
    <w:rsid w:val="00963483"/>
    <w:rsid w:val="00963C30"/>
    <w:rsid w:val="009641C0"/>
    <w:rsid w:val="009642BC"/>
    <w:rsid w:val="00964639"/>
    <w:rsid w:val="00966059"/>
    <w:rsid w:val="00966169"/>
    <w:rsid w:val="00966345"/>
    <w:rsid w:val="0096673B"/>
    <w:rsid w:val="00966DF1"/>
    <w:rsid w:val="009670AA"/>
    <w:rsid w:val="00967A2D"/>
    <w:rsid w:val="00967ACE"/>
    <w:rsid w:val="00967F41"/>
    <w:rsid w:val="0097181F"/>
    <w:rsid w:val="00971A92"/>
    <w:rsid w:val="00971E99"/>
    <w:rsid w:val="00972FAD"/>
    <w:rsid w:val="0097346E"/>
    <w:rsid w:val="00973C23"/>
    <w:rsid w:val="00974AFC"/>
    <w:rsid w:val="00975420"/>
    <w:rsid w:val="00975B37"/>
    <w:rsid w:val="00975F86"/>
    <w:rsid w:val="0097635E"/>
    <w:rsid w:val="0097651E"/>
    <w:rsid w:val="009767E2"/>
    <w:rsid w:val="009769B1"/>
    <w:rsid w:val="00976FD6"/>
    <w:rsid w:val="0097720E"/>
    <w:rsid w:val="0098012F"/>
    <w:rsid w:val="009801D6"/>
    <w:rsid w:val="0098025F"/>
    <w:rsid w:val="009807EF"/>
    <w:rsid w:val="009812A5"/>
    <w:rsid w:val="00981500"/>
    <w:rsid w:val="00981A1F"/>
    <w:rsid w:val="00982788"/>
    <w:rsid w:val="00983EC8"/>
    <w:rsid w:val="00983EE1"/>
    <w:rsid w:val="009845C1"/>
    <w:rsid w:val="00984681"/>
    <w:rsid w:val="00984C4B"/>
    <w:rsid w:val="009854B1"/>
    <w:rsid w:val="00985EF2"/>
    <w:rsid w:val="00986501"/>
    <w:rsid w:val="00986C00"/>
    <w:rsid w:val="00986F39"/>
    <w:rsid w:val="00990680"/>
    <w:rsid w:val="0099096C"/>
    <w:rsid w:val="00990991"/>
    <w:rsid w:val="00991188"/>
    <w:rsid w:val="009917A6"/>
    <w:rsid w:val="00992215"/>
    <w:rsid w:val="00992239"/>
    <w:rsid w:val="00992864"/>
    <w:rsid w:val="009938F6"/>
    <w:rsid w:val="00993993"/>
    <w:rsid w:val="00993EDA"/>
    <w:rsid w:val="0099402B"/>
    <w:rsid w:val="00994FFB"/>
    <w:rsid w:val="0099538A"/>
    <w:rsid w:val="00995540"/>
    <w:rsid w:val="00995CB6"/>
    <w:rsid w:val="00995CEB"/>
    <w:rsid w:val="009967C4"/>
    <w:rsid w:val="00997298"/>
    <w:rsid w:val="009976F5"/>
    <w:rsid w:val="00997A54"/>
    <w:rsid w:val="00997C7E"/>
    <w:rsid w:val="009A0019"/>
    <w:rsid w:val="009A0B04"/>
    <w:rsid w:val="009A2EFE"/>
    <w:rsid w:val="009A320C"/>
    <w:rsid w:val="009A37E6"/>
    <w:rsid w:val="009A3811"/>
    <w:rsid w:val="009A3AAB"/>
    <w:rsid w:val="009A4113"/>
    <w:rsid w:val="009A41BC"/>
    <w:rsid w:val="009A4337"/>
    <w:rsid w:val="009A4B18"/>
    <w:rsid w:val="009A5056"/>
    <w:rsid w:val="009A55D1"/>
    <w:rsid w:val="009A6885"/>
    <w:rsid w:val="009A6A9F"/>
    <w:rsid w:val="009A7DE0"/>
    <w:rsid w:val="009B023F"/>
    <w:rsid w:val="009B05C3"/>
    <w:rsid w:val="009B0751"/>
    <w:rsid w:val="009B09C4"/>
    <w:rsid w:val="009B0DBA"/>
    <w:rsid w:val="009B1372"/>
    <w:rsid w:val="009B2F50"/>
    <w:rsid w:val="009B3906"/>
    <w:rsid w:val="009B3B11"/>
    <w:rsid w:val="009B4114"/>
    <w:rsid w:val="009B41E7"/>
    <w:rsid w:val="009B442E"/>
    <w:rsid w:val="009B4A8A"/>
    <w:rsid w:val="009B681A"/>
    <w:rsid w:val="009B6DE1"/>
    <w:rsid w:val="009B7651"/>
    <w:rsid w:val="009B7C26"/>
    <w:rsid w:val="009B7E06"/>
    <w:rsid w:val="009C018B"/>
    <w:rsid w:val="009C031F"/>
    <w:rsid w:val="009C0404"/>
    <w:rsid w:val="009C053C"/>
    <w:rsid w:val="009C09AC"/>
    <w:rsid w:val="009C0AC1"/>
    <w:rsid w:val="009C0E89"/>
    <w:rsid w:val="009C154E"/>
    <w:rsid w:val="009C266F"/>
    <w:rsid w:val="009C2900"/>
    <w:rsid w:val="009C2CBB"/>
    <w:rsid w:val="009C3178"/>
    <w:rsid w:val="009C33ED"/>
    <w:rsid w:val="009C4029"/>
    <w:rsid w:val="009C425D"/>
    <w:rsid w:val="009C4A89"/>
    <w:rsid w:val="009C4B5C"/>
    <w:rsid w:val="009C6150"/>
    <w:rsid w:val="009C650C"/>
    <w:rsid w:val="009C6550"/>
    <w:rsid w:val="009C6D83"/>
    <w:rsid w:val="009C6EE0"/>
    <w:rsid w:val="009C7894"/>
    <w:rsid w:val="009C7C7B"/>
    <w:rsid w:val="009C7F78"/>
    <w:rsid w:val="009D1C6F"/>
    <w:rsid w:val="009D1D0E"/>
    <w:rsid w:val="009D1E9A"/>
    <w:rsid w:val="009D21EE"/>
    <w:rsid w:val="009D257A"/>
    <w:rsid w:val="009D28BD"/>
    <w:rsid w:val="009D28CE"/>
    <w:rsid w:val="009D3075"/>
    <w:rsid w:val="009D30E7"/>
    <w:rsid w:val="009D3A41"/>
    <w:rsid w:val="009D3B10"/>
    <w:rsid w:val="009D3EA6"/>
    <w:rsid w:val="009D4801"/>
    <w:rsid w:val="009D630D"/>
    <w:rsid w:val="009D68D5"/>
    <w:rsid w:val="009D692F"/>
    <w:rsid w:val="009D7087"/>
    <w:rsid w:val="009D71DC"/>
    <w:rsid w:val="009E037E"/>
    <w:rsid w:val="009E05E0"/>
    <w:rsid w:val="009E0AE5"/>
    <w:rsid w:val="009E1109"/>
    <w:rsid w:val="009E1217"/>
    <w:rsid w:val="009E1673"/>
    <w:rsid w:val="009E2102"/>
    <w:rsid w:val="009E3915"/>
    <w:rsid w:val="009E3E71"/>
    <w:rsid w:val="009E4355"/>
    <w:rsid w:val="009E4723"/>
    <w:rsid w:val="009E4EF6"/>
    <w:rsid w:val="009E514E"/>
    <w:rsid w:val="009E6045"/>
    <w:rsid w:val="009E617E"/>
    <w:rsid w:val="009E7C27"/>
    <w:rsid w:val="009E7FBC"/>
    <w:rsid w:val="009F0631"/>
    <w:rsid w:val="009F088A"/>
    <w:rsid w:val="009F28E7"/>
    <w:rsid w:val="009F3053"/>
    <w:rsid w:val="009F3129"/>
    <w:rsid w:val="009F3192"/>
    <w:rsid w:val="009F383F"/>
    <w:rsid w:val="009F3A04"/>
    <w:rsid w:val="009F3C7E"/>
    <w:rsid w:val="009F3D9B"/>
    <w:rsid w:val="009F4B3C"/>
    <w:rsid w:val="009F5202"/>
    <w:rsid w:val="009F52A0"/>
    <w:rsid w:val="009F5B4F"/>
    <w:rsid w:val="009F5C83"/>
    <w:rsid w:val="009F5EA2"/>
    <w:rsid w:val="009F602E"/>
    <w:rsid w:val="009F639B"/>
    <w:rsid w:val="009F6AFC"/>
    <w:rsid w:val="009F7147"/>
    <w:rsid w:val="009F7488"/>
    <w:rsid w:val="00A003FA"/>
    <w:rsid w:val="00A0041C"/>
    <w:rsid w:val="00A017AD"/>
    <w:rsid w:val="00A0204D"/>
    <w:rsid w:val="00A02F4C"/>
    <w:rsid w:val="00A03727"/>
    <w:rsid w:val="00A03EDD"/>
    <w:rsid w:val="00A0407F"/>
    <w:rsid w:val="00A04107"/>
    <w:rsid w:val="00A04562"/>
    <w:rsid w:val="00A04921"/>
    <w:rsid w:val="00A05C80"/>
    <w:rsid w:val="00A06127"/>
    <w:rsid w:val="00A06856"/>
    <w:rsid w:val="00A06CDA"/>
    <w:rsid w:val="00A06E60"/>
    <w:rsid w:val="00A070C6"/>
    <w:rsid w:val="00A07CFA"/>
    <w:rsid w:val="00A11172"/>
    <w:rsid w:val="00A113C5"/>
    <w:rsid w:val="00A13506"/>
    <w:rsid w:val="00A147B6"/>
    <w:rsid w:val="00A14BAF"/>
    <w:rsid w:val="00A167CA"/>
    <w:rsid w:val="00A17806"/>
    <w:rsid w:val="00A20077"/>
    <w:rsid w:val="00A20858"/>
    <w:rsid w:val="00A20864"/>
    <w:rsid w:val="00A215DA"/>
    <w:rsid w:val="00A218B2"/>
    <w:rsid w:val="00A21E0E"/>
    <w:rsid w:val="00A222A8"/>
    <w:rsid w:val="00A22682"/>
    <w:rsid w:val="00A22DAB"/>
    <w:rsid w:val="00A22DF8"/>
    <w:rsid w:val="00A23119"/>
    <w:rsid w:val="00A23834"/>
    <w:rsid w:val="00A24509"/>
    <w:rsid w:val="00A25A5B"/>
    <w:rsid w:val="00A25A72"/>
    <w:rsid w:val="00A2669B"/>
    <w:rsid w:val="00A27A2F"/>
    <w:rsid w:val="00A27BC6"/>
    <w:rsid w:val="00A3060E"/>
    <w:rsid w:val="00A309BC"/>
    <w:rsid w:val="00A30FED"/>
    <w:rsid w:val="00A3153F"/>
    <w:rsid w:val="00A3185B"/>
    <w:rsid w:val="00A329C2"/>
    <w:rsid w:val="00A32E4D"/>
    <w:rsid w:val="00A3304A"/>
    <w:rsid w:val="00A331AD"/>
    <w:rsid w:val="00A33932"/>
    <w:rsid w:val="00A33A58"/>
    <w:rsid w:val="00A33DE3"/>
    <w:rsid w:val="00A35A96"/>
    <w:rsid w:val="00A35EEA"/>
    <w:rsid w:val="00A3642C"/>
    <w:rsid w:val="00A3649E"/>
    <w:rsid w:val="00A36D45"/>
    <w:rsid w:val="00A375DA"/>
    <w:rsid w:val="00A378DB"/>
    <w:rsid w:val="00A405DF"/>
    <w:rsid w:val="00A4064E"/>
    <w:rsid w:val="00A4069B"/>
    <w:rsid w:val="00A40DBA"/>
    <w:rsid w:val="00A416B6"/>
    <w:rsid w:val="00A417AB"/>
    <w:rsid w:val="00A41BC1"/>
    <w:rsid w:val="00A42E04"/>
    <w:rsid w:val="00A42F43"/>
    <w:rsid w:val="00A430F2"/>
    <w:rsid w:val="00A453A3"/>
    <w:rsid w:val="00A4549C"/>
    <w:rsid w:val="00A4556C"/>
    <w:rsid w:val="00A45F55"/>
    <w:rsid w:val="00A47241"/>
    <w:rsid w:val="00A472E3"/>
    <w:rsid w:val="00A47997"/>
    <w:rsid w:val="00A50612"/>
    <w:rsid w:val="00A5075C"/>
    <w:rsid w:val="00A5109A"/>
    <w:rsid w:val="00A51A07"/>
    <w:rsid w:val="00A51C2B"/>
    <w:rsid w:val="00A52BFB"/>
    <w:rsid w:val="00A52E59"/>
    <w:rsid w:val="00A52F63"/>
    <w:rsid w:val="00A53AAF"/>
    <w:rsid w:val="00A53C27"/>
    <w:rsid w:val="00A540B6"/>
    <w:rsid w:val="00A54124"/>
    <w:rsid w:val="00A542A7"/>
    <w:rsid w:val="00A547D3"/>
    <w:rsid w:val="00A555B4"/>
    <w:rsid w:val="00A5661C"/>
    <w:rsid w:val="00A57458"/>
    <w:rsid w:val="00A57709"/>
    <w:rsid w:val="00A57F37"/>
    <w:rsid w:val="00A60397"/>
    <w:rsid w:val="00A6173B"/>
    <w:rsid w:val="00A61B46"/>
    <w:rsid w:val="00A62F10"/>
    <w:rsid w:val="00A64155"/>
    <w:rsid w:val="00A644C5"/>
    <w:rsid w:val="00A64937"/>
    <w:rsid w:val="00A64C9F"/>
    <w:rsid w:val="00A64E2E"/>
    <w:rsid w:val="00A64F24"/>
    <w:rsid w:val="00A6530A"/>
    <w:rsid w:val="00A65536"/>
    <w:rsid w:val="00A659A2"/>
    <w:rsid w:val="00A65FE9"/>
    <w:rsid w:val="00A666A0"/>
    <w:rsid w:val="00A67789"/>
    <w:rsid w:val="00A67F78"/>
    <w:rsid w:val="00A70919"/>
    <w:rsid w:val="00A70EDF"/>
    <w:rsid w:val="00A7177B"/>
    <w:rsid w:val="00A72015"/>
    <w:rsid w:val="00A74BE3"/>
    <w:rsid w:val="00A75704"/>
    <w:rsid w:val="00A75B4C"/>
    <w:rsid w:val="00A769CA"/>
    <w:rsid w:val="00A77E2F"/>
    <w:rsid w:val="00A8069D"/>
    <w:rsid w:val="00A82564"/>
    <w:rsid w:val="00A82B6D"/>
    <w:rsid w:val="00A83694"/>
    <w:rsid w:val="00A84978"/>
    <w:rsid w:val="00A84A41"/>
    <w:rsid w:val="00A84ADE"/>
    <w:rsid w:val="00A85161"/>
    <w:rsid w:val="00A85279"/>
    <w:rsid w:val="00A85527"/>
    <w:rsid w:val="00A85A22"/>
    <w:rsid w:val="00A8601F"/>
    <w:rsid w:val="00A864B4"/>
    <w:rsid w:val="00A86679"/>
    <w:rsid w:val="00A86797"/>
    <w:rsid w:val="00A8716B"/>
    <w:rsid w:val="00A8759F"/>
    <w:rsid w:val="00A87AAD"/>
    <w:rsid w:val="00A87CB8"/>
    <w:rsid w:val="00A918CE"/>
    <w:rsid w:val="00A93B02"/>
    <w:rsid w:val="00A93DC9"/>
    <w:rsid w:val="00A94770"/>
    <w:rsid w:val="00A94938"/>
    <w:rsid w:val="00A94ACE"/>
    <w:rsid w:val="00A9606C"/>
    <w:rsid w:val="00A9721B"/>
    <w:rsid w:val="00A9753D"/>
    <w:rsid w:val="00AA0220"/>
    <w:rsid w:val="00AA12F1"/>
    <w:rsid w:val="00AA2CF6"/>
    <w:rsid w:val="00AA2F33"/>
    <w:rsid w:val="00AA33E7"/>
    <w:rsid w:val="00AA3F36"/>
    <w:rsid w:val="00AA41FD"/>
    <w:rsid w:val="00AA4533"/>
    <w:rsid w:val="00AA471D"/>
    <w:rsid w:val="00AA56F2"/>
    <w:rsid w:val="00AA58F9"/>
    <w:rsid w:val="00AA5CA1"/>
    <w:rsid w:val="00AA65A2"/>
    <w:rsid w:val="00AA6765"/>
    <w:rsid w:val="00AA70DC"/>
    <w:rsid w:val="00AB025A"/>
    <w:rsid w:val="00AB0374"/>
    <w:rsid w:val="00AB0A85"/>
    <w:rsid w:val="00AB13E3"/>
    <w:rsid w:val="00AB1ADC"/>
    <w:rsid w:val="00AB2431"/>
    <w:rsid w:val="00AB24BC"/>
    <w:rsid w:val="00AB24C5"/>
    <w:rsid w:val="00AB3073"/>
    <w:rsid w:val="00AB44F7"/>
    <w:rsid w:val="00AB4B00"/>
    <w:rsid w:val="00AB4DFC"/>
    <w:rsid w:val="00AB5147"/>
    <w:rsid w:val="00AB5A6F"/>
    <w:rsid w:val="00AB65DC"/>
    <w:rsid w:val="00AB682C"/>
    <w:rsid w:val="00AB6EE1"/>
    <w:rsid w:val="00AB73AA"/>
    <w:rsid w:val="00AB75E8"/>
    <w:rsid w:val="00AB7E12"/>
    <w:rsid w:val="00AC1005"/>
    <w:rsid w:val="00AC172D"/>
    <w:rsid w:val="00AC1B4A"/>
    <w:rsid w:val="00AC227C"/>
    <w:rsid w:val="00AC262E"/>
    <w:rsid w:val="00AC26A2"/>
    <w:rsid w:val="00AC2ADE"/>
    <w:rsid w:val="00AC2DB1"/>
    <w:rsid w:val="00AC4D00"/>
    <w:rsid w:val="00AC5E31"/>
    <w:rsid w:val="00AC604B"/>
    <w:rsid w:val="00AC6595"/>
    <w:rsid w:val="00AC741B"/>
    <w:rsid w:val="00AC754D"/>
    <w:rsid w:val="00AC771B"/>
    <w:rsid w:val="00AD049F"/>
    <w:rsid w:val="00AD0588"/>
    <w:rsid w:val="00AD08BC"/>
    <w:rsid w:val="00AD0E34"/>
    <w:rsid w:val="00AD1F85"/>
    <w:rsid w:val="00AD20E6"/>
    <w:rsid w:val="00AD245C"/>
    <w:rsid w:val="00AD2806"/>
    <w:rsid w:val="00AD297E"/>
    <w:rsid w:val="00AD3302"/>
    <w:rsid w:val="00AD383D"/>
    <w:rsid w:val="00AD41A7"/>
    <w:rsid w:val="00AD496C"/>
    <w:rsid w:val="00AD4CA1"/>
    <w:rsid w:val="00AD54E3"/>
    <w:rsid w:val="00AD5CF2"/>
    <w:rsid w:val="00AD67B1"/>
    <w:rsid w:val="00AD730C"/>
    <w:rsid w:val="00AD73ED"/>
    <w:rsid w:val="00AD792D"/>
    <w:rsid w:val="00AD798F"/>
    <w:rsid w:val="00AD7A1E"/>
    <w:rsid w:val="00AE02FB"/>
    <w:rsid w:val="00AE0D2C"/>
    <w:rsid w:val="00AE1528"/>
    <w:rsid w:val="00AE18D9"/>
    <w:rsid w:val="00AE19BC"/>
    <w:rsid w:val="00AE2F8D"/>
    <w:rsid w:val="00AE3675"/>
    <w:rsid w:val="00AE3683"/>
    <w:rsid w:val="00AE3B4C"/>
    <w:rsid w:val="00AE4C8A"/>
    <w:rsid w:val="00AE4D26"/>
    <w:rsid w:val="00AE5A92"/>
    <w:rsid w:val="00AE6045"/>
    <w:rsid w:val="00AE607C"/>
    <w:rsid w:val="00AE6399"/>
    <w:rsid w:val="00AE6842"/>
    <w:rsid w:val="00AE76F5"/>
    <w:rsid w:val="00AF0AC4"/>
    <w:rsid w:val="00AF1981"/>
    <w:rsid w:val="00AF1F51"/>
    <w:rsid w:val="00AF24EA"/>
    <w:rsid w:val="00AF3599"/>
    <w:rsid w:val="00AF3B91"/>
    <w:rsid w:val="00AF3F6C"/>
    <w:rsid w:val="00AF56AC"/>
    <w:rsid w:val="00AF5F98"/>
    <w:rsid w:val="00AF611A"/>
    <w:rsid w:val="00AF71E4"/>
    <w:rsid w:val="00AF77A8"/>
    <w:rsid w:val="00B00148"/>
    <w:rsid w:val="00B008FE"/>
    <w:rsid w:val="00B01DDC"/>
    <w:rsid w:val="00B01FF6"/>
    <w:rsid w:val="00B02DCB"/>
    <w:rsid w:val="00B03028"/>
    <w:rsid w:val="00B035D9"/>
    <w:rsid w:val="00B03C00"/>
    <w:rsid w:val="00B05CB9"/>
    <w:rsid w:val="00B074EA"/>
    <w:rsid w:val="00B07630"/>
    <w:rsid w:val="00B07A18"/>
    <w:rsid w:val="00B07DD9"/>
    <w:rsid w:val="00B102B8"/>
    <w:rsid w:val="00B1082D"/>
    <w:rsid w:val="00B10CDE"/>
    <w:rsid w:val="00B10F2F"/>
    <w:rsid w:val="00B11A9B"/>
    <w:rsid w:val="00B11F07"/>
    <w:rsid w:val="00B120F2"/>
    <w:rsid w:val="00B124E7"/>
    <w:rsid w:val="00B138F1"/>
    <w:rsid w:val="00B13D78"/>
    <w:rsid w:val="00B13E90"/>
    <w:rsid w:val="00B145EF"/>
    <w:rsid w:val="00B15673"/>
    <w:rsid w:val="00B15E02"/>
    <w:rsid w:val="00B169B1"/>
    <w:rsid w:val="00B16F51"/>
    <w:rsid w:val="00B1750E"/>
    <w:rsid w:val="00B175CF"/>
    <w:rsid w:val="00B17F95"/>
    <w:rsid w:val="00B20424"/>
    <w:rsid w:val="00B20589"/>
    <w:rsid w:val="00B20658"/>
    <w:rsid w:val="00B20CFD"/>
    <w:rsid w:val="00B21143"/>
    <w:rsid w:val="00B21D95"/>
    <w:rsid w:val="00B21F1B"/>
    <w:rsid w:val="00B2225E"/>
    <w:rsid w:val="00B22679"/>
    <w:rsid w:val="00B22E9E"/>
    <w:rsid w:val="00B23140"/>
    <w:rsid w:val="00B235D1"/>
    <w:rsid w:val="00B23D90"/>
    <w:rsid w:val="00B249C9"/>
    <w:rsid w:val="00B24A4A"/>
    <w:rsid w:val="00B24BF7"/>
    <w:rsid w:val="00B24DAF"/>
    <w:rsid w:val="00B24E83"/>
    <w:rsid w:val="00B26350"/>
    <w:rsid w:val="00B278F6"/>
    <w:rsid w:val="00B27CE0"/>
    <w:rsid w:val="00B30409"/>
    <w:rsid w:val="00B30BA0"/>
    <w:rsid w:val="00B30E9A"/>
    <w:rsid w:val="00B311B5"/>
    <w:rsid w:val="00B31908"/>
    <w:rsid w:val="00B31CF2"/>
    <w:rsid w:val="00B329FF"/>
    <w:rsid w:val="00B3312E"/>
    <w:rsid w:val="00B33A66"/>
    <w:rsid w:val="00B344D9"/>
    <w:rsid w:val="00B34A16"/>
    <w:rsid w:val="00B35022"/>
    <w:rsid w:val="00B3571D"/>
    <w:rsid w:val="00B35778"/>
    <w:rsid w:val="00B36D03"/>
    <w:rsid w:val="00B36E9F"/>
    <w:rsid w:val="00B37A0A"/>
    <w:rsid w:val="00B37CAF"/>
    <w:rsid w:val="00B40683"/>
    <w:rsid w:val="00B40A41"/>
    <w:rsid w:val="00B40A4D"/>
    <w:rsid w:val="00B416E2"/>
    <w:rsid w:val="00B41C74"/>
    <w:rsid w:val="00B422C4"/>
    <w:rsid w:val="00B4247A"/>
    <w:rsid w:val="00B42597"/>
    <w:rsid w:val="00B427DE"/>
    <w:rsid w:val="00B43239"/>
    <w:rsid w:val="00B444E3"/>
    <w:rsid w:val="00B44EAC"/>
    <w:rsid w:val="00B455FC"/>
    <w:rsid w:val="00B457AE"/>
    <w:rsid w:val="00B4585B"/>
    <w:rsid w:val="00B45C2D"/>
    <w:rsid w:val="00B503E1"/>
    <w:rsid w:val="00B50470"/>
    <w:rsid w:val="00B50818"/>
    <w:rsid w:val="00B50A89"/>
    <w:rsid w:val="00B50AF1"/>
    <w:rsid w:val="00B51966"/>
    <w:rsid w:val="00B527FE"/>
    <w:rsid w:val="00B528DC"/>
    <w:rsid w:val="00B52A9D"/>
    <w:rsid w:val="00B52DB0"/>
    <w:rsid w:val="00B5331A"/>
    <w:rsid w:val="00B5331D"/>
    <w:rsid w:val="00B538ED"/>
    <w:rsid w:val="00B542B9"/>
    <w:rsid w:val="00B54DE1"/>
    <w:rsid w:val="00B55731"/>
    <w:rsid w:val="00B55BD9"/>
    <w:rsid w:val="00B56676"/>
    <w:rsid w:val="00B569FC"/>
    <w:rsid w:val="00B5700B"/>
    <w:rsid w:val="00B5781D"/>
    <w:rsid w:val="00B578B7"/>
    <w:rsid w:val="00B57EEF"/>
    <w:rsid w:val="00B60279"/>
    <w:rsid w:val="00B6049C"/>
    <w:rsid w:val="00B60643"/>
    <w:rsid w:val="00B60773"/>
    <w:rsid w:val="00B60E08"/>
    <w:rsid w:val="00B61290"/>
    <w:rsid w:val="00B61680"/>
    <w:rsid w:val="00B6182B"/>
    <w:rsid w:val="00B61B07"/>
    <w:rsid w:val="00B62239"/>
    <w:rsid w:val="00B62803"/>
    <w:rsid w:val="00B631C4"/>
    <w:rsid w:val="00B634EC"/>
    <w:rsid w:val="00B639BA"/>
    <w:rsid w:val="00B63D3D"/>
    <w:rsid w:val="00B63FCD"/>
    <w:rsid w:val="00B642E7"/>
    <w:rsid w:val="00B647DC"/>
    <w:rsid w:val="00B64D6F"/>
    <w:rsid w:val="00B65EF6"/>
    <w:rsid w:val="00B66666"/>
    <w:rsid w:val="00B6699B"/>
    <w:rsid w:val="00B672C2"/>
    <w:rsid w:val="00B6732C"/>
    <w:rsid w:val="00B67A26"/>
    <w:rsid w:val="00B67CD4"/>
    <w:rsid w:val="00B67F02"/>
    <w:rsid w:val="00B7061B"/>
    <w:rsid w:val="00B7069C"/>
    <w:rsid w:val="00B70C1B"/>
    <w:rsid w:val="00B71E15"/>
    <w:rsid w:val="00B721EC"/>
    <w:rsid w:val="00B72513"/>
    <w:rsid w:val="00B72E49"/>
    <w:rsid w:val="00B7354C"/>
    <w:rsid w:val="00B74520"/>
    <w:rsid w:val="00B74D0C"/>
    <w:rsid w:val="00B763E1"/>
    <w:rsid w:val="00B7653A"/>
    <w:rsid w:val="00B768CC"/>
    <w:rsid w:val="00B768EC"/>
    <w:rsid w:val="00B76AAC"/>
    <w:rsid w:val="00B76B29"/>
    <w:rsid w:val="00B771A9"/>
    <w:rsid w:val="00B779DD"/>
    <w:rsid w:val="00B80097"/>
    <w:rsid w:val="00B80815"/>
    <w:rsid w:val="00B80EF2"/>
    <w:rsid w:val="00B813BE"/>
    <w:rsid w:val="00B82177"/>
    <w:rsid w:val="00B82282"/>
    <w:rsid w:val="00B82636"/>
    <w:rsid w:val="00B828AD"/>
    <w:rsid w:val="00B82D24"/>
    <w:rsid w:val="00B833FA"/>
    <w:rsid w:val="00B8357F"/>
    <w:rsid w:val="00B841C6"/>
    <w:rsid w:val="00B84E37"/>
    <w:rsid w:val="00B85039"/>
    <w:rsid w:val="00B854D9"/>
    <w:rsid w:val="00B85933"/>
    <w:rsid w:val="00B866EB"/>
    <w:rsid w:val="00B87190"/>
    <w:rsid w:val="00B871CE"/>
    <w:rsid w:val="00B87703"/>
    <w:rsid w:val="00B87775"/>
    <w:rsid w:val="00B87A3D"/>
    <w:rsid w:val="00B902B3"/>
    <w:rsid w:val="00B90BA8"/>
    <w:rsid w:val="00B90EF3"/>
    <w:rsid w:val="00B91B29"/>
    <w:rsid w:val="00B91D33"/>
    <w:rsid w:val="00B925D7"/>
    <w:rsid w:val="00B92E21"/>
    <w:rsid w:val="00B933F4"/>
    <w:rsid w:val="00B93F8A"/>
    <w:rsid w:val="00B93FF9"/>
    <w:rsid w:val="00B9406A"/>
    <w:rsid w:val="00B94CA7"/>
    <w:rsid w:val="00B94EC2"/>
    <w:rsid w:val="00B954F0"/>
    <w:rsid w:val="00B9573B"/>
    <w:rsid w:val="00B95B70"/>
    <w:rsid w:val="00B95C1C"/>
    <w:rsid w:val="00B95EC9"/>
    <w:rsid w:val="00B965A5"/>
    <w:rsid w:val="00B97D44"/>
    <w:rsid w:val="00BA0A81"/>
    <w:rsid w:val="00BA147F"/>
    <w:rsid w:val="00BA1AC8"/>
    <w:rsid w:val="00BA201C"/>
    <w:rsid w:val="00BA32C8"/>
    <w:rsid w:val="00BA3741"/>
    <w:rsid w:val="00BA3ADC"/>
    <w:rsid w:val="00BA3D23"/>
    <w:rsid w:val="00BA41D9"/>
    <w:rsid w:val="00BA44AB"/>
    <w:rsid w:val="00BA4A66"/>
    <w:rsid w:val="00BA5ADD"/>
    <w:rsid w:val="00BA63E3"/>
    <w:rsid w:val="00BA6652"/>
    <w:rsid w:val="00BA6CF6"/>
    <w:rsid w:val="00BA6F41"/>
    <w:rsid w:val="00BA70AC"/>
    <w:rsid w:val="00BA79CA"/>
    <w:rsid w:val="00BB01F0"/>
    <w:rsid w:val="00BB0429"/>
    <w:rsid w:val="00BB0FD2"/>
    <w:rsid w:val="00BB17E4"/>
    <w:rsid w:val="00BB2059"/>
    <w:rsid w:val="00BB43CF"/>
    <w:rsid w:val="00BB4F82"/>
    <w:rsid w:val="00BB6043"/>
    <w:rsid w:val="00BB60FD"/>
    <w:rsid w:val="00BB6330"/>
    <w:rsid w:val="00BB6E32"/>
    <w:rsid w:val="00BB7BB2"/>
    <w:rsid w:val="00BB7DE0"/>
    <w:rsid w:val="00BC049E"/>
    <w:rsid w:val="00BC12D9"/>
    <w:rsid w:val="00BC1A4A"/>
    <w:rsid w:val="00BC21BE"/>
    <w:rsid w:val="00BC2729"/>
    <w:rsid w:val="00BC2904"/>
    <w:rsid w:val="00BC2E11"/>
    <w:rsid w:val="00BC3063"/>
    <w:rsid w:val="00BC31B9"/>
    <w:rsid w:val="00BC3596"/>
    <w:rsid w:val="00BC4E01"/>
    <w:rsid w:val="00BC5311"/>
    <w:rsid w:val="00BC61C0"/>
    <w:rsid w:val="00BC6624"/>
    <w:rsid w:val="00BC6920"/>
    <w:rsid w:val="00BC75D8"/>
    <w:rsid w:val="00BC75F7"/>
    <w:rsid w:val="00BC792F"/>
    <w:rsid w:val="00BC7C08"/>
    <w:rsid w:val="00BC7C2E"/>
    <w:rsid w:val="00BD18C6"/>
    <w:rsid w:val="00BD19E0"/>
    <w:rsid w:val="00BD1AC6"/>
    <w:rsid w:val="00BD22F5"/>
    <w:rsid w:val="00BD28F4"/>
    <w:rsid w:val="00BD2D42"/>
    <w:rsid w:val="00BD2EF6"/>
    <w:rsid w:val="00BD31C0"/>
    <w:rsid w:val="00BD3395"/>
    <w:rsid w:val="00BD37B2"/>
    <w:rsid w:val="00BD3A33"/>
    <w:rsid w:val="00BD41ED"/>
    <w:rsid w:val="00BD5061"/>
    <w:rsid w:val="00BD562B"/>
    <w:rsid w:val="00BD56C9"/>
    <w:rsid w:val="00BD587B"/>
    <w:rsid w:val="00BD5E9B"/>
    <w:rsid w:val="00BD633C"/>
    <w:rsid w:val="00BD7026"/>
    <w:rsid w:val="00BD78C9"/>
    <w:rsid w:val="00BD7C19"/>
    <w:rsid w:val="00BE11FA"/>
    <w:rsid w:val="00BE132C"/>
    <w:rsid w:val="00BE33FE"/>
    <w:rsid w:val="00BE3EBA"/>
    <w:rsid w:val="00BE3FB4"/>
    <w:rsid w:val="00BE484D"/>
    <w:rsid w:val="00BE4850"/>
    <w:rsid w:val="00BE5B1E"/>
    <w:rsid w:val="00BE6341"/>
    <w:rsid w:val="00BF08DC"/>
    <w:rsid w:val="00BF0D99"/>
    <w:rsid w:val="00BF1448"/>
    <w:rsid w:val="00BF25D7"/>
    <w:rsid w:val="00BF2AFA"/>
    <w:rsid w:val="00BF384C"/>
    <w:rsid w:val="00BF3C68"/>
    <w:rsid w:val="00BF441D"/>
    <w:rsid w:val="00BF4996"/>
    <w:rsid w:val="00BF6413"/>
    <w:rsid w:val="00BF6E34"/>
    <w:rsid w:val="00BF6E40"/>
    <w:rsid w:val="00BF74C0"/>
    <w:rsid w:val="00C004CC"/>
    <w:rsid w:val="00C01814"/>
    <w:rsid w:val="00C01AF7"/>
    <w:rsid w:val="00C01BEF"/>
    <w:rsid w:val="00C0232F"/>
    <w:rsid w:val="00C02CB7"/>
    <w:rsid w:val="00C02E46"/>
    <w:rsid w:val="00C0312E"/>
    <w:rsid w:val="00C03C6D"/>
    <w:rsid w:val="00C03E28"/>
    <w:rsid w:val="00C0408D"/>
    <w:rsid w:val="00C0443D"/>
    <w:rsid w:val="00C045B9"/>
    <w:rsid w:val="00C049B9"/>
    <w:rsid w:val="00C05343"/>
    <w:rsid w:val="00C05E67"/>
    <w:rsid w:val="00C06702"/>
    <w:rsid w:val="00C070B2"/>
    <w:rsid w:val="00C07CD0"/>
    <w:rsid w:val="00C07EAF"/>
    <w:rsid w:val="00C10AEA"/>
    <w:rsid w:val="00C10DB2"/>
    <w:rsid w:val="00C1122C"/>
    <w:rsid w:val="00C112D4"/>
    <w:rsid w:val="00C11534"/>
    <w:rsid w:val="00C11C38"/>
    <w:rsid w:val="00C11CE7"/>
    <w:rsid w:val="00C11DC8"/>
    <w:rsid w:val="00C11EF8"/>
    <w:rsid w:val="00C12139"/>
    <w:rsid w:val="00C127ED"/>
    <w:rsid w:val="00C128BA"/>
    <w:rsid w:val="00C12C01"/>
    <w:rsid w:val="00C12DF6"/>
    <w:rsid w:val="00C1313F"/>
    <w:rsid w:val="00C133DC"/>
    <w:rsid w:val="00C14353"/>
    <w:rsid w:val="00C17B10"/>
    <w:rsid w:val="00C21869"/>
    <w:rsid w:val="00C21A32"/>
    <w:rsid w:val="00C21A76"/>
    <w:rsid w:val="00C21F36"/>
    <w:rsid w:val="00C228AE"/>
    <w:rsid w:val="00C233A7"/>
    <w:rsid w:val="00C2741C"/>
    <w:rsid w:val="00C30893"/>
    <w:rsid w:val="00C312E2"/>
    <w:rsid w:val="00C317D7"/>
    <w:rsid w:val="00C31C20"/>
    <w:rsid w:val="00C31E39"/>
    <w:rsid w:val="00C32978"/>
    <w:rsid w:val="00C32AF8"/>
    <w:rsid w:val="00C3464C"/>
    <w:rsid w:val="00C34C66"/>
    <w:rsid w:val="00C356D5"/>
    <w:rsid w:val="00C356FC"/>
    <w:rsid w:val="00C357CD"/>
    <w:rsid w:val="00C3583C"/>
    <w:rsid w:val="00C35F50"/>
    <w:rsid w:val="00C36C72"/>
    <w:rsid w:val="00C375AA"/>
    <w:rsid w:val="00C409B3"/>
    <w:rsid w:val="00C415A1"/>
    <w:rsid w:val="00C41666"/>
    <w:rsid w:val="00C41761"/>
    <w:rsid w:val="00C4188A"/>
    <w:rsid w:val="00C41981"/>
    <w:rsid w:val="00C41F97"/>
    <w:rsid w:val="00C423A9"/>
    <w:rsid w:val="00C427E9"/>
    <w:rsid w:val="00C42BE8"/>
    <w:rsid w:val="00C42E6C"/>
    <w:rsid w:val="00C43387"/>
    <w:rsid w:val="00C437CE"/>
    <w:rsid w:val="00C439DA"/>
    <w:rsid w:val="00C45194"/>
    <w:rsid w:val="00C454F4"/>
    <w:rsid w:val="00C45530"/>
    <w:rsid w:val="00C45915"/>
    <w:rsid w:val="00C46416"/>
    <w:rsid w:val="00C47065"/>
    <w:rsid w:val="00C47E4A"/>
    <w:rsid w:val="00C47F1A"/>
    <w:rsid w:val="00C50BAC"/>
    <w:rsid w:val="00C5108B"/>
    <w:rsid w:val="00C515A2"/>
    <w:rsid w:val="00C5171D"/>
    <w:rsid w:val="00C522B2"/>
    <w:rsid w:val="00C53296"/>
    <w:rsid w:val="00C53CAF"/>
    <w:rsid w:val="00C542F8"/>
    <w:rsid w:val="00C54866"/>
    <w:rsid w:val="00C551A6"/>
    <w:rsid w:val="00C56A93"/>
    <w:rsid w:val="00C56CBB"/>
    <w:rsid w:val="00C5718F"/>
    <w:rsid w:val="00C57608"/>
    <w:rsid w:val="00C57AE6"/>
    <w:rsid w:val="00C57B71"/>
    <w:rsid w:val="00C6165D"/>
    <w:rsid w:val="00C61802"/>
    <w:rsid w:val="00C62441"/>
    <w:rsid w:val="00C63799"/>
    <w:rsid w:val="00C6466C"/>
    <w:rsid w:val="00C64742"/>
    <w:rsid w:val="00C64D9A"/>
    <w:rsid w:val="00C65A64"/>
    <w:rsid w:val="00C65F1C"/>
    <w:rsid w:val="00C66197"/>
    <w:rsid w:val="00C6631E"/>
    <w:rsid w:val="00C663BD"/>
    <w:rsid w:val="00C66BD4"/>
    <w:rsid w:val="00C67931"/>
    <w:rsid w:val="00C67ABC"/>
    <w:rsid w:val="00C70282"/>
    <w:rsid w:val="00C70C17"/>
    <w:rsid w:val="00C71168"/>
    <w:rsid w:val="00C72F40"/>
    <w:rsid w:val="00C73D5E"/>
    <w:rsid w:val="00C741D9"/>
    <w:rsid w:val="00C74A53"/>
    <w:rsid w:val="00C75AB3"/>
    <w:rsid w:val="00C766B7"/>
    <w:rsid w:val="00C769E5"/>
    <w:rsid w:val="00C76F37"/>
    <w:rsid w:val="00C771D5"/>
    <w:rsid w:val="00C77E78"/>
    <w:rsid w:val="00C80365"/>
    <w:rsid w:val="00C8039C"/>
    <w:rsid w:val="00C80D44"/>
    <w:rsid w:val="00C80DB9"/>
    <w:rsid w:val="00C81660"/>
    <w:rsid w:val="00C82AD5"/>
    <w:rsid w:val="00C82F5F"/>
    <w:rsid w:val="00C83369"/>
    <w:rsid w:val="00C837A3"/>
    <w:rsid w:val="00C843B4"/>
    <w:rsid w:val="00C84E42"/>
    <w:rsid w:val="00C85914"/>
    <w:rsid w:val="00C85FB6"/>
    <w:rsid w:val="00C8606B"/>
    <w:rsid w:val="00C86619"/>
    <w:rsid w:val="00C86666"/>
    <w:rsid w:val="00C871CC"/>
    <w:rsid w:val="00C8760F"/>
    <w:rsid w:val="00C876A5"/>
    <w:rsid w:val="00C87B05"/>
    <w:rsid w:val="00C87D01"/>
    <w:rsid w:val="00C90F95"/>
    <w:rsid w:val="00C912E7"/>
    <w:rsid w:val="00C913F7"/>
    <w:rsid w:val="00C91D17"/>
    <w:rsid w:val="00C92354"/>
    <w:rsid w:val="00C92B22"/>
    <w:rsid w:val="00C93506"/>
    <w:rsid w:val="00C94177"/>
    <w:rsid w:val="00C94C52"/>
    <w:rsid w:val="00C96055"/>
    <w:rsid w:val="00C96CAA"/>
    <w:rsid w:val="00C9717A"/>
    <w:rsid w:val="00C97B7A"/>
    <w:rsid w:val="00CA041D"/>
    <w:rsid w:val="00CA051D"/>
    <w:rsid w:val="00CA0583"/>
    <w:rsid w:val="00CA16F3"/>
    <w:rsid w:val="00CA1F9F"/>
    <w:rsid w:val="00CA274B"/>
    <w:rsid w:val="00CA2D6F"/>
    <w:rsid w:val="00CA31CB"/>
    <w:rsid w:val="00CA429D"/>
    <w:rsid w:val="00CA42A8"/>
    <w:rsid w:val="00CA484E"/>
    <w:rsid w:val="00CA4DFD"/>
    <w:rsid w:val="00CA5057"/>
    <w:rsid w:val="00CA5940"/>
    <w:rsid w:val="00CA5985"/>
    <w:rsid w:val="00CA62DC"/>
    <w:rsid w:val="00CA6625"/>
    <w:rsid w:val="00CA7463"/>
    <w:rsid w:val="00CA79C9"/>
    <w:rsid w:val="00CB02EC"/>
    <w:rsid w:val="00CB03F5"/>
    <w:rsid w:val="00CB05ED"/>
    <w:rsid w:val="00CB0653"/>
    <w:rsid w:val="00CB07F0"/>
    <w:rsid w:val="00CB0ABA"/>
    <w:rsid w:val="00CB0B26"/>
    <w:rsid w:val="00CB0BCA"/>
    <w:rsid w:val="00CB1F23"/>
    <w:rsid w:val="00CB29B4"/>
    <w:rsid w:val="00CB3F64"/>
    <w:rsid w:val="00CB4F8D"/>
    <w:rsid w:val="00CB790C"/>
    <w:rsid w:val="00CB79B1"/>
    <w:rsid w:val="00CB7A80"/>
    <w:rsid w:val="00CC0333"/>
    <w:rsid w:val="00CC061A"/>
    <w:rsid w:val="00CC09A4"/>
    <w:rsid w:val="00CC1105"/>
    <w:rsid w:val="00CC19A1"/>
    <w:rsid w:val="00CC1CA4"/>
    <w:rsid w:val="00CC2926"/>
    <w:rsid w:val="00CC3604"/>
    <w:rsid w:val="00CC3647"/>
    <w:rsid w:val="00CC37AF"/>
    <w:rsid w:val="00CC3C8E"/>
    <w:rsid w:val="00CC5A24"/>
    <w:rsid w:val="00CC5A2C"/>
    <w:rsid w:val="00CC5EBF"/>
    <w:rsid w:val="00CC7AB7"/>
    <w:rsid w:val="00CD1058"/>
    <w:rsid w:val="00CD2CDD"/>
    <w:rsid w:val="00CD360F"/>
    <w:rsid w:val="00CD38F4"/>
    <w:rsid w:val="00CD39AA"/>
    <w:rsid w:val="00CD3FFA"/>
    <w:rsid w:val="00CD5455"/>
    <w:rsid w:val="00CD709B"/>
    <w:rsid w:val="00CE01EE"/>
    <w:rsid w:val="00CE1027"/>
    <w:rsid w:val="00CE1C38"/>
    <w:rsid w:val="00CE263F"/>
    <w:rsid w:val="00CE357A"/>
    <w:rsid w:val="00CE3828"/>
    <w:rsid w:val="00CE3EA0"/>
    <w:rsid w:val="00CE400C"/>
    <w:rsid w:val="00CE486C"/>
    <w:rsid w:val="00CE4A97"/>
    <w:rsid w:val="00CE4DA3"/>
    <w:rsid w:val="00CE5CCE"/>
    <w:rsid w:val="00CE6449"/>
    <w:rsid w:val="00CE6758"/>
    <w:rsid w:val="00CE69DC"/>
    <w:rsid w:val="00CE6C00"/>
    <w:rsid w:val="00CE6C79"/>
    <w:rsid w:val="00CE6DB9"/>
    <w:rsid w:val="00CE6EBB"/>
    <w:rsid w:val="00CE7CBB"/>
    <w:rsid w:val="00CE7CF9"/>
    <w:rsid w:val="00CF0857"/>
    <w:rsid w:val="00CF0EF1"/>
    <w:rsid w:val="00CF1087"/>
    <w:rsid w:val="00CF186E"/>
    <w:rsid w:val="00CF1C0C"/>
    <w:rsid w:val="00CF2868"/>
    <w:rsid w:val="00CF3B46"/>
    <w:rsid w:val="00CF4089"/>
    <w:rsid w:val="00CF47EA"/>
    <w:rsid w:val="00CF48C0"/>
    <w:rsid w:val="00CF4EDC"/>
    <w:rsid w:val="00CF50AC"/>
    <w:rsid w:val="00CF57ED"/>
    <w:rsid w:val="00CF6043"/>
    <w:rsid w:val="00CF6AF7"/>
    <w:rsid w:val="00CF6F3C"/>
    <w:rsid w:val="00CF7623"/>
    <w:rsid w:val="00CF7AE7"/>
    <w:rsid w:val="00CF7E85"/>
    <w:rsid w:val="00CF7FF4"/>
    <w:rsid w:val="00D001F8"/>
    <w:rsid w:val="00D0087C"/>
    <w:rsid w:val="00D0131C"/>
    <w:rsid w:val="00D026D1"/>
    <w:rsid w:val="00D029C4"/>
    <w:rsid w:val="00D042F5"/>
    <w:rsid w:val="00D04419"/>
    <w:rsid w:val="00D049C0"/>
    <w:rsid w:val="00D049C4"/>
    <w:rsid w:val="00D05116"/>
    <w:rsid w:val="00D05316"/>
    <w:rsid w:val="00D06654"/>
    <w:rsid w:val="00D066E9"/>
    <w:rsid w:val="00D069B8"/>
    <w:rsid w:val="00D06BE5"/>
    <w:rsid w:val="00D070BB"/>
    <w:rsid w:val="00D07237"/>
    <w:rsid w:val="00D07410"/>
    <w:rsid w:val="00D107DF"/>
    <w:rsid w:val="00D111E9"/>
    <w:rsid w:val="00D117EE"/>
    <w:rsid w:val="00D11B88"/>
    <w:rsid w:val="00D11BEE"/>
    <w:rsid w:val="00D11D08"/>
    <w:rsid w:val="00D11D71"/>
    <w:rsid w:val="00D12013"/>
    <w:rsid w:val="00D12602"/>
    <w:rsid w:val="00D130D8"/>
    <w:rsid w:val="00D133B7"/>
    <w:rsid w:val="00D13A83"/>
    <w:rsid w:val="00D13C0E"/>
    <w:rsid w:val="00D141C6"/>
    <w:rsid w:val="00D14B26"/>
    <w:rsid w:val="00D153CF"/>
    <w:rsid w:val="00D15EF1"/>
    <w:rsid w:val="00D15F39"/>
    <w:rsid w:val="00D16A70"/>
    <w:rsid w:val="00D17622"/>
    <w:rsid w:val="00D1766F"/>
    <w:rsid w:val="00D211FA"/>
    <w:rsid w:val="00D215DF"/>
    <w:rsid w:val="00D21AF4"/>
    <w:rsid w:val="00D22076"/>
    <w:rsid w:val="00D22813"/>
    <w:rsid w:val="00D232C4"/>
    <w:rsid w:val="00D23544"/>
    <w:rsid w:val="00D24057"/>
    <w:rsid w:val="00D249A8"/>
    <w:rsid w:val="00D24F2F"/>
    <w:rsid w:val="00D251E7"/>
    <w:rsid w:val="00D252B3"/>
    <w:rsid w:val="00D25669"/>
    <w:rsid w:val="00D27056"/>
    <w:rsid w:val="00D271C8"/>
    <w:rsid w:val="00D27BC1"/>
    <w:rsid w:val="00D30041"/>
    <w:rsid w:val="00D3080D"/>
    <w:rsid w:val="00D30936"/>
    <w:rsid w:val="00D310DD"/>
    <w:rsid w:val="00D31BC4"/>
    <w:rsid w:val="00D32255"/>
    <w:rsid w:val="00D32940"/>
    <w:rsid w:val="00D32ACE"/>
    <w:rsid w:val="00D32B54"/>
    <w:rsid w:val="00D33209"/>
    <w:rsid w:val="00D341CD"/>
    <w:rsid w:val="00D35439"/>
    <w:rsid w:val="00D366C3"/>
    <w:rsid w:val="00D377B8"/>
    <w:rsid w:val="00D37ECF"/>
    <w:rsid w:val="00D40EE5"/>
    <w:rsid w:val="00D41906"/>
    <w:rsid w:val="00D426EC"/>
    <w:rsid w:val="00D431CF"/>
    <w:rsid w:val="00D439D1"/>
    <w:rsid w:val="00D43C3D"/>
    <w:rsid w:val="00D43CF6"/>
    <w:rsid w:val="00D445ED"/>
    <w:rsid w:val="00D448EE"/>
    <w:rsid w:val="00D45C08"/>
    <w:rsid w:val="00D465CF"/>
    <w:rsid w:val="00D46A54"/>
    <w:rsid w:val="00D503A0"/>
    <w:rsid w:val="00D50545"/>
    <w:rsid w:val="00D50BBB"/>
    <w:rsid w:val="00D5122C"/>
    <w:rsid w:val="00D517C2"/>
    <w:rsid w:val="00D51A57"/>
    <w:rsid w:val="00D52190"/>
    <w:rsid w:val="00D521C2"/>
    <w:rsid w:val="00D52B4E"/>
    <w:rsid w:val="00D52C44"/>
    <w:rsid w:val="00D52EE4"/>
    <w:rsid w:val="00D53D3A"/>
    <w:rsid w:val="00D56A18"/>
    <w:rsid w:val="00D56AA7"/>
    <w:rsid w:val="00D570FC"/>
    <w:rsid w:val="00D5759B"/>
    <w:rsid w:val="00D57A8B"/>
    <w:rsid w:val="00D602F2"/>
    <w:rsid w:val="00D619A6"/>
    <w:rsid w:val="00D61B9A"/>
    <w:rsid w:val="00D61CF2"/>
    <w:rsid w:val="00D6227B"/>
    <w:rsid w:val="00D62BFB"/>
    <w:rsid w:val="00D6376C"/>
    <w:rsid w:val="00D64023"/>
    <w:rsid w:val="00D64CD7"/>
    <w:rsid w:val="00D65615"/>
    <w:rsid w:val="00D656BB"/>
    <w:rsid w:val="00D65729"/>
    <w:rsid w:val="00D6572B"/>
    <w:rsid w:val="00D66006"/>
    <w:rsid w:val="00D70A39"/>
    <w:rsid w:val="00D71083"/>
    <w:rsid w:val="00D71174"/>
    <w:rsid w:val="00D71ADC"/>
    <w:rsid w:val="00D71B66"/>
    <w:rsid w:val="00D72223"/>
    <w:rsid w:val="00D72922"/>
    <w:rsid w:val="00D729BB"/>
    <w:rsid w:val="00D72C30"/>
    <w:rsid w:val="00D73496"/>
    <w:rsid w:val="00D7366F"/>
    <w:rsid w:val="00D73917"/>
    <w:rsid w:val="00D73983"/>
    <w:rsid w:val="00D73B5E"/>
    <w:rsid w:val="00D74582"/>
    <w:rsid w:val="00D74C0D"/>
    <w:rsid w:val="00D757C9"/>
    <w:rsid w:val="00D75849"/>
    <w:rsid w:val="00D75C6E"/>
    <w:rsid w:val="00D80495"/>
    <w:rsid w:val="00D816AA"/>
    <w:rsid w:val="00D8180D"/>
    <w:rsid w:val="00D81CBA"/>
    <w:rsid w:val="00D82011"/>
    <w:rsid w:val="00D825F5"/>
    <w:rsid w:val="00D82916"/>
    <w:rsid w:val="00D83059"/>
    <w:rsid w:val="00D83A0E"/>
    <w:rsid w:val="00D84C1C"/>
    <w:rsid w:val="00D84EC2"/>
    <w:rsid w:val="00D85600"/>
    <w:rsid w:val="00D85887"/>
    <w:rsid w:val="00D860A6"/>
    <w:rsid w:val="00D86C11"/>
    <w:rsid w:val="00D871E4"/>
    <w:rsid w:val="00D872D5"/>
    <w:rsid w:val="00D87368"/>
    <w:rsid w:val="00D90A01"/>
    <w:rsid w:val="00D90E40"/>
    <w:rsid w:val="00D91035"/>
    <w:rsid w:val="00D9203E"/>
    <w:rsid w:val="00D922AD"/>
    <w:rsid w:val="00D926CC"/>
    <w:rsid w:val="00D943C2"/>
    <w:rsid w:val="00D957FF"/>
    <w:rsid w:val="00D95BCB"/>
    <w:rsid w:val="00D96988"/>
    <w:rsid w:val="00D97522"/>
    <w:rsid w:val="00DA0097"/>
    <w:rsid w:val="00DA0B94"/>
    <w:rsid w:val="00DA11A5"/>
    <w:rsid w:val="00DA1BA4"/>
    <w:rsid w:val="00DA1E58"/>
    <w:rsid w:val="00DA1FD1"/>
    <w:rsid w:val="00DA26EE"/>
    <w:rsid w:val="00DA2B27"/>
    <w:rsid w:val="00DA308B"/>
    <w:rsid w:val="00DA39A0"/>
    <w:rsid w:val="00DA46FC"/>
    <w:rsid w:val="00DA482D"/>
    <w:rsid w:val="00DA4C1D"/>
    <w:rsid w:val="00DA7B0C"/>
    <w:rsid w:val="00DB06B4"/>
    <w:rsid w:val="00DB0765"/>
    <w:rsid w:val="00DB0B2D"/>
    <w:rsid w:val="00DB12CB"/>
    <w:rsid w:val="00DB1CAC"/>
    <w:rsid w:val="00DB230D"/>
    <w:rsid w:val="00DB2EE1"/>
    <w:rsid w:val="00DB3671"/>
    <w:rsid w:val="00DB377F"/>
    <w:rsid w:val="00DB3827"/>
    <w:rsid w:val="00DB3AF8"/>
    <w:rsid w:val="00DB3C24"/>
    <w:rsid w:val="00DB43B2"/>
    <w:rsid w:val="00DB4414"/>
    <w:rsid w:val="00DB4954"/>
    <w:rsid w:val="00DB63CA"/>
    <w:rsid w:val="00DB6577"/>
    <w:rsid w:val="00DB69EC"/>
    <w:rsid w:val="00DB6E61"/>
    <w:rsid w:val="00DB7BD4"/>
    <w:rsid w:val="00DC0082"/>
    <w:rsid w:val="00DC0B0E"/>
    <w:rsid w:val="00DC192B"/>
    <w:rsid w:val="00DC23F8"/>
    <w:rsid w:val="00DC306A"/>
    <w:rsid w:val="00DC3138"/>
    <w:rsid w:val="00DC324E"/>
    <w:rsid w:val="00DC3C0B"/>
    <w:rsid w:val="00DC3C66"/>
    <w:rsid w:val="00DC4558"/>
    <w:rsid w:val="00DC5240"/>
    <w:rsid w:val="00DC61EE"/>
    <w:rsid w:val="00DC7678"/>
    <w:rsid w:val="00DC7FB3"/>
    <w:rsid w:val="00DD0770"/>
    <w:rsid w:val="00DD07EC"/>
    <w:rsid w:val="00DD0E30"/>
    <w:rsid w:val="00DD10DA"/>
    <w:rsid w:val="00DD1151"/>
    <w:rsid w:val="00DD2AC1"/>
    <w:rsid w:val="00DD2B5C"/>
    <w:rsid w:val="00DD35E8"/>
    <w:rsid w:val="00DD39E4"/>
    <w:rsid w:val="00DD3EFC"/>
    <w:rsid w:val="00DD47FC"/>
    <w:rsid w:val="00DD4C14"/>
    <w:rsid w:val="00DD50E6"/>
    <w:rsid w:val="00DD528D"/>
    <w:rsid w:val="00DD531F"/>
    <w:rsid w:val="00DD58FC"/>
    <w:rsid w:val="00DD5CB4"/>
    <w:rsid w:val="00DD5F41"/>
    <w:rsid w:val="00DD63B1"/>
    <w:rsid w:val="00DD6A9B"/>
    <w:rsid w:val="00DD6D98"/>
    <w:rsid w:val="00DE0820"/>
    <w:rsid w:val="00DE0D7F"/>
    <w:rsid w:val="00DE1590"/>
    <w:rsid w:val="00DE1677"/>
    <w:rsid w:val="00DE2A1A"/>
    <w:rsid w:val="00DE2B95"/>
    <w:rsid w:val="00DE2E6E"/>
    <w:rsid w:val="00DE4726"/>
    <w:rsid w:val="00DE52C1"/>
    <w:rsid w:val="00DE59BB"/>
    <w:rsid w:val="00DE5A7B"/>
    <w:rsid w:val="00DE5CB4"/>
    <w:rsid w:val="00DE5EB0"/>
    <w:rsid w:val="00DE6785"/>
    <w:rsid w:val="00DE6B37"/>
    <w:rsid w:val="00DF0F4C"/>
    <w:rsid w:val="00DF17CE"/>
    <w:rsid w:val="00DF1CD5"/>
    <w:rsid w:val="00DF21C2"/>
    <w:rsid w:val="00DF2F93"/>
    <w:rsid w:val="00DF33FF"/>
    <w:rsid w:val="00DF40BE"/>
    <w:rsid w:val="00DF4A9A"/>
    <w:rsid w:val="00DF4D6D"/>
    <w:rsid w:val="00DF56CA"/>
    <w:rsid w:val="00DF5987"/>
    <w:rsid w:val="00DF6835"/>
    <w:rsid w:val="00DF6C74"/>
    <w:rsid w:val="00DF7436"/>
    <w:rsid w:val="00DF7605"/>
    <w:rsid w:val="00DF7AEA"/>
    <w:rsid w:val="00E005DF"/>
    <w:rsid w:val="00E01009"/>
    <w:rsid w:val="00E012A1"/>
    <w:rsid w:val="00E01DED"/>
    <w:rsid w:val="00E023CE"/>
    <w:rsid w:val="00E024D8"/>
    <w:rsid w:val="00E02D76"/>
    <w:rsid w:val="00E03B7C"/>
    <w:rsid w:val="00E03B83"/>
    <w:rsid w:val="00E041D0"/>
    <w:rsid w:val="00E05026"/>
    <w:rsid w:val="00E053F6"/>
    <w:rsid w:val="00E05AB2"/>
    <w:rsid w:val="00E062F1"/>
    <w:rsid w:val="00E06544"/>
    <w:rsid w:val="00E06BBE"/>
    <w:rsid w:val="00E06C58"/>
    <w:rsid w:val="00E070F2"/>
    <w:rsid w:val="00E075EF"/>
    <w:rsid w:val="00E0793F"/>
    <w:rsid w:val="00E07B37"/>
    <w:rsid w:val="00E07EB7"/>
    <w:rsid w:val="00E10B6F"/>
    <w:rsid w:val="00E11575"/>
    <w:rsid w:val="00E116A9"/>
    <w:rsid w:val="00E1320B"/>
    <w:rsid w:val="00E133E5"/>
    <w:rsid w:val="00E13858"/>
    <w:rsid w:val="00E13A44"/>
    <w:rsid w:val="00E13D2E"/>
    <w:rsid w:val="00E14019"/>
    <w:rsid w:val="00E1460C"/>
    <w:rsid w:val="00E14644"/>
    <w:rsid w:val="00E15130"/>
    <w:rsid w:val="00E15667"/>
    <w:rsid w:val="00E16350"/>
    <w:rsid w:val="00E16BE1"/>
    <w:rsid w:val="00E170B2"/>
    <w:rsid w:val="00E17186"/>
    <w:rsid w:val="00E1718C"/>
    <w:rsid w:val="00E174A0"/>
    <w:rsid w:val="00E17644"/>
    <w:rsid w:val="00E177F9"/>
    <w:rsid w:val="00E17DC6"/>
    <w:rsid w:val="00E17DEE"/>
    <w:rsid w:val="00E2060D"/>
    <w:rsid w:val="00E21400"/>
    <w:rsid w:val="00E21482"/>
    <w:rsid w:val="00E237B6"/>
    <w:rsid w:val="00E23E81"/>
    <w:rsid w:val="00E23EBB"/>
    <w:rsid w:val="00E240E0"/>
    <w:rsid w:val="00E24A3A"/>
    <w:rsid w:val="00E24AC2"/>
    <w:rsid w:val="00E24DB1"/>
    <w:rsid w:val="00E25D6A"/>
    <w:rsid w:val="00E25D9F"/>
    <w:rsid w:val="00E265B1"/>
    <w:rsid w:val="00E26773"/>
    <w:rsid w:val="00E26815"/>
    <w:rsid w:val="00E27505"/>
    <w:rsid w:val="00E278A5"/>
    <w:rsid w:val="00E27E59"/>
    <w:rsid w:val="00E3041D"/>
    <w:rsid w:val="00E304A6"/>
    <w:rsid w:val="00E30969"/>
    <w:rsid w:val="00E317A9"/>
    <w:rsid w:val="00E31C6F"/>
    <w:rsid w:val="00E31F62"/>
    <w:rsid w:val="00E323B8"/>
    <w:rsid w:val="00E3279E"/>
    <w:rsid w:val="00E327F6"/>
    <w:rsid w:val="00E32DAE"/>
    <w:rsid w:val="00E32DC7"/>
    <w:rsid w:val="00E32E60"/>
    <w:rsid w:val="00E33FF0"/>
    <w:rsid w:val="00E35A73"/>
    <w:rsid w:val="00E36CF8"/>
    <w:rsid w:val="00E3714A"/>
    <w:rsid w:val="00E3725F"/>
    <w:rsid w:val="00E37FAF"/>
    <w:rsid w:val="00E405D5"/>
    <w:rsid w:val="00E407AF"/>
    <w:rsid w:val="00E40D01"/>
    <w:rsid w:val="00E4135A"/>
    <w:rsid w:val="00E4168F"/>
    <w:rsid w:val="00E41978"/>
    <w:rsid w:val="00E41D68"/>
    <w:rsid w:val="00E41E50"/>
    <w:rsid w:val="00E41F63"/>
    <w:rsid w:val="00E42E07"/>
    <w:rsid w:val="00E43CA9"/>
    <w:rsid w:val="00E44657"/>
    <w:rsid w:val="00E45F51"/>
    <w:rsid w:val="00E45FF9"/>
    <w:rsid w:val="00E46B02"/>
    <w:rsid w:val="00E4703A"/>
    <w:rsid w:val="00E47877"/>
    <w:rsid w:val="00E5092D"/>
    <w:rsid w:val="00E509F6"/>
    <w:rsid w:val="00E51707"/>
    <w:rsid w:val="00E51AA4"/>
    <w:rsid w:val="00E524E2"/>
    <w:rsid w:val="00E528A1"/>
    <w:rsid w:val="00E52948"/>
    <w:rsid w:val="00E52FD0"/>
    <w:rsid w:val="00E54560"/>
    <w:rsid w:val="00E54810"/>
    <w:rsid w:val="00E54C01"/>
    <w:rsid w:val="00E54D20"/>
    <w:rsid w:val="00E5591F"/>
    <w:rsid w:val="00E55A88"/>
    <w:rsid w:val="00E56686"/>
    <w:rsid w:val="00E57DFF"/>
    <w:rsid w:val="00E60468"/>
    <w:rsid w:val="00E61410"/>
    <w:rsid w:val="00E6178F"/>
    <w:rsid w:val="00E620F8"/>
    <w:rsid w:val="00E633C6"/>
    <w:rsid w:val="00E64B87"/>
    <w:rsid w:val="00E65752"/>
    <w:rsid w:val="00E657BC"/>
    <w:rsid w:val="00E65EBA"/>
    <w:rsid w:val="00E66959"/>
    <w:rsid w:val="00E67853"/>
    <w:rsid w:val="00E70812"/>
    <w:rsid w:val="00E71319"/>
    <w:rsid w:val="00E72654"/>
    <w:rsid w:val="00E72885"/>
    <w:rsid w:val="00E731C5"/>
    <w:rsid w:val="00E733CC"/>
    <w:rsid w:val="00E733FE"/>
    <w:rsid w:val="00E73E56"/>
    <w:rsid w:val="00E743B8"/>
    <w:rsid w:val="00E75254"/>
    <w:rsid w:val="00E757C8"/>
    <w:rsid w:val="00E75E0F"/>
    <w:rsid w:val="00E763FA"/>
    <w:rsid w:val="00E76C49"/>
    <w:rsid w:val="00E76CE1"/>
    <w:rsid w:val="00E771C4"/>
    <w:rsid w:val="00E77B79"/>
    <w:rsid w:val="00E80DE0"/>
    <w:rsid w:val="00E8157E"/>
    <w:rsid w:val="00E81726"/>
    <w:rsid w:val="00E81771"/>
    <w:rsid w:val="00E81AD9"/>
    <w:rsid w:val="00E81AF4"/>
    <w:rsid w:val="00E81B34"/>
    <w:rsid w:val="00E81B75"/>
    <w:rsid w:val="00E827A9"/>
    <w:rsid w:val="00E82A98"/>
    <w:rsid w:val="00E83723"/>
    <w:rsid w:val="00E83BA5"/>
    <w:rsid w:val="00E8410E"/>
    <w:rsid w:val="00E842E4"/>
    <w:rsid w:val="00E8487C"/>
    <w:rsid w:val="00E84C13"/>
    <w:rsid w:val="00E8540F"/>
    <w:rsid w:val="00E859D1"/>
    <w:rsid w:val="00E85D96"/>
    <w:rsid w:val="00E86154"/>
    <w:rsid w:val="00E8636A"/>
    <w:rsid w:val="00E86D87"/>
    <w:rsid w:val="00E86DBB"/>
    <w:rsid w:val="00E872A2"/>
    <w:rsid w:val="00E874C8"/>
    <w:rsid w:val="00E87F6E"/>
    <w:rsid w:val="00E9033B"/>
    <w:rsid w:val="00E91039"/>
    <w:rsid w:val="00E91047"/>
    <w:rsid w:val="00E91B8D"/>
    <w:rsid w:val="00E93A87"/>
    <w:rsid w:val="00E94051"/>
    <w:rsid w:val="00E9493A"/>
    <w:rsid w:val="00E9573E"/>
    <w:rsid w:val="00E966DF"/>
    <w:rsid w:val="00E969D0"/>
    <w:rsid w:val="00E96EC1"/>
    <w:rsid w:val="00E97B3D"/>
    <w:rsid w:val="00EA0C82"/>
    <w:rsid w:val="00EA1537"/>
    <w:rsid w:val="00EA2536"/>
    <w:rsid w:val="00EA32BD"/>
    <w:rsid w:val="00EA35D7"/>
    <w:rsid w:val="00EA3C1A"/>
    <w:rsid w:val="00EA4CF7"/>
    <w:rsid w:val="00EA4D8B"/>
    <w:rsid w:val="00EA508F"/>
    <w:rsid w:val="00EA515E"/>
    <w:rsid w:val="00EA5192"/>
    <w:rsid w:val="00EA5BD5"/>
    <w:rsid w:val="00EA5D6E"/>
    <w:rsid w:val="00EA5E6B"/>
    <w:rsid w:val="00EA617B"/>
    <w:rsid w:val="00EA65B5"/>
    <w:rsid w:val="00EA7C09"/>
    <w:rsid w:val="00EA7ED6"/>
    <w:rsid w:val="00EB0DD9"/>
    <w:rsid w:val="00EB1A26"/>
    <w:rsid w:val="00EB1C37"/>
    <w:rsid w:val="00EB1F2F"/>
    <w:rsid w:val="00EB2297"/>
    <w:rsid w:val="00EB24F0"/>
    <w:rsid w:val="00EB259E"/>
    <w:rsid w:val="00EB296B"/>
    <w:rsid w:val="00EB2AAE"/>
    <w:rsid w:val="00EB3299"/>
    <w:rsid w:val="00EB36F7"/>
    <w:rsid w:val="00EB4A8F"/>
    <w:rsid w:val="00EB4E94"/>
    <w:rsid w:val="00EB5078"/>
    <w:rsid w:val="00EB5762"/>
    <w:rsid w:val="00EB5B7F"/>
    <w:rsid w:val="00EB5DBD"/>
    <w:rsid w:val="00EB7058"/>
    <w:rsid w:val="00EB7202"/>
    <w:rsid w:val="00EB7AB1"/>
    <w:rsid w:val="00EC07DF"/>
    <w:rsid w:val="00EC205B"/>
    <w:rsid w:val="00EC319E"/>
    <w:rsid w:val="00EC3895"/>
    <w:rsid w:val="00EC4285"/>
    <w:rsid w:val="00EC5528"/>
    <w:rsid w:val="00EC55D7"/>
    <w:rsid w:val="00EC58B1"/>
    <w:rsid w:val="00EC5C5B"/>
    <w:rsid w:val="00EC6EFE"/>
    <w:rsid w:val="00EC737F"/>
    <w:rsid w:val="00EC7459"/>
    <w:rsid w:val="00EC7739"/>
    <w:rsid w:val="00ED01AA"/>
    <w:rsid w:val="00ED04FF"/>
    <w:rsid w:val="00ED051C"/>
    <w:rsid w:val="00ED0570"/>
    <w:rsid w:val="00ED0865"/>
    <w:rsid w:val="00ED0E33"/>
    <w:rsid w:val="00ED148D"/>
    <w:rsid w:val="00ED1556"/>
    <w:rsid w:val="00ED176C"/>
    <w:rsid w:val="00ED1C0F"/>
    <w:rsid w:val="00ED219A"/>
    <w:rsid w:val="00ED2630"/>
    <w:rsid w:val="00ED26CA"/>
    <w:rsid w:val="00ED2754"/>
    <w:rsid w:val="00ED2CA6"/>
    <w:rsid w:val="00ED33ED"/>
    <w:rsid w:val="00ED35D4"/>
    <w:rsid w:val="00ED366E"/>
    <w:rsid w:val="00ED3763"/>
    <w:rsid w:val="00ED37F5"/>
    <w:rsid w:val="00ED3D09"/>
    <w:rsid w:val="00ED5D66"/>
    <w:rsid w:val="00ED793A"/>
    <w:rsid w:val="00EE0DBD"/>
    <w:rsid w:val="00EE130E"/>
    <w:rsid w:val="00EE1A93"/>
    <w:rsid w:val="00EE30F6"/>
    <w:rsid w:val="00EE3209"/>
    <w:rsid w:val="00EE371E"/>
    <w:rsid w:val="00EE3952"/>
    <w:rsid w:val="00EE4DAC"/>
    <w:rsid w:val="00EE6877"/>
    <w:rsid w:val="00EE718E"/>
    <w:rsid w:val="00EE7447"/>
    <w:rsid w:val="00EE7D77"/>
    <w:rsid w:val="00EF0020"/>
    <w:rsid w:val="00EF0EE0"/>
    <w:rsid w:val="00EF0F72"/>
    <w:rsid w:val="00EF0FAC"/>
    <w:rsid w:val="00EF1130"/>
    <w:rsid w:val="00EF183A"/>
    <w:rsid w:val="00EF1A4F"/>
    <w:rsid w:val="00EF3246"/>
    <w:rsid w:val="00EF32E6"/>
    <w:rsid w:val="00EF362B"/>
    <w:rsid w:val="00EF45E2"/>
    <w:rsid w:val="00EF5305"/>
    <w:rsid w:val="00EF6CCA"/>
    <w:rsid w:val="00EF6FDF"/>
    <w:rsid w:val="00EF724B"/>
    <w:rsid w:val="00F0055A"/>
    <w:rsid w:val="00F0081D"/>
    <w:rsid w:val="00F00E35"/>
    <w:rsid w:val="00F01688"/>
    <w:rsid w:val="00F018C8"/>
    <w:rsid w:val="00F01C91"/>
    <w:rsid w:val="00F028DB"/>
    <w:rsid w:val="00F02F6C"/>
    <w:rsid w:val="00F0480A"/>
    <w:rsid w:val="00F04E0D"/>
    <w:rsid w:val="00F050B2"/>
    <w:rsid w:val="00F0607D"/>
    <w:rsid w:val="00F060E0"/>
    <w:rsid w:val="00F0625D"/>
    <w:rsid w:val="00F06398"/>
    <w:rsid w:val="00F068F9"/>
    <w:rsid w:val="00F07DE0"/>
    <w:rsid w:val="00F1129C"/>
    <w:rsid w:val="00F117B4"/>
    <w:rsid w:val="00F11A38"/>
    <w:rsid w:val="00F12053"/>
    <w:rsid w:val="00F12414"/>
    <w:rsid w:val="00F1246C"/>
    <w:rsid w:val="00F1259A"/>
    <w:rsid w:val="00F125EB"/>
    <w:rsid w:val="00F12C6B"/>
    <w:rsid w:val="00F12F02"/>
    <w:rsid w:val="00F133B7"/>
    <w:rsid w:val="00F1391E"/>
    <w:rsid w:val="00F13989"/>
    <w:rsid w:val="00F14631"/>
    <w:rsid w:val="00F14BEA"/>
    <w:rsid w:val="00F15671"/>
    <w:rsid w:val="00F160BE"/>
    <w:rsid w:val="00F16616"/>
    <w:rsid w:val="00F16E6C"/>
    <w:rsid w:val="00F175D4"/>
    <w:rsid w:val="00F1777C"/>
    <w:rsid w:val="00F177DA"/>
    <w:rsid w:val="00F17F74"/>
    <w:rsid w:val="00F20170"/>
    <w:rsid w:val="00F201A3"/>
    <w:rsid w:val="00F20750"/>
    <w:rsid w:val="00F2106B"/>
    <w:rsid w:val="00F21126"/>
    <w:rsid w:val="00F21C93"/>
    <w:rsid w:val="00F220F4"/>
    <w:rsid w:val="00F2217A"/>
    <w:rsid w:val="00F22D0E"/>
    <w:rsid w:val="00F23FB7"/>
    <w:rsid w:val="00F2410A"/>
    <w:rsid w:val="00F242A9"/>
    <w:rsid w:val="00F249EF"/>
    <w:rsid w:val="00F24E33"/>
    <w:rsid w:val="00F2502C"/>
    <w:rsid w:val="00F25282"/>
    <w:rsid w:val="00F25707"/>
    <w:rsid w:val="00F25810"/>
    <w:rsid w:val="00F25A15"/>
    <w:rsid w:val="00F25BEB"/>
    <w:rsid w:val="00F25E05"/>
    <w:rsid w:val="00F269B7"/>
    <w:rsid w:val="00F27096"/>
    <w:rsid w:val="00F275C4"/>
    <w:rsid w:val="00F27970"/>
    <w:rsid w:val="00F30632"/>
    <w:rsid w:val="00F3064E"/>
    <w:rsid w:val="00F30A0F"/>
    <w:rsid w:val="00F312AA"/>
    <w:rsid w:val="00F32185"/>
    <w:rsid w:val="00F332E3"/>
    <w:rsid w:val="00F33784"/>
    <w:rsid w:val="00F34DB1"/>
    <w:rsid w:val="00F355DC"/>
    <w:rsid w:val="00F356CB"/>
    <w:rsid w:val="00F35F23"/>
    <w:rsid w:val="00F370AF"/>
    <w:rsid w:val="00F376F9"/>
    <w:rsid w:val="00F4061B"/>
    <w:rsid w:val="00F41235"/>
    <w:rsid w:val="00F41C07"/>
    <w:rsid w:val="00F42929"/>
    <w:rsid w:val="00F43CD4"/>
    <w:rsid w:val="00F43CDD"/>
    <w:rsid w:val="00F44477"/>
    <w:rsid w:val="00F44D22"/>
    <w:rsid w:val="00F4516C"/>
    <w:rsid w:val="00F454F8"/>
    <w:rsid w:val="00F46BB8"/>
    <w:rsid w:val="00F4794E"/>
    <w:rsid w:val="00F47AD3"/>
    <w:rsid w:val="00F47AF8"/>
    <w:rsid w:val="00F47B3E"/>
    <w:rsid w:val="00F500A5"/>
    <w:rsid w:val="00F50165"/>
    <w:rsid w:val="00F50845"/>
    <w:rsid w:val="00F514E8"/>
    <w:rsid w:val="00F51816"/>
    <w:rsid w:val="00F51D71"/>
    <w:rsid w:val="00F52A37"/>
    <w:rsid w:val="00F535B5"/>
    <w:rsid w:val="00F5448F"/>
    <w:rsid w:val="00F545B5"/>
    <w:rsid w:val="00F5546B"/>
    <w:rsid w:val="00F56A5D"/>
    <w:rsid w:val="00F572CD"/>
    <w:rsid w:val="00F579C2"/>
    <w:rsid w:val="00F60204"/>
    <w:rsid w:val="00F60F3A"/>
    <w:rsid w:val="00F621BA"/>
    <w:rsid w:val="00F623D3"/>
    <w:rsid w:val="00F6368C"/>
    <w:rsid w:val="00F63BBD"/>
    <w:rsid w:val="00F64040"/>
    <w:rsid w:val="00F641A0"/>
    <w:rsid w:val="00F64888"/>
    <w:rsid w:val="00F64B1D"/>
    <w:rsid w:val="00F65C10"/>
    <w:rsid w:val="00F662B4"/>
    <w:rsid w:val="00F666EC"/>
    <w:rsid w:val="00F669AA"/>
    <w:rsid w:val="00F66B03"/>
    <w:rsid w:val="00F66C49"/>
    <w:rsid w:val="00F67154"/>
    <w:rsid w:val="00F678F6"/>
    <w:rsid w:val="00F67BE4"/>
    <w:rsid w:val="00F67EE2"/>
    <w:rsid w:val="00F70D80"/>
    <w:rsid w:val="00F71B3B"/>
    <w:rsid w:val="00F727E5"/>
    <w:rsid w:val="00F72B0E"/>
    <w:rsid w:val="00F72C4B"/>
    <w:rsid w:val="00F72F83"/>
    <w:rsid w:val="00F733DB"/>
    <w:rsid w:val="00F737EF"/>
    <w:rsid w:val="00F7392B"/>
    <w:rsid w:val="00F73E08"/>
    <w:rsid w:val="00F73E5A"/>
    <w:rsid w:val="00F74256"/>
    <w:rsid w:val="00F746F3"/>
    <w:rsid w:val="00F74BA5"/>
    <w:rsid w:val="00F74DF5"/>
    <w:rsid w:val="00F75F16"/>
    <w:rsid w:val="00F75F9D"/>
    <w:rsid w:val="00F76554"/>
    <w:rsid w:val="00F767C3"/>
    <w:rsid w:val="00F802ED"/>
    <w:rsid w:val="00F805BE"/>
    <w:rsid w:val="00F80633"/>
    <w:rsid w:val="00F808CD"/>
    <w:rsid w:val="00F819E9"/>
    <w:rsid w:val="00F81C1D"/>
    <w:rsid w:val="00F81D49"/>
    <w:rsid w:val="00F81E83"/>
    <w:rsid w:val="00F835C5"/>
    <w:rsid w:val="00F84229"/>
    <w:rsid w:val="00F84B3A"/>
    <w:rsid w:val="00F862CB"/>
    <w:rsid w:val="00F863FF"/>
    <w:rsid w:val="00F865ED"/>
    <w:rsid w:val="00F86C48"/>
    <w:rsid w:val="00F874C2"/>
    <w:rsid w:val="00F875E3"/>
    <w:rsid w:val="00F87BA9"/>
    <w:rsid w:val="00F90E59"/>
    <w:rsid w:val="00F90FA3"/>
    <w:rsid w:val="00F90FAA"/>
    <w:rsid w:val="00F912A6"/>
    <w:rsid w:val="00F91764"/>
    <w:rsid w:val="00F91C52"/>
    <w:rsid w:val="00F91E39"/>
    <w:rsid w:val="00F928F2"/>
    <w:rsid w:val="00F9323E"/>
    <w:rsid w:val="00F93315"/>
    <w:rsid w:val="00F93595"/>
    <w:rsid w:val="00F9397F"/>
    <w:rsid w:val="00F943D1"/>
    <w:rsid w:val="00F94566"/>
    <w:rsid w:val="00F9463F"/>
    <w:rsid w:val="00F946AD"/>
    <w:rsid w:val="00F947C7"/>
    <w:rsid w:val="00F94DC2"/>
    <w:rsid w:val="00F95072"/>
    <w:rsid w:val="00F95393"/>
    <w:rsid w:val="00F953D5"/>
    <w:rsid w:val="00F9616E"/>
    <w:rsid w:val="00FA0A46"/>
    <w:rsid w:val="00FA0F0F"/>
    <w:rsid w:val="00FA154B"/>
    <w:rsid w:val="00FA17B8"/>
    <w:rsid w:val="00FA1D55"/>
    <w:rsid w:val="00FA2FB0"/>
    <w:rsid w:val="00FA35A3"/>
    <w:rsid w:val="00FA386E"/>
    <w:rsid w:val="00FA62CD"/>
    <w:rsid w:val="00FA6AB2"/>
    <w:rsid w:val="00FB1104"/>
    <w:rsid w:val="00FB1A3A"/>
    <w:rsid w:val="00FB1C0E"/>
    <w:rsid w:val="00FB1DFC"/>
    <w:rsid w:val="00FB1E42"/>
    <w:rsid w:val="00FB209C"/>
    <w:rsid w:val="00FB26ED"/>
    <w:rsid w:val="00FB2A8B"/>
    <w:rsid w:val="00FB2F3D"/>
    <w:rsid w:val="00FB3317"/>
    <w:rsid w:val="00FB404F"/>
    <w:rsid w:val="00FB536C"/>
    <w:rsid w:val="00FB568F"/>
    <w:rsid w:val="00FB6125"/>
    <w:rsid w:val="00FB6188"/>
    <w:rsid w:val="00FB6662"/>
    <w:rsid w:val="00FB7D5E"/>
    <w:rsid w:val="00FC0298"/>
    <w:rsid w:val="00FC0393"/>
    <w:rsid w:val="00FC06FB"/>
    <w:rsid w:val="00FC241B"/>
    <w:rsid w:val="00FC2652"/>
    <w:rsid w:val="00FC309B"/>
    <w:rsid w:val="00FC4241"/>
    <w:rsid w:val="00FC437A"/>
    <w:rsid w:val="00FC4894"/>
    <w:rsid w:val="00FC547E"/>
    <w:rsid w:val="00FC5BAB"/>
    <w:rsid w:val="00FC6500"/>
    <w:rsid w:val="00FC67D6"/>
    <w:rsid w:val="00FC6BF1"/>
    <w:rsid w:val="00FC6EDD"/>
    <w:rsid w:val="00FC6FE4"/>
    <w:rsid w:val="00FC7811"/>
    <w:rsid w:val="00FC7F48"/>
    <w:rsid w:val="00FD0274"/>
    <w:rsid w:val="00FD1652"/>
    <w:rsid w:val="00FD1AB7"/>
    <w:rsid w:val="00FD2A47"/>
    <w:rsid w:val="00FD2C66"/>
    <w:rsid w:val="00FD3619"/>
    <w:rsid w:val="00FD4B30"/>
    <w:rsid w:val="00FD568F"/>
    <w:rsid w:val="00FD5BA9"/>
    <w:rsid w:val="00FD629E"/>
    <w:rsid w:val="00FD6BA9"/>
    <w:rsid w:val="00FD7484"/>
    <w:rsid w:val="00FD78E1"/>
    <w:rsid w:val="00FD7E8C"/>
    <w:rsid w:val="00FE004A"/>
    <w:rsid w:val="00FE0737"/>
    <w:rsid w:val="00FE0F9E"/>
    <w:rsid w:val="00FE1069"/>
    <w:rsid w:val="00FE18AB"/>
    <w:rsid w:val="00FE192C"/>
    <w:rsid w:val="00FE1A22"/>
    <w:rsid w:val="00FE1B38"/>
    <w:rsid w:val="00FE1F83"/>
    <w:rsid w:val="00FE2DFD"/>
    <w:rsid w:val="00FE3020"/>
    <w:rsid w:val="00FE3BDD"/>
    <w:rsid w:val="00FE4209"/>
    <w:rsid w:val="00FE45AE"/>
    <w:rsid w:val="00FE469F"/>
    <w:rsid w:val="00FE4A55"/>
    <w:rsid w:val="00FE68D6"/>
    <w:rsid w:val="00FE696C"/>
    <w:rsid w:val="00FE6A73"/>
    <w:rsid w:val="00FE6F69"/>
    <w:rsid w:val="00FE75D7"/>
    <w:rsid w:val="00FE7E1C"/>
    <w:rsid w:val="00FF063D"/>
    <w:rsid w:val="00FF18DD"/>
    <w:rsid w:val="00FF1B75"/>
    <w:rsid w:val="00FF1FD9"/>
    <w:rsid w:val="00FF280C"/>
    <w:rsid w:val="00FF363E"/>
    <w:rsid w:val="00FF3D4E"/>
    <w:rsid w:val="00FF3DA6"/>
    <w:rsid w:val="00FF3FB7"/>
    <w:rsid w:val="00FF40BA"/>
    <w:rsid w:val="00FF40F9"/>
    <w:rsid w:val="00FF5DE4"/>
    <w:rsid w:val="00FF6322"/>
    <w:rsid w:val="00FF6D36"/>
    <w:rsid w:val="00FF6D58"/>
    <w:rsid w:val="00FF79B7"/>
    <w:rsid w:val="00FF7E07"/>
    <w:rsid w:val="00FF7FED"/>
    <w:rsid w:val="011E1FE4"/>
    <w:rsid w:val="015452BC"/>
    <w:rsid w:val="0157162E"/>
    <w:rsid w:val="015750DB"/>
    <w:rsid w:val="016D4D19"/>
    <w:rsid w:val="018567A4"/>
    <w:rsid w:val="01BA3CC7"/>
    <w:rsid w:val="026C6D28"/>
    <w:rsid w:val="027345B1"/>
    <w:rsid w:val="028F63E1"/>
    <w:rsid w:val="02AD5394"/>
    <w:rsid w:val="02DE5ECF"/>
    <w:rsid w:val="02F079B0"/>
    <w:rsid w:val="031F3DF1"/>
    <w:rsid w:val="03391357"/>
    <w:rsid w:val="03536E40"/>
    <w:rsid w:val="035937A7"/>
    <w:rsid w:val="037B371D"/>
    <w:rsid w:val="03BC4E7D"/>
    <w:rsid w:val="03E03E1A"/>
    <w:rsid w:val="03E1201F"/>
    <w:rsid w:val="03EF1A15"/>
    <w:rsid w:val="040A2CF3"/>
    <w:rsid w:val="04447FB3"/>
    <w:rsid w:val="048026D9"/>
    <w:rsid w:val="04A86794"/>
    <w:rsid w:val="04B51F0E"/>
    <w:rsid w:val="04BA0275"/>
    <w:rsid w:val="04FD0162"/>
    <w:rsid w:val="050868F3"/>
    <w:rsid w:val="050B3230"/>
    <w:rsid w:val="05300538"/>
    <w:rsid w:val="056A78C3"/>
    <w:rsid w:val="05C56ED2"/>
    <w:rsid w:val="05ED57B7"/>
    <w:rsid w:val="05F30738"/>
    <w:rsid w:val="0648365F"/>
    <w:rsid w:val="066529D2"/>
    <w:rsid w:val="06863802"/>
    <w:rsid w:val="06870BE9"/>
    <w:rsid w:val="069146D4"/>
    <w:rsid w:val="06BA2C89"/>
    <w:rsid w:val="06C07699"/>
    <w:rsid w:val="06CB4BCE"/>
    <w:rsid w:val="06E97BD8"/>
    <w:rsid w:val="070457D8"/>
    <w:rsid w:val="07352833"/>
    <w:rsid w:val="074C0E47"/>
    <w:rsid w:val="075F6EB2"/>
    <w:rsid w:val="07BA5941"/>
    <w:rsid w:val="07E06245"/>
    <w:rsid w:val="07F968F9"/>
    <w:rsid w:val="08626C5A"/>
    <w:rsid w:val="08646E76"/>
    <w:rsid w:val="0865674A"/>
    <w:rsid w:val="089A2898"/>
    <w:rsid w:val="08A31B20"/>
    <w:rsid w:val="08B82D1E"/>
    <w:rsid w:val="08C95F68"/>
    <w:rsid w:val="08C97497"/>
    <w:rsid w:val="08DB07BA"/>
    <w:rsid w:val="094E71DE"/>
    <w:rsid w:val="095073FA"/>
    <w:rsid w:val="09811362"/>
    <w:rsid w:val="09AD2157"/>
    <w:rsid w:val="09F14739"/>
    <w:rsid w:val="09F71624"/>
    <w:rsid w:val="0A051A16"/>
    <w:rsid w:val="0A1F22B9"/>
    <w:rsid w:val="0A5D3B7D"/>
    <w:rsid w:val="0A615B11"/>
    <w:rsid w:val="0AB2719C"/>
    <w:rsid w:val="0AC10B36"/>
    <w:rsid w:val="0AF33990"/>
    <w:rsid w:val="0B732F2C"/>
    <w:rsid w:val="0B811AED"/>
    <w:rsid w:val="0B9F3D21"/>
    <w:rsid w:val="0BB41A17"/>
    <w:rsid w:val="0BD06D9F"/>
    <w:rsid w:val="0BDC5356"/>
    <w:rsid w:val="0BF40511"/>
    <w:rsid w:val="0C1B4F7F"/>
    <w:rsid w:val="0C25691C"/>
    <w:rsid w:val="0C3D47E2"/>
    <w:rsid w:val="0C41127C"/>
    <w:rsid w:val="0C5837CD"/>
    <w:rsid w:val="0CBE28CD"/>
    <w:rsid w:val="0CEE6D0E"/>
    <w:rsid w:val="0CFE5791"/>
    <w:rsid w:val="0D323FCA"/>
    <w:rsid w:val="0D3F3A0E"/>
    <w:rsid w:val="0D41468B"/>
    <w:rsid w:val="0D4A54A2"/>
    <w:rsid w:val="0D5E1CB9"/>
    <w:rsid w:val="0D786704"/>
    <w:rsid w:val="0D7A4A46"/>
    <w:rsid w:val="0D900DEC"/>
    <w:rsid w:val="0DD95A8B"/>
    <w:rsid w:val="0DE620DB"/>
    <w:rsid w:val="0E4A266A"/>
    <w:rsid w:val="0E76520D"/>
    <w:rsid w:val="0E8A6F0A"/>
    <w:rsid w:val="0EEF3211"/>
    <w:rsid w:val="0F032033"/>
    <w:rsid w:val="0F250730"/>
    <w:rsid w:val="0F2766CD"/>
    <w:rsid w:val="0F2D4C32"/>
    <w:rsid w:val="0F866B20"/>
    <w:rsid w:val="0F9A3B14"/>
    <w:rsid w:val="0FC95811"/>
    <w:rsid w:val="0FD45CAC"/>
    <w:rsid w:val="0FEE4CD2"/>
    <w:rsid w:val="0FEE6B24"/>
    <w:rsid w:val="10262C63"/>
    <w:rsid w:val="10376C1E"/>
    <w:rsid w:val="10437371"/>
    <w:rsid w:val="10462E00"/>
    <w:rsid w:val="10466E61"/>
    <w:rsid w:val="10572E1C"/>
    <w:rsid w:val="106A2B50"/>
    <w:rsid w:val="10884D07"/>
    <w:rsid w:val="10B97633"/>
    <w:rsid w:val="114A472F"/>
    <w:rsid w:val="11600005"/>
    <w:rsid w:val="116A4020"/>
    <w:rsid w:val="11733C86"/>
    <w:rsid w:val="117F6ACF"/>
    <w:rsid w:val="1193271C"/>
    <w:rsid w:val="11D54941"/>
    <w:rsid w:val="11D65DF3"/>
    <w:rsid w:val="11E76422"/>
    <w:rsid w:val="12071BEC"/>
    <w:rsid w:val="12957C2C"/>
    <w:rsid w:val="129676E9"/>
    <w:rsid w:val="12B04A66"/>
    <w:rsid w:val="12BB58E4"/>
    <w:rsid w:val="12C86253"/>
    <w:rsid w:val="12DA3D11"/>
    <w:rsid w:val="12E91179"/>
    <w:rsid w:val="12F26E2C"/>
    <w:rsid w:val="1306440E"/>
    <w:rsid w:val="130A686C"/>
    <w:rsid w:val="131E5E73"/>
    <w:rsid w:val="13324451"/>
    <w:rsid w:val="133A4275"/>
    <w:rsid w:val="13477178"/>
    <w:rsid w:val="13497394"/>
    <w:rsid w:val="13653AA2"/>
    <w:rsid w:val="137E1705"/>
    <w:rsid w:val="13A740BB"/>
    <w:rsid w:val="13CC0FD8"/>
    <w:rsid w:val="140B63F8"/>
    <w:rsid w:val="14276FAA"/>
    <w:rsid w:val="144D4C62"/>
    <w:rsid w:val="14887A48"/>
    <w:rsid w:val="149363ED"/>
    <w:rsid w:val="1494463F"/>
    <w:rsid w:val="14A14FAE"/>
    <w:rsid w:val="14ED1FA1"/>
    <w:rsid w:val="15175270"/>
    <w:rsid w:val="156D0C34"/>
    <w:rsid w:val="1576586E"/>
    <w:rsid w:val="15B12FCF"/>
    <w:rsid w:val="15C81869"/>
    <w:rsid w:val="15F1270C"/>
    <w:rsid w:val="16225C7A"/>
    <w:rsid w:val="162C7E45"/>
    <w:rsid w:val="163813AD"/>
    <w:rsid w:val="16443E43"/>
    <w:rsid w:val="16481115"/>
    <w:rsid w:val="164E4CC1"/>
    <w:rsid w:val="167802C5"/>
    <w:rsid w:val="16F130DF"/>
    <w:rsid w:val="16FC7839"/>
    <w:rsid w:val="170A057F"/>
    <w:rsid w:val="170D692B"/>
    <w:rsid w:val="17285513"/>
    <w:rsid w:val="172A3039"/>
    <w:rsid w:val="172D630D"/>
    <w:rsid w:val="175D1929"/>
    <w:rsid w:val="177B7459"/>
    <w:rsid w:val="179001B1"/>
    <w:rsid w:val="17C02D41"/>
    <w:rsid w:val="17C4192F"/>
    <w:rsid w:val="17D11706"/>
    <w:rsid w:val="17E51656"/>
    <w:rsid w:val="181D430A"/>
    <w:rsid w:val="181F4C81"/>
    <w:rsid w:val="182A7068"/>
    <w:rsid w:val="18502665"/>
    <w:rsid w:val="18695DE3"/>
    <w:rsid w:val="186B3909"/>
    <w:rsid w:val="186E15AF"/>
    <w:rsid w:val="187A3B4C"/>
    <w:rsid w:val="18814EDA"/>
    <w:rsid w:val="18876269"/>
    <w:rsid w:val="18885BBF"/>
    <w:rsid w:val="19267830"/>
    <w:rsid w:val="1954450F"/>
    <w:rsid w:val="199C7AF2"/>
    <w:rsid w:val="19AF3176"/>
    <w:rsid w:val="19EA4D01"/>
    <w:rsid w:val="19ED4732"/>
    <w:rsid w:val="1A350BE0"/>
    <w:rsid w:val="1A3621A7"/>
    <w:rsid w:val="1A5B42DA"/>
    <w:rsid w:val="1A8707A2"/>
    <w:rsid w:val="1AA8424F"/>
    <w:rsid w:val="1AB570BD"/>
    <w:rsid w:val="1ABC3A15"/>
    <w:rsid w:val="1AC11F06"/>
    <w:rsid w:val="1B063DBD"/>
    <w:rsid w:val="1B272051"/>
    <w:rsid w:val="1B520DB0"/>
    <w:rsid w:val="1B531C40"/>
    <w:rsid w:val="1B654F02"/>
    <w:rsid w:val="1B720826"/>
    <w:rsid w:val="1B7725C5"/>
    <w:rsid w:val="1B993256"/>
    <w:rsid w:val="1B9E372B"/>
    <w:rsid w:val="1BA57132"/>
    <w:rsid w:val="1BEA0FE8"/>
    <w:rsid w:val="1BF81957"/>
    <w:rsid w:val="1BF84AF9"/>
    <w:rsid w:val="1C1E6EE4"/>
    <w:rsid w:val="1C35161A"/>
    <w:rsid w:val="1C675794"/>
    <w:rsid w:val="1C880DC7"/>
    <w:rsid w:val="1CAE1A59"/>
    <w:rsid w:val="1CF15B94"/>
    <w:rsid w:val="1CFA34AD"/>
    <w:rsid w:val="1CFE11EF"/>
    <w:rsid w:val="1D0C7A28"/>
    <w:rsid w:val="1D0E6024"/>
    <w:rsid w:val="1D6E17A5"/>
    <w:rsid w:val="1D7C75E7"/>
    <w:rsid w:val="1DA82F09"/>
    <w:rsid w:val="1DB7314C"/>
    <w:rsid w:val="1DB775F0"/>
    <w:rsid w:val="1DC8425E"/>
    <w:rsid w:val="1E2C3B3A"/>
    <w:rsid w:val="1E7A304C"/>
    <w:rsid w:val="1E94538B"/>
    <w:rsid w:val="1E9A4ABC"/>
    <w:rsid w:val="1ED87E63"/>
    <w:rsid w:val="1F0C74B3"/>
    <w:rsid w:val="1F175441"/>
    <w:rsid w:val="1F296C37"/>
    <w:rsid w:val="1F2A0D55"/>
    <w:rsid w:val="1F7C2114"/>
    <w:rsid w:val="1F864E6A"/>
    <w:rsid w:val="1F95567D"/>
    <w:rsid w:val="1FA46DF6"/>
    <w:rsid w:val="1FAC495A"/>
    <w:rsid w:val="1FB57B5F"/>
    <w:rsid w:val="1FBC4B30"/>
    <w:rsid w:val="200D1749"/>
    <w:rsid w:val="20282B0B"/>
    <w:rsid w:val="206F661D"/>
    <w:rsid w:val="20797028"/>
    <w:rsid w:val="208732AA"/>
    <w:rsid w:val="208A4455"/>
    <w:rsid w:val="20CC256E"/>
    <w:rsid w:val="20EA0F2C"/>
    <w:rsid w:val="20EC5803"/>
    <w:rsid w:val="20EF29A4"/>
    <w:rsid w:val="213351E0"/>
    <w:rsid w:val="217F32C6"/>
    <w:rsid w:val="21893052"/>
    <w:rsid w:val="219D6374"/>
    <w:rsid w:val="21B7325D"/>
    <w:rsid w:val="21F506E7"/>
    <w:rsid w:val="21F92581"/>
    <w:rsid w:val="220B1CB9"/>
    <w:rsid w:val="2210107D"/>
    <w:rsid w:val="228A69DC"/>
    <w:rsid w:val="22A545A5"/>
    <w:rsid w:val="22B21117"/>
    <w:rsid w:val="22FC2324"/>
    <w:rsid w:val="230C7A96"/>
    <w:rsid w:val="231F5A1C"/>
    <w:rsid w:val="2326578D"/>
    <w:rsid w:val="232B0864"/>
    <w:rsid w:val="234611FA"/>
    <w:rsid w:val="23733FB9"/>
    <w:rsid w:val="23751ADF"/>
    <w:rsid w:val="23C66BC7"/>
    <w:rsid w:val="23E16CFD"/>
    <w:rsid w:val="23E76324"/>
    <w:rsid w:val="247E3EBA"/>
    <w:rsid w:val="24853FA4"/>
    <w:rsid w:val="24F54A19"/>
    <w:rsid w:val="25473008"/>
    <w:rsid w:val="25962D24"/>
    <w:rsid w:val="25CB3C39"/>
    <w:rsid w:val="25DB51D8"/>
    <w:rsid w:val="25E05F84"/>
    <w:rsid w:val="25E46AA9"/>
    <w:rsid w:val="25F56F08"/>
    <w:rsid w:val="262E0D40"/>
    <w:rsid w:val="262F241A"/>
    <w:rsid w:val="266372AF"/>
    <w:rsid w:val="267161FB"/>
    <w:rsid w:val="267C1D9F"/>
    <w:rsid w:val="26832765"/>
    <w:rsid w:val="26865DB2"/>
    <w:rsid w:val="27034234"/>
    <w:rsid w:val="274A394E"/>
    <w:rsid w:val="27550A65"/>
    <w:rsid w:val="275F2824"/>
    <w:rsid w:val="27942E7A"/>
    <w:rsid w:val="27AE0F7E"/>
    <w:rsid w:val="280A69B3"/>
    <w:rsid w:val="28237D5C"/>
    <w:rsid w:val="28466699"/>
    <w:rsid w:val="287E31E4"/>
    <w:rsid w:val="28B118E5"/>
    <w:rsid w:val="28BE4866"/>
    <w:rsid w:val="28D36C45"/>
    <w:rsid w:val="28F0370D"/>
    <w:rsid w:val="28F12E95"/>
    <w:rsid w:val="28FA7469"/>
    <w:rsid w:val="29076C3C"/>
    <w:rsid w:val="294F0C22"/>
    <w:rsid w:val="299663AC"/>
    <w:rsid w:val="29A4248C"/>
    <w:rsid w:val="29B95B6D"/>
    <w:rsid w:val="29BF534E"/>
    <w:rsid w:val="2A020F6E"/>
    <w:rsid w:val="2A0706E4"/>
    <w:rsid w:val="2A2C6C70"/>
    <w:rsid w:val="2A426494"/>
    <w:rsid w:val="2A7F4FF2"/>
    <w:rsid w:val="2A8C41C4"/>
    <w:rsid w:val="2AB63109"/>
    <w:rsid w:val="2AE36D1B"/>
    <w:rsid w:val="2AF94DA4"/>
    <w:rsid w:val="2B381D70"/>
    <w:rsid w:val="2B4803C1"/>
    <w:rsid w:val="2B72520D"/>
    <w:rsid w:val="2B920A33"/>
    <w:rsid w:val="2BA04476"/>
    <w:rsid w:val="2BB1567F"/>
    <w:rsid w:val="2BE772F2"/>
    <w:rsid w:val="2C14787D"/>
    <w:rsid w:val="2C4F6714"/>
    <w:rsid w:val="2C5C383D"/>
    <w:rsid w:val="2C7A44B5"/>
    <w:rsid w:val="2C8965FC"/>
    <w:rsid w:val="2CA8745B"/>
    <w:rsid w:val="2CB002F6"/>
    <w:rsid w:val="2CCD641A"/>
    <w:rsid w:val="2CFB1453"/>
    <w:rsid w:val="2D59699D"/>
    <w:rsid w:val="2D6230D5"/>
    <w:rsid w:val="2D850B71"/>
    <w:rsid w:val="2D893E5D"/>
    <w:rsid w:val="2DB63420"/>
    <w:rsid w:val="2E475702"/>
    <w:rsid w:val="2E506DCB"/>
    <w:rsid w:val="2E911100"/>
    <w:rsid w:val="2EB636DD"/>
    <w:rsid w:val="2EDA32F0"/>
    <w:rsid w:val="2F0C694A"/>
    <w:rsid w:val="2F1C04D2"/>
    <w:rsid w:val="2F3228BC"/>
    <w:rsid w:val="2F3C1703"/>
    <w:rsid w:val="2F7C41F6"/>
    <w:rsid w:val="2FAF4472"/>
    <w:rsid w:val="2FCF2577"/>
    <w:rsid w:val="2FD92F56"/>
    <w:rsid w:val="30222A1F"/>
    <w:rsid w:val="303074BA"/>
    <w:rsid w:val="304E7324"/>
    <w:rsid w:val="305154BE"/>
    <w:rsid w:val="30692F20"/>
    <w:rsid w:val="306F48DA"/>
    <w:rsid w:val="307A0C89"/>
    <w:rsid w:val="307D10E8"/>
    <w:rsid w:val="309C30C8"/>
    <w:rsid w:val="30D61962"/>
    <w:rsid w:val="30E12562"/>
    <w:rsid w:val="30EE4C7F"/>
    <w:rsid w:val="313343FF"/>
    <w:rsid w:val="31646238"/>
    <w:rsid w:val="3172470E"/>
    <w:rsid w:val="317B7A1E"/>
    <w:rsid w:val="31864EB8"/>
    <w:rsid w:val="3190758B"/>
    <w:rsid w:val="32081D71"/>
    <w:rsid w:val="321626E0"/>
    <w:rsid w:val="3255145A"/>
    <w:rsid w:val="32562915"/>
    <w:rsid w:val="32586FAE"/>
    <w:rsid w:val="327167DB"/>
    <w:rsid w:val="327613D0"/>
    <w:rsid w:val="32FE389F"/>
    <w:rsid w:val="331F7372"/>
    <w:rsid w:val="33256F70"/>
    <w:rsid w:val="33555F77"/>
    <w:rsid w:val="33664FA1"/>
    <w:rsid w:val="337C6572"/>
    <w:rsid w:val="339D6897"/>
    <w:rsid w:val="33B16714"/>
    <w:rsid w:val="33CC7032"/>
    <w:rsid w:val="33D62126"/>
    <w:rsid w:val="33D740F0"/>
    <w:rsid w:val="33F61444"/>
    <w:rsid w:val="342F2F5C"/>
    <w:rsid w:val="34393724"/>
    <w:rsid w:val="34427A54"/>
    <w:rsid w:val="345614B9"/>
    <w:rsid w:val="345711E6"/>
    <w:rsid w:val="3474193F"/>
    <w:rsid w:val="34B55708"/>
    <w:rsid w:val="34B65AB4"/>
    <w:rsid w:val="34BE1CA2"/>
    <w:rsid w:val="34DB551B"/>
    <w:rsid w:val="34E940DB"/>
    <w:rsid w:val="35470DDB"/>
    <w:rsid w:val="355C07C0"/>
    <w:rsid w:val="3577205F"/>
    <w:rsid w:val="358A5169"/>
    <w:rsid w:val="358C7A88"/>
    <w:rsid w:val="359D04D0"/>
    <w:rsid w:val="35A4019F"/>
    <w:rsid w:val="35A61A51"/>
    <w:rsid w:val="35BE0C4D"/>
    <w:rsid w:val="35D73F3B"/>
    <w:rsid w:val="360867E3"/>
    <w:rsid w:val="361B6516"/>
    <w:rsid w:val="362F5D9C"/>
    <w:rsid w:val="364D41F6"/>
    <w:rsid w:val="365B4B65"/>
    <w:rsid w:val="36D4052E"/>
    <w:rsid w:val="36E8434B"/>
    <w:rsid w:val="37552467"/>
    <w:rsid w:val="37585548"/>
    <w:rsid w:val="37691503"/>
    <w:rsid w:val="37797999"/>
    <w:rsid w:val="37EC3AB6"/>
    <w:rsid w:val="38213B8C"/>
    <w:rsid w:val="38327B47"/>
    <w:rsid w:val="38404012"/>
    <w:rsid w:val="386542CB"/>
    <w:rsid w:val="386F7568"/>
    <w:rsid w:val="38710670"/>
    <w:rsid w:val="387A7090"/>
    <w:rsid w:val="38B03788"/>
    <w:rsid w:val="38B7709D"/>
    <w:rsid w:val="38F117B0"/>
    <w:rsid w:val="3934169D"/>
    <w:rsid w:val="39822409"/>
    <w:rsid w:val="39A57F58"/>
    <w:rsid w:val="39CE564E"/>
    <w:rsid w:val="39E1169C"/>
    <w:rsid w:val="39F201BF"/>
    <w:rsid w:val="39FB264E"/>
    <w:rsid w:val="3A3B72D3"/>
    <w:rsid w:val="3AA204DC"/>
    <w:rsid w:val="3AB962FE"/>
    <w:rsid w:val="3B0532F1"/>
    <w:rsid w:val="3B1D4ADF"/>
    <w:rsid w:val="3B255741"/>
    <w:rsid w:val="3B787F67"/>
    <w:rsid w:val="3B824942"/>
    <w:rsid w:val="3BB7598C"/>
    <w:rsid w:val="3BBF4BC8"/>
    <w:rsid w:val="3BCD6245"/>
    <w:rsid w:val="3BF85ABC"/>
    <w:rsid w:val="3BFE66BE"/>
    <w:rsid w:val="3C2679C3"/>
    <w:rsid w:val="3C2B322B"/>
    <w:rsid w:val="3C32032D"/>
    <w:rsid w:val="3C4D430D"/>
    <w:rsid w:val="3C4F3C6F"/>
    <w:rsid w:val="3C5F244B"/>
    <w:rsid w:val="3C785690"/>
    <w:rsid w:val="3C992E39"/>
    <w:rsid w:val="3C9B1387"/>
    <w:rsid w:val="3CE533DA"/>
    <w:rsid w:val="3CF763AA"/>
    <w:rsid w:val="3D15699C"/>
    <w:rsid w:val="3D2263DC"/>
    <w:rsid w:val="3D622C7D"/>
    <w:rsid w:val="3D65451B"/>
    <w:rsid w:val="3E247F32"/>
    <w:rsid w:val="3E2533F0"/>
    <w:rsid w:val="3E3D6CA0"/>
    <w:rsid w:val="3E685E60"/>
    <w:rsid w:val="3E803009"/>
    <w:rsid w:val="3E91779D"/>
    <w:rsid w:val="3EA51073"/>
    <w:rsid w:val="3F1A6771"/>
    <w:rsid w:val="3F2D1415"/>
    <w:rsid w:val="3F4311B4"/>
    <w:rsid w:val="3F4C7741"/>
    <w:rsid w:val="3F4E506A"/>
    <w:rsid w:val="3F577E93"/>
    <w:rsid w:val="3F7F7B16"/>
    <w:rsid w:val="3F85310A"/>
    <w:rsid w:val="3FA17158"/>
    <w:rsid w:val="3FB460B2"/>
    <w:rsid w:val="3FC3504D"/>
    <w:rsid w:val="3FE91433"/>
    <w:rsid w:val="3FEE1C8A"/>
    <w:rsid w:val="3FF90202"/>
    <w:rsid w:val="40271F5C"/>
    <w:rsid w:val="40471016"/>
    <w:rsid w:val="4093314D"/>
    <w:rsid w:val="409C29E0"/>
    <w:rsid w:val="40A62E81"/>
    <w:rsid w:val="40A73394"/>
    <w:rsid w:val="40B27B5A"/>
    <w:rsid w:val="40BC4452"/>
    <w:rsid w:val="40C63D46"/>
    <w:rsid w:val="40C81049"/>
    <w:rsid w:val="40D479EE"/>
    <w:rsid w:val="410A5CF6"/>
    <w:rsid w:val="41960106"/>
    <w:rsid w:val="420E6B46"/>
    <w:rsid w:val="42436CD4"/>
    <w:rsid w:val="425012F6"/>
    <w:rsid w:val="42612CA5"/>
    <w:rsid w:val="42644DA1"/>
    <w:rsid w:val="42734FE4"/>
    <w:rsid w:val="427D1BDF"/>
    <w:rsid w:val="42925DB2"/>
    <w:rsid w:val="42944174"/>
    <w:rsid w:val="42BE5280"/>
    <w:rsid w:val="42DD2670"/>
    <w:rsid w:val="42DD4E8E"/>
    <w:rsid w:val="430A54B9"/>
    <w:rsid w:val="43217136"/>
    <w:rsid w:val="432F0902"/>
    <w:rsid w:val="439B4160"/>
    <w:rsid w:val="43CD569F"/>
    <w:rsid w:val="44160090"/>
    <w:rsid w:val="445A16DE"/>
    <w:rsid w:val="445F373B"/>
    <w:rsid w:val="447137A5"/>
    <w:rsid w:val="449A0F4E"/>
    <w:rsid w:val="44ED1D73"/>
    <w:rsid w:val="44EE5BEA"/>
    <w:rsid w:val="45017F8B"/>
    <w:rsid w:val="45335EBB"/>
    <w:rsid w:val="458B5895"/>
    <w:rsid w:val="45905269"/>
    <w:rsid w:val="45CB1E22"/>
    <w:rsid w:val="46144640"/>
    <w:rsid w:val="462F093B"/>
    <w:rsid w:val="468933F3"/>
    <w:rsid w:val="469D2F78"/>
    <w:rsid w:val="46B85644"/>
    <w:rsid w:val="46BD7176"/>
    <w:rsid w:val="470D5A07"/>
    <w:rsid w:val="474451A1"/>
    <w:rsid w:val="477A7F34"/>
    <w:rsid w:val="47A2665A"/>
    <w:rsid w:val="47C07499"/>
    <w:rsid w:val="47E726B9"/>
    <w:rsid w:val="48032022"/>
    <w:rsid w:val="480D1A37"/>
    <w:rsid w:val="484C255F"/>
    <w:rsid w:val="487806A8"/>
    <w:rsid w:val="48A94BF9"/>
    <w:rsid w:val="48BA79AD"/>
    <w:rsid w:val="49025314"/>
    <w:rsid w:val="49177011"/>
    <w:rsid w:val="497A75A0"/>
    <w:rsid w:val="49C059C4"/>
    <w:rsid w:val="49C64593"/>
    <w:rsid w:val="49CD147E"/>
    <w:rsid w:val="49FB790F"/>
    <w:rsid w:val="4A54394D"/>
    <w:rsid w:val="4A884657"/>
    <w:rsid w:val="4A927154"/>
    <w:rsid w:val="4AA24622"/>
    <w:rsid w:val="4AAA7A11"/>
    <w:rsid w:val="4AB80380"/>
    <w:rsid w:val="4B02784D"/>
    <w:rsid w:val="4B481704"/>
    <w:rsid w:val="4B511079"/>
    <w:rsid w:val="4B555BCF"/>
    <w:rsid w:val="4B5F25AA"/>
    <w:rsid w:val="4BD56D10"/>
    <w:rsid w:val="4BDC3BFA"/>
    <w:rsid w:val="4C565C63"/>
    <w:rsid w:val="4C753774"/>
    <w:rsid w:val="4C7C7F92"/>
    <w:rsid w:val="4C8845CA"/>
    <w:rsid w:val="4CA05F3B"/>
    <w:rsid w:val="4CF3744D"/>
    <w:rsid w:val="4D493068"/>
    <w:rsid w:val="4DC1579E"/>
    <w:rsid w:val="4E122A29"/>
    <w:rsid w:val="4E1D3016"/>
    <w:rsid w:val="4E21448E"/>
    <w:rsid w:val="4E2D3A47"/>
    <w:rsid w:val="4E361CE8"/>
    <w:rsid w:val="4E372CEF"/>
    <w:rsid w:val="4E402B66"/>
    <w:rsid w:val="4E4338E9"/>
    <w:rsid w:val="4E6525CD"/>
    <w:rsid w:val="4E761A7B"/>
    <w:rsid w:val="4ED432AF"/>
    <w:rsid w:val="4F043B94"/>
    <w:rsid w:val="4F630586"/>
    <w:rsid w:val="4F677FC1"/>
    <w:rsid w:val="4F835269"/>
    <w:rsid w:val="4F860A4D"/>
    <w:rsid w:val="4F9016CF"/>
    <w:rsid w:val="4FC75D66"/>
    <w:rsid w:val="4FD01CC8"/>
    <w:rsid w:val="500D4CCA"/>
    <w:rsid w:val="500D5777"/>
    <w:rsid w:val="502C2C93"/>
    <w:rsid w:val="50420B3C"/>
    <w:rsid w:val="50593A6B"/>
    <w:rsid w:val="505E5526"/>
    <w:rsid w:val="508F1B83"/>
    <w:rsid w:val="50923421"/>
    <w:rsid w:val="50C730CB"/>
    <w:rsid w:val="50D0558F"/>
    <w:rsid w:val="51354805"/>
    <w:rsid w:val="513F7105"/>
    <w:rsid w:val="514F2040"/>
    <w:rsid w:val="51584383"/>
    <w:rsid w:val="517529A6"/>
    <w:rsid w:val="519B6306"/>
    <w:rsid w:val="519D207E"/>
    <w:rsid w:val="51AF7F74"/>
    <w:rsid w:val="51B80C66"/>
    <w:rsid w:val="51BD44CE"/>
    <w:rsid w:val="521C11F4"/>
    <w:rsid w:val="522E717A"/>
    <w:rsid w:val="52595FA5"/>
    <w:rsid w:val="525E73E6"/>
    <w:rsid w:val="529F2FF6"/>
    <w:rsid w:val="52AA4FFD"/>
    <w:rsid w:val="52B15DE1"/>
    <w:rsid w:val="52C4069C"/>
    <w:rsid w:val="52E141EC"/>
    <w:rsid w:val="530F2B07"/>
    <w:rsid w:val="536A58F3"/>
    <w:rsid w:val="537F6561"/>
    <w:rsid w:val="53835730"/>
    <w:rsid w:val="53AC696A"/>
    <w:rsid w:val="53BD2563"/>
    <w:rsid w:val="54752E3E"/>
    <w:rsid w:val="54932BD7"/>
    <w:rsid w:val="5496580C"/>
    <w:rsid w:val="54C662FF"/>
    <w:rsid w:val="54E3249D"/>
    <w:rsid w:val="550F6DEF"/>
    <w:rsid w:val="55297466"/>
    <w:rsid w:val="557D644E"/>
    <w:rsid w:val="564218E3"/>
    <w:rsid w:val="565B56A9"/>
    <w:rsid w:val="565E09C3"/>
    <w:rsid w:val="566905E1"/>
    <w:rsid w:val="56754496"/>
    <w:rsid w:val="567F7FA4"/>
    <w:rsid w:val="56D7393C"/>
    <w:rsid w:val="56FB1D20"/>
    <w:rsid w:val="56FD0316"/>
    <w:rsid w:val="571267C0"/>
    <w:rsid w:val="57367E83"/>
    <w:rsid w:val="57382721"/>
    <w:rsid w:val="57607DD5"/>
    <w:rsid w:val="577B69BD"/>
    <w:rsid w:val="579B2BBB"/>
    <w:rsid w:val="58481AE4"/>
    <w:rsid w:val="58935F89"/>
    <w:rsid w:val="58BA52C3"/>
    <w:rsid w:val="58CD149A"/>
    <w:rsid w:val="58FF624D"/>
    <w:rsid w:val="59246BE1"/>
    <w:rsid w:val="593A20D4"/>
    <w:rsid w:val="5979517E"/>
    <w:rsid w:val="59901C4F"/>
    <w:rsid w:val="59A541C5"/>
    <w:rsid w:val="59C4289D"/>
    <w:rsid w:val="59DD0681"/>
    <w:rsid w:val="5A1153B7"/>
    <w:rsid w:val="5A1F043A"/>
    <w:rsid w:val="5A511C57"/>
    <w:rsid w:val="5A695854"/>
    <w:rsid w:val="5A9164F8"/>
    <w:rsid w:val="5A9B1B88"/>
    <w:rsid w:val="5AD07E69"/>
    <w:rsid w:val="5AF62239"/>
    <w:rsid w:val="5AFB3648"/>
    <w:rsid w:val="5AFC1BC3"/>
    <w:rsid w:val="5AFF7905"/>
    <w:rsid w:val="5B137CD0"/>
    <w:rsid w:val="5B286E5C"/>
    <w:rsid w:val="5B3D3F8A"/>
    <w:rsid w:val="5B7976B8"/>
    <w:rsid w:val="5BA978F9"/>
    <w:rsid w:val="5BB4249E"/>
    <w:rsid w:val="5BEA6E86"/>
    <w:rsid w:val="5BEE226D"/>
    <w:rsid w:val="5C104E4C"/>
    <w:rsid w:val="5C377740"/>
    <w:rsid w:val="5C3F26AF"/>
    <w:rsid w:val="5C493732"/>
    <w:rsid w:val="5C495651"/>
    <w:rsid w:val="5C4F21C6"/>
    <w:rsid w:val="5C552EE6"/>
    <w:rsid w:val="5C62010E"/>
    <w:rsid w:val="5C682994"/>
    <w:rsid w:val="5C82259C"/>
    <w:rsid w:val="5C8A3B08"/>
    <w:rsid w:val="5CBF10FA"/>
    <w:rsid w:val="5CE648D9"/>
    <w:rsid w:val="5CFE436C"/>
    <w:rsid w:val="5DBD76B4"/>
    <w:rsid w:val="5DCA51DD"/>
    <w:rsid w:val="5DD63C9B"/>
    <w:rsid w:val="5DE828D3"/>
    <w:rsid w:val="5DEC38D5"/>
    <w:rsid w:val="5DF63241"/>
    <w:rsid w:val="5E281679"/>
    <w:rsid w:val="5E47584B"/>
    <w:rsid w:val="5E5D6D9F"/>
    <w:rsid w:val="5E871977"/>
    <w:rsid w:val="5EA26F25"/>
    <w:rsid w:val="5EBA4A06"/>
    <w:rsid w:val="5F1462A4"/>
    <w:rsid w:val="5F6755E8"/>
    <w:rsid w:val="5FAC70AD"/>
    <w:rsid w:val="5FEF49B4"/>
    <w:rsid w:val="600A0901"/>
    <w:rsid w:val="600F4C35"/>
    <w:rsid w:val="60170E95"/>
    <w:rsid w:val="602349A2"/>
    <w:rsid w:val="60681AA9"/>
    <w:rsid w:val="60AD085F"/>
    <w:rsid w:val="613227E2"/>
    <w:rsid w:val="615527D2"/>
    <w:rsid w:val="619C3857"/>
    <w:rsid w:val="619E135C"/>
    <w:rsid w:val="61AB68C6"/>
    <w:rsid w:val="61C3343B"/>
    <w:rsid w:val="61CB0541"/>
    <w:rsid w:val="61E335A4"/>
    <w:rsid w:val="62395ED8"/>
    <w:rsid w:val="62B40258"/>
    <w:rsid w:val="62B43EFB"/>
    <w:rsid w:val="62B92A90"/>
    <w:rsid w:val="62B965EC"/>
    <w:rsid w:val="62F45482"/>
    <w:rsid w:val="631E435E"/>
    <w:rsid w:val="63350368"/>
    <w:rsid w:val="63387E58"/>
    <w:rsid w:val="63443890"/>
    <w:rsid w:val="63517988"/>
    <w:rsid w:val="636447A9"/>
    <w:rsid w:val="639F5EAB"/>
    <w:rsid w:val="63B868A3"/>
    <w:rsid w:val="645C36D2"/>
    <w:rsid w:val="6470717E"/>
    <w:rsid w:val="64BB664B"/>
    <w:rsid w:val="64F652F4"/>
    <w:rsid w:val="652A3C44"/>
    <w:rsid w:val="653C6A80"/>
    <w:rsid w:val="65483E99"/>
    <w:rsid w:val="65516386"/>
    <w:rsid w:val="657F58CB"/>
    <w:rsid w:val="659F7D1B"/>
    <w:rsid w:val="65B039ED"/>
    <w:rsid w:val="65DC1A9E"/>
    <w:rsid w:val="65FC516D"/>
    <w:rsid w:val="6637385C"/>
    <w:rsid w:val="66814420"/>
    <w:rsid w:val="669415AD"/>
    <w:rsid w:val="66F75934"/>
    <w:rsid w:val="670D6F06"/>
    <w:rsid w:val="6729235F"/>
    <w:rsid w:val="68004748"/>
    <w:rsid w:val="680E1DDA"/>
    <w:rsid w:val="681744E0"/>
    <w:rsid w:val="682470F3"/>
    <w:rsid w:val="683A66F3"/>
    <w:rsid w:val="68415F73"/>
    <w:rsid w:val="68541290"/>
    <w:rsid w:val="685C7737"/>
    <w:rsid w:val="685F7C35"/>
    <w:rsid w:val="68B65AA7"/>
    <w:rsid w:val="68BC5088"/>
    <w:rsid w:val="68C94F08"/>
    <w:rsid w:val="68D01D52"/>
    <w:rsid w:val="68E51EE8"/>
    <w:rsid w:val="691E189E"/>
    <w:rsid w:val="69410B62"/>
    <w:rsid w:val="6942558D"/>
    <w:rsid w:val="69482477"/>
    <w:rsid w:val="69553330"/>
    <w:rsid w:val="69790883"/>
    <w:rsid w:val="69AC72E7"/>
    <w:rsid w:val="69D02B99"/>
    <w:rsid w:val="69D1246D"/>
    <w:rsid w:val="6A212C91"/>
    <w:rsid w:val="6A325601"/>
    <w:rsid w:val="6A3824EC"/>
    <w:rsid w:val="6A3C1FDC"/>
    <w:rsid w:val="6A4D41E9"/>
    <w:rsid w:val="6A627569"/>
    <w:rsid w:val="6A681023"/>
    <w:rsid w:val="6A6C42EE"/>
    <w:rsid w:val="6A983966"/>
    <w:rsid w:val="6A9F256B"/>
    <w:rsid w:val="6AA45378"/>
    <w:rsid w:val="6AA87672"/>
    <w:rsid w:val="6AB73D58"/>
    <w:rsid w:val="6AF428B7"/>
    <w:rsid w:val="6B321E3A"/>
    <w:rsid w:val="6B5E28D1"/>
    <w:rsid w:val="6BD34BC2"/>
    <w:rsid w:val="6BD97063"/>
    <w:rsid w:val="6BFB10DB"/>
    <w:rsid w:val="6C130156"/>
    <w:rsid w:val="6C261912"/>
    <w:rsid w:val="6C474C68"/>
    <w:rsid w:val="6C496C32"/>
    <w:rsid w:val="6C692E30"/>
    <w:rsid w:val="6C953C26"/>
    <w:rsid w:val="6CA976D1"/>
    <w:rsid w:val="6D152826"/>
    <w:rsid w:val="6D8203D1"/>
    <w:rsid w:val="6D851EEC"/>
    <w:rsid w:val="6D885538"/>
    <w:rsid w:val="6DA37F8C"/>
    <w:rsid w:val="6DA646A8"/>
    <w:rsid w:val="6DBE53FE"/>
    <w:rsid w:val="6DC522E8"/>
    <w:rsid w:val="6DC96228"/>
    <w:rsid w:val="6DD32C57"/>
    <w:rsid w:val="6DDE14D5"/>
    <w:rsid w:val="6E385C47"/>
    <w:rsid w:val="6E4C0C5C"/>
    <w:rsid w:val="6E5C504C"/>
    <w:rsid w:val="6EC16F54"/>
    <w:rsid w:val="6EEE3AC1"/>
    <w:rsid w:val="6EFF34EC"/>
    <w:rsid w:val="6EFF7A7C"/>
    <w:rsid w:val="6F667AFB"/>
    <w:rsid w:val="6FB22D40"/>
    <w:rsid w:val="6FD44A65"/>
    <w:rsid w:val="6FF84BF7"/>
    <w:rsid w:val="70207AB6"/>
    <w:rsid w:val="7021181D"/>
    <w:rsid w:val="70227A0B"/>
    <w:rsid w:val="703E6382"/>
    <w:rsid w:val="70666005"/>
    <w:rsid w:val="707324D0"/>
    <w:rsid w:val="70AB7EBB"/>
    <w:rsid w:val="70D24BE0"/>
    <w:rsid w:val="70F25AEA"/>
    <w:rsid w:val="71165A29"/>
    <w:rsid w:val="711D41EA"/>
    <w:rsid w:val="71416109"/>
    <w:rsid w:val="71BE25F8"/>
    <w:rsid w:val="71E33685"/>
    <w:rsid w:val="720F4AE4"/>
    <w:rsid w:val="722747BB"/>
    <w:rsid w:val="727A5D97"/>
    <w:rsid w:val="728419D0"/>
    <w:rsid w:val="728C5ACB"/>
    <w:rsid w:val="72A5095D"/>
    <w:rsid w:val="72B8066E"/>
    <w:rsid w:val="72BD5C84"/>
    <w:rsid w:val="72CC4119"/>
    <w:rsid w:val="72CF0D09"/>
    <w:rsid w:val="72DD1E82"/>
    <w:rsid w:val="72DD4F0C"/>
    <w:rsid w:val="72E36EB5"/>
    <w:rsid w:val="7329156C"/>
    <w:rsid w:val="734D5A9B"/>
    <w:rsid w:val="738F5872"/>
    <w:rsid w:val="73BC418E"/>
    <w:rsid w:val="74031DBD"/>
    <w:rsid w:val="74037387"/>
    <w:rsid w:val="7469511F"/>
    <w:rsid w:val="748F53FE"/>
    <w:rsid w:val="74C83132"/>
    <w:rsid w:val="74E120FE"/>
    <w:rsid w:val="74E8652F"/>
    <w:rsid w:val="75287D2D"/>
    <w:rsid w:val="7557416E"/>
    <w:rsid w:val="755A0FAA"/>
    <w:rsid w:val="75660855"/>
    <w:rsid w:val="756D3991"/>
    <w:rsid w:val="759B7ACB"/>
    <w:rsid w:val="7610431D"/>
    <w:rsid w:val="76231EB7"/>
    <w:rsid w:val="762878B8"/>
    <w:rsid w:val="764843AD"/>
    <w:rsid w:val="764E5409"/>
    <w:rsid w:val="767932DD"/>
    <w:rsid w:val="768371E5"/>
    <w:rsid w:val="76B54D24"/>
    <w:rsid w:val="76C03F95"/>
    <w:rsid w:val="770245AD"/>
    <w:rsid w:val="77250219"/>
    <w:rsid w:val="772E0EFE"/>
    <w:rsid w:val="77460C02"/>
    <w:rsid w:val="775841CD"/>
    <w:rsid w:val="77617526"/>
    <w:rsid w:val="77743301"/>
    <w:rsid w:val="777F79AC"/>
    <w:rsid w:val="7794747D"/>
    <w:rsid w:val="77E43CB3"/>
    <w:rsid w:val="77E8017E"/>
    <w:rsid w:val="78012B52"/>
    <w:rsid w:val="78417C54"/>
    <w:rsid w:val="78AC432F"/>
    <w:rsid w:val="78C37D6C"/>
    <w:rsid w:val="78D30FCC"/>
    <w:rsid w:val="78E51C7E"/>
    <w:rsid w:val="79024659"/>
    <w:rsid w:val="79603F98"/>
    <w:rsid w:val="79855B27"/>
    <w:rsid w:val="79C224E3"/>
    <w:rsid w:val="79C31DDA"/>
    <w:rsid w:val="79FE6FB9"/>
    <w:rsid w:val="7A480258"/>
    <w:rsid w:val="7A4A0371"/>
    <w:rsid w:val="7A684727"/>
    <w:rsid w:val="7A8107AB"/>
    <w:rsid w:val="7A853AC9"/>
    <w:rsid w:val="7A8A28F0"/>
    <w:rsid w:val="7A9415CD"/>
    <w:rsid w:val="7A947F88"/>
    <w:rsid w:val="7A9D64D7"/>
    <w:rsid w:val="7AA716F4"/>
    <w:rsid w:val="7AF1471D"/>
    <w:rsid w:val="7B06349B"/>
    <w:rsid w:val="7B123DE2"/>
    <w:rsid w:val="7B392099"/>
    <w:rsid w:val="7B41740C"/>
    <w:rsid w:val="7B5246BD"/>
    <w:rsid w:val="7B6D536D"/>
    <w:rsid w:val="7BD5775B"/>
    <w:rsid w:val="7BDC2898"/>
    <w:rsid w:val="7BE44282"/>
    <w:rsid w:val="7C58408F"/>
    <w:rsid w:val="7C8832A0"/>
    <w:rsid w:val="7CB836FA"/>
    <w:rsid w:val="7CC7607D"/>
    <w:rsid w:val="7D6C2257"/>
    <w:rsid w:val="7D70423C"/>
    <w:rsid w:val="7DB72E6A"/>
    <w:rsid w:val="7DC55207"/>
    <w:rsid w:val="7DD24CD9"/>
    <w:rsid w:val="7DF06F0E"/>
    <w:rsid w:val="7E3808B5"/>
    <w:rsid w:val="7E7A007E"/>
    <w:rsid w:val="7E9717CF"/>
    <w:rsid w:val="7E996EC9"/>
    <w:rsid w:val="7EBE0DBA"/>
    <w:rsid w:val="7ECB784B"/>
    <w:rsid w:val="7F55155C"/>
    <w:rsid w:val="7F9B559F"/>
    <w:rsid w:val="7F9E6F5D"/>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0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07"/>
    <w:qFormat/>
    <w:uiPriority w:val="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135"/>
    <w:autoRedefine/>
    <w:qFormat/>
    <w:uiPriority w:val="0"/>
    <w:pPr>
      <w:keepNext/>
      <w:keepLines/>
      <w:spacing w:before="260" w:after="260" w:line="413" w:lineRule="auto"/>
      <w:outlineLvl w:val="2"/>
    </w:pPr>
    <w:rPr>
      <w:b/>
      <w:sz w:val="32"/>
    </w:rPr>
  </w:style>
  <w:style w:type="paragraph" w:styleId="6">
    <w:name w:val="heading 4"/>
    <w:basedOn w:val="1"/>
    <w:next w:val="1"/>
    <w:link w:val="108"/>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109"/>
    <w:autoRedefine/>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110"/>
    <w:autoRedefine/>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9">
    <w:name w:val="heading 7"/>
    <w:basedOn w:val="1"/>
    <w:next w:val="1"/>
    <w:link w:val="111"/>
    <w:autoRedefine/>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10">
    <w:name w:val="heading 8"/>
    <w:basedOn w:val="1"/>
    <w:next w:val="1"/>
    <w:link w:val="112"/>
    <w:autoRedefine/>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1">
    <w:name w:val="heading 9"/>
    <w:basedOn w:val="1"/>
    <w:next w:val="1"/>
    <w:link w:val="113"/>
    <w:autoRedefine/>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TOAHeading"/>
    <w:basedOn w:val="1"/>
    <w:next w:val="1"/>
    <w:autoRedefine/>
    <w:qFormat/>
    <w:uiPriority w:val="0"/>
    <w:pPr>
      <w:spacing w:before="120"/>
      <w:textAlignment w:val="baseline"/>
    </w:pPr>
    <w:rPr>
      <w:rFonts w:ascii="Arial" w:hAnsi="Arial"/>
      <w:sz w:val="24"/>
      <w:szCs w:val="24"/>
    </w:rPr>
  </w:style>
  <w:style w:type="paragraph" w:styleId="12">
    <w:name w:val="table of authorities"/>
    <w:basedOn w:val="1"/>
    <w:next w:val="1"/>
    <w:autoRedefine/>
    <w:unhideWhenUsed/>
    <w:qFormat/>
    <w:uiPriority w:val="99"/>
    <w:pPr>
      <w:ind w:left="420" w:leftChars="200"/>
    </w:pPr>
    <w:rPr>
      <w:rFonts w:ascii="Calibri" w:hAnsi="Calibri"/>
      <w:szCs w:val="24"/>
    </w:rPr>
  </w:style>
  <w:style w:type="paragraph" w:styleId="13">
    <w:name w:val="Normal Indent"/>
    <w:basedOn w:val="1"/>
    <w:link w:val="116"/>
    <w:autoRedefine/>
    <w:qFormat/>
    <w:uiPriority w:val="0"/>
    <w:pPr>
      <w:widowControl/>
      <w:ind w:firstLine="420"/>
      <w:jc w:val="left"/>
    </w:pPr>
    <w:rPr>
      <w:kern w:val="0"/>
      <w:szCs w:val="20"/>
    </w:rPr>
  </w:style>
  <w:style w:type="paragraph" w:styleId="14">
    <w:name w:val="Document Map"/>
    <w:basedOn w:val="1"/>
    <w:link w:val="121"/>
    <w:autoRedefine/>
    <w:unhideWhenUsed/>
    <w:qFormat/>
    <w:uiPriority w:val="0"/>
    <w:rPr>
      <w:rFonts w:ascii="宋体"/>
      <w:sz w:val="18"/>
      <w:szCs w:val="18"/>
    </w:rPr>
  </w:style>
  <w:style w:type="paragraph" w:styleId="15">
    <w:name w:val="toa heading"/>
    <w:basedOn w:val="1"/>
    <w:next w:val="1"/>
    <w:autoRedefine/>
    <w:qFormat/>
    <w:uiPriority w:val="0"/>
    <w:pPr>
      <w:spacing w:before="120"/>
    </w:pPr>
    <w:rPr>
      <w:rFonts w:ascii="Arial" w:hAnsi="Arial"/>
      <w:sz w:val="24"/>
      <w:szCs w:val="24"/>
    </w:rPr>
  </w:style>
  <w:style w:type="paragraph" w:styleId="16">
    <w:name w:val="annotation text"/>
    <w:basedOn w:val="1"/>
    <w:link w:val="125"/>
    <w:autoRedefine/>
    <w:qFormat/>
    <w:uiPriority w:val="0"/>
    <w:pPr>
      <w:jc w:val="left"/>
    </w:pPr>
  </w:style>
  <w:style w:type="paragraph" w:styleId="17">
    <w:name w:val="Body Text 3"/>
    <w:basedOn w:val="1"/>
    <w:link w:val="143"/>
    <w:autoRedefine/>
    <w:qFormat/>
    <w:uiPriority w:val="0"/>
    <w:rPr>
      <w:rFonts w:ascii="宋体" w:hAnsiTheme="minorHAnsi" w:eastAsiaTheme="minorEastAsia" w:cstheme="minorBidi"/>
      <w:sz w:val="24"/>
      <w:szCs w:val="20"/>
    </w:rPr>
  </w:style>
  <w:style w:type="paragraph" w:styleId="18">
    <w:name w:val="Body Text"/>
    <w:basedOn w:val="1"/>
    <w:next w:val="1"/>
    <w:link w:val="134"/>
    <w:autoRedefine/>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9">
    <w:name w:val="Body Text Indent"/>
    <w:basedOn w:val="1"/>
    <w:link w:val="123"/>
    <w:autoRedefine/>
    <w:qFormat/>
    <w:uiPriority w:val="99"/>
    <w:pPr>
      <w:widowControl/>
      <w:spacing w:before="100" w:beforeAutospacing="1" w:after="100" w:afterAutospacing="1"/>
      <w:jc w:val="left"/>
    </w:pPr>
    <w:rPr>
      <w:rFonts w:ascii="宋体" w:hAnsi="宋体"/>
      <w:kern w:val="0"/>
      <w:sz w:val="24"/>
      <w:szCs w:val="24"/>
    </w:rPr>
  </w:style>
  <w:style w:type="paragraph" w:styleId="20">
    <w:name w:val="toc 3"/>
    <w:basedOn w:val="1"/>
    <w:next w:val="1"/>
    <w:autoRedefine/>
    <w:unhideWhenUsed/>
    <w:qFormat/>
    <w:uiPriority w:val="39"/>
    <w:pPr>
      <w:ind w:left="840" w:leftChars="400"/>
    </w:pPr>
    <w:rPr>
      <w:rFonts w:asciiTheme="minorHAnsi" w:hAnsiTheme="minorHAnsi" w:eastAsiaTheme="minorEastAsia" w:cstheme="minorBidi"/>
    </w:rPr>
  </w:style>
  <w:style w:type="paragraph" w:styleId="21">
    <w:name w:val="Plain Text"/>
    <w:basedOn w:val="1"/>
    <w:link w:val="119"/>
    <w:autoRedefine/>
    <w:qFormat/>
    <w:uiPriority w:val="0"/>
    <w:pPr>
      <w:spacing w:line="360" w:lineRule="auto"/>
    </w:pPr>
    <w:rPr>
      <w:rFonts w:ascii="宋体" w:hAnsi="Courier New"/>
      <w:sz w:val="24"/>
      <w:szCs w:val="21"/>
    </w:rPr>
  </w:style>
  <w:style w:type="paragraph" w:styleId="22">
    <w:name w:val="Date"/>
    <w:basedOn w:val="1"/>
    <w:next w:val="1"/>
    <w:link w:val="141"/>
    <w:autoRedefine/>
    <w:qFormat/>
    <w:uiPriority w:val="99"/>
    <w:pPr>
      <w:ind w:left="100" w:leftChars="2500"/>
    </w:pPr>
  </w:style>
  <w:style w:type="paragraph" w:styleId="23">
    <w:name w:val="Body Text Indent 2"/>
    <w:basedOn w:val="1"/>
    <w:link w:val="115"/>
    <w:autoRedefine/>
    <w:qFormat/>
    <w:uiPriority w:val="0"/>
    <w:pPr>
      <w:widowControl/>
      <w:spacing w:before="100" w:beforeAutospacing="1" w:after="100" w:afterAutospacing="1"/>
      <w:jc w:val="left"/>
    </w:pPr>
    <w:rPr>
      <w:rFonts w:ascii="宋体" w:hAnsi="宋体"/>
      <w:kern w:val="0"/>
      <w:sz w:val="24"/>
      <w:szCs w:val="24"/>
    </w:rPr>
  </w:style>
  <w:style w:type="paragraph" w:styleId="24">
    <w:name w:val="Balloon Text"/>
    <w:basedOn w:val="1"/>
    <w:link w:val="124"/>
    <w:autoRedefine/>
    <w:qFormat/>
    <w:uiPriority w:val="99"/>
    <w:rPr>
      <w:kern w:val="0"/>
      <w:sz w:val="18"/>
      <w:szCs w:val="18"/>
    </w:rPr>
  </w:style>
  <w:style w:type="paragraph" w:styleId="25">
    <w:name w:val="footer"/>
    <w:basedOn w:val="1"/>
    <w:next w:val="1"/>
    <w:link w:val="114"/>
    <w:autoRedefine/>
    <w:qFormat/>
    <w:uiPriority w:val="99"/>
    <w:pPr>
      <w:pBdr>
        <w:top w:val="single" w:color="auto" w:sz="4" w:space="1"/>
      </w:pBdr>
      <w:tabs>
        <w:tab w:val="center" w:pos="4153"/>
        <w:tab w:val="right" w:pos="8306"/>
      </w:tabs>
      <w:snapToGrid w:val="0"/>
      <w:jc w:val="left"/>
    </w:pPr>
    <w:rPr>
      <w:kern w:val="0"/>
      <w:sz w:val="18"/>
      <w:szCs w:val="18"/>
    </w:rPr>
  </w:style>
  <w:style w:type="paragraph" w:styleId="26">
    <w:name w:val="header"/>
    <w:basedOn w:val="1"/>
    <w:link w:val="120"/>
    <w:autoRedefine/>
    <w:qFormat/>
    <w:uiPriority w:val="99"/>
    <w:pPr>
      <w:tabs>
        <w:tab w:val="center" w:pos="4153"/>
        <w:tab w:val="right" w:pos="8306"/>
      </w:tabs>
      <w:snapToGrid w:val="0"/>
      <w:jc w:val="center"/>
    </w:pPr>
    <w:rPr>
      <w:kern w:val="0"/>
      <w:sz w:val="18"/>
      <w:szCs w:val="18"/>
    </w:rPr>
  </w:style>
  <w:style w:type="paragraph" w:styleId="27">
    <w:name w:val="toc 1"/>
    <w:basedOn w:val="1"/>
    <w:next w:val="1"/>
    <w:autoRedefine/>
    <w:qFormat/>
    <w:uiPriority w:val="39"/>
  </w:style>
  <w:style w:type="paragraph" w:styleId="28">
    <w:name w:val="Subtitle"/>
    <w:basedOn w:val="1"/>
    <w:next w:val="1"/>
    <w:link w:val="122"/>
    <w:autoRedefine/>
    <w:qFormat/>
    <w:uiPriority w:val="0"/>
    <w:pPr>
      <w:spacing w:before="240" w:after="60" w:line="312" w:lineRule="auto"/>
      <w:jc w:val="center"/>
      <w:outlineLvl w:val="1"/>
    </w:pPr>
    <w:rPr>
      <w:rFonts w:ascii="Cambria" w:hAnsi="Cambria"/>
      <w:b/>
      <w:bCs/>
      <w:kern w:val="28"/>
      <w:sz w:val="32"/>
      <w:szCs w:val="32"/>
    </w:rPr>
  </w:style>
  <w:style w:type="paragraph" w:styleId="29">
    <w:name w:val="List"/>
    <w:basedOn w:val="1"/>
    <w:autoRedefine/>
    <w:qFormat/>
    <w:uiPriority w:val="0"/>
    <w:pPr>
      <w:ind w:left="420" w:hanging="420"/>
    </w:pPr>
    <w:rPr>
      <w:szCs w:val="20"/>
    </w:rPr>
  </w:style>
  <w:style w:type="paragraph" w:styleId="30">
    <w:name w:val="toc 2"/>
    <w:basedOn w:val="1"/>
    <w:next w:val="1"/>
    <w:autoRedefine/>
    <w:qFormat/>
    <w:uiPriority w:val="39"/>
    <w:pPr>
      <w:ind w:left="420" w:leftChars="200"/>
    </w:pPr>
  </w:style>
  <w:style w:type="paragraph" w:styleId="31">
    <w:name w:val="toc 9"/>
    <w:basedOn w:val="1"/>
    <w:next w:val="1"/>
    <w:qFormat/>
    <w:uiPriority w:val="0"/>
    <w:pPr>
      <w:wordWrap w:val="0"/>
      <w:ind w:left="1183"/>
      <w:jc w:val="both"/>
    </w:pPr>
    <w:rPr>
      <w:rFonts w:ascii="Times New Roman" w:hAnsi="Times New Roman"/>
      <w:lang w:val="en-US" w:eastAsia="zh-CN" w:bidi="ar-SA"/>
    </w:rPr>
  </w:style>
  <w:style w:type="paragraph" w:styleId="32">
    <w:name w:val="HTML Preformatted"/>
    <w:basedOn w:val="1"/>
    <w:link w:val="128"/>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3">
    <w:name w:val="Normal (Web)"/>
    <w:basedOn w:val="1"/>
    <w:autoRedefine/>
    <w:qFormat/>
    <w:uiPriority w:val="99"/>
    <w:pPr>
      <w:widowControl/>
      <w:jc w:val="left"/>
    </w:pPr>
    <w:rPr>
      <w:rFonts w:ascii="宋体" w:hAnsi="宋体" w:cs="宋体"/>
      <w:kern w:val="0"/>
      <w:sz w:val="24"/>
      <w:szCs w:val="24"/>
    </w:rPr>
  </w:style>
  <w:style w:type="paragraph" w:styleId="34">
    <w:name w:val="index 1"/>
    <w:basedOn w:val="1"/>
    <w:next w:val="1"/>
    <w:autoRedefine/>
    <w:qFormat/>
    <w:uiPriority w:val="0"/>
    <w:rPr>
      <w:szCs w:val="20"/>
    </w:rPr>
  </w:style>
  <w:style w:type="paragraph" w:styleId="35">
    <w:name w:val="annotation subject"/>
    <w:basedOn w:val="16"/>
    <w:next w:val="16"/>
    <w:link w:val="126"/>
    <w:autoRedefine/>
    <w:qFormat/>
    <w:uiPriority w:val="0"/>
    <w:rPr>
      <w:b/>
      <w:bCs/>
    </w:rPr>
  </w:style>
  <w:style w:type="paragraph" w:styleId="36">
    <w:name w:val="Body Text First Indent 2"/>
    <w:basedOn w:val="19"/>
    <w:link w:val="127"/>
    <w:autoRedefine/>
    <w:unhideWhenUsed/>
    <w:qFormat/>
    <w:uiPriority w:val="99"/>
    <w:pPr>
      <w:widowControl w:val="0"/>
      <w:spacing w:before="0" w:beforeAutospacing="0" w:after="120" w:afterAutospacing="0"/>
      <w:ind w:left="420" w:leftChars="200" w:firstLine="420" w:firstLineChars="200"/>
      <w:jc w:val="both"/>
    </w:pPr>
    <w:rPr>
      <w:kern w:val="2"/>
      <w:sz w:val="21"/>
    </w:rPr>
  </w:style>
  <w:style w:type="table" w:styleId="38">
    <w:name w:val="Table Grid"/>
    <w:basedOn w:val="3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0"/>
    <w:rPr>
      <w:b/>
      <w:bCs/>
    </w:rPr>
  </w:style>
  <w:style w:type="character" w:styleId="41">
    <w:name w:val="page number"/>
    <w:basedOn w:val="39"/>
    <w:autoRedefine/>
    <w:qFormat/>
    <w:uiPriority w:val="0"/>
  </w:style>
  <w:style w:type="character" w:styleId="42">
    <w:name w:val="FollowedHyperlink"/>
    <w:autoRedefine/>
    <w:qFormat/>
    <w:uiPriority w:val="99"/>
    <w:rPr>
      <w:color w:val="800080"/>
      <w:u w:val="single"/>
    </w:rPr>
  </w:style>
  <w:style w:type="character" w:styleId="43">
    <w:name w:val="Hyperlink"/>
    <w:autoRedefine/>
    <w:qFormat/>
    <w:uiPriority w:val="99"/>
    <w:rPr>
      <w:color w:val="0000FF"/>
      <w:u w:val="single"/>
    </w:rPr>
  </w:style>
  <w:style w:type="character" w:styleId="44">
    <w:name w:val="annotation reference"/>
    <w:autoRedefine/>
    <w:qFormat/>
    <w:uiPriority w:val="99"/>
    <w:rPr>
      <w:sz w:val="21"/>
      <w:szCs w:val="21"/>
    </w:rPr>
  </w:style>
  <w:style w:type="character" w:styleId="45">
    <w:name w:val="HTML Sample"/>
    <w:basedOn w:val="39"/>
    <w:semiHidden/>
    <w:unhideWhenUsed/>
    <w:qFormat/>
    <w:uiPriority w:val="99"/>
    <w:rPr>
      <w:rFonts w:ascii="Courier New" w:hAnsi="Courier New"/>
    </w:rPr>
  </w:style>
  <w:style w:type="paragraph" w:customStyle="1" w:styleId="46">
    <w:name w:val="msonormalcxspmiddl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7">
    <w:name w:val="1121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8">
    <w:name w:val="Char Char22"/>
    <w:basedOn w:val="1"/>
    <w:autoRedefine/>
    <w:qFormat/>
    <w:uiPriority w:val="0"/>
    <w:pPr>
      <w:spacing w:line="360" w:lineRule="auto"/>
      <w:ind w:firstLine="200" w:firstLineChars="200"/>
    </w:pPr>
    <w:rPr>
      <w:szCs w:val="24"/>
    </w:rPr>
  </w:style>
  <w:style w:type="paragraph" w:customStyle="1" w:styleId="49">
    <w:name w:val="样式"/>
    <w:autoRedefine/>
    <w:qFormat/>
    <w:uiPriority w:val="99"/>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50">
    <w:name w:val="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1">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kern w:val="2"/>
      <w:sz w:val="28"/>
      <w:szCs w:val="20"/>
    </w:rPr>
  </w:style>
  <w:style w:type="paragraph" w:customStyle="1" w:styleId="52">
    <w:name w:val="3CBD5A742C28424DA5172AD252E32316"/>
    <w:autoRedefine/>
    <w:qFormat/>
    <w:uiPriority w:val="0"/>
    <w:pPr>
      <w:spacing w:after="200" w:line="276" w:lineRule="auto"/>
    </w:pPr>
    <w:rPr>
      <w:rFonts w:ascii="Times New Roman" w:hAnsi="Times New Roman" w:eastAsia="宋体" w:cs="Times New Roman"/>
      <w:sz w:val="22"/>
      <w:szCs w:val="22"/>
      <w:lang w:val="en-US" w:eastAsia="zh-CN" w:bidi="ar-SA"/>
    </w:rPr>
  </w:style>
  <w:style w:type="paragraph" w:customStyle="1" w:styleId="53">
    <w:name w:val="样式1"/>
    <w:basedOn w:val="1"/>
    <w:autoRedefine/>
    <w:qFormat/>
    <w:uiPriority w:val="0"/>
    <w:pPr>
      <w:adjustRightInd w:val="0"/>
      <w:textAlignment w:val="baseline"/>
    </w:pPr>
    <w:rPr>
      <w:rFonts w:ascii="宋体" w:hAnsi="宋体"/>
      <w:kern w:val="0"/>
      <w:szCs w:val="21"/>
    </w:rPr>
  </w:style>
  <w:style w:type="paragraph" w:customStyle="1" w:styleId="54">
    <w:name w:val="26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_Style 23"/>
    <w:basedOn w:val="1"/>
    <w:autoRedefine/>
    <w:qFormat/>
    <w:uiPriority w:val="0"/>
    <w:pPr>
      <w:spacing w:line="360" w:lineRule="auto"/>
      <w:ind w:firstLine="200" w:firstLineChars="200"/>
    </w:pPr>
  </w:style>
  <w:style w:type="paragraph" w:customStyle="1" w:styleId="56">
    <w:name w:val="_Style 49"/>
    <w:basedOn w:val="1"/>
    <w:autoRedefine/>
    <w:qFormat/>
    <w:uiPriority w:val="0"/>
    <w:pPr>
      <w:ind w:firstLine="420" w:firstLineChars="200"/>
    </w:pPr>
  </w:style>
  <w:style w:type="paragraph" w:customStyle="1" w:styleId="57">
    <w:name w:val="样式 正文（首行缩进两字） + 宋体 小四"/>
    <w:basedOn w:val="13"/>
    <w:autoRedefine/>
    <w:qFormat/>
    <w:uiPriority w:val="0"/>
    <w:pPr>
      <w:widowControl w:val="0"/>
      <w:spacing w:line="100" w:lineRule="atLeast"/>
      <w:ind w:firstLine="614" w:firstLineChars="192"/>
    </w:pPr>
    <w:rPr>
      <w:rFonts w:ascii="仿宋_GB2312" w:hAnsi="宋体" w:eastAsia="仿宋_GB2312"/>
      <w:kern w:val="2"/>
      <w:sz w:val="32"/>
    </w:rPr>
  </w:style>
  <w:style w:type="paragraph" w:customStyle="1" w:styleId="58">
    <w:name w:val="_Style 13"/>
    <w:basedOn w:val="1"/>
    <w:autoRedefine/>
    <w:qFormat/>
    <w:uiPriority w:val="0"/>
    <w:pPr>
      <w:spacing w:line="360" w:lineRule="auto"/>
      <w:ind w:firstLine="200" w:firstLineChars="200"/>
    </w:pPr>
  </w:style>
  <w:style w:type="paragraph" w:customStyle="1" w:styleId="59">
    <w:name w:val="Char Char Char"/>
    <w:basedOn w:val="1"/>
    <w:autoRedefine/>
    <w:qFormat/>
    <w:uiPriority w:val="0"/>
    <w:rPr>
      <w:rFonts w:ascii="Tahoma" w:hAnsi="Tahoma"/>
      <w:sz w:val="24"/>
      <w:szCs w:val="20"/>
    </w:rPr>
  </w:style>
  <w:style w:type="paragraph" w:customStyle="1" w:styleId="60">
    <w:name w:val="样式 标题 3h3H3sect1.2.3 + 五号 段前: 6 磅 段后: 6 磅 行距: 单倍行距"/>
    <w:basedOn w:val="5"/>
    <w:autoRedefine/>
    <w:qFormat/>
    <w:uiPriority w:val="0"/>
    <w:pPr>
      <w:numPr>
        <w:ilvl w:val="2"/>
        <w:numId w:val="1"/>
      </w:numPr>
      <w:adjustRightInd w:val="0"/>
      <w:spacing w:before="120" w:after="120" w:line="240" w:lineRule="auto"/>
      <w:jc w:val="left"/>
      <w:textAlignment w:val="baseline"/>
    </w:pPr>
    <w:rPr>
      <w:bCs/>
      <w:kern w:val="0"/>
      <w:sz w:val="21"/>
      <w:szCs w:val="20"/>
    </w:rPr>
  </w:style>
  <w:style w:type="paragraph" w:customStyle="1" w:styleId="61">
    <w:name w:val="样式 标题 1 + 四号 居中 段前: 12 磅 段后: 12 磅 行距: 单倍行距"/>
    <w:basedOn w:val="3"/>
    <w:autoRedefine/>
    <w:qFormat/>
    <w:uiPriority w:val="0"/>
    <w:pPr>
      <w:numPr>
        <w:ilvl w:val="0"/>
        <w:numId w:val="1"/>
      </w:numPr>
      <w:adjustRightInd w:val="0"/>
      <w:spacing w:before="240" w:after="240" w:line="240" w:lineRule="auto"/>
      <w:jc w:val="center"/>
      <w:textAlignment w:val="baseline"/>
    </w:pPr>
    <w:rPr>
      <w:rFonts w:cs="宋体"/>
      <w:sz w:val="28"/>
      <w:szCs w:val="20"/>
    </w:rPr>
  </w:style>
  <w:style w:type="paragraph" w:customStyle="1" w:styleId="62">
    <w:name w:val="font5"/>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3">
    <w:name w:val="font6"/>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4">
    <w:name w:val="font7"/>
    <w:basedOn w:val="1"/>
    <w:autoRedefine/>
    <w:qFormat/>
    <w:uiPriority w:val="0"/>
    <w:pPr>
      <w:widowControl/>
      <w:spacing w:before="100" w:beforeAutospacing="1" w:after="100" w:afterAutospacing="1"/>
      <w:jc w:val="left"/>
    </w:pPr>
    <w:rPr>
      <w:color w:val="000000"/>
      <w:kern w:val="0"/>
      <w:sz w:val="20"/>
      <w:szCs w:val="20"/>
    </w:rPr>
  </w:style>
  <w:style w:type="paragraph" w:customStyle="1" w:styleId="65">
    <w:name w:val="font8"/>
    <w:basedOn w:val="1"/>
    <w:autoRedefine/>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66">
    <w:name w:val="font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7">
    <w:name w:val="xl66"/>
    <w:basedOn w:val="1"/>
    <w:autoRedefine/>
    <w:qFormat/>
    <w:uiPriority w:val="0"/>
    <w:pPr>
      <w:widowControl/>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68">
    <w:name w:val="xl67"/>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6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0">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7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2">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73">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color w:val="000000"/>
      <w:kern w:val="0"/>
      <w:sz w:val="20"/>
      <w:szCs w:val="20"/>
    </w:rPr>
  </w:style>
  <w:style w:type="paragraph" w:customStyle="1" w:styleId="74">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rPr>
  </w:style>
  <w:style w:type="paragraph" w:customStyle="1" w:styleId="75">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76">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color w:val="000000"/>
      <w:kern w:val="0"/>
      <w:sz w:val="20"/>
      <w:szCs w:val="20"/>
    </w:rPr>
  </w:style>
  <w:style w:type="paragraph" w:customStyle="1" w:styleId="77">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9">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0"/>
      <w:szCs w:val="20"/>
    </w:rPr>
  </w:style>
  <w:style w:type="paragraph" w:customStyle="1" w:styleId="81">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2">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font10"/>
    <w:basedOn w:val="1"/>
    <w:autoRedefine/>
    <w:qFormat/>
    <w:uiPriority w:val="0"/>
    <w:pPr>
      <w:widowControl/>
      <w:spacing w:before="100" w:beforeAutospacing="1" w:after="100" w:afterAutospacing="1"/>
      <w:jc w:val="left"/>
    </w:pPr>
    <w:rPr>
      <w:kern w:val="0"/>
      <w:sz w:val="20"/>
      <w:szCs w:val="20"/>
    </w:rPr>
  </w:style>
  <w:style w:type="paragraph" w:customStyle="1" w:styleId="84">
    <w:name w:val="font11"/>
    <w:basedOn w:val="1"/>
    <w:autoRedefine/>
    <w:qFormat/>
    <w:uiPriority w:val="0"/>
    <w:pPr>
      <w:widowControl/>
      <w:spacing w:before="100" w:beforeAutospacing="1" w:after="100" w:afterAutospacing="1"/>
      <w:jc w:val="left"/>
    </w:pPr>
    <w:rPr>
      <w:color w:val="000000"/>
      <w:kern w:val="0"/>
      <w:sz w:val="20"/>
      <w:szCs w:val="20"/>
    </w:rPr>
  </w:style>
  <w:style w:type="paragraph" w:customStyle="1" w:styleId="85">
    <w:name w:val="font12"/>
    <w:basedOn w:val="1"/>
    <w:autoRedefine/>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86">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87">
    <w:name w:val="font14"/>
    <w:basedOn w:val="1"/>
    <w:autoRedefine/>
    <w:qFormat/>
    <w:uiPriority w:val="0"/>
    <w:pPr>
      <w:widowControl/>
      <w:spacing w:before="100" w:beforeAutospacing="1" w:after="100" w:afterAutospacing="1"/>
      <w:jc w:val="left"/>
    </w:pPr>
    <w:rPr>
      <w:kern w:val="0"/>
      <w:sz w:val="20"/>
      <w:szCs w:val="20"/>
    </w:rPr>
  </w:style>
  <w:style w:type="paragraph" w:customStyle="1" w:styleId="88">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89">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0">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1">
    <w:name w:val="xl8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92">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3">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94">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95">
    <w:name w:val="xl88"/>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96">
    <w:name w:val="xl89"/>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97">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98">
    <w:name w:val="xl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99">
    <w:name w:val="xl92"/>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0">
    <w:name w:val="xl93"/>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1">
    <w:name w:val="xl94"/>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2">
    <w:name w:val="xl95"/>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03">
    <w:name w:val="xl9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04">
    <w:name w:val="xl97"/>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5">
    <w:name w:val="xl98"/>
    <w:basedOn w:val="1"/>
    <w:autoRedefine/>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character" w:customStyle="1" w:styleId="106">
    <w:name w:val="标题 1 字符"/>
    <w:link w:val="3"/>
    <w:autoRedefine/>
    <w:qFormat/>
    <w:uiPriority w:val="9"/>
    <w:rPr>
      <w:rFonts w:eastAsia="宋体"/>
      <w:b/>
      <w:bCs/>
      <w:kern w:val="44"/>
      <w:sz w:val="44"/>
      <w:szCs w:val="44"/>
      <w:lang w:val="en-US" w:eastAsia="zh-CN" w:bidi="ar-SA"/>
    </w:rPr>
  </w:style>
  <w:style w:type="character" w:customStyle="1" w:styleId="107">
    <w:name w:val="标题 2 字符"/>
    <w:link w:val="4"/>
    <w:autoRedefine/>
    <w:qFormat/>
    <w:uiPriority w:val="9"/>
    <w:rPr>
      <w:rFonts w:ascii="Cambria" w:hAnsi="Cambria" w:eastAsia="宋体" w:cs="Times New Roman"/>
      <w:b/>
      <w:bCs/>
      <w:sz w:val="32"/>
      <w:szCs w:val="32"/>
    </w:rPr>
  </w:style>
  <w:style w:type="character" w:customStyle="1" w:styleId="108">
    <w:name w:val="标题 4 字符"/>
    <w:link w:val="6"/>
    <w:autoRedefine/>
    <w:qFormat/>
    <w:uiPriority w:val="9"/>
    <w:rPr>
      <w:rFonts w:ascii="Arial" w:hAnsi="Arial" w:eastAsia="黑体"/>
      <w:b/>
      <w:bCs/>
      <w:sz w:val="28"/>
      <w:szCs w:val="28"/>
    </w:rPr>
  </w:style>
  <w:style w:type="character" w:customStyle="1" w:styleId="109">
    <w:name w:val="标题 5 字符"/>
    <w:link w:val="7"/>
    <w:autoRedefine/>
    <w:qFormat/>
    <w:uiPriority w:val="9"/>
    <w:rPr>
      <w:b/>
      <w:bCs/>
      <w:sz w:val="28"/>
      <w:szCs w:val="28"/>
    </w:rPr>
  </w:style>
  <w:style w:type="character" w:customStyle="1" w:styleId="110">
    <w:name w:val="标题 6 字符"/>
    <w:link w:val="8"/>
    <w:autoRedefine/>
    <w:qFormat/>
    <w:uiPriority w:val="0"/>
    <w:rPr>
      <w:rFonts w:ascii="Arial" w:hAnsi="Arial" w:eastAsia="黑体"/>
      <w:b/>
      <w:bCs/>
      <w:sz w:val="24"/>
      <w:szCs w:val="24"/>
    </w:rPr>
  </w:style>
  <w:style w:type="character" w:customStyle="1" w:styleId="111">
    <w:name w:val="标题 7 字符"/>
    <w:link w:val="9"/>
    <w:autoRedefine/>
    <w:qFormat/>
    <w:uiPriority w:val="0"/>
    <w:rPr>
      <w:b/>
      <w:bCs/>
      <w:sz w:val="24"/>
      <w:szCs w:val="24"/>
    </w:rPr>
  </w:style>
  <w:style w:type="character" w:customStyle="1" w:styleId="112">
    <w:name w:val="标题 8 字符"/>
    <w:link w:val="10"/>
    <w:autoRedefine/>
    <w:qFormat/>
    <w:uiPriority w:val="0"/>
    <w:rPr>
      <w:rFonts w:ascii="Arial" w:hAnsi="Arial" w:eastAsia="黑体"/>
      <w:sz w:val="24"/>
      <w:szCs w:val="24"/>
    </w:rPr>
  </w:style>
  <w:style w:type="character" w:customStyle="1" w:styleId="113">
    <w:name w:val="标题 9 字符"/>
    <w:link w:val="11"/>
    <w:autoRedefine/>
    <w:qFormat/>
    <w:uiPriority w:val="0"/>
    <w:rPr>
      <w:rFonts w:ascii="Arial" w:hAnsi="Arial" w:eastAsia="黑体"/>
      <w:sz w:val="21"/>
      <w:szCs w:val="21"/>
    </w:rPr>
  </w:style>
  <w:style w:type="character" w:customStyle="1" w:styleId="114">
    <w:name w:val="页脚 字符"/>
    <w:link w:val="25"/>
    <w:autoRedefine/>
    <w:qFormat/>
    <w:uiPriority w:val="99"/>
    <w:rPr>
      <w:sz w:val="18"/>
      <w:szCs w:val="18"/>
    </w:rPr>
  </w:style>
  <w:style w:type="character" w:customStyle="1" w:styleId="115">
    <w:name w:val="正文文本缩进 2 字符"/>
    <w:link w:val="23"/>
    <w:autoRedefine/>
    <w:qFormat/>
    <w:uiPriority w:val="0"/>
    <w:rPr>
      <w:rFonts w:ascii="宋体" w:hAnsi="宋体" w:eastAsia="宋体" w:cs="宋体"/>
      <w:kern w:val="0"/>
      <w:sz w:val="24"/>
      <w:szCs w:val="24"/>
    </w:rPr>
  </w:style>
  <w:style w:type="character" w:customStyle="1" w:styleId="116">
    <w:name w:val="正文缩进 字符"/>
    <w:link w:val="13"/>
    <w:autoRedefine/>
    <w:qFormat/>
    <w:uiPriority w:val="0"/>
    <w:rPr>
      <w:rFonts w:eastAsia="宋体"/>
      <w:sz w:val="21"/>
      <w:lang w:bidi="ar-SA"/>
    </w:rPr>
  </w:style>
  <w:style w:type="character" w:customStyle="1" w:styleId="117">
    <w:name w:val="特点 Char"/>
    <w:autoRedefine/>
    <w:qFormat/>
    <w:uiPriority w:val="0"/>
    <w:rPr>
      <w:sz w:val="21"/>
    </w:rPr>
  </w:style>
  <w:style w:type="character" w:customStyle="1" w:styleId="118">
    <w:name w:val="px10"/>
    <w:basedOn w:val="39"/>
    <w:autoRedefine/>
    <w:qFormat/>
    <w:uiPriority w:val="0"/>
  </w:style>
  <w:style w:type="character" w:customStyle="1" w:styleId="119">
    <w:name w:val="纯文本 字符"/>
    <w:link w:val="21"/>
    <w:autoRedefine/>
    <w:qFormat/>
    <w:uiPriority w:val="0"/>
    <w:rPr>
      <w:rFonts w:ascii="宋体" w:hAnsi="Courier New" w:eastAsia="宋体"/>
      <w:kern w:val="2"/>
      <w:sz w:val="24"/>
      <w:szCs w:val="21"/>
      <w:lang w:bidi="ar-SA"/>
    </w:rPr>
  </w:style>
  <w:style w:type="character" w:customStyle="1" w:styleId="120">
    <w:name w:val="页眉 字符"/>
    <w:link w:val="26"/>
    <w:autoRedefine/>
    <w:qFormat/>
    <w:uiPriority w:val="99"/>
    <w:rPr>
      <w:sz w:val="18"/>
      <w:szCs w:val="18"/>
    </w:rPr>
  </w:style>
  <w:style w:type="character" w:customStyle="1" w:styleId="121">
    <w:name w:val="文档结构图 字符"/>
    <w:link w:val="14"/>
    <w:autoRedefine/>
    <w:qFormat/>
    <w:uiPriority w:val="0"/>
    <w:rPr>
      <w:rFonts w:ascii="宋体"/>
      <w:kern w:val="2"/>
      <w:sz w:val="18"/>
      <w:szCs w:val="18"/>
    </w:rPr>
  </w:style>
  <w:style w:type="character" w:customStyle="1" w:styleId="122">
    <w:name w:val="副标题 字符"/>
    <w:link w:val="28"/>
    <w:autoRedefine/>
    <w:qFormat/>
    <w:uiPriority w:val="0"/>
    <w:rPr>
      <w:rFonts w:ascii="Cambria" w:hAnsi="Cambria" w:eastAsia="宋体" w:cs="Times New Roman"/>
      <w:b/>
      <w:bCs/>
      <w:kern w:val="28"/>
      <w:sz w:val="32"/>
      <w:szCs w:val="32"/>
    </w:rPr>
  </w:style>
  <w:style w:type="character" w:customStyle="1" w:styleId="123">
    <w:name w:val="正文文本缩进 字符"/>
    <w:link w:val="19"/>
    <w:autoRedefine/>
    <w:qFormat/>
    <w:uiPriority w:val="99"/>
    <w:rPr>
      <w:rFonts w:ascii="宋体" w:hAnsi="宋体" w:eastAsia="宋体" w:cs="宋体"/>
      <w:kern w:val="0"/>
      <w:sz w:val="24"/>
      <w:szCs w:val="24"/>
    </w:rPr>
  </w:style>
  <w:style w:type="character" w:customStyle="1" w:styleId="124">
    <w:name w:val="批注框文本 字符"/>
    <w:link w:val="24"/>
    <w:autoRedefine/>
    <w:qFormat/>
    <w:uiPriority w:val="99"/>
    <w:rPr>
      <w:sz w:val="18"/>
      <w:szCs w:val="18"/>
    </w:rPr>
  </w:style>
  <w:style w:type="character" w:customStyle="1" w:styleId="125">
    <w:name w:val="批注文字 字符"/>
    <w:link w:val="16"/>
    <w:autoRedefine/>
    <w:qFormat/>
    <w:uiPriority w:val="99"/>
    <w:rPr>
      <w:kern w:val="2"/>
      <w:sz w:val="21"/>
      <w:szCs w:val="22"/>
    </w:rPr>
  </w:style>
  <w:style w:type="character" w:customStyle="1" w:styleId="126">
    <w:name w:val="批注主题 字符"/>
    <w:link w:val="35"/>
    <w:autoRedefine/>
    <w:qFormat/>
    <w:uiPriority w:val="0"/>
    <w:rPr>
      <w:b/>
      <w:bCs/>
      <w:kern w:val="2"/>
      <w:sz w:val="21"/>
      <w:szCs w:val="22"/>
    </w:rPr>
  </w:style>
  <w:style w:type="character" w:customStyle="1" w:styleId="127">
    <w:name w:val="正文文本首行缩进 2 字符"/>
    <w:link w:val="36"/>
    <w:autoRedefine/>
    <w:qFormat/>
    <w:uiPriority w:val="99"/>
    <w:rPr>
      <w:rFonts w:ascii="宋体" w:hAnsi="宋体" w:eastAsia="宋体" w:cs="宋体"/>
      <w:kern w:val="2"/>
      <w:sz w:val="21"/>
      <w:szCs w:val="24"/>
    </w:rPr>
  </w:style>
  <w:style w:type="character" w:customStyle="1" w:styleId="128">
    <w:name w:val="HTML 预设格式 字符"/>
    <w:link w:val="32"/>
    <w:autoRedefine/>
    <w:semiHidden/>
    <w:qFormat/>
    <w:uiPriority w:val="0"/>
    <w:rPr>
      <w:rFonts w:ascii="Arial" w:hAnsi="Arial" w:cs="Arial"/>
      <w:sz w:val="21"/>
      <w:szCs w:val="21"/>
    </w:rPr>
  </w:style>
  <w:style w:type="character" w:customStyle="1" w:styleId="129">
    <w:name w:val="px_10"/>
    <w:autoRedefine/>
    <w:qFormat/>
    <w:uiPriority w:val="0"/>
  </w:style>
  <w:style w:type="character" w:customStyle="1" w:styleId="130">
    <w:name w:val="font01"/>
    <w:autoRedefine/>
    <w:qFormat/>
    <w:uiPriority w:val="0"/>
    <w:rPr>
      <w:rFonts w:hint="eastAsia" w:ascii="宋体" w:hAnsi="宋体" w:eastAsia="宋体" w:cs="宋体"/>
      <w:color w:val="000000"/>
      <w:sz w:val="22"/>
      <w:szCs w:val="22"/>
      <w:u w:val="none"/>
    </w:rPr>
  </w:style>
  <w:style w:type="character" w:customStyle="1" w:styleId="131">
    <w:name w:val="副标题 Char1"/>
    <w:autoRedefine/>
    <w:qFormat/>
    <w:uiPriority w:val="0"/>
    <w:rPr>
      <w:rFonts w:ascii="Calibri Light" w:hAnsi="Calibri Light" w:cs="Times New Roman"/>
      <w:b/>
      <w:bCs/>
      <w:kern w:val="28"/>
      <w:sz w:val="32"/>
      <w:szCs w:val="32"/>
    </w:rPr>
  </w:style>
  <w:style w:type="table" w:customStyle="1" w:styleId="132">
    <w:name w:val="网格型1"/>
    <w:basedOn w:val="37"/>
    <w:autoRedefine/>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3">
    <w:name w:val="Body text|1"/>
    <w:basedOn w:val="1"/>
    <w:autoRedefine/>
    <w:qFormat/>
    <w:uiPriority w:val="0"/>
    <w:pPr>
      <w:spacing w:line="420" w:lineRule="auto"/>
      <w:ind w:firstLine="400"/>
      <w:jc w:val="left"/>
    </w:pPr>
    <w:rPr>
      <w:rFonts w:ascii="宋体" w:hAnsi="宋体" w:cs="宋体"/>
      <w:color w:val="000000"/>
      <w:kern w:val="0"/>
      <w:sz w:val="22"/>
      <w:lang w:val="zh-TW" w:eastAsia="zh-TW" w:bidi="zh-TW"/>
    </w:rPr>
  </w:style>
  <w:style w:type="character" w:customStyle="1" w:styleId="134">
    <w:name w:val="正文文本 字符"/>
    <w:basedOn w:val="39"/>
    <w:link w:val="18"/>
    <w:autoRedefine/>
    <w:qFormat/>
    <w:uiPriority w:val="0"/>
  </w:style>
  <w:style w:type="character" w:customStyle="1" w:styleId="135">
    <w:name w:val="标题 3 字符"/>
    <w:basedOn w:val="39"/>
    <w:link w:val="5"/>
    <w:autoRedefine/>
    <w:qFormat/>
    <w:uiPriority w:val="9"/>
    <w:rPr>
      <w:b/>
      <w:kern w:val="2"/>
      <w:sz w:val="32"/>
      <w:szCs w:val="22"/>
    </w:rPr>
  </w:style>
  <w:style w:type="paragraph" w:customStyle="1" w:styleId="136">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37">
    <w:name w:val="列出段落1"/>
    <w:basedOn w:val="1"/>
    <w:autoRedefine/>
    <w:qFormat/>
    <w:uiPriority w:val="34"/>
    <w:pPr>
      <w:ind w:firstLine="420" w:firstLineChars="200"/>
    </w:pPr>
    <w:rPr>
      <w:rFonts w:asciiTheme="minorHAnsi" w:hAnsiTheme="minorHAnsi" w:eastAsiaTheme="minorEastAsia" w:cstheme="minorBidi"/>
    </w:rPr>
  </w:style>
  <w:style w:type="paragraph" w:customStyle="1" w:styleId="138">
    <w:name w:val="列出段落2"/>
    <w:basedOn w:val="1"/>
    <w:autoRedefine/>
    <w:qFormat/>
    <w:uiPriority w:val="99"/>
    <w:pPr>
      <w:ind w:firstLine="420" w:firstLineChars="200"/>
    </w:pPr>
    <w:rPr>
      <w:rFonts w:asciiTheme="minorHAnsi" w:hAnsiTheme="minorHAnsi" w:eastAsiaTheme="minorEastAsia" w:cstheme="minorBidi"/>
    </w:rPr>
  </w:style>
  <w:style w:type="paragraph" w:customStyle="1" w:styleId="139">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styleId="140">
    <w:name w:val="List Paragraph"/>
    <w:basedOn w:val="1"/>
    <w:autoRedefine/>
    <w:qFormat/>
    <w:uiPriority w:val="99"/>
    <w:pPr>
      <w:ind w:firstLine="420" w:firstLineChars="200"/>
    </w:pPr>
    <w:rPr>
      <w:rFonts w:asciiTheme="minorHAnsi" w:hAnsiTheme="minorHAnsi" w:eastAsiaTheme="minorEastAsia" w:cstheme="minorBidi"/>
    </w:rPr>
  </w:style>
  <w:style w:type="character" w:customStyle="1" w:styleId="141">
    <w:name w:val="日期 字符"/>
    <w:basedOn w:val="39"/>
    <w:link w:val="22"/>
    <w:autoRedefine/>
    <w:qFormat/>
    <w:uiPriority w:val="99"/>
    <w:rPr>
      <w:kern w:val="2"/>
      <w:sz w:val="21"/>
      <w:szCs w:val="22"/>
    </w:rPr>
  </w:style>
  <w:style w:type="paragraph" w:customStyle="1" w:styleId="142">
    <w:name w:val="TOC 标题2"/>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43">
    <w:name w:val="正文文本 3 字符"/>
    <w:basedOn w:val="39"/>
    <w:link w:val="17"/>
    <w:autoRedefine/>
    <w:qFormat/>
    <w:uiPriority w:val="0"/>
    <w:rPr>
      <w:rFonts w:ascii="宋体" w:hAnsiTheme="minorHAnsi" w:eastAsiaTheme="minorEastAsia" w:cstheme="minorBidi"/>
      <w:kern w:val="2"/>
      <w:sz w:val="24"/>
    </w:rPr>
  </w:style>
  <w:style w:type="character" w:customStyle="1" w:styleId="144">
    <w:name w:val="fontstyle01"/>
    <w:basedOn w:val="39"/>
    <w:autoRedefine/>
    <w:qFormat/>
    <w:uiPriority w:val="0"/>
    <w:rPr>
      <w:rFonts w:hint="default" w:ascii="????" w:hAnsi="????"/>
      <w:color w:val="333333"/>
      <w:sz w:val="22"/>
      <w:szCs w:val="22"/>
    </w:rPr>
  </w:style>
  <w:style w:type="character" w:customStyle="1" w:styleId="145">
    <w:name w:val="fontstyle21"/>
    <w:basedOn w:val="39"/>
    <w:autoRedefine/>
    <w:qFormat/>
    <w:uiPriority w:val="0"/>
    <w:rPr>
      <w:rFonts w:hint="eastAsia" w:ascii="仿宋" w:hAnsi="仿宋" w:eastAsia="仿宋"/>
      <w:color w:val="000000"/>
      <w:sz w:val="32"/>
      <w:szCs w:val="32"/>
    </w:rPr>
  </w:style>
  <w:style w:type="paragraph" w:customStyle="1" w:styleId="146">
    <w:name w:val="Table Paragraph"/>
    <w:basedOn w:val="1"/>
    <w:autoRedefine/>
    <w:qFormat/>
    <w:uiPriority w:val="1"/>
    <w:rPr>
      <w:rFonts w:ascii="宋体" w:hAnsi="宋体" w:cs="宋体"/>
      <w:lang w:val="zh-CN" w:bidi="zh-CN"/>
    </w:rPr>
  </w:style>
  <w:style w:type="paragraph" w:customStyle="1" w:styleId="147">
    <w:name w:val="第二"/>
    <w:basedOn w:val="1"/>
    <w:autoRedefine/>
    <w:qFormat/>
    <w:uiPriority w:val="99"/>
    <w:pPr>
      <w:spacing w:line="360" w:lineRule="atLeast"/>
      <w:ind w:left="540" w:leftChars="225"/>
    </w:pPr>
    <w:rPr>
      <w:rFonts w:ascii="宋体" w:hAnsi="宋体"/>
    </w:rPr>
  </w:style>
  <w:style w:type="paragraph" w:customStyle="1" w:styleId="148">
    <w:name w:val="Other|1"/>
    <w:basedOn w:val="1"/>
    <w:autoRedefine/>
    <w:qFormat/>
    <w:uiPriority w:val="0"/>
    <w:pPr>
      <w:spacing w:line="420" w:lineRule="auto"/>
      <w:ind w:firstLine="400"/>
    </w:pPr>
    <w:rPr>
      <w:rFonts w:ascii="宋体" w:hAnsi="宋体" w:cs="宋体"/>
      <w:sz w:val="22"/>
      <w:lang w:val="zh-TW" w:eastAsia="zh-TW" w:bidi="zh-TW"/>
    </w:rPr>
  </w:style>
  <w:style w:type="character" w:customStyle="1" w:styleId="149">
    <w:name w:val="未处理的提及1"/>
    <w:basedOn w:val="39"/>
    <w:semiHidden/>
    <w:unhideWhenUsed/>
    <w:qFormat/>
    <w:uiPriority w:val="99"/>
    <w:rPr>
      <w:color w:val="605E5C"/>
      <w:shd w:val="clear" w:color="auto" w:fill="E1DFDD"/>
    </w:rPr>
  </w:style>
  <w:style w:type="character" w:customStyle="1" w:styleId="150">
    <w:name w:val="Unresolved Mention"/>
    <w:basedOn w:val="39"/>
    <w:semiHidden/>
    <w:unhideWhenUsed/>
    <w:qFormat/>
    <w:uiPriority w:val="99"/>
    <w:rPr>
      <w:color w:val="605E5C"/>
      <w:shd w:val="clear" w:color="auto" w:fill="E1DFDD"/>
    </w:rPr>
  </w:style>
  <w:style w:type="character" w:customStyle="1" w:styleId="15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25BEC-21CA-457C-8A98-7C854C06E64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15936</Words>
  <Characters>16772</Characters>
  <Lines>223</Lines>
  <Paragraphs>62</Paragraphs>
  <TotalTime>29</TotalTime>
  <ScaleCrop>false</ScaleCrop>
  <LinksUpToDate>false</LinksUpToDate>
  <CharactersWithSpaces>17058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2024-04-15T03:20:00Z</dcterms:created>
  <dc:creator>微软用户</dc:creator>
  <cp:lastModifiedBy>嗨呀</cp:lastModifiedBy>
  <cp:lastPrinted>2019-06-28T02:19:00Z</cp:lastPrinted>
  <dcterms:modified xsi:type="dcterms:W3CDTF">2026-05-08T07:59:55Z</dcterms:modified>
  <dc:title>太原不锈钢产业园区编制应急预案等购买服务计划采购项目</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965CD183B8B14B7EADED524A60B5C89C_13</vt:lpwstr>
  </property>
  <property fmtid="{D5CDD505-2E9C-101B-9397-08002B2CF9AE}" pid="4" name="KSOTemplateDocerSaveRecord">
    <vt:lpwstr>eyJoZGlkIjoiZWYwOWIyNjU4NGIyODg2NzM3NjhkZDA0ODQ5MzAwNjQiLCJ1c2VySWQiOiIyMzgwNzkwNjYifQ==</vt:lpwstr>
  </property>
</Properties>
</file>