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B1485">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281E85E1">
      <w:pPr>
        <w:adjustRightInd w:val="0"/>
        <w:snapToGrid w:val="0"/>
        <w:spacing w:line="480" w:lineRule="exact"/>
        <w:jc w:val="center"/>
        <w:rPr>
          <w:rFonts w:hint="eastAsia" w:ascii="仿宋" w:hAnsi="仿宋" w:eastAsia="仿宋" w:cs="仿宋"/>
          <w:bCs/>
          <w:color w:val="auto"/>
          <w:sz w:val="48"/>
          <w:szCs w:val="48"/>
          <w:highlight w:val="none"/>
        </w:rPr>
      </w:pPr>
    </w:p>
    <w:p w14:paraId="43486172">
      <w:pPr>
        <w:adjustRightInd w:val="0"/>
        <w:snapToGrid w:val="0"/>
        <w:spacing w:line="480" w:lineRule="exact"/>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rPr>
        <w:t>招 标 文 件</w:t>
      </w:r>
    </w:p>
    <w:p w14:paraId="4B5D7485">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（公开招标-货物）</w:t>
      </w:r>
    </w:p>
    <w:p w14:paraId="01253B25">
      <w:pPr>
        <w:ind w:left="1574" w:right="-191" w:rightChars="-91" w:hanging="1574" w:hangingChars="492"/>
        <w:rPr>
          <w:rFonts w:hint="eastAsia" w:ascii="仿宋" w:hAnsi="仿宋" w:eastAsia="仿宋" w:cs="仿宋"/>
          <w:bCs/>
          <w:color w:val="auto"/>
          <w:kern w:val="0"/>
          <w:sz w:val="32"/>
          <w:szCs w:val="32"/>
          <w:highlight w:val="none"/>
        </w:rPr>
      </w:pPr>
    </w:p>
    <w:p w14:paraId="02BC04DF">
      <w:pPr>
        <w:ind w:left="1574" w:right="-191" w:rightChars="-91" w:hanging="1574" w:hangingChars="492"/>
        <w:rPr>
          <w:rFonts w:hint="eastAsia" w:ascii="仿宋" w:hAnsi="仿宋" w:eastAsia="仿宋" w:cs="仿宋"/>
          <w:bCs/>
          <w:color w:val="auto"/>
          <w:sz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lang w:eastAsia="zh-CN"/>
        </w:rPr>
        <w:t>阿勒泰地区人民医院南院区建设第二批医疗设备采购项目第一包</w:t>
      </w:r>
    </w:p>
    <w:p w14:paraId="2A026E38">
      <w:pPr>
        <w:adjustRightInd w:val="0"/>
        <w:snapToGrid w:val="0"/>
        <w:spacing w:line="480" w:lineRule="exact"/>
        <w:rPr>
          <w:rFonts w:hint="eastAsia" w:ascii="仿宋" w:hAnsi="仿宋" w:eastAsia="仿宋" w:cs="仿宋"/>
          <w:bCs/>
          <w:color w:val="auto"/>
          <w:kern w:val="0"/>
          <w:sz w:val="32"/>
          <w:szCs w:val="32"/>
          <w:highlight w:val="none"/>
        </w:rPr>
      </w:pPr>
    </w:p>
    <w:p w14:paraId="1BABD549">
      <w:pPr>
        <w:adjustRightInd w:val="0"/>
        <w:snapToGrid w:val="0"/>
        <w:spacing w:line="480" w:lineRule="exact"/>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lang w:eastAsia="zh-CN"/>
        </w:rPr>
        <w:t>新疆阿勒泰地区人民医院</w:t>
      </w:r>
    </w:p>
    <w:p w14:paraId="003989C3">
      <w:pPr>
        <w:adjustRightInd w:val="0"/>
        <w:snapToGrid w:val="0"/>
        <w:spacing w:line="480" w:lineRule="exact"/>
        <w:rPr>
          <w:rFonts w:hint="eastAsia" w:ascii="仿宋" w:hAnsi="仿宋" w:eastAsia="仿宋" w:cs="仿宋"/>
          <w:bCs/>
          <w:color w:val="auto"/>
          <w:sz w:val="32"/>
          <w:szCs w:val="32"/>
          <w:highlight w:val="none"/>
        </w:rPr>
      </w:pPr>
    </w:p>
    <w:p w14:paraId="7FD2A64E">
      <w:pPr>
        <w:adjustRightInd w:val="0"/>
        <w:snapToGrid w:val="0"/>
        <w:spacing w:line="276" w:lineRule="auto"/>
        <w:rPr>
          <w:rFonts w:hint="eastAsia" w:ascii="仿宋" w:hAnsi="仿宋" w:eastAsia="仿宋" w:cs="仿宋"/>
          <w:bCs/>
          <w:color w:val="auto"/>
          <w:sz w:val="32"/>
          <w:szCs w:val="24"/>
          <w:highlight w:val="none"/>
          <w:lang w:eastAsia="zh-CN"/>
        </w:rPr>
      </w:pPr>
      <w:r>
        <w:rPr>
          <w:rFonts w:hint="eastAsia" w:ascii="仿宋" w:hAnsi="仿宋" w:eastAsia="仿宋" w:cs="仿宋"/>
          <w:bCs/>
          <w:color w:val="auto"/>
          <w:sz w:val="32"/>
          <w:szCs w:val="24"/>
          <w:highlight w:val="none"/>
        </w:rPr>
        <w:t>联系人：</w:t>
      </w:r>
      <w:r>
        <w:rPr>
          <w:rFonts w:hint="eastAsia" w:ascii="仿宋" w:hAnsi="仿宋" w:eastAsia="仿宋" w:cs="仿宋"/>
          <w:bCs/>
          <w:color w:val="auto"/>
          <w:sz w:val="32"/>
          <w:highlight w:val="none"/>
          <w:lang w:eastAsia="zh-CN"/>
        </w:rPr>
        <w:t>张荣</w:t>
      </w:r>
    </w:p>
    <w:p w14:paraId="13BF5F7E">
      <w:pPr>
        <w:adjustRightInd w:val="0"/>
        <w:snapToGrid w:val="0"/>
        <w:spacing w:line="276" w:lineRule="auto"/>
        <w:rPr>
          <w:rFonts w:hint="eastAsia" w:ascii="仿宋" w:hAnsi="仿宋" w:eastAsia="仿宋" w:cs="仿宋"/>
          <w:bCs/>
          <w:color w:val="auto"/>
          <w:sz w:val="32"/>
          <w:szCs w:val="24"/>
          <w:highlight w:val="none"/>
        </w:rPr>
      </w:pPr>
    </w:p>
    <w:p w14:paraId="5C4627F5">
      <w:pPr>
        <w:adjustRightInd w:val="0"/>
        <w:snapToGrid w:val="0"/>
        <w:spacing w:line="276" w:lineRule="auto"/>
        <w:jc w:val="left"/>
        <w:rPr>
          <w:rFonts w:hint="eastAsia" w:ascii="仿宋" w:hAnsi="仿宋" w:eastAsia="仿宋" w:cs="仿宋"/>
          <w:bCs/>
          <w:color w:val="auto"/>
          <w:sz w:val="32"/>
          <w:szCs w:val="24"/>
          <w:highlight w:val="none"/>
          <w:lang w:eastAsia="zh-CN"/>
        </w:rPr>
      </w:pPr>
      <w:r>
        <w:rPr>
          <w:rFonts w:hint="eastAsia" w:ascii="仿宋" w:hAnsi="仿宋" w:eastAsia="仿宋" w:cs="仿宋"/>
          <w:bCs/>
          <w:color w:val="auto"/>
          <w:sz w:val="32"/>
          <w:szCs w:val="24"/>
          <w:highlight w:val="none"/>
        </w:rPr>
        <w:t>电话：</w:t>
      </w:r>
      <w:r>
        <w:rPr>
          <w:rFonts w:hint="eastAsia" w:ascii="仿宋" w:hAnsi="仿宋" w:eastAsia="仿宋" w:cs="仿宋"/>
          <w:bCs/>
          <w:color w:val="auto"/>
          <w:sz w:val="32"/>
          <w:highlight w:val="none"/>
          <w:lang w:eastAsia="zh-CN"/>
        </w:rPr>
        <w:t>0906-2100902</w:t>
      </w:r>
    </w:p>
    <w:p w14:paraId="334FFE25">
      <w:pPr>
        <w:rPr>
          <w:rFonts w:hint="eastAsia" w:ascii="仿宋" w:hAnsi="仿宋" w:eastAsia="仿宋" w:cs="仿宋"/>
          <w:color w:val="auto"/>
          <w:highlight w:val="none"/>
        </w:rPr>
      </w:pPr>
    </w:p>
    <w:p w14:paraId="5A2A4FFC">
      <w:pPr>
        <w:adjustRightInd w:val="0"/>
        <w:snapToGrid w:val="0"/>
        <w:spacing w:line="480" w:lineRule="exact"/>
        <w:jc w:val="lef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35A8C444">
      <w:pPr>
        <w:adjustRightInd w:val="0"/>
        <w:snapToGrid w:val="0"/>
        <w:spacing w:line="480" w:lineRule="exact"/>
        <w:jc w:val="center"/>
        <w:rPr>
          <w:rFonts w:hint="eastAsia" w:ascii="仿宋" w:hAnsi="仿宋" w:eastAsia="仿宋" w:cs="仿宋"/>
          <w:bCs/>
          <w:color w:val="auto"/>
          <w:sz w:val="32"/>
          <w:szCs w:val="32"/>
          <w:highlight w:val="none"/>
        </w:rPr>
      </w:pPr>
    </w:p>
    <w:p w14:paraId="1CDEE17F">
      <w:pPr>
        <w:adjustRightInd w:val="0"/>
        <w:snapToGrid w:val="0"/>
        <w:spacing w:line="480" w:lineRule="exact"/>
        <w:rPr>
          <w:rFonts w:hint="eastAsia" w:ascii="仿宋" w:hAnsi="仿宋" w:eastAsia="仿宋" w:cs="仿宋"/>
          <w:bCs/>
          <w:color w:val="auto"/>
          <w:sz w:val="32"/>
          <w:szCs w:val="32"/>
          <w:highlight w:val="none"/>
        </w:rPr>
      </w:pPr>
    </w:p>
    <w:p w14:paraId="48E9508C">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16244D1B">
      <w:pPr>
        <w:adjustRightInd w:val="0"/>
        <w:snapToGrid w:val="0"/>
        <w:spacing w:line="480" w:lineRule="exact"/>
        <w:rPr>
          <w:rFonts w:hint="eastAsia" w:ascii="仿宋" w:hAnsi="仿宋" w:eastAsia="仿宋" w:cs="仿宋"/>
          <w:bCs/>
          <w:color w:val="auto"/>
          <w:sz w:val="32"/>
          <w:szCs w:val="32"/>
          <w:highlight w:val="none"/>
        </w:rPr>
      </w:pPr>
    </w:p>
    <w:p w14:paraId="6FFE116B">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val="en-US" w:eastAsia="zh-CN"/>
        </w:rPr>
        <w:t>候永康</w:t>
      </w:r>
      <w:r>
        <w:rPr>
          <w:rFonts w:hint="eastAsia" w:ascii="仿宋" w:hAnsi="仿宋" w:eastAsia="仿宋" w:cs="仿宋"/>
          <w:bCs/>
          <w:color w:val="auto"/>
          <w:sz w:val="32"/>
          <w:szCs w:val="32"/>
          <w:highlight w:val="none"/>
          <w:lang w:eastAsia="zh-CN"/>
        </w:rPr>
        <w:t>、马丹阳</w:t>
      </w:r>
    </w:p>
    <w:p w14:paraId="1F97C145">
      <w:pPr>
        <w:adjustRightInd w:val="0"/>
        <w:snapToGrid w:val="0"/>
        <w:spacing w:line="480" w:lineRule="exact"/>
        <w:jc w:val="center"/>
        <w:rPr>
          <w:rFonts w:hint="eastAsia" w:ascii="仿宋" w:hAnsi="仿宋" w:eastAsia="仿宋" w:cs="仿宋"/>
          <w:bCs/>
          <w:color w:val="auto"/>
          <w:sz w:val="32"/>
          <w:szCs w:val="32"/>
          <w:highlight w:val="none"/>
        </w:rPr>
      </w:pPr>
    </w:p>
    <w:p w14:paraId="3DDC8E12">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：0991-4661782</w:t>
      </w:r>
    </w:p>
    <w:p w14:paraId="481DCC4D">
      <w:pPr>
        <w:adjustRightInd w:val="0"/>
        <w:snapToGrid w:val="0"/>
        <w:spacing w:line="480" w:lineRule="exact"/>
        <w:rPr>
          <w:rFonts w:hint="eastAsia" w:ascii="仿宋" w:hAnsi="仿宋" w:eastAsia="仿宋" w:cs="仿宋"/>
          <w:bCs/>
          <w:color w:val="auto"/>
          <w:sz w:val="32"/>
          <w:szCs w:val="32"/>
          <w:highlight w:val="none"/>
        </w:rPr>
      </w:pPr>
    </w:p>
    <w:p w14:paraId="26F4AA3D">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地址：乌鲁木齐市新兴街20号凤凰大厦五楼</w:t>
      </w:r>
    </w:p>
    <w:p w14:paraId="0201236A">
      <w:pPr>
        <w:adjustRightInd w:val="0"/>
        <w:snapToGrid w:val="0"/>
        <w:spacing w:line="480" w:lineRule="exact"/>
        <w:rPr>
          <w:rFonts w:hint="eastAsia" w:ascii="仿宋" w:hAnsi="仿宋" w:eastAsia="仿宋" w:cs="仿宋"/>
          <w:bCs/>
          <w:color w:val="auto"/>
          <w:sz w:val="32"/>
          <w:szCs w:val="32"/>
          <w:highlight w:val="none"/>
        </w:rPr>
      </w:pPr>
    </w:p>
    <w:p w14:paraId="613E143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rPr>
        <w:sectPr>
          <w:headerReference r:id="rId3" w:type="default"/>
          <w:footerReference r:id="rId4" w:type="default"/>
          <w:pgSz w:w="11906" w:h="16838"/>
          <w:pgMar w:top="1361" w:right="1134" w:bottom="1361" w:left="141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BF7D7D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4A23495D">
      <w:pPr>
        <w:pStyle w:val="23"/>
        <w:tabs>
          <w:tab w:val="right" w:leader="dot" w:pos="9354"/>
        </w:tabs>
        <w:rPr>
          <w:color w:val="auto"/>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TOC \o "1-3" \h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_Toc14022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_Toc14022 \h </w:instrText>
      </w:r>
      <w:r>
        <w:rPr>
          <w:color w:val="auto"/>
          <w:highlight w:val="none"/>
        </w:rPr>
        <w:fldChar w:fldCharType="separate"/>
      </w:r>
      <w:r>
        <w:rPr>
          <w:color w:val="auto"/>
          <w:highlight w:val="none"/>
        </w:rPr>
        <w:t>1</w:t>
      </w:r>
      <w:r>
        <w:rPr>
          <w:color w:val="auto"/>
          <w:highlight w:val="none"/>
        </w:rPr>
        <w:fldChar w:fldCharType="end"/>
      </w:r>
      <w:r>
        <w:rPr>
          <w:rFonts w:hint="eastAsia" w:ascii="仿宋" w:hAnsi="仿宋" w:eastAsia="仿宋" w:cs="仿宋"/>
          <w:color w:val="auto"/>
          <w:highlight w:val="none"/>
        </w:rPr>
        <w:fldChar w:fldCharType="end"/>
      </w:r>
    </w:p>
    <w:p w14:paraId="3C1CE1D6">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_Toc3005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_Toc3005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color w:val="auto"/>
          <w:highlight w:val="none"/>
        </w:rPr>
        <w:fldChar w:fldCharType="end"/>
      </w:r>
    </w:p>
    <w:p w14:paraId="26AFB31E">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_Toc19734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_Toc19734 \h </w:instrText>
      </w:r>
      <w:r>
        <w:rPr>
          <w:color w:val="auto"/>
          <w:highlight w:val="none"/>
        </w:rPr>
        <w:fldChar w:fldCharType="separate"/>
      </w:r>
      <w:r>
        <w:rPr>
          <w:color w:val="auto"/>
          <w:highlight w:val="none"/>
        </w:rPr>
        <w:t>7</w:t>
      </w:r>
      <w:r>
        <w:rPr>
          <w:color w:val="auto"/>
          <w:highlight w:val="none"/>
        </w:rPr>
        <w:fldChar w:fldCharType="end"/>
      </w:r>
      <w:r>
        <w:rPr>
          <w:rFonts w:hint="eastAsia" w:ascii="仿宋" w:hAnsi="仿宋" w:eastAsia="仿宋" w:cs="仿宋"/>
          <w:color w:val="auto"/>
          <w:highlight w:val="none"/>
        </w:rPr>
        <w:fldChar w:fldCharType="end"/>
      </w:r>
    </w:p>
    <w:p w14:paraId="61DF1D61">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_Toc27838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一、总则</w:t>
      </w:r>
      <w:r>
        <w:rPr>
          <w:color w:val="auto"/>
          <w:highlight w:val="none"/>
        </w:rPr>
        <w:tab/>
      </w:r>
      <w:r>
        <w:rPr>
          <w:color w:val="auto"/>
          <w:highlight w:val="none"/>
        </w:rPr>
        <w:fldChar w:fldCharType="begin"/>
      </w:r>
      <w:r>
        <w:rPr>
          <w:color w:val="auto"/>
          <w:highlight w:val="none"/>
        </w:rPr>
        <w:instrText xml:space="preserve"> PAGEREF _Toc27838 \h </w:instrText>
      </w:r>
      <w:r>
        <w:rPr>
          <w:color w:val="auto"/>
          <w:highlight w:val="none"/>
        </w:rPr>
        <w:fldChar w:fldCharType="separate"/>
      </w:r>
      <w:r>
        <w:rPr>
          <w:color w:val="auto"/>
          <w:highlight w:val="none"/>
        </w:rPr>
        <w:t>7</w:t>
      </w:r>
      <w:r>
        <w:rPr>
          <w:color w:val="auto"/>
          <w:highlight w:val="none"/>
        </w:rPr>
        <w:fldChar w:fldCharType="end"/>
      </w:r>
      <w:r>
        <w:rPr>
          <w:rFonts w:hint="eastAsia" w:ascii="仿宋" w:hAnsi="仿宋" w:eastAsia="仿宋" w:cs="仿宋"/>
          <w:color w:val="auto"/>
          <w:highlight w:val="none"/>
        </w:rPr>
        <w:fldChar w:fldCharType="end"/>
      </w:r>
    </w:p>
    <w:p w14:paraId="0F28E8A5">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_Toc13656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二、招标文件</w:t>
      </w:r>
      <w:r>
        <w:rPr>
          <w:color w:val="auto"/>
          <w:highlight w:val="none"/>
        </w:rPr>
        <w:tab/>
      </w:r>
      <w:r>
        <w:rPr>
          <w:color w:val="auto"/>
          <w:highlight w:val="none"/>
        </w:rPr>
        <w:fldChar w:fldCharType="begin"/>
      </w:r>
      <w:r>
        <w:rPr>
          <w:color w:val="auto"/>
          <w:highlight w:val="none"/>
        </w:rPr>
        <w:instrText xml:space="preserve"> PAGEREF _Toc13656 \h </w:instrText>
      </w:r>
      <w:r>
        <w:rPr>
          <w:color w:val="auto"/>
          <w:highlight w:val="none"/>
        </w:rPr>
        <w:fldChar w:fldCharType="separate"/>
      </w:r>
      <w:r>
        <w:rPr>
          <w:color w:val="auto"/>
          <w:highlight w:val="none"/>
        </w:rPr>
        <w:t>8</w:t>
      </w:r>
      <w:r>
        <w:rPr>
          <w:color w:val="auto"/>
          <w:highlight w:val="none"/>
        </w:rPr>
        <w:fldChar w:fldCharType="end"/>
      </w:r>
      <w:r>
        <w:rPr>
          <w:rFonts w:hint="eastAsia" w:ascii="仿宋" w:hAnsi="仿宋" w:eastAsia="仿宋" w:cs="仿宋"/>
          <w:color w:val="auto"/>
          <w:highlight w:val="none"/>
        </w:rPr>
        <w:fldChar w:fldCharType="end"/>
      </w:r>
    </w:p>
    <w:p w14:paraId="5E21757B">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_Toc11463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三、投标文件</w:t>
      </w:r>
      <w:r>
        <w:rPr>
          <w:color w:val="auto"/>
          <w:highlight w:val="none"/>
        </w:rPr>
        <w:tab/>
      </w:r>
      <w:r>
        <w:rPr>
          <w:color w:val="auto"/>
          <w:highlight w:val="none"/>
        </w:rPr>
        <w:fldChar w:fldCharType="begin"/>
      </w:r>
      <w:r>
        <w:rPr>
          <w:color w:val="auto"/>
          <w:highlight w:val="none"/>
        </w:rPr>
        <w:instrText xml:space="preserve"> PAGEREF _Toc11463 \h </w:instrText>
      </w:r>
      <w:r>
        <w:rPr>
          <w:color w:val="auto"/>
          <w:highlight w:val="none"/>
        </w:rPr>
        <w:fldChar w:fldCharType="separate"/>
      </w:r>
      <w:r>
        <w:rPr>
          <w:color w:val="auto"/>
          <w:highlight w:val="none"/>
        </w:rPr>
        <w:t>10</w:t>
      </w:r>
      <w:r>
        <w:rPr>
          <w:color w:val="auto"/>
          <w:highlight w:val="none"/>
        </w:rPr>
        <w:fldChar w:fldCharType="end"/>
      </w:r>
      <w:r>
        <w:rPr>
          <w:rFonts w:hint="eastAsia" w:ascii="仿宋" w:hAnsi="仿宋" w:eastAsia="仿宋" w:cs="仿宋"/>
          <w:color w:val="auto"/>
          <w:highlight w:val="none"/>
        </w:rPr>
        <w:fldChar w:fldCharType="end"/>
      </w:r>
    </w:p>
    <w:p w14:paraId="34FAF667">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_Toc15092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四、投标</w:t>
      </w:r>
      <w:r>
        <w:rPr>
          <w:color w:val="auto"/>
          <w:highlight w:val="none"/>
        </w:rPr>
        <w:tab/>
      </w:r>
      <w:r>
        <w:rPr>
          <w:color w:val="auto"/>
          <w:highlight w:val="none"/>
        </w:rPr>
        <w:fldChar w:fldCharType="begin"/>
      </w:r>
      <w:r>
        <w:rPr>
          <w:color w:val="auto"/>
          <w:highlight w:val="none"/>
        </w:rPr>
        <w:instrText xml:space="preserve"> PAGEREF _Toc15092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highlight w:val="none"/>
        </w:rPr>
        <w:fldChar w:fldCharType="end"/>
      </w:r>
    </w:p>
    <w:p w14:paraId="2E7D79BA">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_Toc14955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五、开标</w:t>
      </w:r>
      <w:r>
        <w:rPr>
          <w:color w:val="auto"/>
          <w:highlight w:val="none"/>
        </w:rPr>
        <w:tab/>
      </w:r>
      <w:r>
        <w:rPr>
          <w:color w:val="auto"/>
          <w:highlight w:val="none"/>
        </w:rPr>
        <w:fldChar w:fldCharType="begin"/>
      </w:r>
      <w:r>
        <w:rPr>
          <w:color w:val="auto"/>
          <w:highlight w:val="none"/>
        </w:rPr>
        <w:instrText xml:space="preserve"> PAGEREF _Toc14955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color w:val="auto"/>
          <w:highlight w:val="none"/>
        </w:rPr>
        <w:fldChar w:fldCharType="end"/>
      </w:r>
    </w:p>
    <w:p w14:paraId="295B75B6">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_Toc26554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六、评标</w:t>
      </w:r>
      <w:r>
        <w:rPr>
          <w:color w:val="auto"/>
          <w:highlight w:val="none"/>
        </w:rPr>
        <w:tab/>
      </w:r>
      <w:r>
        <w:rPr>
          <w:color w:val="auto"/>
          <w:highlight w:val="none"/>
        </w:rPr>
        <w:fldChar w:fldCharType="begin"/>
      </w:r>
      <w:r>
        <w:rPr>
          <w:color w:val="auto"/>
          <w:highlight w:val="none"/>
        </w:rPr>
        <w:instrText xml:space="preserve"> PAGEREF _Toc26554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color w:val="auto"/>
          <w:highlight w:val="none"/>
        </w:rPr>
        <w:fldChar w:fldCharType="end"/>
      </w:r>
    </w:p>
    <w:p w14:paraId="342EE667">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_Toc8098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七、定标及合同授予</w:t>
      </w:r>
      <w:r>
        <w:rPr>
          <w:color w:val="auto"/>
          <w:highlight w:val="none"/>
        </w:rPr>
        <w:tab/>
      </w:r>
      <w:r>
        <w:rPr>
          <w:color w:val="auto"/>
          <w:highlight w:val="none"/>
        </w:rPr>
        <w:fldChar w:fldCharType="begin"/>
      </w:r>
      <w:r>
        <w:rPr>
          <w:color w:val="auto"/>
          <w:highlight w:val="none"/>
        </w:rPr>
        <w:instrText xml:space="preserve"> PAGEREF _Toc8098 \h </w:instrText>
      </w:r>
      <w:r>
        <w:rPr>
          <w:color w:val="auto"/>
          <w:highlight w:val="none"/>
        </w:rPr>
        <w:fldChar w:fldCharType="separate"/>
      </w:r>
      <w:r>
        <w:rPr>
          <w:color w:val="auto"/>
          <w:highlight w:val="none"/>
        </w:rPr>
        <w:t>14</w:t>
      </w:r>
      <w:r>
        <w:rPr>
          <w:color w:val="auto"/>
          <w:highlight w:val="none"/>
        </w:rPr>
        <w:fldChar w:fldCharType="end"/>
      </w:r>
      <w:r>
        <w:rPr>
          <w:rFonts w:hint="eastAsia" w:ascii="仿宋" w:hAnsi="仿宋" w:eastAsia="仿宋" w:cs="仿宋"/>
          <w:color w:val="auto"/>
          <w:highlight w:val="none"/>
        </w:rPr>
        <w:fldChar w:fldCharType="end"/>
      </w:r>
    </w:p>
    <w:p w14:paraId="6B340972">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_Toc12192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八、纪律和监督</w:t>
      </w:r>
      <w:r>
        <w:rPr>
          <w:color w:val="auto"/>
          <w:highlight w:val="none"/>
        </w:rPr>
        <w:tab/>
      </w:r>
      <w:r>
        <w:rPr>
          <w:color w:val="auto"/>
          <w:highlight w:val="none"/>
        </w:rPr>
        <w:fldChar w:fldCharType="begin"/>
      </w:r>
      <w:r>
        <w:rPr>
          <w:color w:val="auto"/>
          <w:highlight w:val="none"/>
        </w:rPr>
        <w:instrText xml:space="preserve"> PAGEREF _Toc12192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color w:val="auto"/>
          <w:highlight w:val="none"/>
        </w:rPr>
        <w:fldChar w:fldCharType="end"/>
      </w:r>
    </w:p>
    <w:p w14:paraId="360A9E19">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_Toc13050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第二章 评标办法</w:t>
      </w:r>
      <w:r>
        <w:rPr>
          <w:color w:val="auto"/>
          <w:highlight w:val="none"/>
        </w:rPr>
        <w:tab/>
      </w:r>
      <w:r>
        <w:rPr>
          <w:color w:val="auto"/>
          <w:highlight w:val="none"/>
        </w:rPr>
        <w:fldChar w:fldCharType="begin"/>
      </w:r>
      <w:r>
        <w:rPr>
          <w:color w:val="auto"/>
          <w:highlight w:val="none"/>
        </w:rPr>
        <w:instrText xml:space="preserve"> PAGEREF _Toc13050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highlight w:val="none"/>
        </w:rPr>
        <w:fldChar w:fldCharType="end"/>
      </w:r>
    </w:p>
    <w:p w14:paraId="4AF3B1EA">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_Toc16286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_Toc16286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highlight w:val="none"/>
        </w:rPr>
        <w:fldChar w:fldCharType="end"/>
      </w:r>
    </w:p>
    <w:p w14:paraId="721BFE46">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_Toc906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一、评标方法</w:t>
      </w:r>
      <w:r>
        <w:rPr>
          <w:color w:val="auto"/>
          <w:highlight w:val="none"/>
        </w:rPr>
        <w:tab/>
      </w:r>
      <w:r>
        <w:rPr>
          <w:color w:val="auto"/>
          <w:highlight w:val="none"/>
        </w:rPr>
        <w:fldChar w:fldCharType="begin"/>
      </w:r>
      <w:r>
        <w:rPr>
          <w:color w:val="auto"/>
          <w:highlight w:val="none"/>
        </w:rPr>
        <w:instrText xml:space="preserve"> PAGEREF _Toc906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highlight w:val="none"/>
        </w:rPr>
        <w:fldChar w:fldCharType="end"/>
      </w:r>
    </w:p>
    <w:p w14:paraId="42B1078B">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_Toc12400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二、评审标准</w:t>
      </w:r>
      <w:r>
        <w:rPr>
          <w:color w:val="auto"/>
          <w:highlight w:val="none"/>
        </w:rPr>
        <w:tab/>
      </w:r>
      <w:r>
        <w:rPr>
          <w:color w:val="auto"/>
          <w:highlight w:val="none"/>
        </w:rPr>
        <w:fldChar w:fldCharType="begin"/>
      </w:r>
      <w:r>
        <w:rPr>
          <w:color w:val="auto"/>
          <w:highlight w:val="none"/>
        </w:rPr>
        <w:instrText xml:space="preserve"> PAGEREF _Toc12400 \h </w:instrText>
      </w:r>
      <w:r>
        <w:rPr>
          <w:color w:val="auto"/>
          <w:highlight w:val="none"/>
        </w:rPr>
        <w:fldChar w:fldCharType="separate"/>
      </w:r>
      <w:r>
        <w:rPr>
          <w:color w:val="auto"/>
          <w:highlight w:val="none"/>
        </w:rPr>
        <w:t>20</w:t>
      </w:r>
      <w:r>
        <w:rPr>
          <w:color w:val="auto"/>
          <w:highlight w:val="none"/>
        </w:rPr>
        <w:fldChar w:fldCharType="end"/>
      </w:r>
      <w:r>
        <w:rPr>
          <w:rFonts w:hint="eastAsia" w:ascii="仿宋" w:hAnsi="仿宋" w:eastAsia="仿宋" w:cs="仿宋"/>
          <w:color w:val="auto"/>
          <w:highlight w:val="none"/>
        </w:rPr>
        <w:fldChar w:fldCharType="end"/>
      </w:r>
    </w:p>
    <w:p w14:paraId="15E724D5">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_Toc23859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三、评标程序</w:t>
      </w:r>
      <w:r>
        <w:rPr>
          <w:color w:val="auto"/>
          <w:highlight w:val="none"/>
        </w:rPr>
        <w:tab/>
      </w:r>
      <w:r>
        <w:rPr>
          <w:color w:val="auto"/>
          <w:highlight w:val="none"/>
        </w:rPr>
        <w:fldChar w:fldCharType="begin"/>
      </w:r>
      <w:r>
        <w:rPr>
          <w:color w:val="auto"/>
          <w:highlight w:val="none"/>
        </w:rPr>
        <w:instrText xml:space="preserve"> PAGEREF _Toc23859 \h </w:instrText>
      </w:r>
      <w:r>
        <w:rPr>
          <w:color w:val="auto"/>
          <w:highlight w:val="none"/>
        </w:rPr>
        <w:fldChar w:fldCharType="separate"/>
      </w:r>
      <w:r>
        <w:rPr>
          <w:color w:val="auto"/>
          <w:highlight w:val="none"/>
        </w:rPr>
        <w:t>20</w:t>
      </w:r>
      <w:r>
        <w:rPr>
          <w:color w:val="auto"/>
          <w:highlight w:val="none"/>
        </w:rPr>
        <w:fldChar w:fldCharType="end"/>
      </w:r>
      <w:r>
        <w:rPr>
          <w:rFonts w:hint="eastAsia" w:ascii="仿宋" w:hAnsi="仿宋" w:eastAsia="仿宋" w:cs="仿宋"/>
          <w:color w:val="auto"/>
          <w:highlight w:val="none"/>
        </w:rPr>
        <w:fldChar w:fldCharType="end"/>
      </w:r>
    </w:p>
    <w:p w14:paraId="1702BC1C">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_Toc9270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第三章 合同文本</w:t>
      </w:r>
      <w:r>
        <w:rPr>
          <w:color w:val="auto"/>
          <w:highlight w:val="none"/>
        </w:rPr>
        <w:tab/>
      </w:r>
      <w:r>
        <w:rPr>
          <w:color w:val="auto"/>
          <w:highlight w:val="none"/>
        </w:rPr>
        <w:fldChar w:fldCharType="begin"/>
      </w:r>
      <w:r>
        <w:rPr>
          <w:color w:val="auto"/>
          <w:highlight w:val="none"/>
        </w:rPr>
        <w:instrText xml:space="preserve"> PAGEREF _Toc9270 \h </w:instrText>
      </w:r>
      <w:r>
        <w:rPr>
          <w:color w:val="auto"/>
          <w:highlight w:val="none"/>
        </w:rPr>
        <w:fldChar w:fldCharType="separate"/>
      </w:r>
      <w:r>
        <w:rPr>
          <w:color w:val="auto"/>
          <w:highlight w:val="none"/>
        </w:rPr>
        <w:t>25</w:t>
      </w:r>
      <w:r>
        <w:rPr>
          <w:color w:val="auto"/>
          <w:highlight w:val="none"/>
        </w:rPr>
        <w:fldChar w:fldCharType="end"/>
      </w:r>
      <w:r>
        <w:rPr>
          <w:rFonts w:hint="eastAsia" w:ascii="仿宋" w:hAnsi="仿宋" w:eastAsia="仿宋" w:cs="仿宋"/>
          <w:color w:val="auto"/>
          <w:highlight w:val="none"/>
        </w:rPr>
        <w:fldChar w:fldCharType="end"/>
      </w:r>
    </w:p>
    <w:p w14:paraId="5F202EC4">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_Toc28726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第四章 技术标准和要求</w:t>
      </w:r>
      <w:r>
        <w:rPr>
          <w:color w:val="auto"/>
          <w:highlight w:val="none"/>
        </w:rPr>
        <w:tab/>
      </w:r>
      <w:r>
        <w:rPr>
          <w:color w:val="auto"/>
          <w:highlight w:val="none"/>
        </w:rPr>
        <w:fldChar w:fldCharType="begin"/>
      </w:r>
      <w:r>
        <w:rPr>
          <w:color w:val="auto"/>
          <w:highlight w:val="none"/>
        </w:rPr>
        <w:instrText xml:space="preserve"> PAGEREF _Toc28726 \h </w:instrText>
      </w:r>
      <w:r>
        <w:rPr>
          <w:color w:val="auto"/>
          <w:highlight w:val="none"/>
        </w:rPr>
        <w:fldChar w:fldCharType="separate"/>
      </w:r>
      <w:r>
        <w:rPr>
          <w:color w:val="auto"/>
          <w:highlight w:val="none"/>
        </w:rPr>
        <w:t>29</w:t>
      </w:r>
      <w:r>
        <w:rPr>
          <w:color w:val="auto"/>
          <w:highlight w:val="none"/>
        </w:rPr>
        <w:fldChar w:fldCharType="end"/>
      </w:r>
      <w:r>
        <w:rPr>
          <w:rFonts w:hint="eastAsia" w:ascii="仿宋" w:hAnsi="仿宋" w:eastAsia="仿宋" w:cs="仿宋"/>
          <w:color w:val="auto"/>
          <w:highlight w:val="none"/>
        </w:rPr>
        <w:fldChar w:fldCharType="end"/>
      </w:r>
    </w:p>
    <w:p w14:paraId="33F579F3">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_Toc22549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_Toc22549 \h </w:instrText>
      </w:r>
      <w:r>
        <w:rPr>
          <w:color w:val="auto"/>
          <w:highlight w:val="none"/>
        </w:rPr>
        <w:fldChar w:fldCharType="separate"/>
      </w:r>
      <w:r>
        <w:rPr>
          <w:color w:val="auto"/>
          <w:highlight w:val="none"/>
        </w:rPr>
        <w:t>50</w:t>
      </w:r>
      <w:r>
        <w:rPr>
          <w:color w:val="auto"/>
          <w:highlight w:val="none"/>
        </w:rPr>
        <w:fldChar w:fldCharType="end"/>
      </w:r>
      <w:r>
        <w:rPr>
          <w:rFonts w:hint="eastAsia" w:ascii="仿宋" w:hAnsi="仿宋" w:eastAsia="仿宋" w:cs="仿宋"/>
          <w:color w:val="auto"/>
          <w:highlight w:val="none"/>
        </w:rPr>
        <w:fldChar w:fldCharType="end"/>
      </w:r>
    </w:p>
    <w:p w14:paraId="51261435">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_Toc4642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一、开标一览表</w:t>
      </w:r>
      <w:r>
        <w:rPr>
          <w:color w:val="auto"/>
          <w:highlight w:val="none"/>
        </w:rPr>
        <w:tab/>
      </w:r>
      <w:r>
        <w:rPr>
          <w:color w:val="auto"/>
          <w:highlight w:val="none"/>
        </w:rPr>
        <w:fldChar w:fldCharType="begin"/>
      </w:r>
      <w:r>
        <w:rPr>
          <w:color w:val="auto"/>
          <w:highlight w:val="none"/>
        </w:rPr>
        <w:instrText xml:space="preserve"> PAGEREF _Toc4642 \h </w:instrText>
      </w:r>
      <w:r>
        <w:rPr>
          <w:color w:val="auto"/>
          <w:highlight w:val="none"/>
        </w:rPr>
        <w:fldChar w:fldCharType="separate"/>
      </w:r>
      <w:r>
        <w:rPr>
          <w:color w:val="auto"/>
          <w:highlight w:val="none"/>
        </w:rPr>
        <w:t>52</w:t>
      </w:r>
      <w:r>
        <w:rPr>
          <w:color w:val="auto"/>
          <w:highlight w:val="none"/>
        </w:rPr>
        <w:fldChar w:fldCharType="end"/>
      </w:r>
      <w:r>
        <w:rPr>
          <w:rFonts w:hint="eastAsia" w:ascii="仿宋" w:hAnsi="仿宋" w:eastAsia="仿宋" w:cs="仿宋"/>
          <w:color w:val="auto"/>
          <w:highlight w:val="none"/>
        </w:rPr>
        <w:fldChar w:fldCharType="end"/>
      </w:r>
    </w:p>
    <w:p w14:paraId="7AB8EDC1">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_Toc16466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二、投标函</w:t>
      </w:r>
      <w:r>
        <w:rPr>
          <w:color w:val="auto"/>
          <w:highlight w:val="none"/>
        </w:rPr>
        <w:tab/>
      </w:r>
      <w:r>
        <w:rPr>
          <w:color w:val="auto"/>
          <w:highlight w:val="none"/>
        </w:rPr>
        <w:fldChar w:fldCharType="begin"/>
      </w:r>
      <w:r>
        <w:rPr>
          <w:color w:val="auto"/>
          <w:highlight w:val="none"/>
        </w:rPr>
        <w:instrText xml:space="preserve"> PAGEREF _Toc16466 \h </w:instrText>
      </w:r>
      <w:r>
        <w:rPr>
          <w:color w:val="auto"/>
          <w:highlight w:val="none"/>
        </w:rPr>
        <w:fldChar w:fldCharType="separate"/>
      </w:r>
      <w:r>
        <w:rPr>
          <w:color w:val="auto"/>
          <w:highlight w:val="none"/>
        </w:rPr>
        <w:t>53</w:t>
      </w:r>
      <w:r>
        <w:rPr>
          <w:color w:val="auto"/>
          <w:highlight w:val="none"/>
        </w:rPr>
        <w:fldChar w:fldCharType="end"/>
      </w:r>
      <w:r>
        <w:rPr>
          <w:rFonts w:hint="eastAsia" w:ascii="仿宋" w:hAnsi="仿宋" w:eastAsia="仿宋" w:cs="仿宋"/>
          <w:color w:val="auto"/>
          <w:highlight w:val="none"/>
        </w:rPr>
        <w:fldChar w:fldCharType="end"/>
      </w:r>
    </w:p>
    <w:p w14:paraId="636EC4CB">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_Toc12204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三、投标价格明细表</w:t>
      </w:r>
      <w:r>
        <w:rPr>
          <w:color w:val="auto"/>
          <w:highlight w:val="none"/>
        </w:rPr>
        <w:tab/>
      </w:r>
      <w:r>
        <w:rPr>
          <w:color w:val="auto"/>
          <w:highlight w:val="none"/>
        </w:rPr>
        <w:fldChar w:fldCharType="begin"/>
      </w:r>
      <w:r>
        <w:rPr>
          <w:color w:val="auto"/>
          <w:highlight w:val="none"/>
        </w:rPr>
        <w:instrText xml:space="preserve"> PAGEREF _Toc12204 \h </w:instrText>
      </w:r>
      <w:r>
        <w:rPr>
          <w:color w:val="auto"/>
          <w:highlight w:val="none"/>
        </w:rPr>
        <w:fldChar w:fldCharType="separate"/>
      </w:r>
      <w:r>
        <w:rPr>
          <w:color w:val="auto"/>
          <w:highlight w:val="none"/>
        </w:rPr>
        <w:t>54</w:t>
      </w:r>
      <w:r>
        <w:rPr>
          <w:color w:val="auto"/>
          <w:highlight w:val="none"/>
        </w:rPr>
        <w:fldChar w:fldCharType="end"/>
      </w:r>
      <w:r>
        <w:rPr>
          <w:rFonts w:hint="eastAsia" w:ascii="仿宋" w:hAnsi="仿宋" w:eastAsia="仿宋" w:cs="仿宋"/>
          <w:color w:val="auto"/>
          <w:highlight w:val="none"/>
        </w:rPr>
        <w:fldChar w:fldCharType="end"/>
      </w:r>
    </w:p>
    <w:p w14:paraId="4E01AF9C">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_Toc1806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四、商务条款偏离表</w:t>
      </w:r>
      <w:r>
        <w:rPr>
          <w:color w:val="auto"/>
          <w:highlight w:val="none"/>
        </w:rPr>
        <w:tab/>
      </w:r>
      <w:r>
        <w:rPr>
          <w:color w:val="auto"/>
          <w:highlight w:val="none"/>
        </w:rPr>
        <w:fldChar w:fldCharType="begin"/>
      </w:r>
      <w:r>
        <w:rPr>
          <w:color w:val="auto"/>
          <w:highlight w:val="none"/>
        </w:rPr>
        <w:instrText xml:space="preserve"> PAGEREF _Toc1806 \h </w:instrText>
      </w:r>
      <w:r>
        <w:rPr>
          <w:color w:val="auto"/>
          <w:highlight w:val="none"/>
        </w:rPr>
        <w:fldChar w:fldCharType="separate"/>
      </w:r>
      <w:r>
        <w:rPr>
          <w:color w:val="auto"/>
          <w:highlight w:val="none"/>
        </w:rPr>
        <w:t>55</w:t>
      </w:r>
      <w:r>
        <w:rPr>
          <w:color w:val="auto"/>
          <w:highlight w:val="none"/>
        </w:rPr>
        <w:fldChar w:fldCharType="end"/>
      </w:r>
      <w:r>
        <w:rPr>
          <w:rFonts w:hint="eastAsia" w:ascii="仿宋" w:hAnsi="仿宋" w:eastAsia="仿宋" w:cs="仿宋"/>
          <w:color w:val="auto"/>
          <w:highlight w:val="none"/>
        </w:rPr>
        <w:fldChar w:fldCharType="end"/>
      </w:r>
    </w:p>
    <w:p w14:paraId="06319A27">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_Toc5898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五、技术条款偏离表</w:t>
      </w:r>
      <w:r>
        <w:rPr>
          <w:color w:val="auto"/>
          <w:highlight w:val="none"/>
        </w:rPr>
        <w:tab/>
      </w:r>
      <w:r>
        <w:rPr>
          <w:color w:val="auto"/>
          <w:highlight w:val="none"/>
        </w:rPr>
        <w:fldChar w:fldCharType="begin"/>
      </w:r>
      <w:r>
        <w:rPr>
          <w:color w:val="auto"/>
          <w:highlight w:val="none"/>
        </w:rPr>
        <w:instrText xml:space="preserve"> PAGEREF _Toc5898 \h </w:instrText>
      </w:r>
      <w:r>
        <w:rPr>
          <w:color w:val="auto"/>
          <w:highlight w:val="none"/>
        </w:rPr>
        <w:fldChar w:fldCharType="separate"/>
      </w:r>
      <w:r>
        <w:rPr>
          <w:color w:val="auto"/>
          <w:highlight w:val="none"/>
        </w:rPr>
        <w:t>56</w:t>
      </w:r>
      <w:r>
        <w:rPr>
          <w:color w:val="auto"/>
          <w:highlight w:val="none"/>
        </w:rPr>
        <w:fldChar w:fldCharType="end"/>
      </w:r>
      <w:r>
        <w:rPr>
          <w:rFonts w:hint="eastAsia" w:ascii="仿宋" w:hAnsi="仿宋" w:eastAsia="仿宋" w:cs="仿宋"/>
          <w:color w:val="auto"/>
          <w:highlight w:val="none"/>
        </w:rPr>
        <w:fldChar w:fldCharType="end"/>
      </w:r>
    </w:p>
    <w:p w14:paraId="4FB57EF6">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_Toc20828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六、法定代表人身份证明书</w:t>
      </w:r>
      <w:r>
        <w:rPr>
          <w:color w:val="auto"/>
          <w:highlight w:val="none"/>
        </w:rPr>
        <w:tab/>
      </w:r>
      <w:r>
        <w:rPr>
          <w:color w:val="auto"/>
          <w:highlight w:val="none"/>
        </w:rPr>
        <w:fldChar w:fldCharType="begin"/>
      </w:r>
      <w:r>
        <w:rPr>
          <w:color w:val="auto"/>
          <w:highlight w:val="none"/>
        </w:rPr>
        <w:instrText xml:space="preserve"> PAGEREF _Toc20828 \h </w:instrText>
      </w:r>
      <w:r>
        <w:rPr>
          <w:color w:val="auto"/>
          <w:highlight w:val="none"/>
        </w:rPr>
        <w:fldChar w:fldCharType="separate"/>
      </w:r>
      <w:r>
        <w:rPr>
          <w:color w:val="auto"/>
          <w:highlight w:val="none"/>
        </w:rPr>
        <w:t>57</w:t>
      </w:r>
      <w:r>
        <w:rPr>
          <w:color w:val="auto"/>
          <w:highlight w:val="none"/>
        </w:rPr>
        <w:fldChar w:fldCharType="end"/>
      </w:r>
      <w:r>
        <w:rPr>
          <w:rFonts w:hint="eastAsia" w:ascii="仿宋" w:hAnsi="仿宋" w:eastAsia="仿宋" w:cs="仿宋"/>
          <w:color w:val="auto"/>
          <w:highlight w:val="none"/>
        </w:rPr>
        <w:fldChar w:fldCharType="end"/>
      </w:r>
    </w:p>
    <w:p w14:paraId="33FF4C73">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_Toc7557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七、法定代表人授权委托书</w:t>
      </w:r>
      <w:r>
        <w:rPr>
          <w:color w:val="auto"/>
          <w:highlight w:val="none"/>
        </w:rPr>
        <w:tab/>
      </w:r>
      <w:r>
        <w:rPr>
          <w:color w:val="auto"/>
          <w:highlight w:val="none"/>
        </w:rPr>
        <w:fldChar w:fldCharType="begin"/>
      </w:r>
      <w:r>
        <w:rPr>
          <w:color w:val="auto"/>
          <w:highlight w:val="none"/>
        </w:rPr>
        <w:instrText xml:space="preserve"> PAGEREF _Toc7557 \h </w:instrText>
      </w:r>
      <w:r>
        <w:rPr>
          <w:color w:val="auto"/>
          <w:highlight w:val="none"/>
        </w:rPr>
        <w:fldChar w:fldCharType="separate"/>
      </w:r>
      <w:r>
        <w:rPr>
          <w:color w:val="auto"/>
          <w:highlight w:val="none"/>
        </w:rPr>
        <w:t>58</w:t>
      </w:r>
      <w:r>
        <w:rPr>
          <w:color w:val="auto"/>
          <w:highlight w:val="none"/>
        </w:rPr>
        <w:fldChar w:fldCharType="end"/>
      </w:r>
      <w:r>
        <w:rPr>
          <w:rFonts w:hint="eastAsia" w:ascii="仿宋" w:hAnsi="仿宋" w:eastAsia="仿宋" w:cs="仿宋"/>
          <w:color w:val="auto"/>
          <w:highlight w:val="none"/>
        </w:rPr>
        <w:fldChar w:fldCharType="end"/>
      </w:r>
    </w:p>
    <w:p w14:paraId="1F6C1F14">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_Toc23004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八、</w:t>
      </w:r>
      <w:r>
        <w:rPr>
          <w:rFonts w:hint="eastAsia" w:ascii="仿宋" w:hAnsi="仿宋" w:eastAsia="仿宋" w:cs="仿宋"/>
          <w:bCs/>
          <w:color w:val="auto"/>
          <w:szCs w:val="24"/>
          <w:highlight w:val="none"/>
        </w:rPr>
        <w:t>投标人资格条件证明材料</w:t>
      </w:r>
      <w:r>
        <w:rPr>
          <w:color w:val="auto"/>
          <w:highlight w:val="none"/>
        </w:rPr>
        <w:tab/>
      </w:r>
      <w:r>
        <w:rPr>
          <w:color w:val="auto"/>
          <w:highlight w:val="none"/>
        </w:rPr>
        <w:fldChar w:fldCharType="begin"/>
      </w:r>
      <w:r>
        <w:rPr>
          <w:color w:val="auto"/>
          <w:highlight w:val="none"/>
        </w:rPr>
        <w:instrText xml:space="preserve"> PAGEREF _Toc23004 \h </w:instrText>
      </w:r>
      <w:r>
        <w:rPr>
          <w:color w:val="auto"/>
          <w:highlight w:val="none"/>
        </w:rPr>
        <w:fldChar w:fldCharType="separate"/>
      </w:r>
      <w:r>
        <w:rPr>
          <w:color w:val="auto"/>
          <w:highlight w:val="none"/>
        </w:rPr>
        <w:t>59</w:t>
      </w:r>
      <w:r>
        <w:rPr>
          <w:color w:val="auto"/>
          <w:highlight w:val="none"/>
        </w:rPr>
        <w:fldChar w:fldCharType="end"/>
      </w:r>
      <w:r>
        <w:rPr>
          <w:rFonts w:hint="eastAsia" w:ascii="仿宋" w:hAnsi="仿宋" w:eastAsia="仿宋" w:cs="仿宋"/>
          <w:color w:val="auto"/>
          <w:highlight w:val="none"/>
        </w:rPr>
        <w:fldChar w:fldCharType="end"/>
      </w:r>
    </w:p>
    <w:p w14:paraId="1FB426A7">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_Toc19405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8.1 法人或者其他组织的营业执照等证明文件，自然人的身份证明</w:t>
      </w:r>
      <w:r>
        <w:rPr>
          <w:color w:val="auto"/>
          <w:highlight w:val="none"/>
        </w:rPr>
        <w:tab/>
      </w:r>
      <w:r>
        <w:rPr>
          <w:color w:val="auto"/>
          <w:highlight w:val="none"/>
        </w:rPr>
        <w:fldChar w:fldCharType="begin"/>
      </w:r>
      <w:r>
        <w:rPr>
          <w:color w:val="auto"/>
          <w:highlight w:val="none"/>
        </w:rPr>
        <w:instrText xml:space="preserve"> PAGEREF _Toc19405 \h </w:instrText>
      </w:r>
      <w:r>
        <w:rPr>
          <w:color w:val="auto"/>
          <w:highlight w:val="none"/>
        </w:rPr>
        <w:fldChar w:fldCharType="separate"/>
      </w:r>
      <w:r>
        <w:rPr>
          <w:color w:val="auto"/>
          <w:highlight w:val="none"/>
        </w:rPr>
        <w:t>60</w:t>
      </w:r>
      <w:r>
        <w:rPr>
          <w:color w:val="auto"/>
          <w:highlight w:val="none"/>
        </w:rPr>
        <w:fldChar w:fldCharType="end"/>
      </w:r>
      <w:r>
        <w:rPr>
          <w:rFonts w:hint="eastAsia" w:ascii="仿宋" w:hAnsi="仿宋" w:eastAsia="仿宋" w:cs="仿宋"/>
          <w:color w:val="auto"/>
          <w:highlight w:val="none"/>
        </w:rPr>
        <w:fldChar w:fldCharType="end"/>
      </w:r>
    </w:p>
    <w:p w14:paraId="3B7075CF">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_Toc9421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8.2 财务状况报告，依法缴纳税收和社会保障资金的相关材料</w:t>
      </w:r>
      <w:r>
        <w:rPr>
          <w:color w:val="auto"/>
          <w:highlight w:val="none"/>
        </w:rPr>
        <w:tab/>
      </w:r>
      <w:r>
        <w:rPr>
          <w:color w:val="auto"/>
          <w:highlight w:val="none"/>
        </w:rPr>
        <w:fldChar w:fldCharType="begin"/>
      </w:r>
      <w:r>
        <w:rPr>
          <w:color w:val="auto"/>
          <w:highlight w:val="none"/>
        </w:rPr>
        <w:instrText xml:space="preserve"> PAGEREF _Toc9421 \h </w:instrText>
      </w:r>
      <w:r>
        <w:rPr>
          <w:color w:val="auto"/>
          <w:highlight w:val="none"/>
        </w:rPr>
        <w:fldChar w:fldCharType="separate"/>
      </w:r>
      <w:r>
        <w:rPr>
          <w:color w:val="auto"/>
          <w:highlight w:val="none"/>
        </w:rPr>
        <w:t>61</w:t>
      </w:r>
      <w:r>
        <w:rPr>
          <w:color w:val="auto"/>
          <w:highlight w:val="none"/>
        </w:rPr>
        <w:fldChar w:fldCharType="end"/>
      </w:r>
      <w:r>
        <w:rPr>
          <w:rFonts w:hint="eastAsia" w:ascii="仿宋" w:hAnsi="仿宋" w:eastAsia="仿宋" w:cs="仿宋"/>
          <w:color w:val="auto"/>
          <w:highlight w:val="none"/>
        </w:rPr>
        <w:fldChar w:fldCharType="end"/>
      </w:r>
    </w:p>
    <w:p w14:paraId="780F2FF5">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_Toc25163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8.3 具备履行合同所必需的设备和专业技术能力的证明材料</w:t>
      </w:r>
      <w:r>
        <w:rPr>
          <w:color w:val="auto"/>
          <w:highlight w:val="none"/>
        </w:rPr>
        <w:tab/>
      </w:r>
      <w:r>
        <w:rPr>
          <w:color w:val="auto"/>
          <w:highlight w:val="none"/>
        </w:rPr>
        <w:fldChar w:fldCharType="begin"/>
      </w:r>
      <w:r>
        <w:rPr>
          <w:color w:val="auto"/>
          <w:highlight w:val="none"/>
        </w:rPr>
        <w:instrText xml:space="preserve"> PAGEREF _Toc25163 \h </w:instrText>
      </w:r>
      <w:r>
        <w:rPr>
          <w:color w:val="auto"/>
          <w:highlight w:val="none"/>
        </w:rPr>
        <w:fldChar w:fldCharType="separate"/>
      </w:r>
      <w:r>
        <w:rPr>
          <w:color w:val="auto"/>
          <w:highlight w:val="none"/>
        </w:rPr>
        <w:t>62</w:t>
      </w:r>
      <w:r>
        <w:rPr>
          <w:color w:val="auto"/>
          <w:highlight w:val="none"/>
        </w:rPr>
        <w:fldChar w:fldCharType="end"/>
      </w:r>
      <w:r>
        <w:rPr>
          <w:rFonts w:hint="eastAsia" w:ascii="仿宋" w:hAnsi="仿宋" w:eastAsia="仿宋" w:cs="仿宋"/>
          <w:color w:val="auto"/>
          <w:highlight w:val="none"/>
        </w:rPr>
        <w:fldChar w:fldCharType="end"/>
      </w:r>
    </w:p>
    <w:p w14:paraId="06124C56">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_Toc4484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8.4 参加政府采购活动前3年内在经营活动中没有重大违法记录的书面声明</w:t>
      </w:r>
      <w:r>
        <w:rPr>
          <w:color w:val="auto"/>
          <w:highlight w:val="none"/>
        </w:rPr>
        <w:tab/>
      </w:r>
      <w:r>
        <w:rPr>
          <w:color w:val="auto"/>
          <w:highlight w:val="none"/>
        </w:rPr>
        <w:fldChar w:fldCharType="begin"/>
      </w:r>
      <w:r>
        <w:rPr>
          <w:color w:val="auto"/>
          <w:highlight w:val="none"/>
        </w:rPr>
        <w:instrText xml:space="preserve"> PAGEREF _Toc4484 \h </w:instrText>
      </w:r>
      <w:r>
        <w:rPr>
          <w:color w:val="auto"/>
          <w:highlight w:val="none"/>
        </w:rPr>
        <w:fldChar w:fldCharType="separate"/>
      </w:r>
      <w:r>
        <w:rPr>
          <w:color w:val="auto"/>
          <w:highlight w:val="none"/>
        </w:rPr>
        <w:t>63</w:t>
      </w:r>
      <w:r>
        <w:rPr>
          <w:color w:val="auto"/>
          <w:highlight w:val="none"/>
        </w:rPr>
        <w:fldChar w:fldCharType="end"/>
      </w:r>
      <w:r>
        <w:rPr>
          <w:rFonts w:hint="eastAsia" w:ascii="仿宋" w:hAnsi="仿宋" w:eastAsia="仿宋" w:cs="仿宋"/>
          <w:color w:val="auto"/>
          <w:highlight w:val="none"/>
        </w:rPr>
        <w:fldChar w:fldCharType="end"/>
      </w:r>
    </w:p>
    <w:p w14:paraId="1D40506C">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_Toc18731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8.5 具备法律、行政法规规定的其他条件的证明材料</w:t>
      </w:r>
      <w:r>
        <w:rPr>
          <w:color w:val="auto"/>
          <w:highlight w:val="none"/>
        </w:rPr>
        <w:tab/>
      </w:r>
      <w:r>
        <w:rPr>
          <w:color w:val="auto"/>
          <w:highlight w:val="none"/>
        </w:rPr>
        <w:fldChar w:fldCharType="begin"/>
      </w:r>
      <w:r>
        <w:rPr>
          <w:color w:val="auto"/>
          <w:highlight w:val="none"/>
        </w:rPr>
        <w:instrText xml:space="preserve"> PAGEREF _Toc18731 \h </w:instrText>
      </w:r>
      <w:r>
        <w:rPr>
          <w:color w:val="auto"/>
          <w:highlight w:val="none"/>
        </w:rPr>
        <w:fldChar w:fldCharType="separate"/>
      </w:r>
      <w:r>
        <w:rPr>
          <w:color w:val="auto"/>
          <w:highlight w:val="none"/>
        </w:rPr>
        <w:t>64</w:t>
      </w:r>
      <w:r>
        <w:rPr>
          <w:color w:val="auto"/>
          <w:highlight w:val="none"/>
        </w:rPr>
        <w:fldChar w:fldCharType="end"/>
      </w:r>
      <w:r>
        <w:rPr>
          <w:rFonts w:hint="eastAsia" w:ascii="仿宋" w:hAnsi="仿宋" w:eastAsia="仿宋" w:cs="仿宋"/>
          <w:color w:val="auto"/>
          <w:highlight w:val="none"/>
        </w:rPr>
        <w:fldChar w:fldCharType="end"/>
      </w:r>
    </w:p>
    <w:p w14:paraId="77A57CD9">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_Toc7407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九、投标人近年类似项目情况表</w:t>
      </w:r>
      <w:r>
        <w:rPr>
          <w:color w:val="auto"/>
          <w:highlight w:val="none"/>
        </w:rPr>
        <w:tab/>
      </w:r>
      <w:r>
        <w:rPr>
          <w:color w:val="auto"/>
          <w:highlight w:val="none"/>
        </w:rPr>
        <w:fldChar w:fldCharType="begin"/>
      </w:r>
      <w:r>
        <w:rPr>
          <w:color w:val="auto"/>
          <w:highlight w:val="none"/>
        </w:rPr>
        <w:instrText xml:space="preserve"> PAGEREF _Toc7407 \h </w:instrText>
      </w:r>
      <w:r>
        <w:rPr>
          <w:color w:val="auto"/>
          <w:highlight w:val="none"/>
        </w:rPr>
        <w:fldChar w:fldCharType="separate"/>
      </w:r>
      <w:r>
        <w:rPr>
          <w:color w:val="auto"/>
          <w:highlight w:val="none"/>
        </w:rPr>
        <w:t>69</w:t>
      </w:r>
      <w:r>
        <w:rPr>
          <w:color w:val="auto"/>
          <w:highlight w:val="none"/>
        </w:rPr>
        <w:fldChar w:fldCharType="end"/>
      </w:r>
      <w:r>
        <w:rPr>
          <w:rFonts w:hint="eastAsia" w:ascii="仿宋" w:hAnsi="仿宋" w:eastAsia="仿宋" w:cs="仿宋"/>
          <w:color w:val="auto"/>
          <w:highlight w:val="none"/>
        </w:rPr>
        <w:fldChar w:fldCharType="end"/>
      </w:r>
    </w:p>
    <w:p w14:paraId="08F0F2D6">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_Toc4461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十、售后服务承诺书</w:t>
      </w:r>
      <w:r>
        <w:rPr>
          <w:color w:val="auto"/>
          <w:highlight w:val="none"/>
        </w:rPr>
        <w:tab/>
      </w:r>
      <w:r>
        <w:rPr>
          <w:color w:val="auto"/>
          <w:highlight w:val="none"/>
        </w:rPr>
        <w:fldChar w:fldCharType="begin"/>
      </w:r>
      <w:r>
        <w:rPr>
          <w:color w:val="auto"/>
          <w:highlight w:val="none"/>
        </w:rPr>
        <w:instrText xml:space="preserve"> PAGEREF _Toc4461 \h </w:instrText>
      </w:r>
      <w:r>
        <w:rPr>
          <w:color w:val="auto"/>
          <w:highlight w:val="none"/>
        </w:rPr>
        <w:fldChar w:fldCharType="separate"/>
      </w:r>
      <w:r>
        <w:rPr>
          <w:color w:val="auto"/>
          <w:highlight w:val="none"/>
        </w:rPr>
        <w:t>70</w:t>
      </w:r>
      <w:r>
        <w:rPr>
          <w:color w:val="auto"/>
          <w:highlight w:val="none"/>
        </w:rPr>
        <w:fldChar w:fldCharType="end"/>
      </w:r>
      <w:r>
        <w:rPr>
          <w:rFonts w:hint="eastAsia" w:ascii="仿宋" w:hAnsi="仿宋" w:eastAsia="仿宋" w:cs="仿宋"/>
          <w:color w:val="auto"/>
          <w:highlight w:val="none"/>
        </w:rPr>
        <w:fldChar w:fldCharType="end"/>
      </w:r>
    </w:p>
    <w:p w14:paraId="36E31286">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_Toc1219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十一、技术方案</w:t>
      </w:r>
      <w:r>
        <w:rPr>
          <w:color w:val="auto"/>
          <w:highlight w:val="none"/>
        </w:rPr>
        <w:tab/>
      </w:r>
      <w:r>
        <w:rPr>
          <w:color w:val="auto"/>
          <w:highlight w:val="none"/>
        </w:rPr>
        <w:fldChar w:fldCharType="begin"/>
      </w:r>
      <w:r>
        <w:rPr>
          <w:color w:val="auto"/>
          <w:highlight w:val="none"/>
        </w:rPr>
        <w:instrText xml:space="preserve"> PAGEREF _Toc1219 \h </w:instrText>
      </w:r>
      <w:r>
        <w:rPr>
          <w:color w:val="auto"/>
          <w:highlight w:val="none"/>
        </w:rPr>
        <w:fldChar w:fldCharType="separate"/>
      </w:r>
      <w:r>
        <w:rPr>
          <w:color w:val="auto"/>
          <w:highlight w:val="none"/>
        </w:rPr>
        <w:t>71</w:t>
      </w:r>
      <w:r>
        <w:rPr>
          <w:color w:val="auto"/>
          <w:highlight w:val="none"/>
        </w:rPr>
        <w:fldChar w:fldCharType="end"/>
      </w:r>
      <w:r>
        <w:rPr>
          <w:rFonts w:hint="eastAsia" w:ascii="仿宋" w:hAnsi="仿宋" w:eastAsia="仿宋" w:cs="仿宋"/>
          <w:color w:val="auto"/>
          <w:highlight w:val="none"/>
        </w:rPr>
        <w:fldChar w:fldCharType="end"/>
      </w:r>
    </w:p>
    <w:p w14:paraId="684D826B">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_Toc6078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、保证金缴纳证明材料</w:t>
      </w:r>
      <w:r>
        <w:rPr>
          <w:color w:val="auto"/>
          <w:highlight w:val="none"/>
        </w:rPr>
        <w:tab/>
      </w:r>
      <w:r>
        <w:rPr>
          <w:color w:val="auto"/>
          <w:highlight w:val="none"/>
        </w:rPr>
        <w:fldChar w:fldCharType="begin"/>
      </w:r>
      <w:r>
        <w:rPr>
          <w:color w:val="auto"/>
          <w:highlight w:val="none"/>
        </w:rPr>
        <w:instrText xml:space="preserve"> PAGEREF _Toc6078 \h </w:instrText>
      </w:r>
      <w:r>
        <w:rPr>
          <w:color w:val="auto"/>
          <w:highlight w:val="none"/>
        </w:rPr>
        <w:fldChar w:fldCharType="separate"/>
      </w:r>
      <w:r>
        <w:rPr>
          <w:color w:val="auto"/>
          <w:highlight w:val="none"/>
        </w:rPr>
        <w:t>72</w:t>
      </w:r>
      <w:r>
        <w:rPr>
          <w:color w:val="auto"/>
          <w:highlight w:val="none"/>
        </w:rPr>
        <w:fldChar w:fldCharType="end"/>
      </w:r>
      <w:r>
        <w:rPr>
          <w:rFonts w:hint="eastAsia" w:ascii="仿宋" w:hAnsi="仿宋" w:eastAsia="仿宋" w:cs="仿宋"/>
          <w:color w:val="auto"/>
          <w:highlight w:val="none"/>
        </w:rPr>
        <w:fldChar w:fldCharType="end"/>
      </w:r>
    </w:p>
    <w:p w14:paraId="5E4C1453">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_Toc14727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、其它需要提交的资料</w:t>
      </w:r>
      <w:r>
        <w:rPr>
          <w:color w:val="auto"/>
          <w:highlight w:val="none"/>
        </w:rPr>
        <w:tab/>
      </w:r>
      <w:r>
        <w:rPr>
          <w:color w:val="auto"/>
          <w:highlight w:val="none"/>
        </w:rPr>
        <w:fldChar w:fldCharType="begin"/>
      </w:r>
      <w:r>
        <w:rPr>
          <w:color w:val="auto"/>
          <w:highlight w:val="none"/>
        </w:rPr>
        <w:instrText xml:space="preserve"> PAGEREF _Toc14727 \h </w:instrText>
      </w:r>
      <w:r>
        <w:rPr>
          <w:color w:val="auto"/>
          <w:highlight w:val="none"/>
        </w:rPr>
        <w:fldChar w:fldCharType="separate"/>
      </w:r>
      <w:r>
        <w:rPr>
          <w:color w:val="auto"/>
          <w:highlight w:val="none"/>
        </w:rPr>
        <w:t>73</w:t>
      </w:r>
      <w:r>
        <w:rPr>
          <w:color w:val="auto"/>
          <w:highlight w:val="none"/>
        </w:rPr>
        <w:fldChar w:fldCharType="end"/>
      </w:r>
      <w:r>
        <w:rPr>
          <w:rFonts w:hint="eastAsia" w:ascii="仿宋" w:hAnsi="仿宋" w:eastAsia="仿宋" w:cs="仿宋"/>
          <w:color w:val="auto"/>
          <w:highlight w:val="none"/>
        </w:rPr>
        <w:fldChar w:fldCharType="end"/>
      </w:r>
    </w:p>
    <w:p w14:paraId="06D74673">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_Toc7919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第六章 补充条款</w:t>
      </w:r>
      <w:r>
        <w:rPr>
          <w:color w:val="auto"/>
          <w:highlight w:val="none"/>
        </w:rPr>
        <w:tab/>
      </w:r>
      <w:r>
        <w:rPr>
          <w:color w:val="auto"/>
          <w:highlight w:val="none"/>
        </w:rPr>
        <w:fldChar w:fldCharType="begin"/>
      </w:r>
      <w:r>
        <w:rPr>
          <w:color w:val="auto"/>
          <w:highlight w:val="none"/>
        </w:rPr>
        <w:instrText xml:space="preserve"> PAGEREF _Toc7919 \h </w:instrText>
      </w:r>
      <w:r>
        <w:rPr>
          <w:color w:val="auto"/>
          <w:highlight w:val="none"/>
        </w:rPr>
        <w:fldChar w:fldCharType="separate"/>
      </w:r>
      <w:r>
        <w:rPr>
          <w:color w:val="auto"/>
          <w:highlight w:val="none"/>
        </w:rPr>
        <w:t>74</w:t>
      </w:r>
      <w:r>
        <w:rPr>
          <w:color w:val="auto"/>
          <w:highlight w:val="none"/>
        </w:rPr>
        <w:fldChar w:fldCharType="end"/>
      </w:r>
      <w:r>
        <w:rPr>
          <w:rFonts w:hint="eastAsia" w:ascii="仿宋" w:hAnsi="仿宋" w:eastAsia="仿宋" w:cs="仿宋"/>
          <w:color w:val="auto"/>
          <w:highlight w:val="none"/>
        </w:rPr>
        <w:fldChar w:fldCharType="end"/>
      </w:r>
    </w:p>
    <w:p w14:paraId="6F8A64A0">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_Toc15778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一</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中小企业扶持政策</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74</w:t>
      </w:r>
      <w:r>
        <w:rPr>
          <w:color w:val="auto"/>
          <w:highlight w:val="none"/>
        </w:rPr>
        <w:fldChar w:fldCharType="end"/>
      </w:r>
      <w:r>
        <w:rPr>
          <w:rFonts w:hint="eastAsia" w:ascii="仿宋" w:hAnsi="仿宋" w:eastAsia="仿宋" w:cs="仿宋"/>
          <w:color w:val="auto"/>
          <w:highlight w:val="none"/>
        </w:rPr>
        <w:fldChar w:fldCharType="end"/>
      </w:r>
    </w:p>
    <w:p w14:paraId="0EC7BE38">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_Toc10043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二</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残疾人企业扶持政策</w:t>
      </w:r>
      <w:r>
        <w:rPr>
          <w:color w:val="auto"/>
          <w:highlight w:val="none"/>
        </w:rPr>
        <w:tab/>
      </w:r>
      <w:r>
        <w:rPr>
          <w:color w:val="auto"/>
          <w:highlight w:val="none"/>
        </w:rPr>
        <w:fldChar w:fldCharType="begin"/>
      </w:r>
      <w:r>
        <w:rPr>
          <w:color w:val="auto"/>
          <w:highlight w:val="none"/>
        </w:rPr>
        <w:instrText xml:space="preserve"> PAGEREF _Toc10043 \h </w:instrText>
      </w:r>
      <w:r>
        <w:rPr>
          <w:color w:val="auto"/>
          <w:highlight w:val="none"/>
        </w:rPr>
        <w:fldChar w:fldCharType="separate"/>
      </w:r>
      <w:r>
        <w:rPr>
          <w:color w:val="auto"/>
          <w:highlight w:val="none"/>
        </w:rPr>
        <w:t>78</w:t>
      </w:r>
      <w:r>
        <w:rPr>
          <w:color w:val="auto"/>
          <w:highlight w:val="none"/>
        </w:rPr>
        <w:fldChar w:fldCharType="end"/>
      </w:r>
      <w:r>
        <w:rPr>
          <w:rFonts w:hint="eastAsia" w:ascii="仿宋" w:hAnsi="仿宋" w:eastAsia="仿宋" w:cs="仿宋"/>
          <w:color w:val="auto"/>
          <w:highlight w:val="none"/>
        </w:rPr>
        <w:fldChar w:fldCharType="end"/>
      </w:r>
    </w:p>
    <w:p w14:paraId="6EE53A1A">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_Toc16904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三</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监狱扶持政策</w:t>
      </w:r>
      <w:r>
        <w:rPr>
          <w:color w:val="auto"/>
          <w:highlight w:val="none"/>
        </w:rPr>
        <w:tab/>
      </w:r>
      <w:r>
        <w:rPr>
          <w:color w:val="auto"/>
          <w:highlight w:val="none"/>
        </w:rPr>
        <w:fldChar w:fldCharType="begin"/>
      </w:r>
      <w:r>
        <w:rPr>
          <w:color w:val="auto"/>
          <w:highlight w:val="none"/>
        </w:rPr>
        <w:instrText xml:space="preserve"> PAGEREF _Toc16904 \h </w:instrText>
      </w:r>
      <w:r>
        <w:rPr>
          <w:color w:val="auto"/>
          <w:highlight w:val="none"/>
        </w:rPr>
        <w:fldChar w:fldCharType="separate"/>
      </w:r>
      <w:r>
        <w:rPr>
          <w:color w:val="auto"/>
          <w:highlight w:val="none"/>
        </w:rPr>
        <w:t>80</w:t>
      </w:r>
      <w:r>
        <w:rPr>
          <w:color w:val="auto"/>
          <w:highlight w:val="none"/>
        </w:rPr>
        <w:fldChar w:fldCharType="end"/>
      </w:r>
      <w:r>
        <w:rPr>
          <w:rFonts w:hint="eastAsia" w:ascii="仿宋" w:hAnsi="仿宋" w:eastAsia="仿宋" w:cs="仿宋"/>
          <w:color w:val="auto"/>
          <w:highlight w:val="none"/>
        </w:rPr>
        <w:fldChar w:fldCharType="end"/>
      </w:r>
    </w:p>
    <w:p w14:paraId="200CF66C">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_Toc12486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四</w:t>
      </w:r>
      <w:r>
        <w:rPr>
          <w:rFonts w:hint="eastAsia" w:ascii="仿宋" w:hAnsi="仿宋" w:eastAsia="仿宋" w:cs="仿宋"/>
          <w:color w:val="auto"/>
          <w:spacing w:val="6"/>
          <w:szCs w:val="24"/>
          <w:highlight w:val="none"/>
        </w:rPr>
        <w:t>、实施本国产品标准及相关政策</w:t>
      </w:r>
      <w:r>
        <w:rPr>
          <w:color w:val="auto"/>
          <w:highlight w:val="none"/>
        </w:rPr>
        <w:tab/>
      </w:r>
      <w:r>
        <w:rPr>
          <w:color w:val="auto"/>
          <w:highlight w:val="none"/>
        </w:rPr>
        <w:fldChar w:fldCharType="begin"/>
      </w:r>
      <w:r>
        <w:rPr>
          <w:color w:val="auto"/>
          <w:highlight w:val="none"/>
        </w:rPr>
        <w:instrText xml:space="preserve"> PAGEREF _Toc12486 \h </w:instrText>
      </w:r>
      <w:r>
        <w:rPr>
          <w:color w:val="auto"/>
          <w:highlight w:val="none"/>
        </w:rPr>
        <w:fldChar w:fldCharType="separate"/>
      </w:r>
      <w:r>
        <w:rPr>
          <w:color w:val="auto"/>
          <w:highlight w:val="none"/>
        </w:rPr>
        <w:t>82</w:t>
      </w:r>
      <w:r>
        <w:rPr>
          <w:color w:val="auto"/>
          <w:highlight w:val="none"/>
        </w:rPr>
        <w:fldChar w:fldCharType="end"/>
      </w:r>
      <w:r>
        <w:rPr>
          <w:rFonts w:hint="eastAsia" w:ascii="仿宋" w:hAnsi="仿宋" w:eastAsia="仿宋" w:cs="仿宋"/>
          <w:color w:val="auto"/>
          <w:highlight w:val="none"/>
        </w:rPr>
        <w:fldChar w:fldCharType="end"/>
      </w:r>
    </w:p>
    <w:p w14:paraId="3F99E842">
      <w:pPr>
        <w:rPr>
          <w:rFonts w:hint="eastAsia" w:ascii="仿宋" w:hAnsi="仿宋" w:eastAsia="仿宋" w:cs="仿宋"/>
          <w:color w:val="auto"/>
          <w:highlight w:val="none"/>
        </w:rPr>
      </w:pPr>
      <w:r>
        <w:rPr>
          <w:rFonts w:hint="eastAsia" w:ascii="仿宋" w:hAnsi="仿宋" w:eastAsia="仿宋" w:cs="仿宋"/>
          <w:color w:val="auto"/>
          <w:highlight w:val="none"/>
        </w:rPr>
        <w:fldChar w:fldCharType="end"/>
      </w:r>
      <w:bookmarkStart w:id="0" w:name="_Toc17403"/>
    </w:p>
    <w:p w14:paraId="4C979DF1">
      <w:pPr>
        <w:jc w:val="center"/>
        <w:outlineLvl w:val="0"/>
        <w:rPr>
          <w:rFonts w:hint="eastAsia" w:ascii="仿宋" w:hAnsi="仿宋" w:eastAsia="仿宋" w:cs="仿宋"/>
          <w:b/>
          <w:bCs/>
          <w:color w:val="auto"/>
          <w:sz w:val="32"/>
          <w:szCs w:val="32"/>
          <w:highlight w:val="none"/>
        </w:rPr>
        <w:sectPr>
          <w:footerReference r:id="rId5" w:type="default"/>
          <w:pgSz w:w="11906" w:h="16838"/>
          <w:pgMar w:top="1361" w:right="1134" w:bottom="1361" w:left="141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33B9E51C">
      <w:pPr>
        <w:jc w:val="center"/>
        <w:outlineLvl w:val="0"/>
        <w:rPr>
          <w:rFonts w:hint="eastAsia" w:ascii="仿宋" w:hAnsi="仿宋" w:eastAsia="仿宋" w:cs="仿宋"/>
          <w:b/>
          <w:bCs/>
          <w:color w:val="auto"/>
          <w:sz w:val="24"/>
          <w:szCs w:val="24"/>
          <w:highlight w:val="none"/>
        </w:rPr>
      </w:pPr>
      <w:bookmarkStart w:id="1" w:name="_Toc14022"/>
      <w:r>
        <w:rPr>
          <w:rFonts w:hint="eastAsia" w:ascii="仿宋" w:hAnsi="仿宋" w:eastAsia="仿宋" w:cs="仿宋"/>
          <w:b/>
          <w:bCs/>
          <w:color w:val="auto"/>
          <w:sz w:val="32"/>
          <w:szCs w:val="32"/>
          <w:highlight w:val="none"/>
        </w:rPr>
        <w:t>招标公告</w:t>
      </w:r>
      <w:bookmarkEnd w:id="0"/>
      <w:bookmarkEnd w:id="1"/>
    </w:p>
    <w:p w14:paraId="67D4A98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5A20A31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阿勒泰地区人民医院南院区建设第二批医疗设备采购项目第一包</w:t>
      </w:r>
      <w:r>
        <w:rPr>
          <w:rFonts w:hint="eastAsia" w:ascii="仿宋" w:hAnsi="仿宋" w:eastAsia="仿宋" w:cs="仿宋"/>
          <w:color w:val="auto"/>
          <w:sz w:val="24"/>
          <w:szCs w:val="24"/>
          <w:highlight w:val="none"/>
        </w:rPr>
        <w:t>的潜在投标人应在政采云平台线上获取招标文件，并于</w:t>
      </w:r>
      <w:r>
        <w:rPr>
          <w:rFonts w:hint="eastAsia" w:ascii="仿宋" w:hAnsi="仿宋" w:eastAsia="仿宋" w:cs="仿宋"/>
          <w:color w:val="auto"/>
          <w:sz w:val="24"/>
          <w:szCs w:val="24"/>
          <w:highlight w:val="none"/>
          <w:lang w:eastAsia="zh-CN"/>
        </w:rPr>
        <w:t>2026年0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lang w:eastAsia="zh-CN"/>
        </w:rPr>
        <w:t>日 11:00</w:t>
      </w:r>
      <w:r>
        <w:rPr>
          <w:rFonts w:hint="eastAsia" w:ascii="仿宋" w:hAnsi="仿宋" w:eastAsia="仿宋" w:cs="仿宋"/>
          <w:color w:val="auto"/>
          <w:sz w:val="24"/>
          <w:szCs w:val="24"/>
          <w:highlight w:val="none"/>
        </w:rPr>
        <w:t>（北京时间）前递交投标文件。</w:t>
      </w:r>
    </w:p>
    <w:p w14:paraId="60F3AA5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0D9FC31E">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XJXSJ-2026（ZC）-176</w:t>
      </w:r>
    </w:p>
    <w:p w14:paraId="1971BF0F">
      <w:pPr>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阿勒泰地区人民医院南院区建设第二批医疗设备采购项目第一包</w:t>
      </w:r>
    </w:p>
    <w:p w14:paraId="54211E09">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594055D">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1144590.00</w:t>
      </w:r>
    </w:p>
    <w:p w14:paraId="24249EC3">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最高限价（元）：</w:t>
      </w:r>
      <w:r>
        <w:rPr>
          <w:rFonts w:hint="eastAsia" w:ascii="仿宋" w:hAnsi="仿宋" w:eastAsia="仿宋" w:cs="仿宋"/>
          <w:color w:val="auto"/>
          <w:sz w:val="24"/>
          <w:szCs w:val="24"/>
          <w:highlight w:val="none"/>
          <w:lang w:val="en-US" w:eastAsia="zh-CN"/>
        </w:rPr>
        <w:t>1144590.00</w:t>
      </w:r>
    </w:p>
    <w:p w14:paraId="35114F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1批</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val="en-US" w:eastAsia="zh-CN"/>
        </w:rPr>
        <w:t>医疗器械一批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采购要求详见招标文件</w:t>
      </w:r>
      <w:r>
        <w:rPr>
          <w:rFonts w:hint="eastAsia" w:ascii="仿宋" w:hAnsi="仿宋" w:eastAsia="仿宋" w:cs="仿宋"/>
          <w:color w:val="auto"/>
          <w:sz w:val="24"/>
          <w:szCs w:val="24"/>
          <w:highlight w:val="none"/>
          <w:lang w:eastAsia="zh-CN"/>
        </w:rPr>
        <w:t>。</w:t>
      </w:r>
    </w:p>
    <w:p w14:paraId="38C4218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eastAsia="zh-CN"/>
        </w:rPr>
        <w:t>自合同签订之日起15个工作日内完成供货、安装、调试、验收、移交。</w:t>
      </w:r>
    </w:p>
    <w:p w14:paraId="28A2D503">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10C9980C">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二、投标人的资格要求：</w:t>
      </w:r>
    </w:p>
    <w:p w14:paraId="5278B92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088008B2">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074D826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投标人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三、获取招标文件</w:t>
      </w:r>
    </w:p>
    <w:p w14:paraId="183858EC">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08</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日，每天上午00:00至14:00，下午14:00至23:59（北京时间，法定节假日除外）</w:t>
      </w:r>
    </w:p>
    <w:p w14:paraId="409E1272">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58B5E7C6">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49D0339F">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售价（元）：</w:t>
      </w:r>
      <w:r>
        <w:rPr>
          <w:rFonts w:hint="eastAsia" w:ascii="仿宋" w:hAnsi="仿宋" w:eastAsia="仿宋" w:cs="仿宋"/>
          <w:color w:val="auto"/>
          <w:sz w:val="24"/>
          <w:szCs w:val="24"/>
          <w:highlight w:val="none"/>
          <w:lang w:val="en-US" w:eastAsia="zh-CN"/>
        </w:rPr>
        <w:t>0</w:t>
      </w:r>
    </w:p>
    <w:p w14:paraId="47C2F74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四、提交投标文件截止时间、开标时间和地点</w:t>
      </w:r>
    </w:p>
    <w:p w14:paraId="0ED75AE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lang w:eastAsia="zh-CN"/>
        </w:rPr>
        <w:t>2026年0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lang w:eastAsia="zh-CN"/>
        </w:rPr>
        <w:t>日 11:00</w:t>
      </w:r>
      <w:r>
        <w:rPr>
          <w:rFonts w:hint="eastAsia" w:ascii="仿宋" w:hAnsi="仿宋" w:eastAsia="仿宋" w:cs="仿宋"/>
          <w:color w:val="auto"/>
          <w:sz w:val="24"/>
          <w:szCs w:val="24"/>
          <w:highlight w:val="none"/>
        </w:rPr>
        <w:t>（北京时间）</w:t>
      </w:r>
    </w:p>
    <w:p w14:paraId="116BF28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4CB28AE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2026年0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lang w:eastAsia="zh-CN"/>
        </w:rPr>
        <w:t>日 11:00</w:t>
      </w:r>
      <w:r>
        <w:rPr>
          <w:rFonts w:hint="eastAsia" w:ascii="仿宋" w:hAnsi="仿宋" w:eastAsia="仿宋" w:cs="仿宋"/>
          <w:color w:val="auto"/>
          <w:sz w:val="24"/>
          <w:szCs w:val="24"/>
          <w:highlight w:val="none"/>
        </w:rPr>
        <w:t>（北京时间）</w:t>
      </w:r>
    </w:p>
    <w:p w14:paraId="1A112FF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267BB84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p>
    <w:p w14:paraId="2345FBAE">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4E0AF9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六、对本次采购提出询问，请按以下方式联系</w:t>
      </w:r>
    </w:p>
    <w:p w14:paraId="410FED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B0E69D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新疆阿勒泰地区人民医院</w:t>
      </w:r>
    </w:p>
    <w:p w14:paraId="0DED1C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i w:val="0"/>
          <w:iCs w:val="0"/>
          <w:caps w:val="0"/>
          <w:color w:val="auto"/>
          <w:spacing w:val="0"/>
          <w:sz w:val="24"/>
          <w:szCs w:val="24"/>
          <w:highlight w:val="none"/>
          <w:shd w:val="clear" w:fill="FFFFFF"/>
        </w:rPr>
        <w:t>阿勒泰市公园路29号</w:t>
      </w:r>
    </w:p>
    <w:p w14:paraId="620C439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0906-2100902</w:t>
      </w:r>
    </w:p>
    <w:p w14:paraId="23D963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3AE25F7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53578F7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址：乌鲁木齐市新兴街20号凤凰大厦五楼</w:t>
      </w:r>
    </w:p>
    <w:p w14:paraId="60A7EFE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13201239203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18690890996</w:t>
      </w:r>
    </w:p>
    <w:p w14:paraId="6BE574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66E7DEE">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候永康、马丹阳</w:t>
      </w:r>
    </w:p>
    <w:p w14:paraId="06BA504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电 话：0991-4661782</w:t>
      </w:r>
    </w:p>
    <w:p w14:paraId="1F38179A">
      <w:pPr>
        <w:rPr>
          <w:rFonts w:hint="eastAsia" w:ascii="仿宋" w:hAnsi="仿宋" w:eastAsia="仿宋" w:cs="仿宋"/>
          <w:color w:val="auto"/>
          <w:sz w:val="24"/>
          <w:highlight w:val="none"/>
        </w:rPr>
        <w:sectPr>
          <w:footerReference r:id="rId6" w:type="default"/>
          <w:pgSz w:w="11906" w:h="16838"/>
          <w:pgMar w:top="1361" w:right="1134" w:bottom="1361" w:left="141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3F38540">
      <w:pPr>
        <w:spacing w:line="440" w:lineRule="exact"/>
        <w:jc w:val="center"/>
        <w:outlineLvl w:val="0"/>
        <w:rPr>
          <w:rFonts w:hint="eastAsia" w:ascii="仿宋" w:hAnsi="仿宋" w:eastAsia="仿宋" w:cs="仿宋"/>
          <w:b/>
          <w:color w:val="auto"/>
          <w:sz w:val="24"/>
          <w:szCs w:val="24"/>
          <w:highlight w:val="none"/>
        </w:rPr>
      </w:pPr>
      <w:bookmarkStart w:id="2" w:name="_Toc3005"/>
      <w:bookmarkStart w:id="3" w:name="_Toc23861"/>
      <w:r>
        <w:rPr>
          <w:rFonts w:hint="eastAsia" w:ascii="仿宋" w:hAnsi="仿宋" w:eastAsia="仿宋" w:cs="仿宋"/>
          <w:b/>
          <w:color w:val="auto"/>
          <w:sz w:val="24"/>
          <w:szCs w:val="24"/>
          <w:highlight w:val="none"/>
        </w:rPr>
        <w:t>投标人须知前附表</w:t>
      </w:r>
      <w:bookmarkEnd w:id="2"/>
      <w:bookmarkEnd w:id="3"/>
    </w:p>
    <w:tbl>
      <w:tblPr>
        <w:tblStyle w:val="38"/>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5287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07317197">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660C8486">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48B2A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31F3A7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10" w:type="dxa"/>
            <w:vAlign w:val="center"/>
          </w:tcPr>
          <w:p w14:paraId="06DA83F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46FED05E">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阿勒泰地区人民医院南院区建设第二批医疗设备采购项目第一包</w:t>
            </w:r>
          </w:p>
        </w:tc>
      </w:tr>
      <w:tr w14:paraId="6441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120B5D5">
            <w:pPr>
              <w:jc w:val="center"/>
              <w:rPr>
                <w:rFonts w:hint="eastAsia" w:ascii="仿宋" w:hAnsi="仿宋" w:eastAsia="仿宋" w:cs="仿宋"/>
                <w:color w:val="auto"/>
                <w:kern w:val="0"/>
                <w:szCs w:val="21"/>
                <w:highlight w:val="none"/>
              </w:rPr>
            </w:pPr>
          </w:p>
        </w:tc>
        <w:tc>
          <w:tcPr>
            <w:tcW w:w="1410" w:type="dxa"/>
            <w:vAlign w:val="center"/>
          </w:tcPr>
          <w:p w14:paraId="365A0AE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53AD51D0">
            <w:pPr>
              <w:keepNext/>
              <w:widowControl/>
              <w:jc w:val="left"/>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XJXSJ-202</w:t>
            </w:r>
            <w:r>
              <w:rPr>
                <w:rFonts w:hint="eastAsia" w:ascii="仿宋" w:hAnsi="仿宋" w:eastAsia="仿宋" w:cs="仿宋"/>
                <w:color w:val="auto"/>
                <w:kern w:val="0"/>
                <w:szCs w:val="21"/>
                <w:highlight w:val="none"/>
                <w:lang w:val="en-US" w:eastAsia="zh-CN"/>
              </w:rPr>
              <w:t>6</w:t>
            </w:r>
            <w:r>
              <w:rPr>
                <w:rFonts w:hint="default" w:ascii="仿宋" w:hAnsi="仿宋" w:eastAsia="仿宋" w:cs="仿宋"/>
                <w:color w:val="auto"/>
                <w:kern w:val="0"/>
                <w:szCs w:val="21"/>
                <w:highlight w:val="none"/>
                <w:lang w:val="en-US" w:eastAsia="zh-CN"/>
              </w:rPr>
              <w:t>（ZC）-</w:t>
            </w:r>
            <w:r>
              <w:rPr>
                <w:rFonts w:hint="eastAsia" w:ascii="仿宋" w:hAnsi="仿宋" w:eastAsia="仿宋" w:cs="仿宋"/>
                <w:color w:val="auto"/>
                <w:kern w:val="0"/>
                <w:szCs w:val="21"/>
                <w:highlight w:val="none"/>
                <w:lang w:val="en-US" w:eastAsia="zh-CN"/>
              </w:rPr>
              <w:t>176</w:t>
            </w:r>
          </w:p>
        </w:tc>
      </w:tr>
      <w:tr w14:paraId="787A1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E1453FF">
            <w:pPr>
              <w:jc w:val="center"/>
              <w:rPr>
                <w:rFonts w:hint="eastAsia" w:ascii="仿宋" w:hAnsi="仿宋" w:eastAsia="仿宋" w:cs="仿宋"/>
                <w:color w:val="auto"/>
                <w:kern w:val="0"/>
                <w:szCs w:val="21"/>
                <w:highlight w:val="none"/>
              </w:rPr>
            </w:pPr>
          </w:p>
        </w:tc>
        <w:tc>
          <w:tcPr>
            <w:tcW w:w="1410" w:type="dxa"/>
            <w:vAlign w:val="center"/>
          </w:tcPr>
          <w:p w14:paraId="06F5106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320003BE">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新疆阿勒泰地区人民医院</w:t>
            </w:r>
          </w:p>
        </w:tc>
      </w:tr>
      <w:tr w14:paraId="3A55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4A5394D2">
            <w:pPr>
              <w:jc w:val="center"/>
              <w:rPr>
                <w:rFonts w:hint="eastAsia" w:ascii="仿宋" w:hAnsi="仿宋" w:eastAsia="仿宋" w:cs="仿宋"/>
                <w:color w:val="auto"/>
                <w:kern w:val="0"/>
                <w:szCs w:val="21"/>
                <w:highlight w:val="none"/>
              </w:rPr>
            </w:pPr>
          </w:p>
        </w:tc>
        <w:tc>
          <w:tcPr>
            <w:tcW w:w="1410" w:type="dxa"/>
            <w:vAlign w:val="center"/>
          </w:tcPr>
          <w:p w14:paraId="645B288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2CE93CC6">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新疆新世纪招标有限公司</w:t>
            </w:r>
          </w:p>
        </w:tc>
      </w:tr>
      <w:tr w14:paraId="663C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DE7153C">
            <w:pPr>
              <w:jc w:val="center"/>
              <w:rPr>
                <w:rFonts w:hint="eastAsia" w:ascii="仿宋" w:hAnsi="仿宋" w:eastAsia="仿宋" w:cs="仿宋"/>
                <w:color w:val="auto"/>
                <w:kern w:val="0"/>
                <w:szCs w:val="21"/>
                <w:highlight w:val="none"/>
              </w:rPr>
            </w:pPr>
          </w:p>
        </w:tc>
        <w:tc>
          <w:tcPr>
            <w:tcW w:w="1410" w:type="dxa"/>
            <w:vAlign w:val="center"/>
          </w:tcPr>
          <w:p w14:paraId="27B06FA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4D10BE5B">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阿勒泰市</w:t>
            </w:r>
          </w:p>
        </w:tc>
      </w:tr>
      <w:tr w14:paraId="3634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FD0260A">
            <w:pPr>
              <w:jc w:val="center"/>
              <w:rPr>
                <w:rFonts w:hint="eastAsia" w:ascii="仿宋" w:hAnsi="仿宋" w:eastAsia="仿宋" w:cs="仿宋"/>
                <w:color w:val="auto"/>
                <w:kern w:val="0"/>
                <w:szCs w:val="21"/>
                <w:highlight w:val="none"/>
              </w:rPr>
            </w:pPr>
          </w:p>
        </w:tc>
        <w:tc>
          <w:tcPr>
            <w:tcW w:w="1410" w:type="dxa"/>
            <w:vAlign w:val="center"/>
          </w:tcPr>
          <w:p w14:paraId="2C05575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4099B549">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财政资金</w:t>
            </w:r>
          </w:p>
        </w:tc>
      </w:tr>
      <w:tr w14:paraId="1491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7DDA7C6">
            <w:pPr>
              <w:jc w:val="center"/>
              <w:rPr>
                <w:rFonts w:hint="eastAsia" w:ascii="仿宋" w:hAnsi="仿宋" w:eastAsia="仿宋" w:cs="仿宋"/>
                <w:color w:val="auto"/>
                <w:kern w:val="0"/>
                <w:szCs w:val="21"/>
                <w:highlight w:val="none"/>
              </w:rPr>
            </w:pPr>
          </w:p>
        </w:tc>
        <w:tc>
          <w:tcPr>
            <w:tcW w:w="1410" w:type="dxa"/>
            <w:vAlign w:val="center"/>
          </w:tcPr>
          <w:p w14:paraId="3E641FD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0B73B803">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1144590.00</w:t>
            </w:r>
            <w:r>
              <w:rPr>
                <w:rFonts w:hint="eastAsia" w:ascii="仿宋" w:hAnsi="仿宋" w:eastAsia="仿宋" w:cs="仿宋"/>
                <w:color w:val="auto"/>
                <w:kern w:val="0"/>
                <w:szCs w:val="21"/>
                <w:highlight w:val="none"/>
              </w:rPr>
              <w:t>元</w:t>
            </w:r>
          </w:p>
        </w:tc>
      </w:tr>
      <w:tr w14:paraId="30EFA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C46E238">
            <w:pPr>
              <w:jc w:val="center"/>
              <w:rPr>
                <w:rFonts w:hint="eastAsia" w:ascii="仿宋" w:hAnsi="仿宋" w:eastAsia="仿宋" w:cs="仿宋"/>
                <w:color w:val="auto"/>
                <w:kern w:val="0"/>
                <w:szCs w:val="21"/>
                <w:highlight w:val="none"/>
              </w:rPr>
            </w:pPr>
          </w:p>
        </w:tc>
        <w:tc>
          <w:tcPr>
            <w:tcW w:w="1410" w:type="dxa"/>
            <w:vAlign w:val="center"/>
          </w:tcPr>
          <w:p w14:paraId="1E1951E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7073" w:type="dxa"/>
            <w:vAlign w:val="center"/>
          </w:tcPr>
          <w:p w14:paraId="2B9E9204">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1144590.00</w:t>
            </w:r>
            <w:r>
              <w:rPr>
                <w:rFonts w:hint="eastAsia" w:ascii="仿宋" w:hAnsi="仿宋" w:eastAsia="仿宋" w:cs="仿宋"/>
                <w:color w:val="auto"/>
                <w:kern w:val="0"/>
                <w:szCs w:val="21"/>
                <w:highlight w:val="none"/>
              </w:rPr>
              <w:t>元</w:t>
            </w:r>
          </w:p>
        </w:tc>
      </w:tr>
      <w:tr w14:paraId="5992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86" w:hRule="atLeast"/>
          <w:jc w:val="center"/>
        </w:trPr>
        <w:tc>
          <w:tcPr>
            <w:tcW w:w="597" w:type="dxa"/>
            <w:vMerge w:val="continue"/>
            <w:vAlign w:val="center"/>
          </w:tcPr>
          <w:p w14:paraId="5929876E">
            <w:pPr>
              <w:jc w:val="center"/>
              <w:rPr>
                <w:rFonts w:hint="eastAsia" w:ascii="仿宋" w:hAnsi="仿宋" w:eastAsia="仿宋" w:cs="仿宋"/>
                <w:color w:val="auto"/>
                <w:kern w:val="0"/>
                <w:szCs w:val="21"/>
                <w:highlight w:val="none"/>
              </w:rPr>
            </w:pPr>
          </w:p>
        </w:tc>
        <w:tc>
          <w:tcPr>
            <w:tcW w:w="1410" w:type="dxa"/>
            <w:vAlign w:val="center"/>
          </w:tcPr>
          <w:p w14:paraId="20E7339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是否单一产品</w:t>
            </w:r>
          </w:p>
        </w:tc>
        <w:tc>
          <w:tcPr>
            <w:tcW w:w="7073" w:type="dxa"/>
            <w:vAlign w:val="center"/>
          </w:tcPr>
          <w:p w14:paraId="1449827E">
            <w:pPr>
              <w:keepNext/>
              <w:widowControl/>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否，核心产品为妇科射频治疗仪</w:t>
            </w:r>
          </w:p>
        </w:tc>
      </w:tr>
      <w:tr w14:paraId="5321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79" w:hRule="atLeast"/>
          <w:jc w:val="center"/>
        </w:trPr>
        <w:tc>
          <w:tcPr>
            <w:tcW w:w="597" w:type="dxa"/>
            <w:vMerge w:val="continue"/>
            <w:vAlign w:val="center"/>
          </w:tcPr>
          <w:p w14:paraId="03639FF5">
            <w:pPr>
              <w:jc w:val="center"/>
              <w:rPr>
                <w:rFonts w:hint="eastAsia" w:ascii="仿宋" w:hAnsi="仿宋" w:eastAsia="仿宋" w:cs="仿宋"/>
                <w:color w:val="auto"/>
                <w:kern w:val="0"/>
                <w:szCs w:val="21"/>
                <w:highlight w:val="none"/>
              </w:rPr>
            </w:pPr>
          </w:p>
        </w:tc>
        <w:tc>
          <w:tcPr>
            <w:tcW w:w="1410" w:type="dxa"/>
            <w:vAlign w:val="center"/>
          </w:tcPr>
          <w:p w14:paraId="4849C73C">
            <w:pPr>
              <w:keepNext/>
              <w:widowControl/>
              <w:jc w:val="distribute"/>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合同履约期限</w:t>
            </w:r>
          </w:p>
        </w:tc>
        <w:tc>
          <w:tcPr>
            <w:tcW w:w="7073" w:type="dxa"/>
            <w:vAlign w:val="center"/>
          </w:tcPr>
          <w:p w14:paraId="17364C19">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自合同签订之日起15个工作日内完成供货、安装、调试、验收、移交</w:t>
            </w:r>
            <w:r>
              <w:rPr>
                <w:rFonts w:hint="eastAsia" w:ascii="仿宋" w:hAnsi="仿宋" w:eastAsia="仿宋" w:cs="仿宋"/>
                <w:color w:val="auto"/>
                <w:kern w:val="0"/>
                <w:szCs w:val="21"/>
                <w:highlight w:val="none"/>
                <w:lang w:eastAsia="zh-CN"/>
              </w:rPr>
              <w:t>。</w:t>
            </w:r>
          </w:p>
        </w:tc>
      </w:tr>
      <w:tr w14:paraId="13D0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29EA0B01">
            <w:pPr>
              <w:jc w:val="center"/>
              <w:rPr>
                <w:rFonts w:hint="eastAsia" w:ascii="仿宋" w:hAnsi="仿宋" w:eastAsia="仿宋" w:cs="仿宋"/>
                <w:color w:val="auto"/>
                <w:kern w:val="0"/>
                <w:szCs w:val="21"/>
                <w:highlight w:val="none"/>
              </w:rPr>
            </w:pPr>
          </w:p>
        </w:tc>
        <w:tc>
          <w:tcPr>
            <w:tcW w:w="1410" w:type="dxa"/>
            <w:vAlign w:val="center"/>
          </w:tcPr>
          <w:p w14:paraId="74435F9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供货地点</w:t>
            </w:r>
          </w:p>
        </w:tc>
        <w:tc>
          <w:tcPr>
            <w:tcW w:w="7073" w:type="dxa"/>
            <w:vAlign w:val="center"/>
          </w:tcPr>
          <w:p w14:paraId="06B0B630">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采购人指定地点</w:t>
            </w: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kern w:val="0"/>
                <w:szCs w:val="21"/>
                <w:highlight w:val="none"/>
                <w:lang w:eastAsia="zh-CN"/>
              </w:rPr>
              <w:t>新疆阿勒泰地区人民医院院</w:t>
            </w:r>
            <w:r>
              <w:rPr>
                <w:rFonts w:hint="eastAsia" w:ascii="仿宋" w:hAnsi="仿宋" w:eastAsia="仿宋" w:cs="仿宋"/>
                <w:color w:val="auto"/>
                <w:kern w:val="0"/>
                <w:szCs w:val="21"/>
                <w:highlight w:val="none"/>
                <w:lang w:val="en-US" w:eastAsia="zh-CN"/>
              </w:rPr>
              <w:t>内）</w:t>
            </w:r>
          </w:p>
        </w:tc>
      </w:tr>
      <w:tr w14:paraId="5FA15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8FD010F">
            <w:pPr>
              <w:jc w:val="center"/>
              <w:rPr>
                <w:rFonts w:hint="eastAsia" w:ascii="仿宋" w:hAnsi="仿宋" w:eastAsia="仿宋" w:cs="仿宋"/>
                <w:color w:val="auto"/>
                <w:kern w:val="0"/>
                <w:szCs w:val="21"/>
                <w:highlight w:val="none"/>
              </w:rPr>
            </w:pPr>
          </w:p>
        </w:tc>
        <w:tc>
          <w:tcPr>
            <w:tcW w:w="1410" w:type="dxa"/>
            <w:vAlign w:val="center"/>
          </w:tcPr>
          <w:p w14:paraId="44C0F9F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质保期</w:t>
            </w:r>
          </w:p>
        </w:tc>
        <w:tc>
          <w:tcPr>
            <w:tcW w:w="7073" w:type="dxa"/>
            <w:vAlign w:val="center"/>
          </w:tcPr>
          <w:p w14:paraId="0E1842D1">
            <w:pPr>
              <w:keepNext/>
              <w:widowControl/>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3年</w:t>
            </w:r>
          </w:p>
        </w:tc>
      </w:tr>
      <w:tr w14:paraId="42B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7B8AD7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10" w:type="dxa"/>
            <w:vAlign w:val="center"/>
          </w:tcPr>
          <w:p w14:paraId="76CB735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3F6A9EE8">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阿勒泰地区人民医院南院区建设第二批医疗设备采购项目第一包</w:t>
            </w:r>
            <w:r>
              <w:rPr>
                <w:rFonts w:hint="eastAsia" w:ascii="仿宋" w:hAnsi="仿宋" w:eastAsia="仿宋" w:cs="仿宋"/>
                <w:color w:val="auto"/>
                <w:kern w:val="0"/>
                <w:szCs w:val="21"/>
                <w:highlight w:val="none"/>
              </w:rPr>
              <w:t>范围内的所有工作内容，关于采购范围的详细说明见招标文件第四章“技术标准和要求”。</w:t>
            </w:r>
          </w:p>
        </w:tc>
      </w:tr>
      <w:tr w14:paraId="43E88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62AB5B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10" w:type="dxa"/>
            <w:vAlign w:val="center"/>
          </w:tcPr>
          <w:p w14:paraId="69CF713E">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274C3DD0">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7085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35C06DD">
            <w:pPr>
              <w:jc w:val="center"/>
              <w:rPr>
                <w:rFonts w:hint="eastAsia" w:ascii="仿宋" w:hAnsi="仿宋" w:eastAsia="仿宋" w:cs="仿宋"/>
                <w:color w:val="auto"/>
                <w:kern w:val="0"/>
                <w:szCs w:val="21"/>
                <w:highlight w:val="none"/>
              </w:rPr>
            </w:pPr>
          </w:p>
        </w:tc>
        <w:tc>
          <w:tcPr>
            <w:tcW w:w="1410" w:type="dxa"/>
            <w:vAlign w:val="center"/>
          </w:tcPr>
          <w:p w14:paraId="0FCA990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7073" w:type="dxa"/>
            <w:vAlign w:val="center"/>
          </w:tcPr>
          <w:p w14:paraId="4E77333E">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资格后审</w:t>
            </w:r>
          </w:p>
        </w:tc>
      </w:tr>
      <w:tr w14:paraId="1EF31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C52565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10" w:type="dxa"/>
            <w:vAlign w:val="center"/>
          </w:tcPr>
          <w:p w14:paraId="394971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073" w:type="dxa"/>
            <w:vAlign w:val="center"/>
          </w:tcPr>
          <w:p w14:paraId="008D5E6E">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p>
        </w:tc>
      </w:tr>
      <w:tr w14:paraId="4724C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7D755CC">
            <w:pPr>
              <w:jc w:val="center"/>
              <w:rPr>
                <w:rFonts w:hint="eastAsia" w:ascii="仿宋" w:hAnsi="仿宋" w:eastAsia="仿宋" w:cs="仿宋"/>
                <w:color w:val="auto"/>
                <w:kern w:val="0"/>
                <w:szCs w:val="21"/>
                <w:highlight w:val="none"/>
              </w:rPr>
            </w:pPr>
          </w:p>
        </w:tc>
        <w:tc>
          <w:tcPr>
            <w:tcW w:w="1410" w:type="dxa"/>
            <w:vAlign w:val="center"/>
          </w:tcPr>
          <w:p w14:paraId="6BBD8F5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38ABAB9D">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评标委员会推荐三名中标候选人</w:t>
            </w:r>
          </w:p>
        </w:tc>
      </w:tr>
      <w:tr w14:paraId="265A5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3A6E0A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10" w:type="dxa"/>
            <w:vAlign w:val="center"/>
          </w:tcPr>
          <w:p w14:paraId="473462FE">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投标人的资格要求</w:t>
            </w:r>
          </w:p>
        </w:tc>
        <w:tc>
          <w:tcPr>
            <w:tcW w:w="7073" w:type="dxa"/>
            <w:vAlign w:val="center"/>
          </w:tcPr>
          <w:p w14:paraId="136BD535">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623331A8">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1ED48F81">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投标人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tc>
      </w:tr>
      <w:tr w14:paraId="2DD7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7C718D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1410" w:type="dxa"/>
            <w:vAlign w:val="center"/>
          </w:tcPr>
          <w:p w14:paraId="2AD6D25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投标人不得存在的情形</w:t>
            </w:r>
          </w:p>
        </w:tc>
        <w:tc>
          <w:tcPr>
            <w:tcW w:w="7073" w:type="dxa"/>
            <w:vAlign w:val="center"/>
          </w:tcPr>
          <w:p w14:paraId="22CCD4F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7B3F09D7">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2、单位负责人为同一人或者存在直接控股、管理关系的不同投标人，不得参加同一合同项下的政府采购活动。</w:t>
            </w:r>
          </w:p>
          <w:p w14:paraId="3B575EF0">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3、除单一来源采购项目外，为采购项目提供整体设计、规范编制或者项目管理、监理、检测等服务的投标人，不得再参加该采购项目的其他采购活动。</w:t>
            </w:r>
          </w:p>
          <w:p w14:paraId="2EFD5C1B">
            <w:pPr>
              <w:keepNext/>
              <w:widowControl/>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4、投标人处于被责令停业、财产被接管、冻结和破产状态，以及投标资格被取消或者被暂停且在暂停期内。</w:t>
            </w:r>
          </w:p>
          <w:p w14:paraId="37889D5B">
            <w:pPr>
              <w:keepNext/>
              <w:widowControl/>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5、法律规定的其它情形。</w:t>
            </w:r>
          </w:p>
        </w:tc>
      </w:tr>
      <w:tr w14:paraId="7E8B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A0E620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410" w:type="dxa"/>
            <w:vAlign w:val="center"/>
          </w:tcPr>
          <w:p w14:paraId="7F9A63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4F827EA7">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32CB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632841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1410" w:type="dxa"/>
            <w:vAlign w:val="center"/>
          </w:tcPr>
          <w:p w14:paraId="31CBCF6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4EAF22FB">
            <w:pPr>
              <w:widowControl/>
              <w:numPr>
                <w:ilvl w:val="0"/>
                <w:numId w:val="0"/>
              </w:numPr>
              <w:spacing w:line="288" w:lineRule="auto"/>
              <w:ind w:firstLine="420" w:firstLineChars="200"/>
              <w:jc w:val="left"/>
              <w:rPr>
                <w:rFonts w:hint="eastAsia" w:ascii="仿宋" w:hAnsi="仿宋" w:eastAsia="仿宋" w:cs="仿宋"/>
                <w:b/>
                <w:bCs/>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rPr>
              <w:t>投标保证金金额：</w:t>
            </w:r>
            <w:r>
              <w:rPr>
                <w:rFonts w:hint="eastAsia" w:ascii="仿宋" w:hAnsi="仿宋" w:eastAsia="仿宋" w:cs="仿宋"/>
                <w:color w:val="auto"/>
                <w:kern w:val="0"/>
                <w:szCs w:val="21"/>
                <w:highlight w:val="none"/>
                <w:shd w:val="clear" w:color="auto" w:fill="FFFFFF" w:themeFill="background1"/>
                <w:lang w:val="en-US" w:eastAsia="zh-CN"/>
              </w:rPr>
              <w:t>22800.00元</w:t>
            </w:r>
          </w:p>
          <w:p w14:paraId="342595B4">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2、提交截止时间：同投标文件递交截止时间</w:t>
            </w:r>
          </w:p>
          <w:p w14:paraId="6A41B92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3、提交形式：投标保证金以支票、汇票、本票或者金融机构、担保机构出具的保函等非现金形式提交至采购代理机构。</w:t>
            </w:r>
          </w:p>
          <w:p w14:paraId="421A5C2C">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4、银行账户信息</w:t>
            </w:r>
          </w:p>
          <w:p w14:paraId="194AD7E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24389E0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6C4A07F5">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2723FF8D">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113B83E8">
            <w:pPr>
              <w:widowControl/>
              <w:spacing w:line="288"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5、投标人在提交投标保证金时需备注</w:t>
            </w:r>
            <w:r>
              <w:rPr>
                <w:rFonts w:hint="eastAsia" w:ascii="仿宋" w:hAnsi="仿宋" w:eastAsia="仿宋" w:cs="仿宋"/>
                <w:color w:val="auto"/>
                <w:kern w:val="0"/>
                <w:szCs w:val="21"/>
                <w:highlight w:val="none"/>
                <w:shd w:val="clear" w:color="auto" w:fill="FFFFFF" w:themeFill="background1"/>
                <w:lang w:val="en-US" w:eastAsia="zh-CN"/>
              </w:rPr>
              <w:t>项目</w:t>
            </w:r>
            <w:r>
              <w:rPr>
                <w:rFonts w:hint="eastAsia" w:ascii="仿宋" w:hAnsi="仿宋" w:eastAsia="仿宋" w:cs="仿宋"/>
                <w:color w:val="auto"/>
                <w:kern w:val="0"/>
                <w:szCs w:val="21"/>
                <w:highlight w:val="none"/>
                <w:shd w:val="clear" w:color="auto" w:fill="FFFFFF" w:themeFill="background1"/>
              </w:rPr>
              <w:t>名称简称。</w:t>
            </w:r>
          </w:p>
        </w:tc>
      </w:tr>
      <w:tr w14:paraId="1128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CA7B9C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1410" w:type="dxa"/>
            <w:vAlign w:val="center"/>
          </w:tcPr>
          <w:p w14:paraId="6ED89D3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3F09CCBD">
            <w:pPr>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不组织</w:t>
            </w:r>
          </w:p>
        </w:tc>
      </w:tr>
      <w:tr w14:paraId="6583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F500F63">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1410" w:type="dxa"/>
            <w:vAlign w:val="center"/>
          </w:tcPr>
          <w:p w14:paraId="3B1E135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50CA851B">
            <w:pPr>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提出询问的，应当在投标文件递交截止时间15日前以书面形式（加盖公章）递交至新疆新世纪招标有限公司，否则采购人不作任何解释。</w:t>
            </w:r>
          </w:p>
          <w:p w14:paraId="1A013D4E">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7AAC3DF3">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质疑接收人：</w:t>
            </w:r>
            <w:r>
              <w:rPr>
                <w:rFonts w:hint="eastAsia" w:ascii="仿宋" w:hAnsi="仿宋" w:eastAsia="仿宋" w:cs="仿宋"/>
                <w:color w:val="auto"/>
                <w:szCs w:val="21"/>
                <w:highlight w:val="none"/>
                <w:lang w:eastAsia="zh-CN"/>
              </w:rPr>
              <w:t>候永康、马丹阳</w:t>
            </w:r>
            <w:r>
              <w:rPr>
                <w:rFonts w:hint="eastAsia" w:ascii="仿宋" w:hAnsi="仿宋" w:eastAsia="仿宋" w:cs="仿宋"/>
                <w:color w:val="auto"/>
                <w:szCs w:val="21"/>
                <w:highlight w:val="none"/>
              </w:rPr>
              <w:t>；联系方式：0991-4661782。</w:t>
            </w:r>
          </w:p>
          <w:p w14:paraId="35AF6960">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注：1、投标人必须在法定质疑期内一次性提出针对同一采购程序环节的质疑；</w:t>
            </w:r>
            <w:r>
              <w:rPr>
                <w:rFonts w:hint="eastAsia" w:ascii="仿宋" w:hAnsi="仿宋" w:eastAsia="仿宋" w:cs="仿宋"/>
                <w:color w:val="auto"/>
                <w:szCs w:val="21"/>
                <w:highlight w:val="none"/>
              </w:rPr>
              <w:t>投标人投诉的事项不得超出已质疑事项的范围。2、</w:t>
            </w:r>
            <w:r>
              <w:rPr>
                <w:rFonts w:hint="eastAsia" w:ascii="仿宋" w:hAnsi="仿宋" w:eastAsia="仿宋" w:cs="仿宋"/>
                <w:color w:val="auto"/>
                <w:kern w:val="0"/>
                <w:szCs w:val="21"/>
                <w:highlight w:val="none"/>
              </w:rPr>
              <w:t>投标人</w:t>
            </w:r>
            <w:r>
              <w:rPr>
                <w:rFonts w:hint="eastAsia" w:ascii="仿宋" w:hAnsi="仿宋" w:eastAsia="仿宋" w:cs="仿宋"/>
                <w:color w:val="auto"/>
                <w:szCs w:val="21"/>
                <w:highlight w:val="none"/>
              </w:rPr>
              <w:t>在国家法律规定的时间内未提出书面疑问，视为对招标文件的技术参数、资格条件、评审方法、合同文本等所有内容无异议。</w:t>
            </w:r>
          </w:p>
        </w:tc>
      </w:tr>
      <w:tr w14:paraId="370A3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85D35A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1410" w:type="dxa"/>
            <w:vAlign w:val="center"/>
          </w:tcPr>
          <w:p w14:paraId="56E5B00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shd w:val="clear" w:color="auto" w:fill="auto"/>
            <w:vAlign w:val="center"/>
          </w:tcPr>
          <w:p w14:paraId="17D7AE84">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65D4942">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60FCFACE">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196E10C0">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22E4F1ED">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70CE6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E5CB6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1410" w:type="dxa"/>
            <w:vAlign w:val="center"/>
          </w:tcPr>
          <w:p w14:paraId="3C85E10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shd w:val="clear" w:color="auto" w:fill="auto"/>
            <w:vAlign w:val="center"/>
          </w:tcPr>
          <w:p w14:paraId="4641B6F8">
            <w:pPr>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kern w:val="0"/>
                <w:szCs w:val="21"/>
                <w:highlight w:val="none"/>
                <w:u w:val="single"/>
                <w:lang w:eastAsia="zh-CN"/>
              </w:rPr>
              <w:t>2026年0</w:t>
            </w:r>
            <w:r>
              <w:rPr>
                <w:rFonts w:hint="eastAsia" w:ascii="仿宋" w:hAnsi="仿宋" w:eastAsia="仿宋" w:cs="仿宋"/>
                <w:color w:val="auto"/>
                <w:kern w:val="0"/>
                <w:szCs w:val="21"/>
                <w:highlight w:val="none"/>
                <w:u w:val="single"/>
                <w:lang w:val="en-US" w:eastAsia="zh-CN"/>
              </w:rPr>
              <w:t>5</w:t>
            </w:r>
            <w:r>
              <w:rPr>
                <w:rFonts w:hint="eastAsia" w:ascii="仿宋" w:hAnsi="仿宋" w:eastAsia="仿宋" w:cs="仿宋"/>
                <w:color w:val="auto"/>
                <w:kern w:val="0"/>
                <w:szCs w:val="21"/>
                <w:highlight w:val="none"/>
                <w:u w:val="single"/>
                <w:lang w:eastAsia="zh-CN"/>
              </w:rPr>
              <w:t>月</w:t>
            </w:r>
            <w:r>
              <w:rPr>
                <w:rFonts w:hint="eastAsia" w:ascii="仿宋" w:hAnsi="仿宋" w:eastAsia="仿宋" w:cs="仿宋"/>
                <w:color w:val="auto"/>
                <w:kern w:val="0"/>
                <w:szCs w:val="21"/>
                <w:highlight w:val="none"/>
                <w:u w:val="single"/>
                <w:lang w:val="en-US" w:eastAsia="zh-CN"/>
              </w:rPr>
              <w:t>19</w:t>
            </w:r>
            <w:r>
              <w:rPr>
                <w:rFonts w:hint="eastAsia" w:ascii="仿宋" w:hAnsi="仿宋" w:eastAsia="仿宋" w:cs="仿宋"/>
                <w:color w:val="auto"/>
                <w:kern w:val="0"/>
                <w:szCs w:val="21"/>
                <w:highlight w:val="none"/>
                <w:u w:val="single"/>
                <w:lang w:eastAsia="zh-CN"/>
              </w:rPr>
              <w:t>日 11:00</w:t>
            </w:r>
            <w:r>
              <w:rPr>
                <w:rFonts w:hint="eastAsia" w:ascii="仿宋" w:hAnsi="仿宋" w:eastAsia="仿宋" w:cs="仿宋"/>
                <w:color w:val="auto"/>
                <w:kern w:val="0"/>
                <w:szCs w:val="21"/>
                <w:highlight w:val="none"/>
                <w:u w:val="single"/>
              </w:rPr>
              <w:t>（北京时间）</w:t>
            </w:r>
          </w:p>
          <w:p w14:paraId="5DE409FC">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23D3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28D156A">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p>
        </w:tc>
        <w:tc>
          <w:tcPr>
            <w:tcW w:w="1410" w:type="dxa"/>
            <w:vAlign w:val="center"/>
          </w:tcPr>
          <w:p w14:paraId="64B9BA0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shd w:val="clear" w:color="auto" w:fill="auto"/>
            <w:vAlign w:val="center"/>
          </w:tcPr>
          <w:p w14:paraId="2625B5C3">
            <w:pPr>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auto"/>
                <w:kern w:val="0"/>
                <w:szCs w:val="21"/>
                <w:highlight w:val="none"/>
                <w:u w:val="single"/>
                <w:lang w:eastAsia="zh-CN"/>
              </w:rPr>
              <w:t>2026年0</w:t>
            </w:r>
            <w:r>
              <w:rPr>
                <w:rFonts w:hint="eastAsia" w:ascii="仿宋" w:hAnsi="仿宋" w:eastAsia="仿宋" w:cs="仿宋"/>
                <w:color w:val="auto"/>
                <w:kern w:val="0"/>
                <w:szCs w:val="21"/>
                <w:highlight w:val="none"/>
                <w:u w:val="single"/>
                <w:lang w:val="en-US" w:eastAsia="zh-CN"/>
              </w:rPr>
              <w:t>5</w:t>
            </w:r>
            <w:r>
              <w:rPr>
                <w:rFonts w:hint="eastAsia" w:ascii="仿宋" w:hAnsi="仿宋" w:eastAsia="仿宋" w:cs="仿宋"/>
                <w:color w:val="auto"/>
                <w:kern w:val="0"/>
                <w:szCs w:val="21"/>
                <w:highlight w:val="none"/>
                <w:u w:val="single"/>
                <w:lang w:eastAsia="zh-CN"/>
              </w:rPr>
              <w:t>月</w:t>
            </w:r>
            <w:r>
              <w:rPr>
                <w:rFonts w:hint="eastAsia" w:ascii="仿宋" w:hAnsi="仿宋" w:eastAsia="仿宋" w:cs="仿宋"/>
                <w:color w:val="auto"/>
                <w:kern w:val="0"/>
                <w:szCs w:val="21"/>
                <w:highlight w:val="none"/>
                <w:u w:val="single"/>
                <w:lang w:val="en-US" w:eastAsia="zh-CN"/>
              </w:rPr>
              <w:t>19</w:t>
            </w:r>
            <w:r>
              <w:rPr>
                <w:rFonts w:hint="eastAsia" w:ascii="仿宋" w:hAnsi="仿宋" w:eastAsia="仿宋" w:cs="仿宋"/>
                <w:color w:val="auto"/>
                <w:kern w:val="0"/>
                <w:szCs w:val="21"/>
                <w:highlight w:val="none"/>
                <w:u w:val="single"/>
                <w:lang w:eastAsia="zh-CN"/>
              </w:rPr>
              <w:t>日 11:00</w:t>
            </w:r>
            <w:r>
              <w:rPr>
                <w:rFonts w:hint="eastAsia" w:ascii="仿宋" w:hAnsi="仿宋" w:eastAsia="仿宋" w:cs="仿宋"/>
                <w:color w:val="auto"/>
                <w:kern w:val="0"/>
                <w:szCs w:val="21"/>
                <w:highlight w:val="none"/>
                <w:u w:val="single"/>
              </w:rPr>
              <w:t>（北京时间）</w:t>
            </w:r>
          </w:p>
          <w:p w14:paraId="2344B9E9">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6723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38990E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p>
        </w:tc>
        <w:tc>
          <w:tcPr>
            <w:tcW w:w="1410" w:type="dxa"/>
            <w:vAlign w:val="center"/>
          </w:tcPr>
          <w:p w14:paraId="4DF98F8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1FC01D84">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2A97C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E428071">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15</w:t>
            </w:r>
          </w:p>
        </w:tc>
        <w:tc>
          <w:tcPr>
            <w:tcW w:w="1410" w:type="dxa"/>
            <w:vAlign w:val="center"/>
          </w:tcPr>
          <w:p w14:paraId="3A81AEAF">
            <w:pPr>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62E2091B">
            <w:pPr>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shd w:val="clear" w:color="auto" w:fill="FFFFFF" w:themeFill="background1"/>
              </w:rPr>
              <w:t>新疆政府采购网</w:t>
            </w:r>
          </w:p>
        </w:tc>
      </w:tr>
      <w:tr w14:paraId="70B2E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4BFBAB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16</w:t>
            </w:r>
          </w:p>
        </w:tc>
        <w:tc>
          <w:tcPr>
            <w:tcW w:w="1410" w:type="dxa"/>
            <w:vAlign w:val="center"/>
          </w:tcPr>
          <w:p w14:paraId="29E4BB01">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08B532DC">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w:t>
            </w:r>
            <w:r>
              <w:rPr>
                <w:rFonts w:hint="eastAsia" w:ascii="仿宋" w:hAnsi="仿宋" w:eastAsia="仿宋" w:cs="仿宋"/>
                <w:color w:val="auto"/>
                <w:kern w:val="0"/>
                <w:szCs w:val="21"/>
                <w:highlight w:val="none"/>
                <w:shd w:val="clear" w:color="auto" w:fill="FFFFFF" w:themeFill="background1"/>
                <w:lang w:val="en-US" w:eastAsia="zh-CN"/>
              </w:rPr>
              <w:t>无</w:t>
            </w:r>
            <w:r>
              <w:rPr>
                <w:rFonts w:hint="eastAsia" w:ascii="仿宋" w:hAnsi="仿宋" w:eastAsia="仿宋" w:cs="仿宋"/>
                <w:color w:val="auto"/>
                <w:kern w:val="0"/>
                <w:szCs w:val="21"/>
                <w:highlight w:val="none"/>
                <w:shd w:val="clear" w:color="auto" w:fill="FFFFFF" w:themeFill="background1"/>
              </w:rPr>
              <w:t>。</w:t>
            </w:r>
          </w:p>
          <w:p w14:paraId="505236E5">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2、</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应当以支票、汇票、本票或者金融机构、担保机构出具的保函等非现金形式提交履约保证金。</w:t>
            </w:r>
          </w:p>
        </w:tc>
      </w:tr>
      <w:tr w14:paraId="11D9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323" w:hRule="atLeast"/>
          <w:jc w:val="center"/>
        </w:trPr>
        <w:tc>
          <w:tcPr>
            <w:tcW w:w="597" w:type="dxa"/>
            <w:vAlign w:val="center"/>
          </w:tcPr>
          <w:p w14:paraId="0EDEB88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17</w:t>
            </w:r>
          </w:p>
        </w:tc>
        <w:tc>
          <w:tcPr>
            <w:tcW w:w="1410" w:type="dxa"/>
            <w:vAlign w:val="center"/>
          </w:tcPr>
          <w:p w14:paraId="3AD8A84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6529B869">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本项目不专门面向中小企业采购！</w:t>
            </w:r>
          </w:p>
          <w:p w14:paraId="4E4E312E">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845216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2、在政府采购活动中，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E8B5AB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3、在货物采购项目中，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提供的货物既有中小企业制造货物，也有大型企业制造货物的，不享受本办法规定的中小企业扶持政策。</w:t>
            </w:r>
          </w:p>
          <w:p w14:paraId="0B482C84">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4、以联合体形式参加政府采购活动，联合体各方均为中小企业的，联合体视同中小企业。其中，联合体各方均为小微企业的，联合体视同小微企业。</w:t>
            </w:r>
          </w:p>
          <w:p w14:paraId="5C9ABA26">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经享受扶持政策获得政府采购合同的，小微企业不得将合同分包给大中型企业，中型企业不得将合同分包给大型企业；</w:t>
            </w:r>
          </w:p>
          <w:p w14:paraId="37C62828">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6、残疾人福利性单位和监狱企业视同小型、微型企业。</w:t>
            </w:r>
          </w:p>
          <w:p w14:paraId="37EDE47D">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7、根据“关于印发中小企业划型标准规定的通知(工信部联企业〔2011〕300号)”等有关规定，本项目标的所属行业为工业。</w:t>
            </w:r>
          </w:p>
        </w:tc>
      </w:tr>
      <w:tr w14:paraId="3A8D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246CD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18</w:t>
            </w:r>
          </w:p>
        </w:tc>
        <w:tc>
          <w:tcPr>
            <w:tcW w:w="1410" w:type="dxa"/>
            <w:vAlign w:val="center"/>
          </w:tcPr>
          <w:p w14:paraId="7DED8DB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合同分包</w:t>
            </w:r>
          </w:p>
        </w:tc>
        <w:tc>
          <w:tcPr>
            <w:tcW w:w="7073" w:type="dxa"/>
            <w:vAlign w:val="center"/>
          </w:tcPr>
          <w:p w14:paraId="0F6044F9">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不允许分包</w:t>
            </w:r>
          </w:p>
          <w:p w14:paraId="31BACF79">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允许分包</w:t>
            </w:r>
          </w:p>
        </w:tc>
      </w:tr>
      <w:tr w14:paraId="0CD7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F53522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19</w:t>
            </w:r>
          </w:p>
        </w:tc>
        <w:tc>
          <w:tcPr>
            <w:tcW w:w="1410" w:type="dxa"/>
            <w:vAlign w:val="center"/>
          </w:tcPr>
          <w:p w14:paraId="21C4580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进口产品</w:t>
            </w:r>
          </w:p>
        </w:tc>
        <w:tc>
          <w:tcPr>
            <w:tcW w:w="7073" w:type="dxa"/>
            <w:vAlign w:val="center"/>
          </w:tcPr>
          <w:p w14:paraId="6AA7E1E7">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☑不接受</w:t>
            </w:r>
          </w:p>
          <w:p w14:paraId="04D068DB">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□接受</w:t>
            </w:r>
          </w:p>
        </w:tc>
      </w:tr>
      <w:tr w14:paraId="60AC9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48AF78D">
            <w:pPr>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20</w:t>
            </w:r>
          </w:p>
        </w:tc>
        <w:tc>
          <w:tcPr>
            <w:tcW w:w="1410" w:type="dxa"/>
            <w:shd w:val="clear" w:color="auto" w:fill="auto"/>
            <w:vAlign w:val="center"/>
          </w:tcPr>
          <w:p w14:paraId="0C1865CD">
            <w:pPr>
              <w:keepNext/>
              <w:widowControl/>
              <w:jc w:val="distribute"/>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eastAsia="zh-CN"/>
              </w:rPr>
              <w:t>本国产品</w:t>
            </w:r>
            <w:r>
              <w:rPr>
                <w:rFonts w:hint="eastAsia" w:ascii="仿宋" w:hAnsi="仿宋" w:eastAsia="仿宋" w:cs="仿宋"/>
                <w:color w:val="auto"/>
                <w:kern w:val="0"/>
                <w:szCs w:val="21"/>
                <w:highlight w:val="none"/>
              </w:rPr>
              <w:t>政策说明</w:t>
            </w:r>
          </w:p>
        </w:tc>
        <w:tc>
          <w:tcPr>
            <w:tcW w:w="7073" w:type="dxa"/>
            <w:shd w:val="clear" w:color="auto" w:fill="auto"/>
            <w:vAlign w:val="center"/>
          </w:tcPr>
          <w:p w14:paraId="216B8CD7">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根据《国务院办公厅关于在政府采购中实施本国产品标准及相关政策的通知》（国办发〔2025〕34号）的相关规定，投标产品符合“本国产品标准”的，按照以下政策执行价格评审优惠：</w:t>
            </w:r>
          </w:p>
          <w:p w14:paraId="1C17ACD0">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408CD2E1">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79F453">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供应商对其提供的产品出具《关于符合本国产品标准的声明函》或财政部会同有关部门规定的有关证明文件。出具符合要求的《声明函》或有关证明文件的，该产品视为本国产品。</w:t>
            </w:r>
          </w:p>
          <w:p w14:paraId="541674F7">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根据“关于贯彻落实《国务院办公厅关于在政府采购中实施本国产品标准及相关政策的通知》的意见（财库〔2025〕30号）”</w:t>
            </w:r>
            <w:r>
              <w:rPr>
                <w:rFonts w:hint="default" w:ascii="仿宋" w:hAnsi="仿宋" w:eastAsia="仿宋" w:cs="仿宋"/>
                <w:color w:val="auto"/>
                <w:kern w:val="0"/>
                <w:szCs w:val="21"/>
                <w:highlight w:val="none"/>
                <w:lang w:val="en-US" w:eastAsia="zh-CN"/>
              </w:rPr>
              <w:t>对医疗器械产品，取得药品监督管理部门授予的准字号医疗器械注册证的，属于在中国境内生产的产品</w:t>
            </w:r>
            <w:r>
              <w:rPr>
                <w:rFonts w:hint="eastAsia" w:ascii="仿宋" w:hAnsi="仿宋" w:eastAsia="仿宋" w:cs="仿宋"/>
                <w:color w:val="auto"/>
                <w:kern w:val="0"/>
                <w:szCs w:val="21"/>
                <w:highlight w:val="none"/>
                <w:lang w:val="en-US" w:eastAsia="zh-CN"/>
              </w:rPr>
              <w:t>。</w:t>
            </w:r>
          </w:p>
        </w:tc>
      </w:tr>
      <w:tr w14:paraId="60B1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AA2BFC1">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1</w:t>
            </w:r>
          </w:p>
        </w:tc>
        <w:tc>
          <w:tcPr>
            <w:tcW w:w="1410" w:type="dxa"/>
            <w:vAlign w:val="center"/>
          </w:tcPr>
          <w:p w14:paraId="3E8B7309">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样品</w:t>
            </w:r>
          </w:p>
        </w:tc>
        <w:tc>
          <w:tcPr>
            <w:tcW w:w="7073" w:type="dxa"/>
            <w:vAlign w:val="center"/>
          </w:tcPr>
          <w:p w14:paraId="4C953453">
            <w:pPr>
              <w:keepNext/>
              <w:widowControl/>
              <w:ind w:firstLine="420" w:firstLineChars="20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☑不</w:t>
            </w:r>
            <w:r>
              <w:rPr>
                <w:rFonts w:hint="eastAsia" w:ascii="仿宋" w:hAnsi="仿宋" w:eastAsia="仿宋" w:cs="仿宋"/>
                <w:color w:val="auto"/>
                <w:kern w:val="0"/>
                <w:szCs w:val="21"/>
                <w:highlight w:val="none"/>
                <w:lang w:val="en-US" w:eastAsia="zh-CN"/>
              </w:rPr>
              <w:t>要求</w:t>
            </w:r>
          </w:p>
          <w:p w14:paraId="4B33CB4A">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要求</w:t>
            </w:r>
          </w:p>
        </w:tc>
      </w:tr>
      <w:tr w14:paraId="30300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048FF18">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2</w:t>
            </w:r>
          </w:p>
        </w:tc>
        <w:tc>
          <w:tcPr>
            <w:tcW w:w="1410" w:type="dxa"/>
            <w:vAlign w:val="center"/>
          </w:tcPr>
          <w:p w14:paraId="2B4A4C9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tc>
        <w:tc>
          <w:tcPr>
            <w:tcW w:w="7073" w:type="dxa"/>
            <w:vAlign w:val="center"/>
          </w:tcPr>
          <w:p w14:paraId="3FB115EE">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1、招标文件中所述政策法规、标准规范等文件，如有新文件则按新文件执行，如已废止则仅为参考。</w:t>
            </w:r>
          </w:p>
          <w:p w14:paraId="164FB438">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2、投标人须根据招标文件要求在投标文件中提供评审所需的相应证明材料扫描件。</w:t>
            </w:r>
          </w:p>
          <w:p w14:paraId="75A5CD3E">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3、建议投标人对本招标文件技术要求进行点对点应答，根据本招标文件的要求,结合所投产品的实际参数值，进行逐条逐项答复、说明和解释。</w:t>
            </w:r>
          </w:p>
          <w:p w14:paraId="5A08F1C0">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4、采购代理咨询费</w:t>
            </w:r>
            <w:r>
              <w:rPr>
                <w:rFonts w:hint="eastAsia" w:ascii="仿宋" w:hAnsi="仿宋" w:eastAsia="仿宋" w:cs="仿宋"/>
                <w:color w:val="auto"/>
                <w:kern w:val="0"/>
                <w:szCs w:val="21"/>
                <w:highlight w:val="none"/>
                <w:lang w:eastAsia="zh-CN"/>
              </w:rPr>
              <w:t>以</w:t>
            </w:r>
            <w:r>
              <w:rPr>
                <w:rFonts w:hint="eastAsia" w:ascii="仿宋" w:hAnsi="仿宋" w:eastAsia="仿宋" w:cs="仿宋"/>
                <w:color w:val="auto"/>
                <w:kern w:val="0"/>
                <w:szCs w:val="21"/>
                <w:highlight w:val="none"/>
                <w:lang w:val="en-US" w:eastAsia="zh-CN"/>
              </w:rPr>
              <w:t>中标</w:t>
            </w:r>
            <w:r>
              <w:rPr>
                <w:rFonts w:hint="eastAsia" w:ascii="仿宋" w:hAnsi="仿宋" w:eastAsia="仿宋" w:cs="仿宋"/>
                <w:color w:val="auto"/>
                <w:kern w:val="0"/>
                <w:szCs w:val="21"/>
                <w:highlight w:val="none"/>
                <w:lang w:eastAsia="zh-CN"/>
              </w:rPr>
              <w:t>价格为基准，参照国家计委《招标代理服务费管理暂行办法》的通知(计价格[2002]1980号)</w:t>
            </w:r>
            <w:r>
              <w:rPr>
                <w:rFonts w:hint="eastAsia" w:ascii="仿宋" w:hAnsi="仿宋" w:eastAsia="仿宋" w:cs="仿宋"/>
                <w:color w:val="auto"/>
                <w:kern w:val="0"/>
                <w:szCs w:val="21"/>
                <w:highlight w:val="none"/>
                <w:lang w:val="en-US" w:eastAsia="zh-CN"/>
              </w:rPr>
              <w:t>计取</w:t>
            </w:r>
            <w:r>
              <w:rPr>
                <w:rFonts w:hint="eastAsia" w:ascii="仿宋" w:hAnsi="仿宋" w:eastAsia="仿宋" w:cs="仿宋"/>
                <w:color w:val="auto"/>
                <w:kern w:val="0"/>
                <w:szCs w:val="21"/>
                <w:highlight w:val="none"/>
                <w:lang w:eastAsia="zh-CN"/>
              </w:rPr>
              <w:t>，由</w:t>
            </w:r>
            <w:r>
              <w:rPr>
                <w:rFonts w:hint="eastAsia" w:ascii="仿宋" w:hAnsi="仿宋" w:eastAsia="仿宋" w:cs="仿宋"/>
                <w:color w:val="auto"/>
                <w:kern w:val="0"/>
                <w:szCs w:val="21"/>
                <w:highlight w:val="none"/>
                <w:lang w:val="en-US" w:eastAsia="zh-CN"/>
              </w:rPr>
              <w:t>中标人在领取中标通知书时支付</w:t>
            </w:r>
            <w:r>
              <w:rPr>
                <w:rFonts w:hint="eastAsia" w:ascii="仿宋" w:hAnsi="仿宋" w:eastAsia="仿宋" w:cs="仿宋"/>
                <w:color w:val="auto"/>
                <w:kern w:val="0"/>
                <w:szCs w:val="21"/>
                <w:highlight w:val="none"/>
              </w:rPr>
              <w:t>。</w:t>
            </w:r>
          </w:p>
          <w:p w14:paraId="6C1AF736">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5、最低报价不能作为中标的保证。</w:t>
            </w:r>
          </w:p>
          <w:p w14:paraId="74A32F1F">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本表内容如与后文内容不一致处，以本表为准。</w:t>
            </w:r>
          </w:p>
        </w:tc>
      </w:tr>
    </w:tbl>
    <w:p w14:paraId="291DC60D">
      <w:pPr>
        <w:rPr>
          <w:rFonts w:hint="eastAsia" w:ascii="仿宋" w:hAnsi="仿宋" w:eastAsia="仿宋" w:cs="仿宋"/>
          <w:color w:val="auto"/>
          <w:kern w:val="0"/>
          <w:sz w:val="24"/>
          <w:szCs w:val="24"/>
          <w:highlight w:val="none"/>
        </w:rPr>
      </w:pPr>
    </w:p>
    <w:p w14:paraId="09625969">
      <w:pPr>
        <w:spacing w:line="360" w:lineRule="auto"/>
        <w:jc w:val="center"/>
        <w:outlineLvl w:val="0"/>
        <w:rPr>
          <w:rFonts w:hint="eastAsia" w:ascii="仿宋" w:hAnsi="仿宋" w:eastAsia="仿宋" w:cs="仿宋"/>
          <w:b/>
          <w:color w:val="auto"/>
          <w:sz w:val="24"/>
          <w:szCs w:val="24"/>
          <w:highlight w:val="none"/>
        </w:rPr>
      </w:pPr>
      <w:bookmarkStart w:id="4" w:name="_BookMark_3"/>
      <w:bookmarkEnd w:id="4"/>
      <w:r>
        <w:rPr>
          <w:rFonts w:hint="eastAsia" w:ascii="仿宋" w:hAnsi="仿宋" w:eastAsia="仿宋" w:cs="仿宋"/>
          <w:color w:val="auto"/>
          <w:kern w:val="0"/>
          <w:sz w:val="24"/>
          <w:szCs w:val="24"/>
          <w:highlight w:val="none"/>
        </w:rPr>
        <w:br w:type="page"/>
      </w:r>
      <w:bookmarkStart w:id="5" w:name="_Toc19734"/>
      <w:bookmarkStart w:id="6" w:name="_Toc3764"/>
      <w:r>
        <w:rPr>
          <w:rFonts w:hint="eastAsia" w:ascii="仿宋" w:hAnsi="仿宋" w:eastAsia="仿宋" w:cs="仿宋"/>
          <w:b/>
          <w:color w:val="auto"/>
          <w:sz w:val="24"/>
          <w:szCs w:val="24"/>
          <w:highlight w:val="none"/>
        </w:rPr>
        <w:t>第一章 投标人须知</w:t>
      </w:r>
      <w:bookmarkEnd w:id="5"/>
      <w:bookmarkEnd w:id="6"/>
      <w:bookmarkStart w:id="7" w:name="_BookMark_2"/>
      <w:bookmarkEnd w:id="7"/>
    </w:p>
    <w:p w14:paraId="52F900C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8" w:name="_Toc27838"/>
      <w:bookmarkStart w:id="9" w:name="_Toc31299"/>
      <w:bookmarkStart w:id="10" w:name="_Toc25054"/>
      <w:bookmarkStart w:id="11" w:name="_Toc130252597"/>
      <w:r>
        <w:rPr>
          <w:rFonts w:hint="eastAsia" w:ascii="仿宋" w:hAnsi="仿宋" w:eastAsia="仿宋" w:cs="仿宋"/>
          <w:b/>
          <w:color w:val="auto"/>
          <w:sz w:val="24"/>
          <w:szCs w:val="24"/>
          <w:highlight w:val="none"/>
        </w:rPr>
        <w:t>一、总则</w:t>
      </w:r>
      <w:bookmarkEnd w:id="8"/>
      <w:bookmarkEnd w:id="9"/>
      <w:bookmarkEnd w:id="10"/>
      <w:bookmarkEnd w:id="11"/>
    </w:p>
    <w:p w14:paraId="06F2FC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3E8D89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1.1.1项目名称：见投标人须知前附表。</w:t>
      </w:r>
    </w:p>
    <w:p w14:paraId="55283C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项目编号：见投标人须知前附表。</w:t>
      </w:r>
    </w:p>
    <w:p w14:paraId="07B1A8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采购人：见投标人须知前附表。</w:t>
      </w:r>
    </w:p>
    <w:p w14:paraId="796C1C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采购代理机构：见投标人须知前附表。</w:t>
      </w:r>
    </w:p>
    <w:p w14:paraId="2B3455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项目地点：见投标人须知前附表。</w:t>
      </w:r>
    </w:p>
    <w:p w14:paraId="124713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资金来源：见投标人须知前附表。</w:t>
      </w:r>
    </w:p>
    <w:p w14:paraId="0A3E86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采购预算金额：见投标人须知前附表。</w:t>
      </w:r>
    </w:p>
    <w:p w14:paraId="51C0CE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最高限价：见投标人须知前附表。</w:t>
      </w:r>
    </w:p>
    <w:p w14:paraId="424699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是否单一产品：见投标人须知前附表。</w:t>
      </w:r>
    </w:p>
    <w:p w14:paraId="020B0F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合同履约期限：见投标人须知前附表。</w:t>
      </w:r>
    </w:p>
    <w:p w14:paraId="55210F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供货地点：见投标人须知前附表。</w:t>
      </w:r>
    </w:p>
    <w:p w14:paraId="3B1B92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质保期：见投标人须知前附表。</w:t>
      </w:r>
    </w:p>
    <w:p w14:paraId="2FE60FB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488528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11D6A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1.3.1采购方式：见投标人须知前附表。</w:t>
      </w:r>
    </w:p>
    <w:p w14:paraId="4F0B10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1.3.2资格审查方式：见投标人须知前附表。</w:t>
      </w:r>
    </w:p>
    <w:p w14:paraId="0E231D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510E25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1.4.1评审办法：见投标人须知前附表。</w:t>
      </w:r>
    </w:p>
    <w:p w14:paraId="71D900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1.4.2定标方法：见投标人须知前附表。</w:t>
      </w:r>
    </w:p>
    <w:p w14:paraId="439416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1.5投标人的资格要求：见投标人须知前附表。</w:t>
      </w:r>
    </w:p>
    <w:p w14:paraId="4986AB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6D297B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76653F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153D2E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5058D6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6371FE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1.9现场踏勘</w:t>
      </w:r>
    </w:p>
    <w:p w14:paraId="48D24A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1.9.1投标人须知前附表如规定组织踏勘现场的，采购人或采购代理机构按投标人须知前附表规定的时间、地点组织投标人踏勘项目现场。</w:t>
      </w:r>
    </w:p>
    <w:p w14:paraId="2850AD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1.9.2投标人踏勘现场发生的费用自理。</w:t>
      </w:r>
    </w:p>
    <w:p w14:paraId="7BB3C1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1.9.3除采购人或采购代理机构的原因外，投标人自行负责在踏勘现场中所发生的人员伤亡和财产损失。</w:t>
      </w:r>
    </w:p>
    <w:p w14:paraId="4FA3F97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163628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1.10招标答疑</w:t>
      </w:r>
    </w:p>
    <w:p w14:paraId="018B2E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1.10.1投标人若有询问或质疑，应按投标人须知前附表规定的时间、方式向采购人或采购代理机构提出，要求采购人对招标文件予以澄清。</w:t>
      </w:r>
    </w:p>
    <w:p w14:paraId="7418DB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216C90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033AFF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250EAF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5B81D3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49821F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791B5B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3AA9A7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466676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1.19进口产品：见投标人须知前附表。</w:t>
      </w:r>
    </w:p>
    <w:p w14:paraId="213611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1.20本国产品政策说明</w:t>
      </w:r>
      <w:r>
        <w:rPr>
          <w:rFonts w:hint="eastAsia" w:ascii="仿宋" w:hAnsi="仿宋" w:eastAsia="仿宋" w:cs="仿宋"/>
          <w:color w:val="auto"/>
          <w:kern w:val="0"/>
          <w:sz w:val="24"/>
          <w:szCs w:val="24"/>
          <w:highlight w:val="none"/>
        </w:rPr>
        <w:t>：见投标人须知前附表。</w:t>
      </w:r>
    </w:p>
    <w:p w14:paraId="3DB204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样品：见投标人须知前附表。</w:t>
      </w:r>
    </w:p>
    <w:p w14:paraId="439B38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保密</w:t>
      </w:r>
    </w:p>
    <w:p w14:paraId="5776D6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3AEAFA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语言文字</w:t>
      </w:r>
    </w:p>
    <w:p w14:paraId="7B833B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1A0160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计量单位</w:t>
      </w:r>
    </w:p>
    <w:p w14:paraId="4A4BBB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76341FA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2" w:name="_Toc535592196"/>
      <w:bookmarkStart w:id="13" w:name="_Toc13656"/>
      <w:bookmarkStart w:id="14" w:name="_Toc9197"/>
      <w:bookmarkStart w:id="15" w:name="_Toc21470"/>
      <w:r>
        <w:rPr>
          <w:rFonts w:hint="eastAsia" w:ascii="仿宋" w:hAnsi="仿宋" w:eastAsia="仿宋" w:cs="仿宋"/>
          <w:b/>
          <w:color w:val="auto"/>
          <w:sz w:val="24"/>
          <w:szCs w:val="24"/>
          <w:highlight w:val="none"/>
        </w:rPr>
        <w:t>二、招标文件</w:t>
      </w:r>
      <w:bookmarkEnd w:id="12"/>
      <w:bookmarkEnd w:id="13"/>
      <w:bookmarkEnd w:id="14"/>
      <w:bookmarkEnd w:id="15"/>
    </w:p>
    <w:p w14:paraId="752F9D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662AA0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（1）招标公告</w:t>
      </w:r>
    </w:p>
    <w:p w14:paraId="5AEC0D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（2）投标人须知前附表</w:t>
      </w:r>
    </w:p>
    <w:p w14:paraId="188074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（3）投标人须知</w:t>
      </w:r>
    </w:p>
    <w:p w14:paraId="5D4E7C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（4）评标办法</w:t>
      </w:r>
    </w:p>
    <w:p w14:paraId="4BA775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（5）合同文本；</w:t>
      </w:r>
    </w:p>
    <w:p w14:paraId="67B7B5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（6）技术标准和要求；</w:t>
      </w:r>
    </w:p>
    <w:p w14:paraId="681720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（7）投标文件格式；</w:t>
      </w:r>
    </w:p>
    <w:p w14:paraId="35A3DF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00CDA1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（9）根据本章第2.4款对招标文件所作的澄清、修改，构成招标文件的组成部分。</w:t>
      </w:r>
    </w:p>
    <w:p w14:paraId="1BB62E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332F02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凡有意参加并符合投标人须知前附表“投标人的资格要求”的投标人，均可获取招标文件。</w:t>
      </w:r>
    </w:p>
    <w:p w14:paraId="52E03D1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3CEC21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4D925D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07CE65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63AD04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3439B8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50A2FB1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254FAA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4A5F51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85D4E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3B8BB38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6" w:name="_BookMark_6"/>
      <w:bookmarkEnd w:id="16"/>
      <w:bookmarkStart w:id="17" w:name="_Toc11463"/>
      <w:bookmarkStart w:id="18" w:name="_Toc5138"/>
      <w:bookmarkStart w:id="19" w:name="_Toc535592197"/>
      <w:bookmarkStart w:id="20" w:name="_Toc5120"/>
      <w:r>
        <w:rPr>
          <w:rFonts w:hint="eastAsia" w:ascii="仿宋" w:hAnsi="仿宋" w:eastAsia="仿宋" w:cs="仿宋"/>
          <w:b/>
          <w:color w:val="auto"/>
          <w:sz w:val="24"/>
          <w:szCs w:val="24"/>
          <w:highlight w:val="none"/>
        </w:rPr>
        <w:t>三、投标文件</w:t>
      </w:r>
      <w:bookmarkEnd w:id="17"/>
      <w:bookmarkEnd w:id="18"/>
      <w:bookmarkEnd w:id="19"/>
      <w:bookmarkEnd w:id="20"/>
    </w:p>
    <w:p w14:paraId="6263CA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41086DC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（1）、开标一览表</w:t>
      </w:r>
    </w:p>
    <w:p w14:paraId="01D6BF9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（2）、投标函</w:t>
      </w:r>
    </w:p>
    <w:p w14:paraId="4E62CBF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（3）、投标价格明细表</w:t>
      </w:r>
    </w:p>
    <w:p w14:paraId="66BD6A3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（4）、商务条款偏离表</w:t>
      </w:r>
    </w:p>
    <w:p w14:paraId="50494CB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（5）、技术条款偏离表</w:t>
      </w:r>
    </w:p>
    <w:p w14:paraId="484B561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（6）、法定代表人身份证明书</w:t>
      </w:r>
    </w:p>
    <w:p w14:paraId="070ADE0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（7）、法定代表人授权委托书</w:t>
      </w:r>
    </w:p>
    <w:p w14:paraId="6031D6F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（8）、投标人资格条件证明材料</w:t>
      </w:r>
    </w:p>
    <w:p w14:paraId="661354C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（9）、投标人近年类似项目情况表</w:t>
      </w:r>
    </w:p>
    <w:p w14:paraId="37B53C4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（10）、售后服务承诺书</w:t>
      </w:r>
    </w:p>
    <w:p w14:paraId="312152DE">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（11）、技术方案</w:t>
      </w:r>
    </w:p>
    <w:p w14:paraId="38C42B4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（12）、保证金缴纳证明材料</w:t>
      </w:r>
    </w:p>
    <w:p w14:paraId="3A765E6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）、其它需要提交的资料</w:t>
      </w:r>
    </w:p>
    <w:p w14:paraId="25DF9D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1C419A77">
      <w:pPr>
        <w:widowControl/>
        <w:shd w:val="clear" w:color="auto" w:fill="FFFFFF"/>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3.2.1</w:t>
      </w:r>
      <w:r>
        <w:rPr>
          <w:rFonts w:hint="eastAsia" w:ascii="仿宋" w:hAnsi="仿宋" w:eastAsia="仿宋" w:cs="仿宋"/>
          <w:color w:val="auto"/>
          <w:sz w:val="24"/>
          <w:szCs w:val="24"/>
          <w:highlight w:val="none"/>
        </w:rPr>
        <w:t>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未列和没有填写的项目费用，采购人将视为已包括在投标价格中。</w:t>
      </w:r>
    </w:p>
    <w:p w14:paraId="5240C0F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投标人的投标价格不得超出本项目最高限价。</w:t>
      </w:r>
    </w:p>
    <w:p w14:paraId="11FA7F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3C38AD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7DD0B2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3965AAD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657736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7FC925A4">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5AF92FC2">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00FEA1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00768C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126F67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402D9B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（1）开标后在投标有效期内，投标人撤</w:t>
      </w:r>
      <w:r>
        <w:rPr>
          <w:rFonts w:hint="eastAsia" w:ascii="仿宋" w:hAnsi="仿宋" w:eastAsia="仿宋" w:cs="仿宋"/>
          <w:color w:val="auto"/>
          <w:kern w:val="0"/>
          <w:sz w:val="24"/>
          <w:szCs w:val="24"/>
          <w:highlight w:val="none"/>
          <w:lang w:val="en-US" w:eastAsia="zh-CN"/>
        </w:rPr>
        <w:t>销</w:t>
      </w:r>
      <w:r>
        <w:rPr>
          <w:rFonts w:hint="eastAsia" w:ascii="仿宋" w:hAnsi="仿宋" w:eastAsia="仿宋" w:cs="仿宋"/>
          <w:color w:val="auto"/>
          <w:kern w:val="0"/>
          <w:sz w:val="24"/>
          <w:szCs w:val="24"/>
          <w:highlight w:val="none"/>
        </w:rPr>
        <w:t>其投标</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 xml:space="preserve"> </w:t>
      </w:r>
    </w:p>
    <w:p w14:paraId="71FF96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）中标后无正当理由不与采购人签订合同的；</w:t>
      </w:r>
    </w:p>
    <w:p w14:paraId="13DC60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）中标人与采购人订立背离合同实质性内容的其他协议；</w:t>
      </w:r>
    </w:p>
    <w:p w14:paraId="76484E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）将中标项目转让给他人，或者在投标文件中未说明，且未经采购</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同意，将中标项目分包给他人的；</w:t>
      </w:r>
    </w:p>
    <w:p w14:paraId="35B27E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）存在串通投标行为的；</w:t>
      </w:r>
    </w:p>
    <w:p w14:paraId="5306B3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）存在弄虚作假或提供虚假材料谋取中标的；</w:t>
      </w:r>
    </w:p>
    <w:p w14:paraId="794957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）投标人其他未按招标文件规定和合同约定履行义务的行为。</w:t>
      </w:r>
    </w:p>
    <w:p w14:paraId="5DAECA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法律法规规定的其它情形</w:t>
      </w:r>
    </w:p>
    <w:p w14:paraId="2A3E21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442BB5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56337F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07D1C5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21" w:name="_BookMark_7"/>
      <w:bookmarkEnd w:id="21"/>
      <w:bookmarkStart w:id="22" w:name="_Toc535592198"/>
      <w:r>
        <w:rPr>
          <w:rFonts w:hint="eastAsia" w:ascii="仿宋" w:hAnsi="仿宋" w:eastAsia="仿宋" w:cs="仿宋"/>
          <w:color w:val="auto"/>
          <w:kern w:val="0"/>
          <w:sz w:val="24"/>
          <w:szCs w:val="24"/>
          <w:highlight w:val="none"/>
          <w:shd w:val="clear" w:color="auto" w:fill="FFFFFF" w:themeFill="background1"/>
        </w:rPr>
        <w:t>3.5.3电子投标文件的制作须使用相应的制作工具软件。</w:t>
      </w:r>
    </w:p>
    <w:p w14:paraId="59017482">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w:t>
      </w: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10E9A1A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3" w:name="_Toc18120"/>
      <w:bookmarkStart w:id="24" w:name="_Toc15092"/>
      <w:bookmarkStart w:id="25" w:name="_Toc834"/>
      <w:r>
        <w:rPr>
          <w:rFonts w:hint="eastAsia" w:ascii="仿宋" w:hAnsi="仿宋" w:eastAsia="仿宋" w:cs="仿宋"/>
          <w:b/>
          <w:color w:val="auto"/>
          <w:sz w:val="24"/>
          <w:szCs w:val="24"/>
          <w:highlight w:val="none"/>
        </w:rPr>
        <w:t>四、投标</w:t>
      </w:r>
      <w:bookmarkEnd w:id="22"/>
      <w:bookmarkEnd w:id="23"/>
      <w:bookmarkEnd w:id="24"/>
      <w:bookmarkEnd w:id="25"/>
    </w:p>
    <w:p w14:paraId="6432D35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26" w:name="_BookMark_8"/>
      <w:bookmarkEnd w:id="26"/>
      <w:bookmarkStart w:id="27"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6CA1E4E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247BAD49">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65A1D8F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519E969A">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47D4BD9D">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7A783D5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（1）逾期上传的投标文件；</w:t>
      </w:r>
    </w:p>
    <w:p w14:paraId="43A5C90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（2）未上传指定地点的投标文件；</w:t>
      </w:r>
    </w:p>
    <w:p w14:paraId="6FCFBD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（3）未按要求加密的投标文件；</w:t>
      </w:r>
    </w:p>
    <w:p w14:paraId="2B55EA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（4）未在规定时间内解密的投标文件。</w:t>
      </w:r>
    </w:p>
    <w:p w14:paraId="267665A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0522AA1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9754B1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209A274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4C21393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06129465">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8" w:name="_Toc14955"/>
      <w:bookmarkStart w:id="29" w:name="_Toc8957"/>
      <w:bookmarkStart w:id="30" w:name="_Toc29411"/>
      <w:r>
        <w:rPr>
          <w:rFonts w:hint="eastAsia" w:ascii="仿宋" w:hAnsi="仿宋" w:eastAsia="仿宋" w:cs="仿宋"/>
          <w:b/>
          <w:color w:val="auto"/>
          <w:sz w:val="24"/>
          <w:szCs w:val="24"/>
          <w:highlight w:val="none"/>
        </w:rPr>
        <w:t>五、开标</w:t>
      </w:r>
      <w:bookmarkEnd w:id="27"/>
      <w:bookmarkEnd w:id="28"/>
      <w:bookmarkEnd w:id="29"/>
      <w:bookmarkEnd w:id="30"/>
    </w:p>
    <w:p w14:paraId="15125D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1458E3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采购人或采购代理机构将在投标人须知前附表规定的时间、地点公开开标，所有潜在投标人均可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287E02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57D15F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134B54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27CD36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417E22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0C3A4C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0F1626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442F884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1" w:name="_BookMark_9"/>
      <w:bookmarkEnd w:id="31"/>
      <w:bookmarkStart w:id="32" w:name="_Toc1874"/>
      <w:bookmarkStart w:id="33" w:name="_Toc14199"/>
      <w:bookmarkStart w:id="34" w:name="_Toc535592200"/>
      <w:bookmarkStart w:id="35" w:name="_Toc26554"/>
      <w:r>
        <w:rPr>
          <w:rFonts w:hint="eastAsia" w:ascii="仿宋" w:hAnsi="仿宋" w:eastAsia="仿宋" w:cs="仿宋"/>
          <w:b/>
          <w:color w:val="auto"/>
          <w:sz w:val="24"/>
          <w:szCs w:val="24"/>
          <w:highlight w:val="none"/>
        </w:rPr>
        <w:t>六、评标</w:t>
      </w:r>
      <w:bookmarkEnd w:id="32"/>
      <w:bookmarkEnd w:id="33"/>
      <w:bookmarkEnd w:id="34"/>
      <w:bookmarkEnd w:id="35"/>
    </w:p>
    <w:p w14:paraId="3430CA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评标委员会</w:t>
      </w:r>
    </w:p>
    <w:p w14:paraId="22F6E7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442CE5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评标委员会成员有下列情形之一的，应当回避：</w:t>
      </w:r>
    </w:p>
    <w:p w14:paraId="116A062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66226C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1EB483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579507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162775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36670C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50E842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评标委员会按照招标文件中规定的方法、评标因素、标准和程序对投标文件进行评标。</w:t>
      </w:r>
    </w:p>
    <w:p w14:paraId="0AC0037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6" w:name="_BookMark_10"/>
      <w:bookmarkEnd w:id="36"/>
      <w:bookmarkStart w:id="37" w:name="_Toc535592201"/>
      <w:bookmarkStart w:id="38" w:name="_Toc3956"/>
      <w:bookmarkStart w:id="39" w:name="_Toc10869"/>
      <w:bookmarkStart w:id="40" w:name="_Toc8098"/>
      <w:r>
        <w:rPr>
          <w:rFonts w:hint="eastAsia" w:ascii="仿宋" w:hAnsi="仿宋" w:eastAsia="仿宋" w:cs="仿宋"/>
          <w:b/>
          <w:color w:val="auto"/>
          <w:sz w:val="24"/>
          <w:szCs w:val="24"/>
          <w:highlight w:val="none"/>
        </w:rPr>
        <w:t>七、定标及合同授予</w:t>
      </w:r>
      <w:bookmarkEnd w:id="37"/>
      <w:bookmarkEnd w:id="38"/>
      <w:bookmarkEnd w:id="39"/>
      <w:bookmarkEnd w:id="40"/>
    </w:p>
    <w:p w14:paraId="69420E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125770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49760A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0210AFB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2F37BF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64D604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3CADD1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3A2D8E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23919E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182487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51730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0C6C4F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018EF9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7.4.4</w:t>
      </w:r>
      <w:r>
        <w:rPr>
          <w:rFonts w:hint="eastAsia" w:ascii="仿宋" w:hAnsi="仿宋" w:eastAsia="仿宋" w:cs="仿宋"/>
          <w:color w:val="auto"/>
          <w:kern w:val="0"/>
          <w:sz w:val="24"/>
          <w:szCs w:val="24"/>
          <w:highlight w:val="none"/>
        </w:rPr>
        <w:t xml:space="preserve"> 中标人拒绝与采购人签订合同的，采购人可以按照评标报告推荐的中标候选人名单排序，确定下一候选人为中标人，也可以重新开展政府采购活动。</w:t>
      </w:r>
    </w:p>
    <w:p w14:paraId="77D1222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1" w:name="_BookMark_11"/>
      <w:bookmarkEnd w:id="41"/>
      <w:bookmarkStart w:id="42" w:name="_Toc24040"/>
      <w:bookmarkStart w:id="43" w:name="_Toc14256"/>
      <w:bookmarkStart w:id="44" w:name="_Toc12192"/>
      <w:bookmarkStart w:id="45" w:name="_Toc535592202"/>
      <w:r>
        <w:rPr>
          <w:rFonts w:hint="eastAsia" w:ascii="仿宋" w:hAnsi="仿宋" w:eastAsia="仿宋" w:cs="仿宋"/>
          <w:b/>
          <w:color w:val="auto"/>
          <w:sz w:val="24"/>
          <w:szCs w:val="24"/>
          <w:highlight w:val="none"/>
        </w:rPr>
        <w:t>八、纪律和监督</w:t>
      </w:r>
      <w:bookmarkEnd w:id="42"/>
      <w:bookmarkEnd w:id="43"/>
      <w:bookmarkEnd w:id="44"/>
      <w:bookmarkEnd w:id="45"/>
    </w:p>
    <w:p w14:paraId="1CAD20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4FC38F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350B4C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339D2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0AC715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对评标委员会成员的纪律要求</w:t>
      </w:r>
    </w:p>
    <w:p w14:paraId="09D2EE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不得收受他人的财物或者其他好处，不得向他人透露对投标文件的评标和比较、中标候选人的推荐情况以及评标有关的其他情况。在评标活动中，评标委员会成员不得擅离职守，影响评标程序正常进行，不得使用评标办法没有规定的评标因素和标准进行评标。</w:t>
      </w:r>
    </w:p>
    <w:p w14:paraId="79452F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6E08D7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透露对投标文件的评标和比较、中标候选人的推荐情况以及评标有关的其他情况。在评标活动中，与评标活动有关的工作人员不得擅离职守，影响评标程序正常进行。</w:t>
      </w:r>
    </w:p>
    <w:p w14:paraId="4E605C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68840C83">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7CA5C7D9">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46" w:name="_Toc2631"/>
      <w:bookmarkStart w:id="47" w:name="_Toc13050"/>
      <w:r>
        <w:rPr>
          <w:rFonts w:hint="eastAsia" w:ascii="仿宋" w:hAnsi="仿宋" w:eastAsia="仿宋" w:cs="仿宋"/>
          <w:b/>
          <w:color w:val="auto"/>
          <w:sz w:val="24"/>
          <w:szCs w:val="24"/>
          <w:highlight w:val="none"/>
        </w:rPr>
        <w:t>第二章 评标办法</w:t>
      </w:r>
      <w:bookmarkEnd w:id="46"/>
      <w:bookmarkEnd w:id="47"/>
    </w:p>
    <w:p w14:paraId="15080F55">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48" w:name="_BookMark_1"/>
      <w:bookmarkEnd w:id="48"/>
      <w:bookmarkStart w:id="49" w:name="_Toc16286"/>
      <w:bookmarkStart w:id="50" w:name="_Toc18705"/>
      <w:bookmarkStart w:id="51" w:name="_Toc58342531"/>
      <w:bookmarkStart w:id="52" w:name="_Toc501719166"/>
      <w:r>
        <w:rPr>
          <w:rFonts w:hint="eastAsia" w:ascii="仿宋" w:hAnsi="仿宋" w:eastAsia="仿宋" w:cs="仿宋"/>
          <w:b/>
          <w:color w:val="auto"/>
          <w:sz w:val="24"/>
          <w:szCs w:val="24"/>
          <w:highlight w:val="none"/>
        </w:rPr>
        <w:t>评审办法前附表</w:t>
      </w:r>
      <w:bookmarkEnd w:id="49"/>
      <w:bookmarkEnd w:id="50"/>
      <w:bookmarkEnd w:id="51"/>
    </w:p>
    <w:tbl>
      <w:tblPr>
        <w:tblStyle w:val="38"/>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44"/>
      </w:tblGrid>
      <w:tr w14:paraId="470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DD54F1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83" w:type="dxa"/>
            <w:tcMar>
              <w:top w:w="0" w:type="dxa"/>
              <w:left w:w="28" w:type="dxa"/>
              <w:bottom w:w="0" w:type="dxa"/>
              <w:right w:w="28" w:type="dxa"/>
            </w:tcMar>
            <w:vAlign w:val="center"/>
          </w:tcPr>
          <w:p w14:paraId="06C6CB0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5744" w:type="dxa"/>
            <w:tcMar>
              <w:top w:w="0" w:type="dxa"/>
              <w:left w:w="28" w:type="dxa"/>
              <w:bottom w:w="0" w:type="dxa"/>
              <w:right w:w="28" w:type="dxa"/>
            </w:tcMar>
            <w:vAlign w:val="center"/>
          </w:tcPr>
          <w:p w14:paraId="6597201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062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2AFE325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83" w:type="dxa"/>
            <w:tcMar>
              <w:top w:w="0" w:type="dxa"/>
              <w:left w:w="28" w:type="dxa"/>
              <w:bottom w:w="0" w:type="dxa"/>
              <w:right w:w="28" w:type="dxa"/>
            </w:tcMar>
            <w:vAlign w:val="center"/>
          </w:tcPr>
          <w:p w14:paraId="78822EA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14:paraId="067953B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5744" w:type="dxa"/>
            <w:tcMar>
              <w:top w:w="0" w:type="dxa"/>
              <w:left w:w="28" w:type="dxa"/>
              <w:bottom w:w="0" w:type="dxa"/>
              <w:right w:w="28" w:type="dxa"/>
            </w:tcMar>
            <w:vAlign w:val="center"/>
          </w:tcPr>
          <w:p w14:paraId="02FBDDD5">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1.详细评审部分70分</w:t>
            </w:r>
          </w:p>
          <w:p w14:paraId="71090DC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2.投标报价部分30分</w:t>
            </w:r>
          </w:p>
        </w:tc>
      </w:tr>
      <w:tr w14:paraId="6101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717AFDE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83" w:type="dxa"/>
            <w:tcMar>
              <w:top w:w="0" w:type="dxa"/>
              <w:left w:w="28" w:type="dxa"/>
              <w:bottom w:w="0" w:type="dxa"/>
              <w:right w:w="28" w:type="dxa"/>
            </w:tcMar>
            <w:vAlign w:val="center"/>
          </w:tcPr>
          <w:p w14:paraId="4A25573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5744" w:type="dxa"/>
            <w:tcMar>
              <w:top w:w="0" w:type="dxa"/>
              <w:left w:w="28" w:type="dxa"/>
              <w:bottom w:w="0" w:type="dxa"/>
              <w:right w:w="28" w:type="dxa"/>
            </w:tcMar>
            <w:vAlign w:val="center"/>
          </w:tcPr>
          <w:p w14:paraId="172E7DA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1FE1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47E452C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83" w:type="dxa"/>
            <w:tcMar>
              <w:top w:w="0" w:type="dxa"/>
              <w:left w:w="28" w:type="dxa"/>
              <w:bottom w:w="0" w:type="dxa"/>
              <w:right w:w="28" w:type="dxa"/>
            </w:tcMar>
            <w:vAlign w:val="center"/>
          </w:tcPr>
          <w:p w14:paraId="3D07D32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完备性及符合性审查</w:t>
            </w:r>
          </w:p>
        </w:tc>
        <w:tc>
          <w:tcPr>
            <w:tcW w:w="5744" w:type="dxa"/>
            <w:tcMar>
              <w:top w:w="0" w:type="dxa"/>
              <w:left w:w="28" w:type="dxa"/>
              <w:bottom w:w="0" w:type="dxa"/>
              <w:right w:w="28" w:type="dxa"/>
            </w:tcMar>
            <w:vAlign w:val="center"/>
          </w:tcPr>
          <w:p w14:paraId="6219133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w:t>
            </w:r>
            <w:r>
              <w:rPr>
                <w:rFonts w:hint="eastAsia" w:ascii="仿宋" w:hAnsi="仿宋" w:eastAsia="仿宋" w:cs="仿宋"/>
                <w:color w:val="auto"/>
                <w:szCs w:val="21"/>
                <w:highlight w:val="none"/>
                <w:lang w:eastAsia="zh-CN"/>
              </w:rPr>
              <w:t>符合性审查标准</w:t>
            </w:r>
            <w:r>
              <w:rPr>
                <w:rFonts w:hint="eastAsia" w:ascii="仿宋" w:hAnsi="仿宋" w:eastAsia="仿宋" w:cs="仿宋"/>
                <w:color w:val="auto"/>
                <w:szCs w:val="21"/>
                <w:highlight w:val="none"/>
              </w:rPr>
              <w:t>》</w:t>
            </w:r>
          </w:p>
        </w:tc>
      </w:tr>
      <w:tr w14:paraId="6614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CDE2F4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783" w:type="dxa"/>
            <w:tcMar>
              <w:top w:w="0" w:type="dxa"/>
              <w:left w:w="28" w:type="dxa"/>
              <w:bottom w:w="0" w:type="dxa"/>
              <w:right w:w="28" w:type="dxa"/>
            </w:tcMar>
          </w:tcPr>
          <w:p w14:paraId="0560CA36">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投标品牌统计</w:t>
            </w:r>
          </w:p>
        </w:tc>
        <w:tc>
          <w:tcPr>
            <w:tcW w:w="5744" w:type="dxa"/>
            <w:tcMar>
              <w:top w:w="0" w:type="dxa"/>
              <w:left w:w="28" w:type="dxa"/>
              <w:bottom w:w="0" w:type="dxa"/>
              <w:right w:w="28" w:type="dxa"/>
            </w:tcMar>
            <w:vAlign w:val="center"/>
          </w:tcPr>
          <w:p w14:paraId="25A91098">
            <w:pPr>
              <w:rPr>
                <w:rFonts w:hint="eastAsia" w:ascii="仿宋" w:hAnsi="仿宋" w:eastAsia="仿宋" w:cs="仿宋"/>
                <w:color w:val="auto"/>
                <w:highlight w:val="none"/>
              </w:rPr>
            </w:pPr>
            <w:r>
              <w:rPr>
                <w:rFonts w:hint="eastAsia" w:ascii="仿宋" w:hAnsi="仿宋" w:eastAsia="仿宋" w:cs="仿宋"/>
                <w:color w:val="auto"/>
                <w:szCs w:val="21"/>
                <w:highlight w:val="none"/>
              </w:rPr>
              <w:t>详见本节第3.5款</w:t>
            </w:r>
          </w:p>
        </w:tc>
      </w:tr>
      <w:tr w14:paraId="1491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vMerge w:val="restart"/>
            <w:tcMar>
              <w:top w:w="0" w:type="dxa"/>
              <w:left w:w="28" w:type="dxa"/>
              <w:bottom w:w="0" w:type="dxa"/>
              <w:right w:w="28" w:type="dxa"/>
            </w:tcMar>
            <w:vAlign w:val="center"/>
          </w:tcPr>
          <w:p w14:paraId="6E5D4C3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783" w:type="dxa"/>
            <w:vMerge w:val="restart"/>
            <w:tcMar>
              <w:top w:w="0" w:type="dxa"/>
              <w:left w:w="28" w:type="dxa"/>
              <w:bottom w:w="0" w:type="dxa"/>
              <w:right w:w="28" w:type="dxa"/>
            </w:tcMar>
            <w:vAlign w:val="center"/>
          </w:tcPr>
          <w:p w14:paraId="6313F446">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详细评审</w:t>
            </w:r>
          </w:p>
        </w:tc>
        <w:tc>
          <w:tcPr>
            <w:tcW w:w="5744" w:type="dxa"/>
            <w:tcMar>
              <w:top w:w="0" w:type="dxa"/>
              <w:left w:w="28" w:type="dxa"/>
              <w:bottom w:w="0" w:type="dxa"/>
              <w:right w:w="28" w:type="dxa"/>
            </w:tcMar>
            <w:vAlign w:val="center"/>
          </w:tcPr>
          <w:p w14:paraId="2CF4935E">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详见《详细评审标准》及本节第3.6款</w:t>
            </w:r>
          </w:p>
        </w:tc>
      </w:tr>
      <w:tr w14:paraId="73CA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2" w:hRule="atLeast"/>
          <w:jc w:val="center"/>
        </w:trPr>
        <w:tc>
          <w:tcPr>
            <w:tcW w:w="612" w:type="dxa"/>
            <w:vMerge w:val="continue"/>
            <w:tcMar>
              <w:top w:w="0" w:type="dxa"/>
              <w:left w:w="28" w:type="dxa"/>
              <w:bottom w:w="0" w:type="dxa"/>
              <w:right w:w="28" w:type="dxa"/>
            </w:tcMar>
            <w:vAlign w:val="center"/>
          </w:tcPr>
          <w:p w14:paraId="3CE2B171">
            <w:pPr>
              <w:spacing w:line="360" w:lineRule="auto"/>
              <w:jc w:val="center"/>
              <w:rPr>
                <w:rFonts w:hint="eastAsia" w:ascii="仿宋" w:hAnsi="仿宋" w:eastAsia="仿宋" w:cs="仿宋"/>
                <w:color w:val="auto"/>
                <w:szCs w:val="21"/>
                <w:highlight w:val="none"/>
              </w:rPr>
            </w:pPr>
          </w:p>
        </w:tc>
        <w:tc>
          <w:tcPr>
            <w:tcW w:w="2783" w:type="dxa"/>
            <w:vMerge w:val="continue"/>
            <w:tcMar>
              <w:top w:w="0" w:type="dxa"/>
              <w:left w:w="28" w:type="dxa"/>
              <w:bottom w:w="0" w:type="dxa"/>
              <w:right w:w="28" w:type="dxa"/>
            </w:tcMar>
            <w:vAlign w:val="center"/>
          </w:tcPr>
          <w:p w14:paraId="38604997">
            <w:pPr>
              <w:spacing w:line="360" w:lineRule="auto"/>
              <w:jc w:val="center"/>
              <w:rPr>
                <w:rFonts w:hint="eastAsia" w:ascii="仿宋" w:hAnsi="仿宋" w:eastAsia="仿宋" w:cs="仿宋"/>
                <w:color w:val="auto"/>
                <w:szCs w:val="21"/>
                <w:highlight w:val="none"/>
              </w:rPr>
            </w:pPr>
          </w:p>
        </w:tc>
        <w:tc>
          <w:tcPr>
            <w:tcW w:w="5744" w:type="dxa"/>
            <w:tcMar>
              <w:top w:w="0" w:type="dxa"/>
              <w:left w:w="28" w:type="dxa"/>
              <w:bottom w:w="0" w:type="dxa"/>
              <w:right w:w="28" w:type="dxa"/>
            </w:tcMar>
            <w:vAlign w:val="center"/>
          </w:tcPr>
          <w:p w14:paraId="43FD463D">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投标报价得分计算方法：</w:t>
            </w:r>
          </w:p>
          <w:p w14:paraId="3910BF79">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1.投标报价的确定</w:t>
            </w:r>
          </w:p>
          <w:p w14:paraId="5467A63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投标报价是指经评审的且不超过最高限价的投标价格</w:t>
            </w:r>
          </w:p>
          <w:p w14:paraId="7CE8E12B">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2.评标基准价的确定</w:t>
            </w:r>
          </w:p>
          <w:p w14:paraId="47D706A0">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满足招标文件要求且投标报价最低的为评标基准价</w:t>
            </w:r>
          </w:p>
          <w:p w14:paraId="2638302D">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3.投标报价得分=(评标基准价／投标报价)×30</w:t>
            </w:r>
          </w:p>
          <w:p w14:paraId="20CC32C1">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4.评分分值计算保留小数点后两位，小数点后三位“四舍五入”。</w:t>
            </w:r>
          </w:p>
          <w:p w14:paraId="1A21FEDD">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因落实政府采购政策对小微企业、残疾人福利性单位、监狱企业的价格给予10%价格扣除；以扣除后的价格参与评审，不重复享受价格扣除政策</w:t>
            </w:r>
            <w:r>
              <w:rPr>
                <w:rFonts w:hint="eastAsia" w:ascii="仿宋" w:hAnsi="仿宋" w:eastAsia="仿宋" w:cs="仿宋"/>
                <w:color w:val="auto"/>
                <w:highlight w:val="none"/>
                <w:lang w:eastAsia="zh-CN"/>
              </w:rPr>
              <w:t>。</w:t>
            </w:r>
          </w:p>
          <w:p w14:paraId="11815D22">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6、政府采购活动中既有本国产品又有非本国产品参与竞争的，依法对本国产品给予价格评审优惠，对本国产品的报价给予20%的价格扣除，用扣除后的价格参与评审。</w:t>
            </w:r>
          </w:p>
        </w:tc>
      </w:tr>
    </w:tbl>
    <w:p w14:paraId="4895DD7C">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bookmarkEnd w:id="52"/>
    <w:p w14:paraId="4621174C">
      <w:pPr>
        <w:widowControl/>
        <w:shd w:val="clear" w:color="auto" w:fill="FFFFFF"/>
        <w:snapToGrid w:val="0"/>
        <w:spacing w:line="276" w:lineRule="auto"/>
        <w:jc w:val="center"/>
        <w:rPr>
          <w:rFonts w:hint="eastAsia" w:ascii="仿宋" w:hAnsi="仿宋" w:eastAsia="仿宋" w:cs="仿宋"/>
          <w:b/>
          <w:color w:val="auto"/>
          <w:kern w:val="0"/>
          <w:sz w:val="24"/>
          <w:szCs w:val="24"/>
          <w:highlight w:val="none"/>
          <w:lang w:val="en-US" w:eastAsia="zh-CN"/>
        </w:rPr>
      </w:pPr>
      <w:bookmarkStart w:id="53" w:name="_Toc501719167"/>
      <w:r>
        <w:rPr>
          <w:rFonts w:hint="eastAsia" w:ascii="仿宋" w:hAnsi="仿宋" w:eastAsia="仿宋" w:cs="仿宋"/>
          <w:b/>
          <w:color w:val="auto"/>
          <w:kern w:val="0"/>
          <w:sz w:val="24"/>
          <w:szCs w:val="24"/>
          <w:highlight w:val="none"/>
        </w:rPr>
        <w:t>《资格审查标准》</w:t>
      </w:r>
    </w:p>
    <w:tbl>
      <w:tblPr>
        <w:tblStyle w:val="38"/>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2"/>
        <w:gridCol w:w="3582"/>
        <w:gridCol w:w="4774"/>
      </w:tblGrid>
      <w:tr w14:paraId="025B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jc w:val="center"/>
        </w:trPr>
        <w:tc>
          <w:tcPr>
            <w:tcW w:w="388" w:type="pct"/>
            <w:vAlign w:val="center"/>
          </w:tcPr>
          <w:p w14:paraId="1A35E47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1977" w:type="pct"/>
            <w:vAlign w:val="center"/>
          </w:tcPr>
          <w:p w14:paraId="40A7E38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2633" w:type="pct"/>
            <w:vAlign w:val="center"/>
          </w:tcPr>
          <w:p w14:paraId="4B274AF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39FD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39392A8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1977" w:type="pct"/>
            <w:shd w:val="clear" w:color="auto" w:fill="auto"/>
            <w:vAlign w:val="center"/>
          </w:tcPr>
          <w:p w14:paraId="18056ADB">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具有独立承担民事责任的能力。</w:t>
            </w:r>
          </w:p>
        </w:tc>
        <w:tc>
          <w:tcPr>
            <w:tcW w:w="2633" w:type="pct"/>
            <w:shd w:val="clear" w:color="auto" w:fill="auto"/>
            <w:vAlign w:val="center"/>
          </w:tcPr>
          <w:p w14:paraId="13687143">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1、如投标人是企业（包括合伙企业)，应提供在工商部门注册的有效“企业法人营业执照”或“营业执照”;</w:t>
            </w:r>
          </w:p>
          <w:p w14:paraId="4BDDCA92">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2、如投标人是事业单位，应提供有效的“事业单位法人证书”;</w:t>
            </w:r>
          </w:p>
          <w:p w14:paraId="573D6D6A">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3、如投标人是非企业专业服务机构的，应提供执业许可证等证明文件;</w:t>
            </w:r>
          </w:p>
          <w:p w14:paraId="72DFB7E8">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4、如投标人是个体工商户，应提供有效的“个体工商户营业执照”;</w:t>
            </w:r>
          </w:p>
          <w:p w14:paraId="00ED9813">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5、如投标人是自然人，应提供有效的自然人身份证明。</w:t>
            </w:r>
          </w:p>
        </w:tc>
      </w:tr>
      <w:tr w14:paraId="4ABC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63B57B0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1977" w:type="pct"/>
            <w:shd w:val="clear" w:color="auto" w:fill="auto"/>
            <w:vAlign w:val="center"/>
          </w:tcPr>
          <w:p w14:paraId="1F82D2F7">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具有良好的商业信誉和健全的财务会计制度。</w:t>
            </w:r>
          </w:p>
        </w:tc>
        <w:tc>
          <w:tcPr>
            <w:tcW w:w="2633" w:type="pct"/>
            <w:shd w:val="clear" w:color="auto" w:fill="auto"/>
            <w:vAlign w:val="center"/>
          </w:tcPr>
          <w:p w14:paraId="2165A2D5">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1FE1D0C5">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lang w:val="en-US" w:eastAsia="zh-CN"/>
              </w:rPr>
              <w:t>不限制采购人主体</w:t>
            </w:r>
            <w:r>
              <w:rPr>
                <w:rFonts w:hint="eastAsia" w:ascii="仿宋" w:hAnsi="仿宋" w:eastAsia="仿宋" w:cs="仿宋"/>
                <w:color w:val="auto"/>
                <w:kern w:val="0"/>
                <w:szCs w:val="24"/>
                <w:highlight w:val="none"/>
              </w:rPr>
              <w:t>）。</w:t>
            </w:r>
          </w:p>
          <w:p w14:paraId="61C4A9CD">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spacing w:val="10"/>
                <w:szCs w:val="24"/>
                <w:highlight w:val="none"/>
                <w:shd w:val="clear" w:color="auto" w:fill="FFFFFF" w:themeFill="background1"/>
              </w:rPr>
              <w:t>六</w:t>
            </w:r>
            <w:r>
              <w:rPr>
                <w:rFonts w:hint="eastAsia" w:ascii="仿宋" w:hAnsi="仿宋" w:eastAsia="仿宋" w:cs="仿宋"/>
                <w:color w:val="auto"/>
                <w:kern w:val="0"/>
                <w:szCs w:val="24"/>
                <w:highlight w:val="none"/>
              </w:rPr>
              <w:t>个月（以投标文件递交截止之日为期限）的投标人无需提供。</w:t>
            </w:r>
          </w:p>
        </w:tc>
      </w:tr>
      <w:tr w14:paraId="714B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2FCDA2D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1977" w:type="pct"/>
            <w:shd w:val="clear" w:color="auto" w:fill="auto"/>
            <w:vAlign w:val="center"/>
          </w:tcPr>
          <w:p w14:paraId="4A74B093">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具有履行合同所必需的设备和专业技术能力。</w:t>
            </w:r>
          </w:p>
        </w:tc>
        <w:tc>
          <w:tcPr>
            <w:tcW w:w="2633" w:type="pct"/>
            <w:shd w:val="clear" w:color="auto" w:fill="auto"/>
            <w:vAlign w:val="center"/>
          </w:tcPr>
          <w:p w14:paraId="45A09439">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提供《具有履行合同所必需的设备和专业技术能力的承诺函》，加盖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p>
        </w:tc>
      </w:tr>
      <w:tr w14:paraId="0087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6B24C93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1977" w:type="pct"/>
            <w:shd w:val="clear" w:color="auto" w:fill="auto"/>
            <w:vAlign w:val="center"/>
          </w:tcPr>
          <w:p w14:paraId="36385CE0">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有依法缴纳税收和社会保障资金的良好记录。</w:t>
            </w:r>
          </w:p>
        </w:tc>
        <w:tc>
          <w:tcPr>
            <w:tcW w:w="2633" w:type="pct"/>
            <w:shd w:val="clear" w:color="auto" w:fill="auto"/>
            <w:vAlign w:val="center"/>
          </w:tcPr>
          <w:p w14:paraId="3422891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5B8A5822">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投标人参加政府采购活动前一段时间（投标文件递交截止之日前六个月内任一个月）内缴纳税收的完税凭证（指各种完税证、缴款书、印花税票、扣（收）税凭证以及其他完税证明，提供上述任意一种即可）。</w:t>
            </w:r>
          </w:p>
          <w:p w14:paraId="78269E32">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7850144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204AC2B1">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6520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28AD9E9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1977" w:type="pct"/>
            <w:shd w:val="clear" w:color="auto" w:fill="auto"/>
            <w:vAlign w:val="center"/>
          </w:tcPr>
          <w:p w14:paraId="594BA6C1">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p>
        </w:tc>
        <w:tc>
          <w:tcPr>
            <w:tcW w:w="2633" w:type="pct"/>
            <w:shd w:val="clear" w:color="auto" w:fill="auto"/>
            <w:vAlign w:val="center"/>
          </w:tcPr>
          <w:p w14:paraId="309E108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提供《参加政府采购活动前3年内在经营活动中没有重大违法记录的书面声明》，加盖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p>
        </w:tc>
      </w:tr>
      <w:tr w14:paraId="4BF3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388" w:type="pct"/>
            <w:vAlign w:val="center"/>
          </w:tcPr>
          <w:p w14:paraId="7F71856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6</w:t>
            </w:r>
          </w:p>
        </w:tc>
        <w:tc>
          <w:tcPr>
            <w:tcW w:w="1977" w:type="pct"/>
            <w:shd w:val="clear" w:color="auto" w:fill="auto"/>
            <w:vAlign w:val="center"/>
          </w:tcPr>
          <w:p w14:paraId="460B1906">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2633" w:type="pct"/>
            <w:shd w:val="clear" w:color="auto" w:fill="auto"/>
            <w:vAlign w:val="center"/>
          </w:tcPr>
          <w:p w14:paraId="333169C9">
            <w:pPr>
              <w:ind w:firstLine="210" w:firstLineChars="10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以采购人或者采购代理机构查询记录为准。</w:t>
            </w:r>
          </w:p>
        </w:tc>
      </w:tr>
      <w:tr w14:paraId="5A6B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71BE85C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7</w:t>
            </w:r>
          </w:p>
        </w:tc>
        <w:tc>
          <w:tcPr>
            <w:tcW w:w="1977" w:type="pct"/>
            <w:shd w:val="clear" w:color="auto" w:fill="auto"/>
            <w:vAlign w:val="center"/>
          </w:tcPr>
          <w:p w14:paraId="0F296DF8">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人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tc>
        <w:tc>
          <w:tcPr>
            <w:tcW w:w="2633" w:type="pct"/>
            <w:shd w:val="clear" w:color="auto" w:fill="auto"/>
            <w:vAlign w:val="center"/>
          </w:tcPr>
          <w:p w14:paraId="590092A6">
            <w:pPr>
              <w:ind w:firstLine="210" w:firstLineChars="10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相应材料扫描件。</w:t>
            </w:r>
          </w:p>
        </w:tc>
      </w:tr>
      <w:tr w14:paraId="30CF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vAlign w:val="center"/>
          </w:tcPr>
          <w:p w14:paraId="6134EC5D">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482A3C38">
      <w:pPr>
        <w:widowControl/>
        <w:shd w:val="clear" w:color="auto" w:fill="FFFFFF"/>
        <w:snapToGrid w:val="0"/>
        <w:spacing w:line="276" w:lineRule="auto"/>
        <w:jc w:val="center"/>
        <w:rPr>
          <w:rFonts w:hint="eastAsia" w:ascii="仿宋" w:hAnsi="仿宋" w:eastAsia="仿宋" w:cs="仿宋"/>
          <w:b/>
          <w:color w:val="auto"/>
          <w:kern w:val="0"/>
          <w:sz w:val="24"/>
          <w:szCs w:val="24"/>
          <w:highlight w:val="none"/>
          <w:lang w:val="en-US" w:eastAsia="zh-CN"/>
        </w:rPr>
      </w:pPr>
    </w:p>
    <w:p w14:paraId="2967AA62">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符合性审查标准</w:t>
      </w:r>
      <w:r>
        <w:rPr>
          <w:rFonts w:hint="eastAsia" w:ascii="仿宋" w:hAnsi="仿宋" w:eastAsia="仿宋" w:cs="仿宋"/>
          <w:b/>
          <w:color w:val="auto"/>
          <w:kern w:val="0"/>
          <w:sz w:val="24"/>
          <w:szCs w:val="24"/>
          <w:highlight w:val="none"/>
        </w:rPr>
        <w:t>》</w:t>
      </w:r>
      <w:bookmarkEnd w:id="53"/>
    </w:p>
    <w:tbl>
      <w:tblPr>
        <w:tblStyle w:val="38"/>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4929"/>
        <w:gridCol w:w="3446"/>
      </w:tblGrid>
      <w:tr w14:paraId="4DDA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453EF32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4929" w:type="dxa"/>
            <w:vAlign w:val="center"/>
          </w:tcPr>
          <w:p w14:paraId="52DCD884">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3446" w:type="dxa"/>
            <w:vAlign w:val="center"/>
          </w:tcPr>
          <w:p w14:paraId="039D199C">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6E37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0FAA1DE4">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4929" w:type="dxa"/>
            <w:vAlign w:val="center"/>
          </w:tcPr>
          <w:p w14:paraId="600A33A7">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投标文件必须按招标文件要求加盖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r>
              <w:rPr>
                <w:rFonts w:hint="eastAsia" w:ascii="仿宋" w:hAnsi="仿宋" w:eastAsia="仿宋" w:cs="仿宋"/>
                <w:color w:val="auto"/>
                <w:kern w:val="0"/>
                <w:szCs w:val="24"/>
                <w:highlight w:val="none"/>
                <w:lang w:eastAsia="zh-CN"/>
              </w:rPr>
              <w:t>法定代表人章（</w:t>
            </w:r>
            <w:r>
              <w:rPr>
                <w:rFonts w:hint="eastAsia" w:ascii="仿宋" w:hAnsi="仿宋" w:eastAsia="仿宋" w:cs="仿宋"/>
                <w:color w:val="auto"/>
                <w:kern w:val="0"/>
                <w:szCs w:val="24"/>
                <w:highlight w:val="none"/>
                <w:lang w:val="en-US" w:eastAsia="zh-CN"/>
              </w:rPr>
              <w:t>或签字</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w:t>
            </w:r>
          </w:p>
        </w:tc>
        <w:tc>
          <w:tcPr>
            <w:tcW w:w="3446" w:type="dxa"/>
            <w:vAlign w:val="center"/>
          </w:tcPr>
          <w:p w14:paraId="344B190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7F5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22D0E55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4929" w:type="dxa"/>
            <w:vAlign w:val="center"/>
          </w:tcPr>
          <w:p w14:paraId="307B84E9">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投标价格明细表必须完整填写。</w:t>
            </w:r>
          </w:p>
        </w:tc>
        <w:tc>
          <w:tcPr>
            <w:tcW w:w="3446" w:type="dxa"/>
            <w:vAlign w:val="center"/>
          </w:tcPr>
          <w:p w14:paraId="41B78D5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7FD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7E521CA2">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4929" w:type="dxa"/>
            <w:vAlign w:val="center"/>
          </w:tcPr>
          <w:p w14:paraId="59906119">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投标价格不得超过最高限价</w:t>
            </w:r>
            <w:r>
              <w:rPr>
                <w:rFonts w:hint="eastAsia" w:ascii="仿宋" w:hAnsi="仿宋" w:eastAsia="仿宋" w:cs="仿宋"/>
                <w:color w:val="auto"/>
                <w:kern w:val="0"/>
                <w:szCs w:val="24"/>
                <w:highlight w:val="none"/>
                <w:lang w:val="en-US" w:eastAsia="zh-CN"/>
              </w:rPr>
              <w:t>和单价限价</w:t>
            </w:r>
            <w:r>
              <w:rPr>
                <w:rFonts w:hint="eastAsia" w:ascii="仿宋" w:hAnsi="仿宋" w:eastAsia="仿宋" w:cs="仿宋"/>
                <w:color w:val="auto"/>
                <w:kern w:val="0"/>
                <w:szCs w:val="24"/>
                <w:highlight w:val="none"/>
              </w:rPr>
              <w:t>。</w:t>
            </w:r>
          </w:p>
        </w:tc>
        <w:tc>
          <w:tcPr>
            <w:tcW w:w="3446" w:type="dxa"/>
            <w:vAlign w:val="center"/>
          </w:tcPr>
          <w:p w14:paraId="12EEE97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27AE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22" w:type="dxa"/>
            <w:tcMar>
              <w:top w:w="0" w:type="dxa"/>
              <w:left w:w="28" w:type="dxa"/>
              <w:bottom w:w="0" w:type="dxa"/>
              <w:right w:w="28" w:type="dxa"/>
            </w:tcMar>
            <w:vAlign w:val="center"/>
          </w:tcPr>
          <w:p w14:paraId="65E0635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4929" w:type="dxa"/>
            <w:vAlign w:val="center"/>
          </w:tcPr>
          <w:p w14:paraId="7ED8C219">
            <w:pPr>
              <w:widowControl/>
              <w:shd w:val="clear" w:color="auto" w:fill="FFFFFF"/>
              <w:snapToGrid w:val="0"/>
              <w:spacing w:line="360" w:lineRule="auto"/>
              <w:rPr>
                <w:rFonts w:hint="eastAsia" w:ascii="仿宋" w:hAnsi="仿宋" w:eastAsia="仿宋" w:cs="仿宋"/>
                <w:color w:val="auto"/>
                <w:highlight w:val="none"/>
              </w:rPr>
            </w:pPr>
            <w:r>
              <w:rPr>
                <w:rFonts w:hint="eastAsia" w:ascii="仿宋" w:hAnsi="仿宋" w:eastAsia="仿宋" w:cs="仿宋"/>
                <w:color w:val="auto"/>
                <w:kern w:val="0"/>
                <w:szCs w:val="24"/>
                <w:highlight w:val="none"/>
              </w:rPr>
              <w:t>售后服务承诺必须提供</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并盖投标人章</w:t>
            </w:r>
            <w:r>
              <w:rPr>
                <w:rFonts w:hint="eastAsia" w:ascii="仿宋" w:hAnsi="仿宋" w:eastAsia="仿宋" w:cs="仿宋"/>
                <w:color w:val="auto"/>
                <w:kern w:val="0"/>
                <w:szCs w:val="24"/>
                <w:highlight w:val="none"/>
              </w:rPr>
              <w:t>。</w:t>
            </w:r>
          </w:p>
        </w:tc>
        <w:tc>
          <w:tcPr>
            <w:tcW w:w="3446" w:type="dxa"/>
            <w:tcMar>
              <w:top w:w="0" w:type="dxa"/>
              <w:left w:w="28" w:type="dxa"/>
              <w:bottom w:w="0" w:type="dxa"/>
              <w:right w:w="28" w:type="dxa"/>
            </w:tcMar>
            <w:vAlign w:val="center"/>
          </w:tcPr>
          <w:p w14:paraId="3AC6041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7B2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7092781B">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4929" w:type="dxa"/>
            <w:vAlign w:val="center"/>
          </w:tcPr>
          <w:p w14:paraId="5E451749">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合同履约期限和质保期必须满足招标文件要求。</w:t>
            </w:r>
          </w:p>
        </w:tc>
        <w:tc>
          <w:tcPr>
            <w:tcW w:w="3446" w:type="dxa"/>
            <w:tcMar>
              <w:top w:w="0" w:type="dxa"/>
              <w:left w:w="28" w:type="dxa"/>
              <w:bottom w:w="0" w:type="dxa"/>
              <w:right w:w="28" w:type="dxa"/>
            </w:tcMar>
            <w:vAlign w:val="center"/>
          </w:tcPr>
          <w:p w14:paraId="3817537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5ED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01930DCB">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6</w:t>
            </w:r>
          </w:p>
        </w:tc>
        <w:tc>
          <w:tcPr>
            <w:tcW w:w="4929" w:type="dxa"/>
            <w:vAlign w:val="center"/>
          </w:tcPr>
          <w:p w14:paraId="00A2D90E">
            <w:pPr>
              <w:widowControl/>
              <w:shd w:val="clear" w:color="auto" w:fill="FFFFFF"/>
              <w:snapToGrid w:val="0"/>
              <w:spacing w:line="360" w:lineRule="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投标人所投货物若属于医疗器械管理范畴，则第一类医疗器械提供产品备案证明，第二类、第三类医疗器械提供产品注册证明。</w:t>
            </w:r>
          </w:p>
        </w:tc>
        <w:tc>
          <w:tcPr>
            <w:tcW w:w="3446" w:type="dxa"/>
            <w:tcMar>
              <w:top w:w="0" w:type="dxa"/>
              <w:left w:w="28" w:type="dxa"/>
              <w:bottom w:w="0" w:type="dxa"/>
              <w:right w:w="28" w:type="dxa"/>
            </w:tcMar>
            <w:vAlign w:val="center"/>
          </w:tcPr>
          <w:p w14:paraId="6BCFF9A7">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相应证明材料扫描件，若《医疗器械监督管理条例》等有关文件另有规定，则提供说明材料即可。</w:t>
            </w:r>
          </w:p>
        </w:tc>
      </w:tr>
      <w:tr w14:paraId="34B5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07F1E76C">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7</w:t>
            </w:r>
          </w:p>
        </w:tc>
        <w:tc>
          <w:tcPr>
            <w:tcW w:w="4929" w:type="dxa"/>
            <w:vAlign w:val="center"/>
          </w:tcPr>
          <w:p w14:paraId="380DA7E6">
            <w:pPr>
              <w:spacing w:line="360" w:lineRule="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投标保证金必须按照招标文件要求缴纳。</w:t>
            </w:r>
          </w:p>
        </w:tc>
        <w:tc>
          <w:tcPr>
            <w:tcW w:w="3446" w:type="dxa"/>
            <w:tcMar>
              <w:top w:w="0" w:type="dxa"/>
              <w:left w:w="28" w:type="dxa"/>
              <w:bottom w:w="0" w:type="dxa"/>
              <w:right w:w="28" w:type="dxa"/>
            </w:tcMar>
            <w:vAlign w:val="center"/>
          </w:tcPr>
          <w:p w14:paraId="00D29D58">
            <w:pPr>
              <w:widowControl/>
              <w:numPr>
                <w:ilvl w:val="0"/>
                <w:numId w:val="0"/>
              </w:numPr>
              <w:shd w:val="clear" w:color="auto" w:fill="FFFFFF"/>
              <w:snapToGrid w:val="0"/>
              <w:spacing w:line="360" w:lineRule="auto"/>
              <w:jc w:val="both"/>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保证金缴纳证明材料：汇款凭证或支票或汇票或保函或保证金收据等的扫描件。</w:t>
            </w:r>
          </w:p>
          <w:p w14:paraId="5D33A2E4">
            <w:pPr>
              <w:widowControl/>
              <w:numPr>
                <w:ilvl w:val="0"/>
                <w:numId w:val="0"/>
              </w:numPr>
              <w:shd w:val="clear" w:color="auto" w:fill="FFFFFF"/>
              <w:snapToGrid w:val="0"/>
              <w:spacing w:line="360" w:lineRule="auto"/>
              <w:jc w:val="both"/>
              <w:rPr>
                <w:rFonts w:hint="default"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注：采用电汇方式缴纳的，若投标人未提供上述证明材料，但采购代理机构已查实足额缴纳的，视为已按规定缴纳保证金。</w:t>
            </w:r>
          </w:p>
        </w:tc>
      </w:tr>
      <w:tr w14:paraId="7F86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shd w:val="clear" w:color="auto" w:fill="auto"/>
            <w:tcMar>
              <w:top w:w="0" w:type="dxa"/>
              <w:left w:w="28" w:type="dxa"/>
              <w:bottom w:w="0" w:type="dxa"/>
              <w:right w:w="28" w:type="dxa"/>
            </w:tcMar>
            <w:vAlign w:val="center"/>
          </w:tcPr>
          <w:p w14:paraId="5BA2A2F0">
            <w:pPr>
              <w:widowControl/>
              <w:shd w:val="clear" w:color="auto" w:fill="FFFFFF"/>
              <w:snapToGrid w:val="0"/>
              <w:spacing w:line="360" w:lineRule="auto"/>
              <w:jc w:val="center"/>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lang w:val="en-US" w:eastAsia="zh-CN"/>
              </w:rPr>
              <w:t>8</w:t>
            </w:r>
          </w:p>
        </w:tc>
        <w:tc>
          <w:tcPr>
            <w:tcW w:w="4929" w:type="dxa"/>
            <w:shd w:val="clear" w:color="auto" w:fill="auto"/>
            <w:vAlign w:val="center"/>
          </w:tcPr>
          <w:p w14:paraId="704978D8">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投标文件符合招标文件全部实质性要求。</w:t>
            </w:r>
          </w:p>
        </w:tc>
        <w:tc>
          <w:tcPr>
            <w:tcW w:w="3446" w:type="dxa"/>
            <w:shd w:val="clear" w:color="auto" w:fill="auto"/>
            <w:tcMar>
              <w:top w:w="0" w:type="dxa"/>
              <w:left w:w="28" w:type="dxa"/>
              <w:bottom w:w="0" w:type="dxa"/>
              <w:right w:w="28" w:type="dxa"/>
            </w:tcMar>
            <w:vAlign w:val="center"/>
          </w:tcPr>
          <w:p w14:paraId="32EF74A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3651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097" w:type="dxa"/>
            <w:gridSpan w:val="3"/>
            <w:vAlign w:val="center"/>
          </w:tcPr>
          <w:p w14:paraId="0C913CD5">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652EB435">
      <w:pPr>
        <w:rPr>
          <w:rFonts w:hint="eastAsia" w:ascii="仿宋" w:hAnsi="仿宋" w:eastAsia="仿宋" w:cs="仿宋"/>
          <w:b/>
          <w:color w:val="auto"/>
          <w:szCs w:val="24"/>
          <w:highlight w:val="none"/>
        </w:rPr>
      </w:pPr>
    </w:p>
    <w:p w14:paraId="03659E72">
      <w:pPr>
        <w:rPr>
          <w:rFonts w:hint="eastAsia"/>
          <w:color w:val="auto"/>
          <w:highlight w:val="none"/>
        </w:rPr>
      </w:pPr>
    </w:p>
    <w:p w14:paraId="40AC3B7E">
      <w:pPr>
        <w:pStyle w:val="12"/>
        <w:jc w:val="center"/>
        <w:rPr>
          <w:rFonts w:hint="eastAsia" w:ascii="仿宋" w:hAnsi="仿宋" w:eastAsia="仿宋" w:cs="仿宋"/>
          <w:b/>
          <w:color w:val="auto"/>
          <w:szCs w:val="24"/>
          <w:highlight w:val="none"/>
        </w:rPr>
      </w:pPr>
      <w:bookmarkStart w:id="54" w:name="_Toc12409"/>
      <w:bookmarkStart w:id="55" w:name="_Toc115977387"/>
      <w:bookmarkStart w:id="56" w:name="_Toc24504"/>
      <w:bookmarkStart w:id="57" w:name="_Toc485312286"/>
      <w:r>
        <w:rPr>
          <w:rFonts w:hint="eastAsia" w:ascii="仿宋" w:hAnsi="仿宋" w:eastAsia="仿宋" w:cs="仿宋"/>
          <w:b/>
          <w:color w:val="auto"/>
          <w:szCs w:val="24"/>
          <w:highlight w:val="none"/>
        </w:rPr>
        <w:t>《详细评审标准》</w:t>
      </w:r>
    </w:p>
    <w:tbl>
      <w:tblPr>
        <w:tblStyle w:val="38"/>
        <w:tblpPr w:leftFromText="180" w:rightFromText="180" w:vertAnchor="text" w:horzAnchor="page" w:tblpXSpec="center" w:tblpY="404"/>
        <w:tblOverlap w:val="never"/>
        <w:tblW w:w="4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2"/>
        <w:gridCol w:w="1285"/>
        <w:gridCol w:w="953"/>
        <w:gridCol w:w="5882"/>
      </w:tblGrid>
      <w:tr w14:paraId="663D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439" w:type="pct"/>
            <w:vAlign w:val="center"/>
          </w:tcPr>
          <w:p w14:paraId="3B947486">
            <w:pPr>
              <w:widowControl/>
              <w:shd w:val="clear" w:color="auto" w:fill="FFFFFF"/>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721" w:type="pct"/>
            <w:vAlign w:val="center"/>
          </w:tcPr>
          <w:p w14:paraId="1BE22560">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评审项目</w:t>
            </w:r>
          </w:p>
        </w:tc>
        <w:tc>
          <w:tcPr>
            <w:tcW w:w="535" w:type="pct"/>
            <w:vAlign w:val="center"/>
          </w:tcPr>
          <w:p w14:paraId="3DFBC1F6">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标准分</w:t>
            </w:r>
          </w:p>
        </w:tc>
        <w:tc>
          <w:tcPr>
            <w:tcW w:w="3303" w:type="pct"/>
            <w:vAlign w:val="center"/>
          </w:tcPr>
          <w:p w14:paraId="555A2D0A">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评审标准</w:t>
            </w:r>
          </w:p>
        </w:tc>
      </w:tr>
      <w:tr w14:paraId="5FB4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52E526EA">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721" w:type="pct"/>
            <w:tcMar>
              <w:top w:w="0" w:type="dxa"/>
              <w:left w:w="108" w:type="dxa"/>
              <w:bottom w:w="0" w:type="dxa"/>
              <w:right w:w="108" w:type="dxa"/>
            </w:tcMar>
            <w:vAlign w:val="center"/>
          </w:tcPr>
          <w:p w14:paraId="6F25ADAC">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类似业绩</w:t>
            </w:r>
          </w:p>
        </w:tc>
        <w:tc>
          <w:tcPr>
            <w:tcW w:w="535" w:type="pct"/>
            <w:tcMar>
              <w:top w:w="0" w:type="dxa"/>
              <w:left w:w="108" w:type="dxa"/>
              <w:bottom w:w="0" w:type="dxa"/>
              <w:right w:w="108" w:type="dxa"/>
            </w:tcMar>
            <w:vAlign w:val="center"/>
          </w:tcPr>
          <w:p w14:paraId="0CAFC8CF">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3303" w:type="pct"/>
            <w:tcMar>
              <w:top w:w="0" w:type="dxa"/>
              <w:left w:w="108" w:type="dxa"/>
              <w:bottom w:w="0" w:type="dxa"/>
              <w:right w:w="108" w:type="dxa"/>
            </w:tcMar>
            <w:vAlign w:val="center"/>
          </w:tcPr>
          <w:p w14:paraId="005894D9">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投标人近三年(202</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年1月1日-至今)完成的类似业绩，一项计1分，最多计2项(须提供合同)。</w:t>
            </w:r>
          </w:p>
        </w:tc>
      </w:tr>
      <w:tr w14:paraId="5DDE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69618016">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721" w:type="pct"/>
            <w:tcMar>
              <w:top w:w="0" w:type="dxa"/>
              <w:left w:w="108" w:type="dxa"/>
              <w:bottom w:w="0" w:type="dxa"/>
              <w:right w:w="108" w:type="dxa"/>
            </w:tcMar>
            <w:vAlign w:val="center"/>
          </w:tcPr>
          <w:p w14:paraId="4FA7780C">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w:t>
            </w:r>
          </w:p>
        </w:tc>
        <w:tc>
          <w:tcPr>
            <w:tcW w:w="535" w:type="pct"/>
            <w:tcMar>
              <w:top w:w="0" w:type="dxa"/>
              <w:left w:w="108" w:type="dxa"/>
              <w:bottom w:w="0" w:type="dxa"/>
              <w:right w:w="108" w:type="dxa"/>
            </w:tcMar>
            <w:vAlign w:val="center"/>
          </w:tcPr>
          <w:p w14:paraId="6ED6B0B7">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w:t>
            </w:r>
          </w:p>
        </w:tc>
        <w:tc>
          <w:tcPr>
            <w:tcW w:w="3303" w:type="pct"/>
            <w:tcMar>
              <w:top w:w="0" w:type="dxa"/>
              <w:left w:w="108" w:type="dxa"/>
              <w:bottom w:w="0" w:type="dxa"/>
              <w:right w:w="108" w:type="dxa"/>
            </w:tcMar>
            <w:vAlign w:val="center"/>
          </w:tcPr>
          <w:p w14:paraId="1996E389">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技术指标全部满足采购文件要求，无偏离得30分，标“★”参数缺一项或不满足的项扣</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分；非标“★”参数缺一项或不满足的项扣</w:t>
            </w:r>
            <w:r>
              <w:rPr>
                <w:rFonts w:hint="eastAsia" w:ascii="仿宋" w:hAnsi="仿宋" w:eastAsia="仿宋" w:cs="仿宋"/>
                <w:color w:val="auto"/>
                <w:kern w:val="0"/>
                <w:szCs w:val="21"/>
                <w:highlight w:val="none"/>
                <w:lang w:val="en-US" w:eastAsia="zh-CN"/>
              </w:rPr>
              <w:t>1</w:t>
            </w:r>
            <w:r>
              <w:rPr>
                <w:rFonts w:hint="eastAsia" w:ascii="仿宋" w:hAnsi="仿宋" w:eastAsia="仿宋" w:cs="仿宋"/>
                <w:color w:val="auto"/>
                <w:kern w:val="0"/>
                <w:szCs w:val="21"/>
                <w:highlight w:val="none"/>
              </w:rPr>
              <w:t>分；扣完为止。</w:t>
            </w:r>
          </w:p>
          <w:p w14:paraId="3412A7CC">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注：</w:t>
            </w:r>
            <w:r>
              <w:rPr>
                <w:rFonts w:hint="eastAsia" w:ascii="仿宋" w:hAnsi="仿宋" w:eastAsia="仿宋" w:cs="仿宋"/>
                <w:color w:val="auto"/>
                <w:kern w:val="0"/>
                <w:szCs w:val="21"/>
                <w:highlight w:val="none"/>
                <w:lang w:val="en-US" w:eastAsia="zh-CN"/>
              </w:rPr>
              <w:t>须附对应的证明材料，</w:t>
            </w:r>
            <w:r>
              <w:rPr>
                <w:rFonts w:hint="eastAsia" w:ascii="仿宋" w:hAnsi="仿宋" w:eastAsia="仿宋" w:cs="仿宋"/>
                <w:color w:val="auto"/>
                <w:kern w:val="0"/>
                <w:szCs w:val="21"/>
                <w:highlight w:val="none"/>
              </w:rPr>
              <w:t>如未要求可提供</w:t>
            </w:r>
            <w:r>
              <w:rPr>
                <w:rFonts w:hint="eastAsia" w:ascii="仿宋" w:hAnsi="仿宋" w:eastAsia="仿宋" w:cs="仿宋"/>
                <w:color w:val="auto"/>
                <w:kern w:val="0"/>
                <w:szCs w:val="21"/>
                <w:highlight w:val="none"/>
                <w:lang w:val="en-US" w:eastAsia="zh-CN"/>
              </w:rPr>
              <w:t>厂家出具的产品白皮书或技术规格彩页或第三方检测机构出具完整的检测报告；若未提供有效证明材料或证明材料不符合参数要求的则该参数将被视为负偏离。</w:t>
            </w:r>
          </w:p>
        </w:tc>
      </w:tr>
      <w:tr w14:paraId="4F90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520EF0C9">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721" w:type="pct"/>
            <w:shd w:val="clear" w:color="auto" w:fill="auto"/>
            <w:tcMar>
              <w:top w:w="0" w:type="dxa"/>
              <w:left w:w="108" w:type="dxa"/>
              <w:bottom w:w="0" w:type="dxa"/>
              <w:right w:w="108" w:type="dxa"/>
            </w:tcMar>
            <w:vAlign w:val="center"/>
          </w:tcPr>
          <w:p w14:paraId="019B3275">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p>
        </w:tc>
        <w:tc>
          <w:tcPr>
            <w:tcW w:w="535" w:type="pct"/>
            <w:shd w:val="clear" w:color="auto" w:fill="auto"/>
            <w:tcMar>
              <w:top w:w="0" w:type="dxa"/>
              <w:left w:w="108" w:type="dxa"/>
              <w:bottom w:w="0" w:type="dxa"/>
              <w:right w:w="108" w:type="dxa"/>
            </w:tcMar>
            <w:vAlign w:val="center"/>
          </w:tcPr>
          <w:p w14:paraId="17BB59D5">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12</w:t>
            </w:r>
          </w:p>
        </w:tc>
        <w:tc>
          <w:tcPr>
            <w:tcW w:w="3303" w:type="pct"/>
            <w:shd w:val="clear" w:color="auto" w:fill="auto"/>
            <w:tcMar>
              <w:top w:w="0" w:type="dxa"/>
              <w:left w:w="108" w:type="dxa"/>
              <w:bottom w:w="0" w:type="dxa"/>
              <w:right w:w="108" w:type="dxa"/>
            </w:tcMar>
            <w:vAlign w:val="center"/>
          </w:tcPr>
          <w:p w14:paraId="24019C3D">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①供货计划，②</w:t>
            </w:r>
            <w:r>
              <w:rPr>
                <w:rFonts w:hint="eastAsia" w:ascii="仿宋" w:hAnsi="仿宋" w:eastAsia="仿宋" w:cs="仿宋"/>
                <w:color w:val="auto"/>
                <w:szCs w:val="21"/>
                <w:highlight w:val="none"/>
              </w:rPr>
              <w:t>成品包装、运输保护措施，</w:t>
            </w:r>
            <w:r>
              <w:rPr>
                <w:rFonts w:hint="eastAsia" w:ascii="仿宋" w:hAnsi="仿宋" w:eastAsia="仿宋" w:cs="仿宋"/>
                <w:color w:val="auto"/>
                <w:kern w:val="0"/>
                <w:szCs w:val="21"/>
                <w:highlight w:val="none"/>
              </w:rPr>
              <w:t>③安装调试措施；</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部分要素。</w:t>
            </w:r>
          </w:p>
          <w:p w14:paraId="6D68DFAE">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分，每个要素里每有一处内容缺陷扣2分（扣完为止）。</w:t>
            </w:r>
          </w:p>
        </w:tc>
      </w:tr>
      <w:tr w14:paraId="626E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0158703B">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721" w:type="pct"/>
            <w:shd w:val="clear" w:color="auto" w:fill="auto"/>
            <w:tcMar>
              <w:top w:w="0" w:type="dxa"/>
              <w:left w:w="108" w:type="dxa"/>
              <w:bottom w:w="0" w:type="dxa"/>
              <w:right w:w="108" w:type="dxa"/>
            </w:tcMar>
            <w:vAlign w:val="center"/>
          </w:tcPr>
          <w:p w14:paraId="34293D48">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p>
        </w:tc>
        <w:tc>
          <w:tcPr>
            <w:tcW w:w="535" w:type="pct"/>
            <w:shd w:val="clear" w:color="auto" w:fill="auto"/>
            <w:tcMar>
              <w:top w:w="0" w:type="dxa"/>
              <w:left w:w="108" w:type="dxa"/>
              <w:bottom w:w="0" w:type="dxa"/>
              <w:right w:w="108" w:type="dxa"/>
            </w:tcMar>
            <w:vAlign w:val="center"/>
          </w:tcPr>
          <w:p w14:paraId="2D5993FB">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3303" w:type="pct"/>
            <w:shd w:val="clear" w:color="auto" w:fill="auto"/>
            <w:tcMar>
              <w:top w:w="0" w:type="dxa"/>
              <w:left w:w="108" w:type="dxa"/>
              <w:bottom w:w="0" w:type="dxa"/>
              <w:right w:w="108" w:type="dxa"/>
            </w:tcMar>
            <w:vAlign w:val="center"/>
          </w:tcPr>
          <w:p w14:paraId="7EBEED0A">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①质量检测措施，②质量管理制度；2部分要素。</w:t>
            </w:r>
          </w:p>
          <w:p w14:paraId="77A0D08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所有要素齐全且完全满足项目要求得6分，每缺一个要素扣3分，每个要素里每有一处内容缺陷扣</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分（扣完为止）。</w:t>
            </w:r>
          </w:p>
        </w:tc>
      </w:tr>
      <w:tr w14:paraId="79FA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2F7C99CE">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721" w:type="pct"/>
            <w:shd w:val="clear" w:color="auto" w:fill="auto"/>
            <w:tcMar>
              <w:top w:w="0" w:type="dxa"/>
              <w:left w:w="108" w:type="dxa"/>
              <w:bottom w:w="0" w:type="dxa"/>
              <w:right w:w="108" w:type="dxa"/>
            </w:tcMar>
            <w:vAlign w:val="center"/>
          </w:tcPr>
          <w:p w14:paraId="26896801">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p>
        </w:tc>
        <w:tc>
          <w:tcPr>
            <w:tcW w:w="535" w:type="pct"/>
            <w:shd w:val="clear" w:color="auto" w:fill="auto"/>
            <w:tcMar>
              <w:top w:w="0" w:type="dxa"/>
              <w:left w:w="108" w:type="dxa"/>
              <w:bottom w:w="0" w:type="dxa"/>
              <w:right w:w="108" w:type="dxa"/>
            </w:tcMar>
            <w:vAlign w:val="center"/>
          </w:tcPr>
          <w:p w14:paraId="2AE25A1A">
            <w:pPr>
              <w:spacing w:line="360" w:lineRule="auto"/>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4</w:t>
            </w:r>
          </w:p>
        </w:tc>
        <w:tc>
          <w:tcPr>
            <w:tcW w:w="3303" w:type="pct"/>
            <w:shd w:val="clear" w:color="auto" w:fill="auto"/>
            <w:tcMar>
              <w:top w:w="0" w:type="dxa"/>
              <w:left w:w="108" w:type="dxa"/>
              <w:bottom w:w="0" w:type="dxa"/>
              <w:right w:w="108" w:type="dxa"/>
            </w:tcMar>
            <w:vAlign w:val="center"/>
          </w:tcPr>
          <w:p w14:paraId="12EEFC34">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r>
              <w:rPr>
                <w:rFonts w:hint="eastAsia" w:ascii="仿宋" w:hAnsi="仿宋" w:eastAsia="仿宋" w:cs="仿宋"/>
                <w:color w:val="auto"/>
                <w:szCs w:val="21"/>
                <w:highlight w:val="none"/>
              </w:rPr>
              <w:t>包括但不限于：①风险预防措施，②应急响应流程；</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部分要素。</w:t>
            </w:r>
          </w:p>
          <w:p w14:paraId="002577B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分，每缺一个要素扣2分，每个要素里每有一处内容缺陷扣1分（扣完为止）。</w:t>
            </w:r>
          </w:p>
        </w:tc>
      </w:tr>
      <w:tr w14:paraId="50BF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40A2D0B1">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721" w:type="pct"/>
            <w:shd w:val="clear" w:color="auto" w:fill="auto"/>
            <w:tcMar>
              <w:top w:w="0" w:type="dxa"/>
              <w:left w:w="108" w:type="dxa"/>
              <w:bottom w:w="0" w:type="dxa"/>
              <w:right w:w="108" w:type="dxa"/>
            </w:tcMar>
            <w:vAlign w:val="center"/>
          </w:tcPr>
          <w:p w14:paraId="36861A77">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培训方案</w:t>
            </w:r>
          </w:p>
        </w:tc>
        <w:tc>
          <w:tcPr>
            <w:tcW w:w="535" w:type="pct"/>
            <w:shd w:val="clear" w:color="auto" w:fill="auto"/>
            <w:tcMar>
              <w:top w:w="0" w:type="dxa"/>
              <w:left w:w="108" w:type="dxa"/>
              <w:bottom w:w="0" w:type="dxa"/>
              <w:right w:w="108" w:type="dxa"/>
            </w:tcMar>
            <w:vAlign w:val="center"/>
          </w:tcPr>
          <w:p w14:paraId="7837443C">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3303" w:type="pct"/>
            <w:shd w:val="clear" w:color="auto" w:fill="auto"/>
            <w:tcMar>
              <w:top w:w="0" w:type="dxa"/>
              <w:left w:w="108" w:type="dxa"/>
              <w:bottom w:w="0" w:type="dxa"/>
              <w:right w:w="108" w:type="dxa"/>
            </w:tcMar>
            <w:vAlign w:val="center"/>
          </w:tcPr>
          <w:p w14:paraId="36B3C71D">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培训方案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①培训计划，②培训内容；2部分要素。</w:t>
            </w:r>
          </w:p>
          <w:p w14:paraId="4E4C17B8">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所有要素齐全且完全满足项目要求得4分，每缺一个要素扣2分，每个要素里每有一处内容缺陷扣1分（扣完为止）。</w:t>
            </w:r>
          </w:p>
        </w:tc>
      </w:tr>
      <w:tr w14:paraId="6314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659EB413">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721" w:type="pct"/>
            <w:shd w:val="clear" w:color="auto" w:fill="auto"/>
            <w:tcMar>
              <w:top w:w="0" w:type="dxa"/>
              <w:left w:w="108" w:type="dxa"/>
              <w:bottom w:w="0" w:type="dxa"/>
              <w:right w:w="108" w:type="dxa"/>
            </w:tcMar>
            <w:vAlign w:val="center"/>
          </w:tcPr>
          <w:p w14:paraId="475D0D14">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p>
        </w:tc>
        <w:tc>
          <w:tcPr>
            <w:tcW w:w="535" w:type="pct"/>
            <w:shd w:val="clear" w:color="auto" w:fill="auto"/>
            <w:tcMar>
              <w:top w:w="0" w:type="dxa"/>
              <w:left w:w="108" w:type="dxa"/>
              <w:bottom w:w="0" w:type="dxa"/>
              <w:right w:w="108" w:type="dxa"/>
            </w:tcMar>
            <w:vAlign w:val="center"/>
          </w:tcPr>
          <w:p w14:paraId="40A2ADAC">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12</w:t>
            </w:r>
          </w:p>
        </w:tc>
        <w:tc>
          <w:tcPr>
            <w:tcW w:w="3303" w:type="pct"/>
            <w:shd w:val="clear" w:color="auto" w:fill="auto"/>
            <w:tcMar>
              <w:top w:w="0" w:type="dxa"/>
              <w:left w:w="108" w:type="dxa"/>
              <w:bottom w:w="0" w:type="dxa"/>
              <w:right w:w="108" w:type="dxa"/>
            </w:tcMar>
            <w:vAlign w:val="center"/>
          </w:tcPr>
          <w:p w14:paraId="7300EEEB">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①质量\非质量问题退换方案及时效</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②</w:t>
            </w:r>
            <w:r>
              <w:rPr>
                <w:rFonts w:hint="eastAsia" w:ascii="仿宋" w:hAnsi="仿宋" w:eastAsia="仿宋" w:cs="仿宋"/>
                <w:color w:val="auto"/>
                <w:szCs w:val="21"/>
                <w:highlight w:val="none"/>
                <w:lang w:val="en-US" w:eastAsia="zh-CN"/>
              </w:rPr>
              <w:t>备品备件，</w:t>
            </w:r>
            <w:r>
              <w:rPr>
                <w:rFonts w:hint="eastAsia" w:ascii="仿宋" w:hAnsi="仿宋" w:eastAsia="仿宋" w:cs="仿宋"/>
                <w:color w:val="auto"/>
                <w:szCs w:val="21"/>
                <w:highlight w:val="none"/>
              </w:rPr>
              <w:t>③</w:t>
            </w:r>
            <w:r>
              <w:rPr>
                <w:rFonts w:hint="eastAsia" w:ascii="仿宋" w:hAnsi="仿宋" w:eastAsia="仿宋" w:cs="仿宋"/>
                <w:color w:val="auto"/>
                <w:kern w:val="0"/>
                <w:szCs w:val="21"/>
                <w:highlight w:val="none"/>
              </w:rPr>
              <w:t>故障维修处理</w:t>
            </w:r>
            <w:r>
              <w:rPr>
                <w:rFonts w:hint="eastAsia" w:ascii="仿宋" w:hAnsi="仿宋" w:eastAsia="仿宋" w:cs="仿宋"/>
                <w:color w:val="auto"/>
                <w:kern w:val="0"/>
                <w:szCs w:val="21"/>
                <w:highlight w:val="none"/>
                <w:lang w:val="en-US" w:eastAsia="zh-CN"/>
              </w:rPr>
              <w:t>措施</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部分要素。</w:t>
            </w:r>
          </w:p>
          <w:p w14:paraId="00D7248F">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分（扣完为止）。</w:t>
            </w:r>
          </w:p>
        </w:tc>
      </w:tr>
      <w:tr w14:paraId="5386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1161" w:type="pct"/>
            <w:gridSpan w:val="2"/>
            <w:tcMar>
              <w:top w:w="0" w:type="dxa"/>
              <w:left w:w="108" w:type="dxa"/>
              <w:bottom w:w="0" w:type="dxa"/>
              <w:right w:w="108" w:type="dxa"/>
            </w:tcMar>
            <w:vAlign w:val="center"/>
          </w:tcPr>
          <w:p w14:paraId="3374FEF8">
            <w:pPr>
              <w:spacing w:line="360" w:lineRule="auto"/>
              <w:ind w:left="-105" w:leftChars="-50" w:right="-105" w:rightChars="-5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小计</w:t>
            </w:r>
          </w:p>
        </w:tc>
        <w:tc>
          <w:tcPr>
            <w:tcW w:w="535" w:type="pct"/>
            <w:shd w:val="clear" w:color="auto" w:fill="auto"/>
            <w:tcMar>
              <w:top w:w="0" w:type="dxa"/>
              <w:left w:w="108" w:type="dxa"/>
              <w:bottom w:w="0" w:type="dxa"/>
              <w:right w:w="108" w:type="dxa"/>
            </w:tcMar>
            <w:vAlign w:val="center"/>
          </w:tcPr>
          <w:p w14:paraId="21AE282F">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70</w:t>
            </w:r>
          </w:p>
        </w:tc>
        <w:tc>
          <w:tcPr>
            <w:tcW w:w="3303" w:type="pct"/>
            <w:shd w:val="clear" w:color="auto" w:fill="auto"/>
            <w:tcMar>
              <w:top w:w="0" w:type="dxa"/>
              <w:left w:w="108" w:type="dxa"/>
              <w:bottom w:w="0" w:type="dxa"/>
              <w:right w:w="108" w:type="dxa"/>
            </w:tcMar>
            <w:vAlign w:val="center"/>
          </w:tcPr>
          <w:p w14:paraId="7DC29C40">
            <w:pPr>
              <w:spacing w:line="360" w:lineRule="auto"/>
              <w:ind w:firstLine="420" w:firstLineChars="200"/>
              <w:rPr>
                <w:rFonts w:hint="eastAsia" w:ascii="仿宋" w:hAnsi="仿宋" w:eastAsia="仿宋" w:cs="仿宋"/>
                <w:color w:val="auto"/>
                <w:szCs w:val="21"/>
                <w:highlight w:val="none"/>
              </w:rPr>
            </w:pPr>
          </w:p>
        </w:tc>
      </w:tr>
      <w:tr w14:paraId="26CA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5000" w:type="pct"/>
            <w:gridSpan w:val="4"/>
            <w:tcMar>
              <w:top w:w="0" w:type="dxa"/>
              <w:left w:w="108" w:type="dxa"/>
              <w:bottom w:w="0" w:type="dxa"/>
              <w:right w:w="108" w:type="dxa"/>
            </w:tcMar>
            <w:vAlign w:val="center"/>
          </w:tcPr>
          <w:p w14:paraId="0CFB3D9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43F84BEB">
      <w:pPr>
        <w:rPr>
          <w:rFonts w:hint="eastAsia"/>
          <w:color w:val="auto"/>
          <w:highlight w:val="none"/>
        </w:rPr>
      </w:pPr>
    </w:p>
    <w:p w14:paraId="6B8902D8">
      <w:pPr>
        <w:rPr>
          <w:rFonts w:hint="eastAsia" w:ascii="仿宋" w:hAnsi="仿宋" w:eastAsia="仿宋" w:cs="仿宋"/>
          <w:color w:val="auto"/>
          <w:highlight w:val="none"/>
        </w:rPr>
      </w:pPr>
    </w:p>
    <w:p w14:paraId="43D4F20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8" w:name="_Toc906"/>
      <w:r>
        <w:rPr>
          <w:rFonts w:hint="eastAsia" w:ascii="仿宋" w:hAnsi="仿宋" w:eastAsia="仿宋" w:cs="仿宋"/>
          <w:b/>
          <w:color w:val="auto"/>
          <w:sz w:val="24"/>
          <w:szCs w:val="24"/>
          <w:highlight w:val="none"/>
        </w:rPr>
        <w:t>一、评标方法</w:t>
      </w:r>
      <w:bookmarkEnd w:id="54"/>
      <w:bookmarkEnd w:id="55"/>
      <w:bookmarkEnd w:id="56"/>
      <w:bookmarkEnd w:id="58"/>
    </w:p>
    <w:p w14:paraId="13F955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46145B2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9" w:name="_Toc12400"/>
      <w:bookmarkStart w:id="60" w:name="_Toc32415"/>
      <w:bookmarkStart w:id="61" w:name="_Toc115977388"/>
      <w:bookmarkStart w:id="62" w:name="_Toc8393"/>
      <w:r>
        <w:rPr>
          <w:rFonts w:hint="eastAsia" w:ascii="仿宋" w:hAnsi="仿宋" w:eastAsia="仿宋" w:cs="仿宋"/>
          <w:b/>
          <w:color w:val="auto"/>
          <w:sz w:val="24"/>
          <w:szCs w:val="24"/>
          <w:highlight w:val="none"/>
        </w:rPr>
        <w:t>二、评审标准</w:t>
      </w:r>
      <w:bookmarkEnd w:id="59"/>
      <w:bookmarkEnd w:id="60"/>
      <w:bookmarkEnd w:id="61"/>
      <w:bookmarkEnd w:id="62"/>
    </w:p>
    <w:p w14:paraId="4CCA90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5CA04A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w:t>
      </w:r>
      <w:r>
        <w:rPr>
          <w:rFonts w:hint="eastAsia" w:ascii="仿宋" w:hAnsi="仿宋" w:eastAsia="仿宋" w:cs="仿宋"/>
          <w:color w:val="auto"/>
          <w:kern w:val="0"/>
          <w:sz w:val="24"/>
          <w:szCs w:val="24"/>
          <w:highlight w:val="none"/>
          <w:lang w:eastAsia="zh-CN"/>
        </w:rPr>
        <w:t>符合性审查标准</w:t>
      </w:r>
      <w:r>
        <w:rPr>
          <w:rFonts w:hint="eastAsia" w:ascii="仿宋" w:hAnsi="仿宋" w:eastAsia="仿宋" w:cs="仿宋"/>
          <w:color w:val="auto"/>
          <w:kern w:val="0"/>
          <w:sz w:val="24"/>
          <w:szCs w:val="24"/>
          <w:highlight w:val="none"/>
        </w:rPr>
        <w:t>》。</w:t>
      </w:r>
    </w:p>
    <w:p w14:paraId="0E51CC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 投标品牌：评审因素和评审标准见本节第3.5款。</w:t>
      </w:r>
    </w:p>
    <w:p w14:paraId="30AA60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2.4详细评审：</w:t>
      </w:r>
    </w:p>
    <w:p w14:paraId="386D44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2.4.1详细评审：评审因素和评审标准见《详细评审标准》及本节第3.6款。</w:t>
      </w:r>
    </w:p>
    <w:p w14:paraId="6E11F5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投标报价评分标准：</w:t>
      </w:r>
    </w:p>
    <w:p w14:paraId="6F2905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（1）分值构成：见评标办法前附表。</w:t>
      </w:r>
    </w:p>
    <w:p w14:paraId="16D086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（2）评标基准价的确定：见评标办法前附表。</w:t>
      </w:r>
    </w:p>
    <w:p w14:paraId="0B3F32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7573A70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63" w:name="_Toc24086"/>
      <w:bookmarkStart w:id="64" w:name="_Toc9604"/>
      <w:bookmarkStart w:id="65" w:name="_Toc115977389"/>
      <w:bookmarkStart w:id="66" w:name="_Toc23859"/>
      <w:r>
        <w:rPr>
          <w:rFonts w:hint="eastAsia" w:ascii="仿宋" w:hAnsi="仿宋" w:eastAsia="仿宋" w:cs="仿宋"/>
          <w:b/>
          <w:color w:val="auto"/>
          <w:sz w:val="24"/>
          <w:szCs w:val="24"/>
          <w:highlight w:val="none"/>
        </w:rPr>
        <w:t>三、评标程序</w:t>
      </w:r>
      <w:bookmarkEnd w:id="63"/>
      <w:bookmarkEnd w:id="64"/>
      <w:bookmarkEnd w:id="65"/>
      <w:bookmarkEnd w:id="66"/>
    </w:p>
    <w:p w14:paraId="23B1BE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4C7008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37E3644E">
      <w:pPr>
        <w:pStyle w:val="199"/>
        <w:widowControl/>
        <w:numPr>
          <w:ilvl w:val="0"/>
          <w:numId w:val="1"/>
        </w:numPr>
        <w:shd w:val="clear" w:color="auto" w:fill="FFFFFF"/>
        <w:snapToGrid w:val="0"/>
        <w:spacing w:line="360" w:lineRule="auto"/>
        <w:ind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评标准备</w:t>
      </w:r>
    </w:p>
    <w:p w14:paraId="345949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463E83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587E87B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 投标品牌统计</w:t>
      </w:r>
    </w:p>
    <w:p w14:paraId="2CE4F5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 详细评审</w:t>
      </w:r>
    </w:p>
    <w:p w14:paraId="1303D4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 澄清、说明或补正</w:t>
      </w:r>
    </w:p>
    <w:p w14:paraId="1DE935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 推荐中标候选人及提交评标报告</w:t>
      </w:r>
    </w:p>
    <w:p w14:paraId="605A52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24907C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47E99D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622A39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1C57A9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638B1D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3271F0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255ED3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（2）汇总各评标委员会成员认为需要投标人澄清、说明或者补正的问题；</w:t>
      </w:r>
    </w:p>
    <w:p w14:paraId="306129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（3）组织评标委员会对投标人质询并对投标人的答复进行评审；</w:t>
      </w:r>
    </w:p>
    <w:p w14:paraId="1C2DEF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1B5033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7D02A0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78DE77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2C262F6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4F5C87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评标委员会主任应当组织评标委员会成员认真研究招标文件，了解和熟悉招标目的、招标范围、技术标准和要求，掌握评标标准和方法。</w:t>
      </w:r>
    </w:p>
    <w:p w14:paraId="4D9CE5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0E5E4C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6C06DE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3FF961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4604CF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56F98D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27AD19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106117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70FC6D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693973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794876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0B72E0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473235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3.4.4政府采购评审中出现下列情形之一的，评审委员会应当启动异常低价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审查程序：</w:t>
      </w:r>
    </w:p>
    <w:p w14:paraId="034539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低于全部通过符合性审查</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平均值50%的，即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&lt;全部通过符合性审查</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平均值×50%；</w:t>
      </w:r>
    </w:p>
    <w:p w14:paraId="5D6F6B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低于通过符合性审查的次低报价</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50%的，即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&lt;通过符合性审查的次低报价</w:t>
      </w:r>
      <w:r>
        <w:rPr>
          <w:rFonts w:hint="eastAsia" w:ascii="仿宋" w:hAnsi="仿宋" w:eastAsia="仿宋" w:cs="仿宋"/>
          <w:color w:val="auto"/>
          <w:kern w:val="0"/>
          <w:sz w:val="24"/>
          <w:szCs w:val="24"/>
          <w:highlight w:val="none"/>
          <w:lang w:eastAsia="zh-CN"/>
        </w:rPr>
        <w:t>投标人投标报价</w:t>
      </w:r>
      <w:r>
        <w:rPr>
          <w:rFonts w:hint="eastAsia" w:ascii="仿宋" w:hAnsi="仿宋" w:eastAsia="仿宋" w:cs="仿宋"/>
          <w:color w:val="auto"/>
          <w:kern w:val="0"/>
          <w:sz w:val="24"/>
          <w:szCs w:val="24"/>
          <w:highlight w:val="none"/>
        </w:rPr>
        <w:t>×50%；</w:t>
      </w:r>
    </w:p>
    <w:p w14:paraId="2B4B5B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低于采购项目最高限价45%的，即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&lt;采购项目最高限价×45%；</w:t>
      </w:r>
    </w:p>
    <w:p w14:paraId="4A7A0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评审委员会基于专业判断，认为</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报价过低，有可能影响产品质量或者不能诚信履约的其他情形。</w:t>
      </w:r>
    </w:p>
    <w:p w14:paraId="5BA4D5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3.4.5评审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投标人已随投标文件一并提交相关书面说明及必要的证明材料的，在评审现场可不再重复提交。</w:t>
      </w:r>
    </w:p>
    <w:p w14:paraId="05AC0738">
      <w:pPr>
        <w:widowControl/>
        <w:shd w:val="clear" w:color="auto" w:fill="FFFFFF"/>
        <w:snapToGrid w:val="0"/>
        <w:spacing w:line="360" w:lineRule="auto"/>
        <w:ind w:firstLine="480" w:firstLineChars="200"/>
        <w:rPr>
          <w:color w:val="auto"/>
          <w:highlight w:val="none"/>
        </w:rPr>
      </w:pPr>
      <w:r>
        <w:rPr>
          <w:rFonts w:hint="eastAsia" w:ascii="仿宋" w:hAnsi="仿宋" w:eastAsia="仿宋" w:cs="仿宋"/>
          <w:color w:val="auto"/>
          <w:kern w:val="0"/>
          <w:sz w:val="24"/>
          <w:szCs w:val="24"/>
          <w:highlight w:val="none"/>
          <w:lang w:val="en-US" w:eastAsia="zh-CN"/>
        </w:rPr>
        <w:t>3.4.6</w:t>
      </w:r>
      <w:r>
        <w:rPr>
          <w:rFonts w:hint="default" w:ascii="仿宋" w:hAnsi="仿宋" w:eastAsia="仿宋" w:cs="仿宋"/>
          <w:color w:val="auto"/>
          <w:kern w:val="0"/>
          <w:sz w:val="24"/>
          <w:szCs w:val="24"/>
          <w:highlight w:val="none"/>
          <w:lang w:val="en-US" w:eastAsia="zh-CN"/>
        </w:rPr>
        <w:t>评审委员会依据专业经验，参考同类项目中标价格、类似产品市场价格水平、行业人工费用标准、国家有关部门指导行业协会发布的行业平均成本等情况，对报价合理性进行判断。</w:t>
      </w:r>
      <w:r>
        <w:rPr>
          <w:rFonts w:hint="eastAsia" w:ascii="仿宋" w:hAnsi="仿宋" w:eastAsia="仿宋" w:cs="仿宋"/>
          <w:color w:val="auto"/>
          <w:kern w:val="0"/>
          <w:sz w:val="24"/>
          <w:szCs w:val="24"/>
          <w:highlight w:val="none"/>
          <w:lang w:val="en-US" w:eastAsia="zh-CN"/>
        </w:rPr>
        <w:t>投标</w:t>
      </w:r>
      <w:r>
        <w:rPr>
          <w:rFonts w:hint="default" w:ascii="仿宋" w:hAnsi="仿宋" w:eastAsia="仿宋" w:cs="仿宋"/>
          <w:color w:val="auto"/>
          <w:kern w:val="0"/>
          <w:sz w:val="24"/>
          <w:szCs w:val="24"/>
          <w:highlight w:val="none"/>
          <w:lang w:val="en-US" w:eastAsia="zh-CN"/>
        </w:rPr>
        <w:t>供应商不能提供书面说明、证明材料，或者提供的书面说明、证明材料不能证明其报价合理性的，评审委员会应当将其作为无效</w:t>
      </w:r>
      <w:r>
        <w:rPr>
          <w:rFonts w:hint="eastAsia" w:ascii="仿宋" w:hAnsi="仿宋" w:eastAsia="仿宋" w:cs="仿宋"/>
          <w:color w:val="auto"/>
          <w:kern w:val="0"/>
          <w:sz w:val="24"/>
          <w:szCs w:val="24"/>
          <w:highlight w:val="none"/>
          <w:lang w:val="en-US" w:eastAsia="zh-CN"/>
        </w:rPr>
        <w:t>投标</w:t>
      </w:r>
      <w:r>
        <w:rPr>
          <w:rFonts w:hint="default" w:ascii="仿宋" w:hAnsi="仿宋" w:eastAsia="仿宋" w:cs="仿宋"/>
          <w:color w:val="auto"/>
          <w:kern w:val="0"/>
          <w:sz w:val="24"/>
          <w:szCs w:val="24"/>
          <w:highlight w:val="none"/>
          <w:lang w:val="en-US" w:eastAsia="zh-CN"/>
        </w:rPr>
        <w:t>处理。</w:t>
      </w:r>
    </w:p>
    <w:p w14:paraId="492459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投标品牌统计</w:t>
      </w:r>
    </w:p>
    <w:p w14:paraId="49E380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3.5.1.由评标委员会根据投标人所报核心产品品牌统计计算投标人家数。</w:t>
      </w:r>
    </w:p>
    <w:p w14:paraId="1483950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3.5.2如招标文件前附表中约定了单一产品或核心产品，则提供相同品牌产品且通过资格审查、完备性及符合性审查的不同投标人参加同一合同项下投标的，按一家投标人计算。</w:t>
      </w:r>
    </w:p>
    <w:p w14:paraId="72BC55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3.6详细评审</w:t>
      </w:r>
    </w:p>
    <w:p w14:paraId="57C047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3.6.1.只有通过了资格审查、完备性及符合性审查且投标品牌不少于3个方可进入详细评审。</w:t>
      </w:r>
    </w:p>
    <w:p w14:paraId="1AF93E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 澄清、说明和补正</w:t>
      </w:r>
    </w:p>
    <w:p w14:paraId="7E8094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7E00B1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3.6.2.2澄清、说明和补正内容不得改变投标文件的实质性内容（算术性错误修正的除外）。投标人的书面澄清、说明和补正属于投标文件的组成部分。</w:t>
      </w:r>
    </w:p>
    <w:p w14:paraId="292310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7E8737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3.6.2.4评标委员会对投标人提交的澄清、说明或补正有疑问的，可以要求投标人进一步澄清、说明或补正，直至满足评标委员会的要求。</w:t>
      </w:r>
    </w:p>
    <w:p w14:paraId="3492EE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3.6.3评委评分：评委按照《详细评审标准》评分，投标人详细评审得分等于全部评委评分的算术平均值。</w:t>
      </w:r>
    </w:p>
    <w:p w14:paraId="4B282E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 算术错误修正：投标价格有算术错误或前后不一致的，评标委员会按以下原则对投标价格进行修正：</w:t>
      </w:r>
    </w:p>
    <w:p w14:paraId="3E4ABC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电子交易平台中报价与投标文件相应内容不一致的，以投标文件为准；</w:t>
      </w:r>
    </w:p>
    <w:p w14:paraId="0E654E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开标一览表与投标文件中相应内容不一致的，以开标一览表为准；</w:t>
      </w:r>
    </w:p>
    <w:p w14:paraId="3C78C8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大写金额和小写金额不一致的，以大写金额为准；</w:t>
      </w:r>
    </w:p>
    <w:p w14:paraId="400E89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单价金额小数点或者百分比有明显错位的，以开标一览表的总价为准，并修改单价；</w:t>
      </w:r>
    </w:p>
    <w:p w14:paraId="74F7A5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总价金额与按单价汇总金额不一致的，以单价金额计算结果为准。</w:t>
      </w:r>
    </w:p>
    <w:p w14:paraId="20751C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同时出现两种以上不一致的，按照3.6.4</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的顺序修正。修正后的报价经投标人确认后产生约束力，投标人不确认或不接受的，其投标无效。</w:t>
      </w:r>
    </w:p>
    <w:p w14:paraId="07A776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3.6.5投标报价评分：对投标报价进行投标报价得分计算，计算方法详见评标办法前附表。</w:t>
      </w:r>
    </w:p>
    <w:p w14:paraId="33A783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3.6.6汇总评分结果，评分分值计算保留小数点后两位，小数点后第三位“四舍五入”。</w:t>
      </w:r>
    </w:p>
    <w:p w14:paraId="343BF6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3.6.7详细评审工作全部结束后，投标人总得分排序按照以下原则进行。</w:t>
      </w:r>
    </w:p>
    <w:p w14:paraId="2C88BC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3.6.7.1按照总得分由高到低顺序对投标人进行排序；</w:t>
      </w:r>
    </w:p>
    <w:p w14:paraId="33229C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3.6.7.2总得分相同时报价低的投标人排序靠前；</w:t>
      </w:r>
    </w:p>
    <w:p w14:paraId="517AA1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3.6.7.3总得分相同且报价相同的同品牌投标人，由采购人确定排序顺序；</w:t>
      </w:r>
    </w:p>
    <w:p w14:paraId="1138E8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3.6.7.4总得分相同且报价相同的不同品牌投标人，采取随机抽取方式确定排序顺序。</w:t>
      </w:r>
    </w:p>
    <w:p w14:paraId="3EF936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3.7推荐中标候选人及提交评标报告</w:t>
      </w:r>
    </w:p>
    <w:p w14:paraId="7FE2BC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3.7.1评标委员会推荐中标候选人，总得分排序第一的投标人将被确定为第一中标候选人（总得分排序最高的同品牌投标人获得中标候选人推荐资格，其它同品牌投标人不作为中标候选人），以此类推确定出规定数量的的中标候选人。</w:t>
      </w:r>
    </w:p>
    <w:p w14:paraId="43B327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3.7.2当通过了资格审查、完备性及符合性审查后，投标品牌少于3个时，采购人应当依法重新招标。</w:t>
      </w:r>
    </w:p>
    <w:p w14:paraId="7E5BDD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3.7.3 评标委员会完成评标后，应当向采购人提交书面评标报告。</w:t>
      </w:r>
    </w:p>
    <w:p w14:paraId="18F934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3.8特殊情况的处置程序</w:t>
      </w:r>
    </w:p>
    <w:p w14:paraId="3EE558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3.8.1 关于评标活动暂停</w:t>
      </w:r>
    </w:p>
    <w:p w14:paraId="4D6C8F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74508C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3.8.2关于评标中途更换评委</w:t>
      </w:r>
    </w:p>
    <w:p w14:paraId="6AE226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3.8.2.1 除非发生下列情况之一，评标委员会成员不得在评标中途更换：</w:t>
      </w:r>
    </w:p>
    <w:p w14:paraId="2A18A0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55D8EF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67A64F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3.8.2.2 退出评标的评标委员会成员，其已完成的评标行为无效，由更换的评委进行评标。</w:t>
      </w:r>
    </w:p>
    <w:p w14:paraId="285A0F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3.8.3 在评标环节中，需评标委员会就某项定性的评审结论做出表决的，由评标委员会全体成员按照少数服从多数的原则确定。</w:t>
      </w:r>
    </w:p>
    <w:bookmarkEnd w:id="57"/>
    <w:p w14:paraId="4109DD7D">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902AA74">
      <w:pPr>
        <w:spacing w:line="440" w:lineRule="exact"/>
        <w:jc w:val="center"/>
        <w:outlineLvl w:val="0"/>
        <w:rPr>
          <w:rFonts w:hint="eastAsia" w:ascii="仿宋" w:hAnsi="仿宋" w:eastAsia="仿宋" w:cs="仿宋"/>
          <w:b/>
          <w:color w:val="auto"/>
          <w:sz w:val="24"/>
          <w:szCs w:val="24"/>
          <w:highlight w:val="none"/>
        </w:rPr>
      </w:pPr>
      <w:bookmarkStart w:id="67" w:name="_Toc9270"/>
      <w:bookmarkStart w:id="68" w:name="_Toc24957"/>
      <w:r>
        <w:rPr>
          <w:rFonts w:hint="eastAsia" w:ascii="仿宋" w:hAnsi="仿宋" w:eastAsia="仿宋" w:cs="仿宋"/>
          <w:b/>
          <w:color w:val="auto"/>
          <w:sz w:val="24"/>
          <w:szCs w:val="24"/>
          <w:highlight w:val="none"/>
        </w:rPr>
        <w:t>第三章 合同文本</w:t>
      </w:r>
      <w:bookmarkEnd w:id="67"/>
      <w:bookmarkEnd w:id="68"/>
    </w:p>
    <w:p w14:paraId="67F0628B">
      <w:pPr>
        <w:rPr>
          <w:rFonts w:hint="eastAsia" w:ascii="仿宋" w:hAnsi="仿宋" w:eastAsia="仿宋" w:cs="仿宋"/>
          <w:color w:val="auto"/>
          <w:highlight w:val="none"/>
        </w:rPr>
      </w:pPr>
    </w:p>
    <w:p w14:paraId="5A2DB1F4">
      <w:pPr>
        <w:pStyle w:val="8"/>
        <w:spacing w:line="360" w:lineRule="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注：本合同供参考，具体内容以双方签订的为准。</w:t>
      </w:r>
    </w:p>
    <w:p w14:paraId="6F298C00">
      <w:pPr>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甲   方：</w:t>
      </w:r>
      <w:r>
        <w:rPr>
          <w:rFonts w:hint="eastAsia" w:ascii="仿宋" w:hAnsi="仿宋" w:eastAsia="仿宋" w:cs="仿宋"/>
          <w:b/>
          <w:color w:val="auto"/>
          <w:sz w:val="24"/>
          <w:szCs w:val="24"/>
          <w:highlight w:val="none"/>
          <w:lang w:eastAsia="zh-CN"/>
        </w:rPr>
        <w:t>新疆阿勒泰地区人民医院</w:t>
      </w:r>
    </w:p>
    <w:p w14:paraId="2C26E1B2">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乙   方： </w:t>
      </w:r>
    </w:p>
    <w:p w14:paraId="752ED37D">
      <w:pPr>
        <w:pStyle w:val="32"/>
        <w:spacing w:before="0" w:beforeAutospacing="0" w:after="0" w:afterAutospacing="0" w:line="360" w:lineRule="auto"/>
        <w:ind w:left="-197" w:leftChars="-94" w:right="-172" w:rightChars="-82" w:firstLine="419"/>
        <w:rPr>
          <w:rFonts w:hint="eastAsia" w:ascii="仿宋" w:hAnsi="仿宋" w:eastAsia="仿宋" w:cs="仿宋"/>
          <w:color w:val="auto"/>
          <w:highlight w:val="none"/>
        </w:rPr>
      </w:pPr>
      <w:r>
        <w:rPr>
          <w:rFonts w:hint="eastAsia" w:ascii="仿宋" w:hAnsi="仿宋" w:eastAsia="仿宋" w:cs="仿宋"/>
          <w:color w:val="auto"/>
          <w:highlight w:val="none"/>
          <w:lang w:eastAsia="zh-CN"/>
        </w:rPr>
        <w:t>新疆阿勒泰地区人民医院</w:t>
      </w:r>
      <w:r>
        <w:rPr>
          <w:rFonts w:hint="eastAsia" w:ascii="仿宋" w:hAnsi="仿宋" w:eastAsia="仿宋" w:cs="仿宋"/>
          <w:color w:val="auto"/>
          <w:highlight w:val="none"/>
        </w:rPr>
        <w:t>委托</w:t>
      </w:r>
      <w:r>
        <w:rPr>
          <w:rFonts w:hint="eastAsia" w:ascii="仿宋" w:hAnsi="仿宋" w:eastAsia="仿宋" w:cs="仿宋"/>
          <w:bCs/>
          <w:color w:val="auto"/>
          <w:highlight w:val="none"/>
          <w:u w:val="single"/>
        </w:rPr>
        <w:t xml:space="preserve">       </w:t>
      </w:r>
      <w:r>
        <w:rPr>
          <w:rFonts w:hint="eastAsia" w:ascii="仿宋" w:hAnsi="仿宋" w:eastAsia="仿宋" w:cs="仿宋"/>
          <w:color w:val="auto"/>
          <w:highlight w:val="none"/>
        </w:rPr>
        <w:t>于</w:t>
      </w:r>
      <w:r>
        <w:rPr>
          <w:rFonts w:hint="eastAsia" w:ascii="仿宋" w:hAnsi="仿宋" w:eastAsia="仿宋" w:cs="仿宋"/>
          <w:color w:val="auto"/>
          <w:highlight w:val="none"/>
          <w:u w:val="single"/>
        </w:rPr>
        <w:t xml:space="preserve">  年  月  日</w:t>
      </w:r>
      <w:r>
        <w:rPr>
          <w:rFonts w:hint="eastAsia" w:ascii="仿宋" w:hAnsi="仿宋" w:eastAsia="仿宋" w:cs="仿宋"/>
          <w:color w:val="auto"/>
          <w:highlight w:val="none"/>
        </w:rPr>
        <w:t>组织的</w:t>
      </w:r>
      <w:r>
        <w:rPr>
          <w:rFonts w:hint="eastAsia" w:ascii="仿宋" w:hAnsi="仿宋" w:eastAsia="仿宋" w:cs="仿宋"/>
          <w:color w:val="auto"/>
          <w:highlight w:val="none"/>
          <w:u w:val="single"/>
        </w:rPr>
        <w:t xml:space="preserve">   </w:t>
      </w:r>
      <w:r>
        <w:rPr>
          <w:rFonts w:hint="eastAsia" w:ascii="仿宋" w:hAnsi="仿宋" w:eastAsia="仿宋" w:cs="仿宋"/>
          <w:bCs/>
          <w:color w:val="auto"/>
          <w:highlight w:val="none"/>
          <w:u w:val="single"/>
        </w:rPr>
        <w:t>项目名称</w:t>
      </w:r>
      <w:r>
        <w:rPr>
          <w:rFonts w:hint="eastAsia" w:ascii="仿宋" w:hAnsi="仿宋" w:eastAsia="仿宋" w:cs="仿宋"/>
          <w:color w:val="auto"/>
          <w:highlight w:val="none"/>
        </w:rPr>
        <w:t>的公开采购中，经评定，乙方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为中标方，最终中标总金额为人民币</w:t>
      </w:r>
      <w:r>
        <w:rPr>
          <w:rFonts w:hint="eastAsia" w:ascii="仿宋" w:hAnsi="仿宋" w:eastAsia="仿宋" w:cs="仿宋"/>
          <w:color w:val="auto"/>
          <w:highlight w:val="none"/>
          <w:u w:val="single"/>
        </w:rPr>
        <w:t>￥xxx元。</w:t>
      </w:r>
      <w:r>
        <w:rPr>
          <w:rFonts w:hint="eastAsia" w:ascii="仿宋" w:hAnsi="仿宋" w:eastAsia="仿宋" w:cs="仿宋"/>
          <w:color w:val="auto"/>
          <w:highlight w:val="none"/>
        </w:rPr>
        <w:t>根据《中华人民共和国政府采购法》和《中华人民共和国民法典合同法》的规定，按照公平、公正、平等自愿和诚实信用、协商一致的原则，甲、乙双方授权代表就所供设备的购销、安装、调试和售后服务等事宜达成如下条款。</w:t>
      </w:r>
    </w:p>
    <w:p w14:paraId="6EEE6358">
      <w:pPr>
        <w:numPr>
          <w:ilvl w:val="0"/>
          <w:numId w:val="0"/>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en-US" w:eastAsia="zh-CN" w:bidi="ar-SA"/>
        </w:rPr>
        <w:t>一、</w:t>
      </w:r>
      <w:r>
        <w:rPr>
          <w:rFonts w:hint="eastAsia" w:ascii="仿宋" w:hAnsi="仿宋" w:eastAsia="仿宋" w:cs="仿宋"/>
          <w:b/>
          <w:color w:val="auto"/>
          <w:sz w:val="24"/>
          <w:szCs w:val="24"/>
          <w:highlight w:val="none"/>
        </w:rPr>
        <w:t>货物名称、型号、数量及价格</w:t>
      </w:r>
    </w:p>
    <w:tbl>
      <w:tblPr>
        <w:tblStyle w:val="38"/>
        <w:tblW w:w="9075" w:type="dxa"/>
        <w:jc w:val="center"/>
        <w:tblLayout w:type="fixed"/>
        <w:tblCellMar>
          <w:top w:w="0" w:type="dxa"/>
          <w:left w:w="0" w:type="dxa"/>
          <w:bottom w:w="0" w:type="dxa"/>
          <w:right w:w="0" w:type="dxa"/>
        </w:tblCellMar>
      </w:tblPr>
      <w:tblGrid>
        <w:gridCol w:w="682"/>
        <w:gridCol w:w="2296"/>
        <w:gridCol w:w="1830"/>
        <w:gridCol w:w="686"/>
        <w:gridCol w:w="1454"/>
        <w:gridCol w:w="1173"/>
        <w:gridCol w:w="954"/>
      </w:tblGrid>
      <w:tr w14:paraId="534D55A0">
        <w:tblPrEx>
          <w:tblCellMar>
            <w:top w:w="0" w:type="dxa"/>
            <w:left w:w="0" w:type="dxa"/>
            <w:bottom w:w="0" w:type="dxa"/>
            <w:right w:w="0" w:type="dxa"/>
          </w:tblCellMar>
        </w:tblPrEx>
        <w:trPr>
          <w:trHeight w:val="28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8DD5E">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06FD9">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货物名称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99C8">
            <w:pPr>
              <w:widowControl/>
              <w:snapToGrid w:val="0"/>
              <w:spacing w:line="360" w:lineRule="auto"/>
              <w:jc w:val="center"/>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规格型号</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C9D3F">
            <w:pPr>
              <w:widowControl/>
              <w:snapToGrid w:val="0"/>
              <w:spacing w:line="360" w:lineRule="auto"/>
              <w:jc w:val="center"/>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数量</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66BF8">
            <w:pPr>
              <w:widowControl/>
              <w:snapToGrid w:val="0"/>
              <w:spacing w:line="360" w:lineRule="auto"/>
              <w:jc w:val="center"/>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制造商</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9B344">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单价</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12AE5">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合价</w:t>
            </w:r>
          </w:p>
        </w:tc>
      </w:tr>
      <w:tr w14:paraId="152737D1">
        <w:tblPrEx>
          <w:tblCellMar>
            <w:top w:w="0" w:type="dxa"/>
            <w:left w:w="0" w:type="dxa"/>
            <w:bottom w:w="0" w:type="dxa"/>
            <w:right w:w="0" w:type="dxa"/>
          </w:tblCellMar>
        </w:tblPrEx>
        <w:trPr>
          <w:trHeight w:val="21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9A0DC">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43FD6">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62496">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FFCDB">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DFB72">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14C3D">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79F7C">
            <w:pPr>
              <w:widowControl/>
              <w:snapToGrid w:val="0"/>
              <w:spacing w:line="360" w:lineRule="auto"/>
              <w:textAlignment w:val="center"/>
              <w:rPr>
                <w:rFonts w:hint="eastAsia" w:ascii="仿宋" w:hAnsi="仿宋" w:eastAsia="仿宋" w:cs="仿宋"/>
                <w:color w:val="auto"/>
                <w:sz w:val="24"/>
                <w:szCs w:val="24"/>
                <w:highlight w:val="none"/>
              </w:rPr>
            </w:pPr>
          </w:p>
        </w:tc>
      </w:tr>
      <w:tr w14:paraId="7018BDC2">
        <w:tblPrEx>
          <w:tblCellMar>
            <w:top w:w="0" w:type="dxa"/>
            <w:left w:w="0" w:type="dxa"/>
            <w:bottom w:w="0" w:type="dxa"/>
            <w:right w:w="0" w:type="dxa"/>
          </w:tblCellMar>
        </w:tblPrEx>
        <w:trPr>
          <w:trHeight w:val="229"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3B528">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93A39">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DF916">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C3C4C">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22092">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E6A44">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F04E0">
            <w:pPr>
              <w:widowControl/>
              <w:snapToGrid w:val="0"/>
              <w:spacing w:line="360" w:lineRule="auto"/>
              <w:textAlignment w:val="center"/>
              <w:rPr>
                <w:rFonts w:hint="eastAsia" w:ascii="仿宋" w:hAnsi="仿宋" w:eastAsia="仿宋" w:cs="仿宋"/>
                <w:color w:val="auto"/>
                <w:sz w:val="24"/>
                <w:szCs w:val="24"/>
                <w:highlight w:val="none"/>
              </w:rPr>
            </w:pPr>
          </w:p>
        </w:tc>
      </w:tr>
      <w:tr w14:paraId="399DC881">
        <w:tblPrEx>
          <w:tblCellMar>
            <w:top w:w="0" w:type="dxa"/>
            <w:left w:w="0" w:type="dxa"/>
            <w:bottom w:w="0" w:type="dxa"/>
            <w:right w:w="0" w:type="dxa"/>
          </w:tblCellMar>
        </w:tblPrEx>
        <w:trPr>
          <w:trHeight w:val="23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66B77">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7A3D7">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15A4E">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DAF4A">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30AD8">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2381C">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B65D5">
            <w:pPr>
              <w:widowControl/>
              <w:snapToGrid w:val="0"/>
              <w:spacing w:line="360" w:lineRule="auto"/>
              <w:textAlignment w:val="center"/>
              <w:rPr>
                <w:rFonts w:hint="eastAsia" w:ascii="仿宋" w:hAnsi="仿宋" w:eastAsia="仿宋" w:cs="仿宋"/>
                <w:color w:val="auto"/>
                <w:sz w:val="24"/>
                <w:szCs w:val="24"/>
                <w:highlight w:val="none"/>
              </w:rPr>
            </w:pPr>
          </w:p>
        </w:tc>
      </w:tr>
      <w:tr w14:paraId="3F3E16E6">
        <w:tblPrEx>
          <w:tblCellMar>
            <w:top w:w="0" w:type="dxa"/>
            <w:left w:w="0" w:type="dxa"/>
            <w:bottom w:w="0" w:type="dxa"/>
            <w:right w:w="0" w:type="dxa"/>
          </w:tblCellMar>
        </w:tblPrEx>
        <w:trPr>
          <w:trHeight w:val="22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08CB1">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EC35">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ACBB6">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032E8">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76085">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63C1">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74289">
            <w:pPr>
              <w:widowControl/>
              <w:snapToGrid w:val="0"/>
              <w:spacing w:line="360" w:lineRule="auto"/>
              <w:textAlignment w:val="center"/>
              <w:rPr>
                <w:rFonts w:hint="eastAsia" w:ascii="仿宋" w:hAnsi="仿宋" w:eastAsia="仿宋" w:cs="仿宋"/>
                <w:color w:val="auto"/>
                <w:sz w:val="24"/>
                <w:szCs w:val="24"/>
                <w:highlight w:val="none"/>
              </w:rPr>
            </w:pPr>
          </w:p>
        </w:tc>
      </w:tr>
      <w:tr w14:paraId="1A7038BA">
        <w:tblPrEx>
          <w:tblCellMar>
            <w:top w:w="0" w:type="dxa"/>
            <w:left w:w="0" w:type="dxa"/>
            <w:bottom w:w="0" w:type="dxa"/>
            <w:right w:w="0" w:type="dxa"/>
          </w:tblCellMar>
        </w:tblPrEx>
        <w:trPr>
          <w:trHeight w:val="367" w:hRule="atLeast"/>
          <w:jc w:val="center"/>
        </w:trPr>
        <w:tc>
          <w:tcPr>
            <w:tcW w:w="9075" w:type="dxa"/>
            <w:gridSpan w:val="7"/>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15DBF8">
            <w:pPr>
              <w:widowControl/>
              <w:snapToGrid w:val="0"/>
              <w:spacing w:line="360" w:lineRule="auto"/>
              <w:jc w:val="left"/>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总计（大写）</w:t>
            </w:r>
            <w:bookmarkStart w:id="69" w:name="_Hlk147664522"/>
            <w:r>
              <w:rPr>
                <w:rFonts w:hint="eastAsia" w:ascii="仿宋" w:hAnsi="仿宋" w:eastAsia="仿宋" w:cs="仿宋"/>
                <w:b/>
                <w:color w:val="auto"/>
                <w:kern w:val="0"/>
                <w:sz w:val="24"/>
                <w:szCs w:val="24"/>
                <w:highlight w:val="none"/>
                <w:lang w:bidi="ar"/>
              </w:rPr>
              <w:t>人民币</w:t>
            </w:r>
            <w:bookmarkEnd w:id="69"/>
            <w:r>
              <w:rPr>
                <w:rFonts w:hint="eastAsia" w:ascii="仿宋" w:hAnsi="仿宋" w:eastAsia="仿宋" w:cs="仿宋"/>
                <w:b/>
                <w:color w:val="auto"/>
                <w:kern w:val="0"/>
                <w:sz w:val="24"/>
                <w:szCs w:val="24"/>
                <w:highlight w:val="none"/>
                <w:lang w:bidi="ar"/>
              </w:rPr>
              <w:t>xxxxx   ￥xxxxxx</w:t>
            </w:r>
          </w:p>
        </w:tc>
      </w:tr>
    </w:tbl>
    <w:p w14:paraId="60732DEB">
      <w:pPr>
        <w:tabs>
          <w:tab w:val="left" w:pos="775"/>
        </w:tabs>
        <w:spacing w:line="360" w:lineRule="auto"/>
        <w:rPr>
          <w:rFonts w:hint="eastAsia" w:ascii="仿宋" w:hAnsi="仿宋" w:eastAsia="仿宋" w:cs="仿宋"/>
          <w:b/>
          <w:color w:val="auto"/>
          <w:sz w:val="24"/>
          <w:szCs w:val="24"/>
          <w:highlight w:val="none"/>
        </w:rPr>
      </w:pPr>
    </w:p>
    <w:p w14:paraId="0FB23B98">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二、报价币种、合同总价</w:t>
      </w:r>
    </w:p>
    <w:p w14:paraId="2A3A91D3">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本合同总金额为</w:t>
      </w:r>
      <w:r>
        <w:rPr>
          <w:rFonts w:hint="eastAsia" w:ascii="仿宋" w:hAnsi="仿宋" w:eastAsia="仿宋" w:cs="仿宋"/>
          <w:color w:val="auto"/>
          <w:sz w:val="24"/>
          <w:szCs w:val="24"/>
          <w:highlight w:val="none"/>
          <w:u w:val="single"/>
        </w:rPr>
        <w:t>xxxxx元，（大写人民币：xxxxxx元整）</w:t>
      </w:r>
      <w:r>
        <w:rPr>
          <w:rFonts w:hint="eastAsia" w:ascii="仿宋" w:hAnsi="仿宋" w:eastAsia="仿宋" w:cs="仿宋"/>
          <w:color w:val="auto"/>
          <w:sz w:val="24"/>
          <w:szCs w:val="24"/>
          <w:highlight w:val="none"/>
        </w:rPr>
        <w:t>，该费用包括设备、材料、安装、调试、包装、培训、运费、税费等费用。</w:t>
      </w:r>
    </w:p>
    <w:p w14:paraId="6F79AA66">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三、付款方式</w:t>
      </w:r>
    </w:p>
    <w:p w14:paraId="4D6237E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、甲方在签订合同</w:t>
      </w:r>
      <w:r>
        <w:rPr>
          <w:rFonts w:hint="eastAsia" w:ascii="仿宋" w:hAnsi="仿宋" w:eastAsia="仿宋" w:cs="仿宋"/>
          <w:color w:val="auto"/>
          <w:sz w:val="24"/>
          <w:szCs w:val="24"/>
          <w:highlight w:val="none"/>
          <w:lang w:val="en-US" w:eastAsia="zh-CN"/>
        </w:rPr>
        <w:t>后15个工作日</w:t>
      </w:r>
      <w:r>
        <w:rPr>
          <w:rFonts w:hint="eastAsia" w:ascii="仿宋" w:hAnsi="仿宋" w:eastAsia="仿宋" w:cs="仿宋"/>
          <w:color w:val="auto"/>
          <w:sz w:val="24"/>
          <w:szCs w:val="24"/>
          <w:highlight w:val="none"/>
        </w:rPr>
        <w:t>内支付乙方合同总额的30%预付款，即：￥XX元（大写:XX元整）。</w:t>
      </w:r>
    </w:p>
    <w:p w14:paraId="0E3C7C6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、设备全部运抵指定地点并安装调试完毕，经采购人验收合格正常</w:t>
      </w:r>
      <w:r>
        <w:rPr>
          <w:rFonts w:hint="eastAsia" w:ascii="仿宋" w:hAnsi="仿宋" w:eastAsia="仿宋" w:cs="仿宋"/>
          <w:color w:val="auto"/>
          <w:sz w:val="24"/>
          <w:szCs w:val="24"/>
          <w:highlight w:val="none"/>
          <w:lang w:val="en-US" w:eastAsia="zh-CN"/>
        </w:rPr>
        <w:t>运行</w:t>
      </w:r>
      <w:r>
        <w:rPr>
          <w:rFonts w:hint="eastAsia" w:ascii="仿宋" w:hAnsi="仿宋" w:eastAsia="仿宋" w:cs="仿宋"/>
          <w:color w:val="auto"/>
          <w:sz w:val="24"/>
          <w:szCs w:val="24"/>
          <w:highlight w:val="none"/>
        </w:rPr>
        <w:t>半年后支付合同总额的6</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%，即：￥XX元（大写:XX元整）。</w:t>
      </w:r>
    </w:p>
    <w:p w14:paraId="6196A8A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服务期满后</w:t>
      </w:r>
      <w:r>
        <w:rPr>
          <w:rFonts w:hint="eastAsia" w:ascii="仿宋" w:hAnsi="仿宋" w:eastAsia="仿宋" w:cs="仿宋"/>
          <w:color w:val="auto"/>
          <w:sz w:val="24"/>
          <w:szCs w:val="24"/>
          <w:highlight w:val="none"/>
        </w:rPr>
        <w:t>支付合同总额的</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%，即：￥XX元（大写:XX元整）。</w:t>
      </w:r>
    </w:p>
    <w:p w14:paraId="7DDD752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、甲方付款时，乙方应提供同等数额的甲方认可的合法收据或发票，否则甲方有权拒绝付款，并不因此承担任何逾期付款的违约责任。</w:t>
      </w:r>
    </w:p>
    <w:p w14:paraId="2DF47DA4">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四、交货地点、时间</w:t>
      </w:r>
    </w:p>
    <w:p w14:paraId="2BAB9E6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新疆阿勒泰地区人民医院</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8CDED4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交货时间：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22013E4B">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五、产品质量保证</w:t>
      </w:r>
    </w:p>
    <w:p w14:paraId="33088F9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1、乙方保证提供的</w:t>
      </w:r>
      <w:r>
        <w:rPr>
          <w:rFonts w:hint="eastAsia" w:ascii="仿宋" w:hAnsi="仿宋" w:eastAsia="仿宋" w:cs="仿宋"/>
          <w:color w:val="auto"/>
          <w:sz w:val="24"/>
          <w:szCs w:val="24"/>
          <w:highlight w:val="none"/>
          <w:u w:val="single"/>
        </w:rPr>
        <w:t>合同内全部产品</w:t>
      </w:r>
      <w:r>
        <w:rPr>
          <w:rFonts w:hint="eastAsia" w:ascii="仿宋" w:hAnsi="仿宋" w:eastAsia="仿宋" w:cs="仿宋"/>
          <w:color w:val="auto"/>
          <w:sz w:val="24"/>
          <w:szCs w:val="24"/>
          <w:highlight w:val="none"/>
        </w:rPr>
        <w:t>为全新的产品。</w:t>
      </w:r>
    </w:p>
    <w:p w14:paraId="370039E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2、乙方所提供的</w:t>
      </w:r>
      <w:r>
        <w:rPr>
          <w:rFonts w:hint="eastAsia" w:ascii="仿宋" w:hAnsi="仿宋" w:eastAsia="仿宋" w:cs="仿宋"/>
          <w:color w:val="auto"/>
          <w:sz w:val="24"/>
          <w:szCs w:val="24"/>
          <w:highlight w:val="none"/>
          <w:u w:val="single"/>
        </w:rPr>
        <w:t>合同内全部产品</w:t>
      </w:r>
      <w:r>
        <w:rPr>
          <w:rFonts w:hint="eastAsia" w:ascii="仿宋" w:hAnsi="仿宋" w:eastAsia="仿宋" w:cs="仿宋"/>
          <w:color w:val="auto"/>
          <w:sz w:val="24"/>
          <w:szCs w:val="24"/>
          <w:highlight w:val="none"/>
        </w:rPr>
        <w:t>的型号、数量、规格及技术、质量标准、售后服务必须满足</w:t>
      </w:r>
      <w:r>
        <w:rPr>
          <w:rFonts w:hint="eastAsia" w:ascii="仿宋" w:hAnsi="仿宋" w:eastAsia="仿宋" w:cs="仿宋"/>
          <w:color w:val="auto"/>
          <w:sz w:val="24"/>
          <w:szCs w:val="24"/>
          <w:highlight w:val="none"/>
          <w:u w:val="single"/>
        </w:rPr>
        <w:t xml:space="preserve"> 招标编号</w:t>
      </w:r>
      <w:r>
        <w:rPr>
          <w:rFonts w:hint="eastAsia" w:ascii="仿宋" w:hAnsi="仿宋" w:eastAsia="仿宋" w:cs="仿宋"/>
          <w:color w:val="auto"/>
          <w:sz w:val="24"/>
          <w:szCs w:val="24"/>
          <w:highlight w:val="none"/>
        </w:rPr>
        <w:t>的</w:t>
      </w:r>
      <w:r>
        <w:rPr>
          <w:rFonts w:hint="eastAsia" w:ascii="仿宋" w:hAnsi="仿宋" w:eastAsia="仿宋" w:cs="仿宋"/>
          <w:bCs/>
          <w:color w:val="auto"/>
          <w:sz w:val="24"/>
          <w:szCs w:val="24"/>
          <w:highlight w:val="none"/>
          <w:u w:val="single"/>
        </w:rPr>
        <w:t>xxxxxxxxx项</w:t>
      </w:r>
      <w:r>
        <w:rPr>
          <w:rFonts w:hint="eastAsia" w:ascii="仿宋" w:hAnsi="仿宋" w:eastAsia="仿宋" w:cs="仿宋"/>
          <w:color w:val="auto"/>
          <w:sz w:val="24"/>
          <w:szCs w:val="24"/>
          <w:highlight w:val="none"/>
          <w:u w:val="single"/>
        </w:rPr>
        <w:t>目</w:t>
      </w:r>
      <w:r>
        <w:rPr>
          <w:rFonts w:hint="eastAsia" w:ascii="仿宋" w:hAnsi="仿宋" w:eastAsia="仿宋" w:cs="仿宋"/>
          <w:color w:val="auto"/>
          <w:sz w:val="24"/>
          <w:szCs w:val="24"/>
          <w:highlight w:val="none"/>
        </w:rPr>
        <w:t>招标文件规定的技术要求。</w:t>
      </w:r>
    </w:p>
    <w:p w14:paraId="361CC40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3、乙方保证提供的合同内全部产品货物按国家标准要求制作，质量完全满足用户的要求。</w:t>
      </w:r>
    </w:p>
    <w:p w14:paraId="4A08C325">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六、质量保证期</w:t>
      </w:r>
    </w:p>
    <w:p w14:paraId="52A0C01D">
      <w:pPr>
        <w:spacing w:line="360" w:lineRule="auto"/>
        <w:ind w:left="-105" w:right="-10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合同内货物质保期：验收合格后</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p>
    <w:p w14:paraId="07C30A6C">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七、技术资料</w:t>
      </w:r>
    </w:p>
    <w:p w14:paraId="02EED4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乙方需向甲方提供下述资料：</w:t>
      </w:r>
    </w:p>
    <w:p w14:paraId="20D08B0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所供货物的型号、规格、数量及生产厂家的产品检验证书、出厂检验报告、使用说明书等。</w:t>
      </w:r>
    </w:p>
    <w:p w14:paraId="004E0090">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八、包装及验收</w:t>
      </w:r>
    </w:p>
    <w:p w14:paraId="16F43E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1、所提供设备必须进行包装，免收包装费，包装物不回收。</w:t>
      </w:r>
    </w:p>
    <w:p w14:paraId="4803FFE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2、因包装原因造成合同标的物在运输过程中丢失的、损坏的，乙方承担全部责任。</w:t>
      </w:r>
    </w:p>
    <w:p w14:paraId="4EE6066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验收标准：按投标文件规定的型号、技术参数、数量、产地，并根据制造商的《产品合格证》、《出厂清单》、《技术文件》进行现场验收，并由甲、乙双方签署验收报告。如有异议，各方应当在验收后七天内以书面形式通知对方。合同标的物验收合格后由甲方提供货物的存放地点，并负责货物的保管和安全。</w:t>
      </w:r>
    </w:p>
    <w:p w14:paraId="78A0A97A">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九、甲、乙双方的权利及义务</w:t>
      </w:r>
    </w:p>
    <w:p w14:paraId="66A5B1C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甲方对订购的货物有任何更改，包括货物的型号、品种、规格、数量、颜色、交货期等事宜，必须在双方签订合同后七天内书面通知乙方，交货期从变更之日起顺延。若乙方接到通知后不予更改，由此造成的甲方损失，由乙方承担。</w:t>
      </w:r>
    </w:p>
    <w:p w14:paraId="5362AB0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2、若乙方在交货时，由于甲方的原因或要求，不能及时将货物送达指定地点和验收时，则双方再次协商送货及验收时间。</w:t>
      </w:r>
    </w:p>
    <w:p w14:paraId="18B161A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3、若甲方在验收后的质量保证期内，发现货物内有部分出现质量问题，应及时通知乙方，若需要更换时，乙方应在接到通知后10天内给予更换。</w:t>
      </w:r>
    </w:p>
    <w:p w14:paraId="46D5A2C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4、乙方须按合同要求提供质量合格的货物，如期交付至甲方指定的交货地点。合同标的物需安装调试的，乙方提供免费的安装调试。</w:t>
      </w:r>
    </w:p>
    <w:p w14:paraId="7BBBA4B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5、乙方对售予甲方的货物提供的质量保证期的质量保证范围，不包括意外事件、不可抗力原因及违规使用。</w:t>
      </w:r>
    </w:p>
    <w:p w14:paraId="01BBFA70">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十、合同变更、违约及其它</w:t>
      </w:r>
    </w:p>
    <w:p w14:paraId="147103C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1、合同的变更需甲、乙双方协商一致签订补充协议，并由法定代表人或授权代理人签字（盖章）且加盖单位公章后立即生效。补充协议与本合同具有同等法律效力。</w:t>
      </w:r>
    </w:p>
    <w:p w14:paraId="1D6AC82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2、甲方按合同规定的付款要求履约，合同价格不变，甲方由于不可抗力不能在本合同规定的时间内支付合同款项时，应事先告知乙方。</w:t>
      </w:r>
    </w:p>
    <w:p w14:paraId="3A84D3F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必须在本合同规定的时间内按时交货，否则由乙方负责承担全部责任。如果乙方在甲方同意延长的交货时间内仍不能交货时，甲方有权撤销合同，同时乙方还需要按照每延误一天，按合同总金额千分之五的标准向甲方支付违约金，延误超过15日，甲方有权解除合同，并要求乙方返还已收到款项，承担合同总额30%违约金。</w:t>
      </w:r>
    </w:p>
    <w:p w14:paraId="68273CD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严格按照投标、投标文件中规定的产品规格、型号名称、数量和质量提供相应的产品及服务。乙方提供的产品或服务不符合合同约定的，必须按照甲方的要求进行改正，若整改后导致延迟交货，按照上款执行。若交货后仍然不符合要求，甲方有权解除合同，并要求乙方返还已收到款项，承担合同总额30%违约金。</w:t>
      </w:r>
    </w:p>
    <w:p w14:paraId="1D4C7A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生效后，乙方中途废止合同（不可抗力原因除外），应按给甲方造成的损失向甲方支付赔偿金，并向甲方支付合同总金额20%的违约金；甲方中途废止合同（不可抗力原因除外），应按实际损失向乙方支付赔偿金。</w:t>
      </w:r>
    </w:p>
    <w:p w14:paraId="1A25A65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违反本合同约定，应当承担的违约金及赔偿，甲方有权在未付款内扣除，若因此造成甲方损失，应当承担由此造成的甲方损失，该损失包括但不限于由此产生的诉讼费、律师费、公证费、鉴定费、评估费、差旅费等费用。</w:t>
      </w:r>
    </w:p>
    <w:p w14:paraId="70ED9F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5、本合同根据</w:t>
      </w:r>
      <w:r>
        <w:rPr>
          <w:rFonts w:hint="eastAsia" w:ascii="仿宋" w:hAnsi="仿宋" w:eastAsia="仿宋" w:cs="仿宋"/>
          <w:color w:val="auto"/>
          <w:sz w:val="24"/>
          <w:szCs w:val="24"/>
          <w:highlight w:val="none"/>
          <w:u w:val="single"/>
        </w:rPr>
        <w:t>xx年x月xx日</w:t>
      </w:r>
      <w:r>
        <w:rPr>
          <w:rFonts w:hint="eastAsia" w:ascii="仿宋" w:hAnsi="仿宋" w:eastAsia="仿宋" w:cs="仿宋"/>
          <w:color w:val="auto"/>
          <w:sz w:val="24"/>
          <w:szCs w:val="24"/>
          <w:highlight w:val="none"/>
        </w:rPr>
        <w:t>由</w:t>
      </w:r>
      <w:r>
        <w:rPr>
          <w:rFonts w:hint="eastAsia" w:ascii="仿宋" w:hAnsi="仿宋" w:eastAsia="仿宋" w:cs="仿宋"/>
          <w:bCs/>
          <w:color w:val="auto"/>
          <w:sz w:val="24"/>
          <w:szCs w:val="24"/>
          <w:highlight w:val="none"/>
          <w:u w:val="single"/>
        </w:rPr>
        <w:t>xxx招标公司</w:t>
      </w:r>
      <w:r>
        <w:rPr>
          <w:rFonts w:hint="eastAsia" w:ascii="仿宋" w:hAnsi="仿宋" w:eastAsia="仿宋" w:cs="仿宋"/>
          <w:color w:val="auto"/>
          <w:sz w:val="24"/>
          <w:szCs w:val="24"/>
          <w:highlight w:val="none"/>
        </w:rPr>
        <w:t>组织的招标会的招投标结果签订。投标文件及开标会议上签名的答疑记录等均作为合同的附件，是合同文本不可分割的组成部分。合同文本未述及和不详之处，以附件为准。</w:t>
      </w:r>
    </w:p>
    <w:p w14:paraId="0486E0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6、合同文本不得涂改，如需修改应在合同附件中注明。经甲、乙双方协商达成一致修改意见，需经甲、乙双方代表共同签署此附件，方能生效。</w:t>
      </w:r>
    </w:p>
    <w:p w14:paraId="334CEA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7、合同所有附件，均与合同具有同等法律效力。</w:t>
      </w:r>
    </w:p>
    <w:p w14:paraId="659EE96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8、合同经甲、乙双方法定代表人或授权代理人签字（盖章）并加盖单位公章后立即生效。</w:t>
      </w:r>
    </w:p>
    <w:p w14:paraId="183AFE6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9、甲、乙双方发生争议时，应先协商解决，经协商不能达成协议时，任何一方均可向</w:t>
      </w:r>
      <w:r>
        <w:rPr>
          <w:rFonts w:hint="eastAsia" w:ascii="仿宋" w:hAnsi="仿宋" w:eastAsia="仿宋" w:cs="仿宋"/>
          <w:color w:val="auto"/>
          <w:sz w:val="24"/>
          <w:szCs w:val="24"/>
          <w:highlight w:val="none"/>
          <w:u w:val="single"/>
        </w:rPr>
        <w:t>甲方所在地</w:t>
      </w:r>
      <w:r>
        <w:rPr>
          <w:rFonts w:hint="eastAsia" w:ascii="仿宋" w:hAnsi="仿宋" w:eastAsia="仿宋" w:cs="仿宋"/>
          <w:color w:val="auto"/>
          <w:sz w:val="24"/>
          <w:szCs w:val="24"/>
          <w:highlight w:val="none"/>
        </w:rPr>
        <w:t>人民法院提起诉讼。</w:t>
      </w:r>
    </w:p>
    <w:p w14:paraId="7D76CFA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10、合同一式八份，甲方执五份，乙方执叁份。</w:t>
      </w:r>
    </w:p>
    <w:p w14:paraId="4286FD5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11、本合同自签字盖章完毕之日起生效，质量保证期满后终止。</w:t>
      </w:r>
    </w:p>
    <w:p w14:paraId="717C3A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12、本合同尾部载明的双方地址、电话等信息，系双方有效联系方式，如发生变更，应提前书面通知另一方，否则依该联系方式送达相关文书的，视为送达成功。</w:t>
      </w:r>
    </w:p>
    <w:p w14:paraId="556BCA8A">
      <w:pPr>
        <w:spacing w:line="360" w:lineRule="auto"/>
        <w:ind w:firstLine="480" w:firstLineChars="200"/>
        <w:rPr>
          <w:rFonts w:hint="eastAsia" w:ascii="仿宋" w:hAnsi="仿宋" w:eastAsia="仿宋" w:cs="仿宋"/>
          <w:color w:val="auto"/>
          <w:sz w:val="24"/>
          <w:szCs w:val="24"/>
          <w:highlight w:val="none"/>
        </w:rPr>
      </w:pPr>
    </w:p>
    <w:p w14:paraId="2AF7741B">
      <w:pPr>
        <w:pStyle w:val="8"/>
        <w:spacing w:line="360" w:lineRule="auto"/>
        <w:ind w:firstLine="480"/>
        <w:rPr>
          <w:rFonts w:hint="eastAsia" w:ascii="仿宋" w:hAnsi="仿宋" w:eastAsia="仿宋" w:cs="仿宋"/>
          <w:color w:val="auto"/>
          <w:szCs w:val="24"/>
          <w:highlight w:val="none"/>
        </w:rPr>
      </w:pPr>
    </w:p>
    <w:p w14:paraId="2E467851">
      <w:pPr>
        <w:pStyle w:val="8"/>
        <w:spacing w:line="360" w:lineRule="auto"/>
        <w:ind w:firstLine="480"/>
        <w:rPr>
          <w:rFonts w:hint="eastAsia" w:ascii="仿宋" w:hAnsi="仿宋" w:eastAsia="仿宋" w:cs="仿宋"/>
          <w:color w:val="auto"/>
          <w:szCs w:val="24"/>
          <w:highlight w:val="none"/>
        </w:rPr>
      </w:pPr>
    </w:p>
    <w:p w14:paraId="0D2597F2">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    方：(盖章）              乙    方：(盖章） </w:t>
      </w:r>
    </w:p>
    <w:p w14:paraId="4B90F1BA">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签字或</w:t>
      </w:r>
      <w:r>
        <w:rPr>
          <w:rFonts w:hint="eastAsia" w:ascii="仿宋" w:hAnsi="仿宋" w:eastAsia="仿宋" w:cs="仿宋"/>
          <w:color w:val="auto"/>
          <w:sz w:val="24"/>
          <w:szCs w:val="24"/>
          <w:highlight w:val="none"/>
        </w:rPr>
        <w:t xml:space="preserve">盖章）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签字或</w:t>
      </w:r>
      <w:r>
        <w:rPr>
          <w:rFonts w:hint="eastAsia" w:ascii="仿宋" w:hAnsi="仿宋" w:eastAsia="仿宋" w:cs="仿宋"/>
          <w:color w:val="auto"/>
          <w:sz w:val="24"/>
          <w:szCs w:val="24"/>
          <w:highlight w:val="none"/>
        </w:rPr>
        <w:t>盖章）</w:t>
      </w:r>
    </w:p>
    <w:p w14:paraId="1DC4F45D">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                     联 系 人：</w:t>
      </w:r>
    </w:p>
    <w:p w14:paraId="0D04682B">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电    话：</w:t>
      </w:r>
    </w:p>
    <w:p w14:paraId="392B9531">
      <w:pPr>
        <w:pStyle w:val="8"/>
        <w:spacing w:line="360" w:lineRule="auto"/>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地    址：                     地    址： </w:t>
      </w:r>
    </w:p>
    <w:p w14:paraId="531DEC68">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开户银行： </w:t>
      </w:r>
    </w:p>
    <w:p w14:paraId="00CA0DFE">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帐    号：                     帐    号： </w:t>
      </w:r>
    </w:p>
    <w:p w14:paraId="497CFA7C">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行    号：                     行    号： </w:t>
      </w:r>
    </w:p>
    <w:p w14:paraId="42D97C68">
      <w:pPr>
        <w:pStyle w:val="8"/>
        <w:ind w:firstLine="480"/>
        <w:rPr>
          <w:rFonts w:hint="eastAsia" w:ascii="仿宋" w:hAnsi="仿宋" w:eastAsia="仿宋" w:cs="仿宋"/>
          <w:color w:val="auto"/>
          <w:highlight w:val="none"/>
        </w:rPr>
      </w:pPr>
    </w:p>
    <w:p w14:paraId="03A10958">
      <w:pPr>
        <w:pStyle w:val="8"/>
        <w:ind w:firstLine="480"/>
        <w:rPr>
          <w:rFonts w:hint="eastAsia" w:ascii="仿宋" w:hAnsi="仿宋" w:eastAsia="仿宋" w:cs="仿宋"/>
          <w:color w:val="auto"/>
          <w:highlight w:val="none"/>
        </w:rPr>
      </w:pPr>
    </w:p>
    <w:p w14:paraId="52E24FFD">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合同签订时间：xx年x 月xx日</w:t>
      </w:r>
    </w:p>
    <w:p w14:paraId="3DBB5316">
      <w:pPr>
        <w:pStyle w:val="12"/>
        <w:rPr>
          <w:rFonts w:hint="eastAsia" w:ascii="仿宋" w:hAnsi="仿宋" w:eastAsia="仿宋" w:cs="仿宋"/>
          <w:color w:val="auto"/>
          <w:highlight w:val="none"/>
        </w:rPr>
      </w:pPr>
    </w:p>
    <w:p w14:paraId="7FBC52AB">
      <w:pPr>
        <w:rPr>
          <w:rFonts w:hint="eastAsia" w:ascii="仿宋" w:hAnsi="仿宋" w:eastAsia="仿宋" w:cs="仿宋"/>
          <w:b/>
          <w:color w:val="auto"/>
          <w:sz w:val="24"/>
          <w:szCs w:val="24"/>
          <w:highlight w:val="none"/>
        </w:rPr>
      </w:pPr>
      <w:bookmarkStart w:id="70" w:name="_Toc16100"/>
      <w:r>
        <w:rPr>
          <w:rFonts w:hint="eastAsia" w:ascii="仿宋" w:hAnsi="仿宋" w:eastAsia="仿宋" w:cs="仿宋"/>
          <w:b/>
          <w:color w:val="auto"/>
          <w:sz w:val="24"/>
          <w:szCs w:val="24"/>
          <w:highlight w:val="none"/>
        </w:rPr>
        <w:br w:type="page"/>
      </w:r>
    </w:p>
    <w:p w14:paraId="1978D6B6">
      <w:pPr>
        <w:spacing w:line="440" w:lineRule="exact"/>
        <w:jc w:val="center"/>
        <w:outlineLvl w:val="0"/>
        <w:rPr>
          <w:rFonts w:hint="eastAsia" w:ascii="仿宋" w:hAnsi="仿宋" w:eastAsia="仿宋" w:cs="仿宋"/>
          <w:bCs/>
          <w:color w:val="auto"/>
          <w:sz w:val="24"/>
          <w:szCs w:val="24"/>
          <w:highlight w:val="none"/>
        </w:rPr>
      </w:pPr>
      <w:bookmarkStart w:id="71" w:name="_Toc28726"/>
      <w:r>
        <w:rPr>
          <w:rFonts w:hint="eastAsia" w:ascii="仿宋" w:hAnsi="仿宋" w:eastAsia="仿宋" w:cs="仿宋"/>
          <w:b/>
          <w:color w:val="auto"/>
          <w:sz w:val="24"/>
          <w:szCs w:val="24"/>
          <w:highlight w:val="none"/>
        </w:rPr>
        <w:t>第四章 技术标准和要求</w:t>
      </w:r>
      <w:bookmarkEnd w:id="70"/>
      <w:bookmarkEnd w:id="71"/>
      <w:bookmarkStart w:id="72" w:name="_Toc138638538"/>
      <w:bookmarkEnd w:id="72"/>
      <w:bookmarkStart w:id="73" w:name="_Toc138638534"/>
      <w:bookmarkEnd w:id="73"/>
      <w:bookmarkStart w:id="74" w:name="_合同文件的组成及解释顺序"/>
      <w:bookmarkEnd w:id="74"/>
      <w:bookmarkStart w:id="75" w:name="_Toc138638718"/>
      <w:bookmarkEnd w:id="75"/>
      <w:bookmarkStart w:id="76" w:name="_Toc138638702"/>
      <w:bookmarkEnd w:id="76"/>
      <w:bookmarkStart w:id="77" w:name="_Toc138638906"/>
      <w:bookmarkEnd w:id="77"/>
      <w:bookmarkStart w:id="78" w:name="_Toc138638509"/>
      <w:bookmarkEnd w:id="78"/>
      <w:bookmarkStart w:id="79" w:name="_Toc138638773"/>
      <w:bookmarkEnd w:id="79"/>
      <w:bookmarkStart w:id="80" w:name="_Toc138638535"/>
      <w:bookmarkEnd w:id="80"/>
      <w:bookmarkStart w:id="81" w:name="_Toc138638910"/>
      <w:bookmarkEnd w:id="81"/>
      <w:bookmarkStart w:id="82" w:name="_Toc138639145"/>
      <w:bookmarkEnd w:id="82"/>
      <w:bookmarkStart w:id="83" w:name="_Toc138638719"/>
      <w:bookmarkEnd w:id="83"/>
      <w:bookmarkStart w:id="84" w:name="_Toc138639074"/>
      <w:bookmarkEnd w:id="84"/>
      <w:bookmarkStart w:id="85" w:name="_Toc138639091"/>
      <w:bookmarkEnd w:id="85"/>
      <w:bookmarkStart w:id="86" w:name="_Toc138638510"/>
      <w:bookmarkEnd w:id="86"/>
      <w:bookmarkStart w:id="87" w:name="_Toc138638907"/>
      <w:bookmarkEnd w:id="87"/>
      <w:bookmarkStart w:id="88" w:name="_Toc138638883"/>
      <w:bookmarkEnd w:id="88"/>
      <w:bookmarkStart w:id="89" w:name="_Toc138639090"/>
      <w:bookmarkEnd w:id="89"/>
      <w:bookmarkStart w:id="90" w:name="_Toc138638884"/>
      <w:bookmarkEnd w:id="90"/>
      <w:bookmarkStart w:id="91" w:name="_Toc531016893"/>
    </w:p>
    <w:p w14:paraId="004A0624">
      <w:pPr>
        <w:rPr>
          <w:rFonts w:hint="eastAsia" w:ascii="仿宋" w:hAnsi="仿宋" w:eastAsia="仿宋" w:cs="仿宋"/>
          <w:color w:val="auto"/>
          <w:highlight w:val="none"/>
        </w:rPr>
      </w:pPr>
    </w:p>
    <w:p w14:paraId="14E00166">
      <w:pPr>
        <w:keepNext w:val="0"/>
        <w:keepLines w:val="0"/>
        <w:pageBreakBefore w:val="0"/>
        <w:widowControl w:val="0"/>
        <w:kinsoku/>
        <w:wordWrap/>
        <w:overflowPunct/>
        <w:topLinePunct w:val="0"/>
        <w:autoSpaceDE/>
        <w:autoSpaceDN/>
        <w:bidi w:val="0"/>
        <w:spacing w:line="360" w:lineRule="auto"/>
        <w:ind w:firstLine="480" w:firstLineChars="200"/>
        <w:jc w:val="center"/>
        <w:textAlignment w:val="auto"/>
        <w:rPr>
          <w:rFonts w:hint="eastAsia" w:ascii="仿宋" w:hAnsi="仿宋" w:eastAsia="仿宋" w:cs="仿宋"/>
          <w:bCs/>
          <w:color w:val="auto"/>
          <w:sz w:val="24"/>
          <w:szCs w:val="24"/>
          <w:highlight w:val="none"/>
          <w:lang w:val="en-US" w:eastAsia="zh-CN"/>
        </w:rPr>
      </w:pPr>
      <w:bookmarkStart w:id="92" w:name="_Toc27105"/>
      <w:bookmarkStart w:id="93" w:name="_Toc6210"/>
      <w:bookmarkStart w:id="94" w:name="_Toc23505"/>
    </w:p>
    <w:p w14:paraId="065260AE">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采购清单</w:t>
      </w:r>
    </w:p>
    <w:p w14:paraId="3D2AF81E">
      <w:pPr>
        <w:keepNext w:val="0"/>
        <w:keepLines w:val="0"/>
        <w:pageBreakBefore w:val="0"/>
        <w:widowControl w:val="0"/>
        <w:kinsoku/>
        <w:wordWrap/>
        <w:overflowPunct/>
        <w:topLinePunct w:val="0"/>
        <w:autoSpaceDE/>
        <w:autoSpaceDN/>
        <w:bidi w:val="0"/>
        <w:spacing w:line="360" w:lineRule="auto"/>
        <w:ind w:firstLine="480" w:firstLineChars="200"/>
        <w:jc w:val="center"/>
        <w:textAlignment w:val="auto"/>
        <w:rPr>
          <w:rFonts w:hint="eastAsia" w:ascii="仿宋" w:hAnsi="仿宋" w:eastAsia="仿宋" w:cs="仿宋"/>
          <w:bCs/>
          <w:color w:val="auto"/>
          <w:sz w:val="24"/>
          <w:szCs w:val="24"/>
          <w:highlight w:val="none"/>
          <w:lang w:val="en-US" w:eastAsia="zh-CN"/>
        </w:rPr>
      </w:pPr>
    </w:p>
    <w:tbl>
      <w:tblPr>
        <w:tblStyle w:val="3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3577"/>
        <w:gridCol w:w="1309"/>
        <w:gridCol w:w="1323"/>
        <w:gridCol w:w="1765"/>
      </w:tblGrid>
      <w:tr w14:paraId="4684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7ACAB24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927" w:type="pct"/>
            <w:vAlign w:val="center"/>
          </w:tcPr>
          <w:p w14:paraId="2D24947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标的名称</w:t>
            </w:r>
          </w:p>
        </w:tc>
        <w:tc>
          <w:tcPr>
            <w:tcW w:w="705" w:type="pct"/>
            <w:vAlign w:val="center"/>
          </w:tcPr>
          <w:p w14:paraId="3413E4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单位</w:t>
            </w:r>
          </w:p>
        </w:tc>
        <w:tc>
          <w:tcPr>
            <w:tcW w:w="712" w:type="pct"/>
            <w:vAlign w:val="center"/>
          </w:tcPr>
          <w:p w14:paraId="2AFC79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w:t>
            </w:r>
          </w:p>
        </w:tc>
        <w:tc>
          <w:tcPr>
            <w:tcW w:w="951" w:type="pct"/>
            <w:vAlign w:val="center"/>
          </w:tcPr>
          <w:p w14:paraId="10833E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单价限价</w:t>
            </w:r>
          </w:p>
          <w:p w14:paraId="5130E40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（万元）</w:t>
            </w:r>
          </w:p>
        </w:tc>
      </w:tr>
      <w:tr w14:paraId="0059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0ED1A4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927" w:type="pct"/>
            <w:vAlign w:val="center"/>
          </w:tcPr>
          <w:p w14:paraId="02CDD64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电动流产吸引器</w:t>
            </w:r>
          </w:p>
        </w:tc>
        <w:tc>
          <w:tcPr>
            <w:tcW w:w="705" w:type="pct"/>
            <w:vAlign w:val="center"/>
          </w:tcPr>
          <w:p w14:paraId="7FF92C2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台</w:t>
            </w:r>
          </w:p>
        </w:tc>
        <w:tc>
          <w:tcPr>
            <w:tcW w:w="712" w:type="pct"/>
            <w:vAlign w:val="center"/>
          </w:tcPr>
          <w:p w14:paraId="72DDEAB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p>
        </w:tc>
        <w:tc>
          <w:tcPr>
            <w:tcW w:w="951" w:type="pct"/>
            <w:vAlign w:val="center"/>
          </w:tcPr>
          <w:p w14:paraId="0861115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0.26</w:t>
            </w:r>
          </w:p>
        </w:tc>
      </w:tr>
      <w:tr w14:paraId="7E7A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0C896F1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927" w:type="pct"/>
            <w:vAlign w:val="center"/>
          </w:tcPr>
          <w:p w14:paraId="79B6179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电子阴道镜</w:t>
            </w:r>
          </w:p>
        </w:tc>
        <w:tc>
          <w:tcPr>
            <w:tcW w:w="705" w:type="pct"/>
            <w:vAlign w:val="center"/>
          </w:tcPr>
          <w:p w14:paraId="171477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台</w:t>
            </w:r>
          </w:p>
        </w:tc>
        <w:tc>
          <w:tcPr>
            <w:tcW w:w="712" w:type="pct"/>
            <w:vAlign w:val="center"/>
          </w:tcPr>
          <w:p w14:paraId="0928052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951" w:type="pct"/>
            <w:vAlign w:val="center"/>
          </w:tcPr>
          <w:p w14:paraId="7B117AE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16.5</w:t>
            </w:r>
          </w:p>
        </w:tc>
      </w:tr>
      <w:tr w14:paraId="0BFC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24E844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p>
        </w:tc>
        <w:tc>
          <w:tcPr>
            <w:tcW w:w="1927" w:type="pct"/>
            <w:vAlign w:val="center"/>
          </w:tcPr>
          <w:p w14:paraId="7EE6FB9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妇科床</w:t>
            </w:r>
          </w:p>
        </w:tc>
        <w:tc>
          <w:tcPr>
            <w:tcW w:w="705" w:type="pct"/>
            <w:vAlign w:val="center"/>
          </w:tcPr>
          <w:p w14:paraId="076CB50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张</w:t>
            </w:r>
          </w:p>
        </w:tc>
        <w:tc>
          <w:tcPr>
            <w:tcW w:w="712" w:type="pct"/>
            <w:vAlign w:val="center"/>
          </w:tcPr>
          <w:p w14:paraId="546DFC0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p>
        </w:tc>
        <w:tc>
          <w:tcPr>
            <w:tcW w:w="951" w:type="pct"/>
            <w:vAlign w:val="center"/>
          </w:tcPr>
          <w:p w14:paraId="1348C0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default" w:ascii="仿宋" w:hAnsi="仿宋" w:eastAsia="仿宋" w:cs="仿宋"/>
                <w:b w:val="0"/>
                <w:bCs/>
                <w:color w:val="auto"/>
                <w:sz w:val="24"/>
                <w:szCs w:val="24"/>
                <w:highlight w:val="none"/>
                <w:lang w:val="en-US" w:eastAsia="zh-CN"/>
              </w:rPr>
              <w:t>0.58</w:t>
            </w:r>
          </w:p>
        </w:tc>
      </w:tr>
      <w:tr w14:paraId="0B73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39B8E42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w:t>
            </w:r>
          </w:p>
        </w:tc>
        <w:tc>
          <w:tcPr>
            <w:tcW w:w="1927" w:type="pct"/>
            <w:vAlign w:val="center"/>
          </w:tcPr>
          <w:p w14:paraId="705E17F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妇科射频治疗仪</w:t>
            </w:r>
          </w:p>
        </w:tc>
        <w:tc>
          <w:tcPr>
            <w:tcW w:w="705" w:type="pct"/>
            <w:vAlign w:val="center"/>
          </w:tcPr>
          <w:p w14:paraId="39A5F77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台</w:t>
            </w:r>
          </w:p>
        </w:tc>
        <w:tc>
          <w:tcPr>
            <w:tcW w:w="712" w:type="pct"/>
            <w:vAlign w:val="center"/>
          </w:tcPr>
          <w:p w14:paraId="2DDD7DA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951" w:type="pct"/>
            <w:vAlign w:val="center"/>
          </w:tcPr>
          <w:p w14:paraId="09AD28A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37.785</w:t>
            </w:r>
          </w:p>
        </w:tc>
      </w:tr>
      <w:tr w14:paraId="4988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532B6C5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w:t>
            </w:r>
          </w:p>
        </w:tc>
        <w:tc>
          <w:tcPr>
            <w:tcW w:w="1927" w:type="pct"/>
            <w:vAlign w:val="center"/>
          </w:tcPr>
          <w:p w14:paraId="24C6BF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宫腔镜手术系统</w:t>
            </w:r>
          </w:p>
        </w:tc>
        <w:tc>
          <w:tcPr>
            <w:tcW w:w="705" w:type="pct"/>
            <w:shd w:val="clear" w:color="auto" w:fill="auto"/>
            <w:vAlign w:val="center"/>
          </w:tcPr>
          <w:p w14:paraId="1F620CE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台</w:t>
            </w:r>
          </w:p>
        </w:tc>
        <w:tc>
          <w:tcPr>
            <w:tcW w:w="712" w:type="pct"/>
            <w:shd w:val="clear" w:color="auto" w:fill="auto"/>
            <w:vAlign w:val="center"/>
          </w:tcPr>
          <w:p w14:paraId="2681EAE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951" w:type="pct"/>
            <w:vAlign w:val="center"/>
          </w:tcPr>
          <w:p w14:paraId="2980FE9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30.8678</w:t>
            </w:r>
          </w:p>
        </w:tc>
      </w:tr>
      <w:tr w14:paraId="459D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66A622B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w:t>
            </w:r>
          </w:p>
        </w:tc>
        <w:tc>
          <w:tcPr>
            <w:tcW w:w="1927" w:type="pct"/>
            <w:vAlign w:val="center"/>
          </w:tcPr>
          <w:p w14:paraId="02EDC84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妇科检查床</w:t>
            </w:r>
          </w:p>
        </w:tc>
        <w:tc>
          <w:tcPr>
            <w:tcW w:w="705" w:type="pct"/>
            <w:shd w:val="clear" w:color="auto" w:fill="auto"/>
            <w:vAlign w:val="center"/>
          </w:tcPr>
          <w:p w14:paraId="5CC81CA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张</w:t>
            </w:r>
          </w:p>
        </w:tc>
        <w:tc>
          <w:tcPr>
            <w:tcW w:w="712" w:type="pct"/>
            <w:shd w:val="clear" w:color="auto" w:fill="auto"/>
            <w:vAlign w:val="center"/>
          </w:tcPr>
          <w:p w14:paraId="269ACD1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951" w:type="pct"/>
            <w:vAlign w:val="center"/>
          </w:tcPr>
          <w:p w14:paraId="5E2A928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0.2462</w:t>
            </w:r>
          </w:p>
        </w:tc>
      </w:tr>
      <w:tr w14:paraId="4BDB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534CBFB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w:t>
            </w:r>
          </w:p>
        </w:tc>
        <w:tc>
          <w:tcPr>
            <w:tcW w:w="1927" w:type="pct"/>
            <w:vAlign w:val="center"/>
          </w:tcPr>
          <w:p w14:paraId="030AECA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乳腺旋切系统</w:t>
            </w:r>
          </w:p>
        </w:tc>
        <w:tc>
          <w:tcPr>
            <w:tcW w:w="705" w:type="pct"/>
            <w:vAlign w:val="center"/>
          </w:tcPr>
          <w:p w14:paraId="12397B2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台</w:t>
            </w:r>
          </w:p>
        </w:tc>
        <w:tc>
          <w:tcPr>
            <w:tcW w:w="712" w:type="pct"/>
            <w:vAlign w:val="center"/>
          </w:tcPr>
          <w:p w14:paraId="421FA4E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951" w:type="pct"/>
            <w:vAlign w:val="center"/>
          </w:tcPr>
          <w:p w14:paraId="228BCA2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26.8</w:t>
            </w:r>
          </w:p>
        </w:tc>
      </w:tr>
      <w:tr w14:paraId="48E7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pct"/>
            <w:gridSpan w:val="4"/>
            <w:vAlign w:val="center"/>
          </w:tcPr>
          <w:p w14:paraId="2C7053C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合计（万元）</w:t>
            </w:r>
          </w:p>
        </w:tc>
        <w:tc>
          <w:tcPr>
            <w:tcW w:w="951" w:type="pct"/>
            <w:shd w:val="clear" w:color="auto" w:fill="auto"/>
            <w:vAlign w:val="center"/>
          </w:tcPr>
          <w:p w14:paraId="5871719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114.459</w:t>
            </w:r>
          </w:p>
        </w:tc>
      </w:tr>
    </w:tbl>
    <w:p w14:paraId="5A8ECB7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Cs/>
          <w:color w:val="auto"/>
          <w:sz w:val="24"/>
          <w:szCs w:val="24"/>
          <w:highlight w:val="none"/>
        </w:rPr>
      </w:pPr>
    </w:p>
    <w:p w14:paraId="199B632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说明：投标人应注意采购人在技术</w:t>
      </w:r>
      <w:r>
        <w:rPr>
          <w:rFonts w:hint="eastAsia" w:ascii="仿宋" w:hAnsi="仿宋" w:eastAsia="仿宋" w:cs="仿宋"/>
          <w:bCs/>
          <w:color w:val="auto"/>
          <w:sz w:val="24"/>
          <w:szCs w:val="24"/>
          <w:highlight w:val="none"/>
          <w:lang w:val="en-US" w:eastAsia="zh-CN"/>
        </w:rPr>
        <w:t>要求</w:t>
      </w:r>
      <w:r>
        <w:rPr>
          <w:rFonts w:hint="eastAsia" w:ascii="仿宋" w:hAnsi="仿宋" w:eastAsia="仿宋" w:cs="仿宋"/>
          <w:bCs/>
          <w:color w:val="auto"/>
          <w:sz w:val="24"/>
          <w:szCs w:val="24"/>
          <w:highlight w:val="none"/>
        </w:rPr>
        <w:t>中指出的参数、工艺、材料和设备等内容仅起说明作用，无任何倾向性或限制性；任何品牌的产品均可依法参加本项目的采购活动。</w:t>
      </w:r>
      <w:r>
        <w:rPr>
          <w:rFonts w:hint="eastAsia" w:ascii="仿宋" w:hAnsi="仿宋" w:eastAsia="仿宋" w:cs="仿宋"/>
          <w:bCs/>
          <w:color w:val="auto"/>
          <w:sz w:val="24"/>
          <w:szCs w:val="24"/>
          <w:highlight w:val="none"/>
          <w:lang w:val="en-US" w:eastAsia="zh-CN"/>
        </w:rPr>
        <w:t>所有</w:t>
      </w:r>
      <w:r>
        <w:rPr>
          <w:rFonts w:hint="eastAsia" w:ascii="仿宋" w:hAnsi="仿宋" w:eastAsia="仿宋" w:cs="仿宋"/>
          <w:bCs/>
          <w:color w:val="auto"/>
          <w:sz w:val="24"/>
          <w:szCs w:val="24"/>
          <w:highlight w:val="none"/>
        </w:rPr>
        <w:t>产品在安装调试中所需辅材费用包含在投标人投标产品的报价中，不再单独计取。</w:t>
      </w:r>
    </w:p>
    <w:p w14:paraId="79BA18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color w:val="auto"/>
          <w:sz w:val="24"/>
          <w:szCs w:val="24"/>
          <w:highlight w:val="none"/>
        </w:rPr>
      </w:pPr>
    </w:p>
    <w:p w14:paraId="12D34B03">
      <w:pP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bookmarkEnd w:id="92"/>
    <w:bookmarkEnd w:id="93"/>
    <w:p w14:paraId="7800865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电动流产吸引器</w:t>
      </w:r>
    </w:p>
    <w:p w14:paraId="7D91BAE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4448556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2台</w:t>
      </w:r>
    </w:p>
    <w:p w14:paraId="43943BD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4016F0D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一、性能特点</w:t>
      </w:r>
    </w:p>
    <w:p w14:paraId="417A254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1.大流量无油润滑真空泵作负压源，负压上升快，无油雾污染，压力系统不会产生正压。</w:t>
      </w:r>
    </w:p>
    <w:p w14:paraId="27128B2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2.二级负压控制，可以在停机时进行操作。</w:t>
      </w:r>
    </w:p>
    <w:p w14:paraId="1A7D402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3.通过脚踏开关和泄放阀的调节，控制吸引压力。</w:t>
      </w:r>
    </w:p>
    <w:p w14:paraId="3C728AC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4.配置适宜的器械盘。</w:t>
      </w:r>
    </w:p>
    <w:p w14:paraId="135953D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二、主要技术参数</w:t>
      </w:r>
    </w:p>
    <w:p w14:paraId="42A79E0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1.极限负压值： ≥0.09MPa(680mmHg)。</w:t>
      </w:r>
    </w:p>
    <w:p w14:paraId="1CB7637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2.负压调节范围：0.02MPa(150mmHg)～极限负压值。</w:t>
      </w:r>
    </w:p>
    <w:p w14:paraId="11CEDBA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★3.抽气速率： ≥15L/min。</w:t>
      </w:r>
    </w:p>
    <w:p w14:paraId="455EEEA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4.贮液瓶：500ml×2（玻璃）。  </w:t>
      </w:r>
    </w:p>
    <w:p w14:paraId="78EADE2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5.贮气瓶：2500ml×2（玻璃）。</w:t>
      </w:r>
    </w:p>
    <w:p w14:paraId="3C700F5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6.电源：AC220V 50Hz 。</w:t>
      </w:r>
    </w:p>
    <w:p w14:paraId="5C11D35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7.输入功率：150VA。</w:t>
      </w:r>
    </w:p>
    <w:p w14:paraId="282B9B4C">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装箱配置单：</w:t>
      </w:r>
    </w:p>
    <w:p w14:paraId="4466158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主机</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 xml:space="preserve">                       1 台</w:t>
      </w:r>
    </w:p>
    <w:p w14:paraId="0A70425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滤液器</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 xml:space="preserve">                    1 只</w:t>
      </w:r>
    </w:p>
    <w:p w14:paraId="652D76C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吸引软导管</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 xml:space="preserve">                 1 根</w:t>
      </w:r>
    </w:p>
    <w:p w14:paraId="4DB0289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过渡管</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 xml:space="preserve">                    1 根</w:t>
      </w:r>
    </w:p>
    <w:p w14:paraId="0682EE2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流产吸引管</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 xml:space="preserve">                 1 套</w:t>
      </w:r>
    </w:p>
    <w:p w14:paraId="7BD18A9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空气过滤器</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 xml:space="preserve">                 2 只</w:t>
      </w:r>
    </w:p>
    <w:p w14:paraId="081D930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 xml:space="preserve">熔丝管 </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 xml:space="preserve">                    4 只</w:t>
      </w:r>
    </w:p>
    <w:p w14:paraId="79ED0D1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电源线</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 xml:space="preserve">                    1 根</w:t>
      </w:r>
    </w:p>
    <w:p w14:paraId="135EB9A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lang w:val="en-US" w:eastAsia="zh-CN"/>
        </w:rPr>
        <w:t>9</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保修卡、说明书、合格证</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 xml:space="preserve">     1 套</w:t>
      </w:r>
    </w:p>
    <w:p w14:paraId="0E64133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b w:val="0"/>
          <w:bCs/>
          <w:color w:val="auto"/>
          <w:sz w:val="24"/>
          <w:szCs w:val="24"/>
          <w:highlight w:val="none"/>
          <w:lang w:val="en-US" w:eastAsia="zh-CN"/>
        </w:rPr>
        <w:t>整机质保</w:t>
      </w:r>
      <w:r>
        <w:rPr>
          <w:rFonts w:hint="eastAsia" w:ascii="仿宋" w:hAnsi="仿宋" w:eastAsia="仿宋" w:cs="仿宋"/>
          <w:b w:val="0"/>
          <w:bCs/>
          <w:color w:val="auto"/>
          <w:sz w:val="24"/>
          <w:szCs w:val="24"/>
          <w:highlight w:val="none"/>
        </w:rPr>
        <w:t>三年</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包括技术服务和原厂原件更换）</w:t>
      </w:r>
    </w:p>
    <w:p w14:paraId="06544347">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六、售后服务要求：</w:t>
      </w:r>
    </w:p>
    <w:p w14:paraId="230F79B0">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0BD3EB7F">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1CFB4EEB">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304BC135">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七、验收标准：</w:t>
      </w:r>
    </w:p>
    <w:p w14:paraId="78BEF25A">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2DFD193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44A80F37">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3、厂家需提供设备的合格证明和质保书。</w:t>
      </w:r>
    </w:p>
    <w:p w14:paraId="4C605CE2">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4、网络接口费由供货商承担，如需网络升级，升级费用终身由供货商承担。</w:t>
      </w:r>
    </w:p>
    <w:p w14:paraId="38D7367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八、供货时间：自合同签订之日起15个工作日内完成供货、安装、调试、验收、移交。</w:t>
      </w:r>
    </w:p>
    <w:p w14:paraId="4B6D5FB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0.26万元</w:t>
      </w:r>
      <w:r>
        <w:rPr>
          <w:rFonts w:hint="eastAsia" w:ascii="仿宋" w:hAnsi="仿宋" w:eastAsia="仿宋" w:cs="仿宋"/>
          <w:b w:val="0"/>
          <w:bCs/>
          <w:color w:val="auto"/>
          <w:sz w:val="24"/>
          <w:szCs w:val="24"/>
          <w:highlight w:val="none"/>
        </w:rPr>
        <w:t>（单价）</w:t>
      </w:r>
    </w:p>
    <w:p w14:paraId="78772412">
      <w:pP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br w:type="page"/>
      </w:r>
    </w:p>
    <w:p w14:paraId="7FF5223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设备名称：电子阴道镜</w:t>
      </w:r>
    </w:p>
    <w:p w14:paraId="2DF6A4B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53C644C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1台</w:t>
      </w:r>
    </w:p>
    <w:p w14:paraId="3348ED3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719FE12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整机要求：投标产品的镜头部分与工作站部分需作为同一医疗器械整机系统，通过NMPA注册，注册证中的产品名称应涵盖镜头及工作站，镜头或工作站单独注册产品后组合而成的产品（提供有效的NMPA注册复印件）。</w:t>
      </w:r>
    </w:p>
    <w:p w14:paraId="1FF18D7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2.设备使用年限：10年。</w:t>
      </w:r>
    </w:p>
    <w:p w14:paraId="28624B3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 成像要求：具有光学放大连续变倍、自动聚焦和1080p高清视频成像功能，整机系统水平分辨率≥1150TVL。</w:t>
      </w:r>
    </w:p>
    <w:p w14:paraId="5DCA208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 视场范围满足：≥100mm(3X), ≥16mm(18X)；（提供检测报告）。</w:t>
      </w:r>
    </w:p>
    <w:p w14:paraId="1CAA3A6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1.3镜头成像景深：放大倍数3x观察条件下≥200mm, 放大倍数18x观察条件下≥60mm；（提供检测报告）。</w:t>
      </w:r>
    </w:p>
    <w:p w14:paraId="5AE69EF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1.4视频观察图像：几何失真度为≤0.5%；视场中心的空间分辨力≥20 lP/mm；色彩饱和度平均值不小于95%,色彩还原度最大误差不大于30 NBS，平均误差不大于20 NBS。</w:t>
      </w:r>
    </w:p>
    <w:p w14:paraId="004CF45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1.5镜头成像工作距离：150mm～380mm。</w:t>
      </w:r>
    </w:p>
    <w:p w14:paraId="0C991EA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1.6镜头视频成像放大倍数：放大倍数支持1～90倍,可在视频图像上标记显示放大倍数标记，并可在打印报告中显示对图像的倍数标记；（提供检测报告和操作界面图）。</w:t>
      </w:r>
    </w:p>
    <w:p w14:paraId="05FCE9D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★1.7镜头光源：采用长寿命、高亮度、高显色性LED环形组光源，当工作距离为200mm时目标中心照度的最大值≥15000Lx，当工作距离为300mm时目标中心照度的最大值≥10000Lx。</w:t>
      </w:r>
    </w:p>
    <w:p w14:paraId="0282B43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1.8镜头按键功能：基于人因工程设计的镜头9按键功能：检查、计时、回放、报告、放大、缩小、三级白光、三级绿光、手扣采图。</w:t>
      </w:r>
    </w:p>
    <w:p w14:paraId="4A3EB30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1.9镜头按键根据阴道镜检查流程，实现“一键”进入观察检查操作界面，一键实现6X-8X-12X倍光学放大观察快速切换；“一键”进入按采图时序回放观察多图界面，回放显示可将阴道镜检查过程中采集的图像按时序同屏显示，显示图像数量≧12幅；“一键”进入检查报告记录操作界面。</w:t>
      </w:r>
    </w:p>
    <w:p w14:paraId="6106BD7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1.10镜头手柄手扣按键功能：提供图像采集、图像冻结、显示宫颈口定位标记等多功能模式设置功能。</w:t>
      </w:r>
    </w:p>
    <w:p w14:paraId="0A3021F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1.11配置镜头专用保护套，保护镜头按键不受污染。</w:t>
      </w:r>
    </w:p>
    <w:p w14:paraId="742D264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1.12脚踏开关功能：为方便临床检查操作，提供内置双脚踏开关底座集成一体式的直立式支架，实现计时标记和图像采集控制。</w:t>
      </w:r>
    </w:p>
    <w:p w14:paraId="05F4F9C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1.13支架功能：提供金属结构可升降直立式支架，升降范围≥200mm，镜头前后微距调节范围：≥100mm（不依赖脚轮移动）。</w:t>
      </w:r>
    </w:p>
    <w:p w14:paraId="27482F8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2.阴道镜工作站性能要求：</w:t>
      </w:r>
    </w:p>
    <w:p w14:paraId="5BC2F5B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2.1图像处理工作站性能要求：显示器，≥23英寸宽视角、真彩、高清图像显示器，CPU≥2.5GHz I5处理器 ，内存≥8G，固态硬盘≥256G，硬盘≥1T，USB接口≥6个。</w:t>
      </w:r>
    </w:p>
    <w:p w14:paraId="73C8F40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2.2带网络接口，内置4G物联网络，为远程维护提供便携手段；</w:t>
      </w:r>
    </w:p>
    <w:p w14:paraId="099DB79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2.3工作站显示器功能：分辨率满足1920*1080；显示支架满足屏幕观察：左右平移延伸调节≥±500mm，俯仰角调节≥±45度，（提供摇臂式显示支架平移拉伸平移照片证明文件）。</w:t>
      </w:r>
    </w:p>
    <w:p w14:paraId="7EC16C2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2.4工作站台车：配置多功能操作台面（非嵌入式键盘占用台面空间），隐藏式可抽拉键盘托盘。（提供工作站隐藏式可抽拉键盘托盘功能结构照片）。</w:t>
      </w:r>
    </w:p>
    <w:p w14:paraId="31FB63B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2.5患者信息登记功能：支持扫描枪、身份证读取功能（直接获取患者姓名及身份证号码）（提供检测报告），出厂内置身份证读卡器；提供自动复查功能,能减免重复录入同一患者信息工作量。</w:t>
      </w:r>
    </w:p>
    <w:p w14:paraId="7643F2E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2.6 具有检查准备、醋酸涂抹时间、图像自动采集时间等的操作提示音（不限于语音）功能;（提供界面功能截图）。</w:t>
      </w:r>
    </w:p>
    <w:p w14:paraId="043F76E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2.7提供不少于2种国际学术专业认可的评估方法 (Swede、RCI)。</w:t>
      </w:r>
    </w:p>
    <w:p w14:paraId="46C3BCD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★2.8为转诊阴道镜检查提供宫颈病变智能风险评估功能，可根据转诊检查指征的关键风险因素:细胞学结果、HPV型别、HPV感染时长，患者年龄等因素指标，给出风险评估和分层管理建议。</w:t>
      </w:r>
    </w:p>
    <w:p w14:paraId="5B3B456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★2.9提供阴道镜智能辅助诊断三大评估功能：宫颈疾病风险评估、充分性评估和可见性评估（根据采集图像的病变程度），并可根据评估结果智能提示病变级别和处理建议。</w:t>
      </w:r>
    </w:p>
    <w:p w14:paraId="622E75C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2.10检查结果记录功能：具有对阴道镜检查和手术治疗结果进行记录、图像标记和随访管理功能； 提供符合 IFCPC2011 和 ASCCP2019 的阴道镜术语和检查规范，提供阴道镜诊断术语及参考图谱，并可与当前检查患者检查图像对比显示在同一界面。方便对比参考，辅助检查医生做出准确判断。</w:t>
      </w:r>
    </w:p>
    <w:p w14:paraId="055B083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2.11检查/治疗手术报告输出功能：提供不少于6种阴道镜检查报告和手术治疗报告模版，并自动生成PDF文件备份,便于医疗纠纷的追朔； 可提供邮件发送功能,可在邮箱查看打印的检查报告。</w:t>
      </w:r>
    </w:p>
    <w:p w14:paraId="281E19A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2.12数据管理功能：提供患者就诊数据信息的自动备份与恢复功能,可选导出患者脱敏后的资料信息功能。可定时备份文件和数据具有系统操作日志记录查询功能，具有对软件用户的历史操作进行留痕记录功能，系统自动记录用户对病人数据的软件操作动作，满足临床对软件操作故障和安全可追溯的需求。</w:t>
      </w:r>
    </w:p>
    <w:p w14:paraId="08CDC87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2.13随访管理：可对阴道镜检查异常活检和手术治疗患者进行随访管理。</w:t>
      </w:r>
    </w:p>
    <w:p w14:paraId="6189DE9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2.14统计分析：提供按日期、姓名、手机号码的等信息查询功能；具有对拟诊结果、病理结果、实验室检查结果、检查医生和开单医生的工作量等进行统计分析功能，统计结果可以饼型、线型和柱状图形式进行显示，也可以数据列表显示，并可输出Excel格式文件。</w:t>
      </w:r>
    </w:p>
    <w:p w14:paraId="16C67DB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2.15能根据用户习惯，提供5种以上UI使用界面：柔蓝模式、护眼模式、清爽模式、温馨模式、商务模式。放大倍数、醋酸计时的颜色支持≥4种颜色可调。</w:t>
      </w:r>
    </w:p>
    <w:p w14:paraId="2E4A427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2.16提供阴道镜模拟训练云服务系统微信登录功能，为阴道镜用户提供阴道镜视频教学、图像判读学习、术语学习和模拟测试功能；具有不少于10000张典型病例图谱库。</w:t>
      </w:r>
    </w:p>
    <w:p w14:paraId="4104A94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2.17提供与HIS/PACS数据交换可选功能：可提供标准国际DICOM3.0数据交换接口，包括：DICOM worklist, DICOM verify, DICOM storage；（提供检测报告）。</w:t>
      </w:r>
    </w:p>
    <w:p w14:paraId="38162E4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2.18提供开放数据交换接口协议可选功能，满足转诊阴道镜检查数据和病例数据下载到阴道镜系统，阴道镜报告上传功能。</w:t>
      </w:r>
    </w:p>
    <w:p w14:paraId="1C1A572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3.网络应用功能：</w:t>
      </w:r>
    </w:p>
    <w:p w14:paraId="66C6D2A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3.1阴道镜网络数据管理软件具有医疗器械注册证。</w:t>
      </w:r>
    </w:p>
    <w:p w14:paraId="437ECA0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3.2阴道镜设备具备与阴道镜网络数据管理软件连接功能，可实现网络阴道镜护士站终端登记的待检查患者信息自动加载到阴道镜工作站今日检查列表功能及检查医生通过阴道镜工作站选择就诊患者和叫号功能；可实现检查结果（报告记录和采集图像）自动或手动上传数据服务器功能。</w:t>
      </w:r>
    </w:p>
    <w:p w14:paraId="3AA6672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3.3阴道镜网络数据管理软件具有与阴道镜工作站病理结果信息同步功能。</w:t>
      </w:r>
    </w:p>
    <w:p w14:paraId="1D7F4D8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3.4支持局域网应用模式，广域网云服务应用模式；满足阴道镜诊断报告上传、专家复核管理、质控管理、统计分析和随访管理功能。</w:t>
      </w:r>
    </w:p>
    <w:p w14:paraId="010B4D8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3.5支持三个品牌以上阴道镜设备联网，兼容光电一体阴道镜、电子阴道镜。</w:t>
      </w:r>
    </w:p>
    <w:p w14:paraId="52025D9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3.6示教系统、叫号系统和远程实时会诊系统功能，便于宫颈门诊综合管理和视教应用。</w:t>
      </w:r>
    </w:p>
    <w:p w14:paraId="5183371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3.7阴道镜检查/LEEP手术视教直播功能，支持局域网和广域网应用。</w:t>
      </w:r>
    </w:p>
    <w:p w14:paraId="079FC08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4、配置要求：</w:t>
      </w:r>
    </w:p>
    <w:p w14:paraId="3216A73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4.1具有前后微距调节功能且为内置双脚踏开关底座集成一体式的直立式镜头支架。</w:t>
      </w:r>
    </w:p>
    <w:p w14:paraId="7F608DD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4.2同品牌子宫颈活体取样钳。</w:t>
      </w:r>
    </w:p>
    <w:p w14:paraId="6C2B61F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4.3同品牌宫颈刮匙。</w:t>
      </w:r>
    </w:p>
    <w:p w14:paraId="398C7C4D">
      <w:pPr>
        <w:pStyle w:val="199"/>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装箱配置单：</w:t>
      </w:r>
    </w:p>
    <w:p w14:paraId="1B10D0C8">
      <w:pPr>
        <w:pStyle w:val="199"/>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主机       1台</w:t>
      </w:r>
    </w:p>
    <w:p w14:paraId="32D8D120">
      <w:pPr>
        <w:pStyle w:val="199"/>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Chars="0"/>
        <w:textAlignment w:val="auto"/>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配件       1套</w:t>
      </w:r>
    </w:p>
    <w:p w14:paraId="3E10096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w:t>
      </w:r>
      <w:r>
        <w:rPr>
          <w:rFonts w:hint="default" w:ascii="仿宋" w:hAnsi="仿宋" w:eastAsia="仿宋" w:cs="仿宋"/>
          <w:b w:val="0"/>
          <w:bCs/>
          <w:color w:val="auto"/>
          <w:kern w:val="2"/>
          <w:sz w:val="24"/>
          <w:szCs w:val="24"/>
          <w:highlight w:val="none"/>
          <w:lang w:val="en-US" w:eastAsia="zh-CN" w:bidi="ar-SA"/>
        </w:rPr>
        <w:t>每样冷刀刀具配置≥2把。</w:t>
      </w:r>
    </w:p>
    <w:p w14:paraId="0D722F9B">
      <w:pPr>
        <w:pStyle w:val="199"/>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4、</w:t>
      </w:r>
      <w:r>
        <w:rPr>
          <w:rFonts w:hint="default" w:ascii="仿宋" w:hAnsi="仿宋" w:eastAsia="仿宋" w:cs="仿宋"/>
          <w:b w:val="0"/>
          <w:bCs/>
          <w:color w:val="auto"/>
          <w:kern w:val="2"/>
          <w:sz w:val="24"/>
          <w:szCs w:val="24"/>
          <w:highlight w:val="none"/>
          <w:lang w:val="en-US" w:eastAsia="zh-CN" w:bidi="ar-SA"/>
        </w:rPr>
        <w:t>一次性使用中性电极板≥20片。</w:t>
      </w:r>
    </w:p>
    <w:p w14:paraId="1629B3E0">
      <w:pPr>
        <w:pStyle w:val="199"/>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5、</w:t>
      </w:r>
      <w:r>
        <w:rPr>
          <w:rFonts w:hint="default" w:ascii="仿宋" w:hAnsi="仿宋" w:eastAsia="仿宋" w:cs="仿宋"/>
          <w:b w:val="0"/>
          <w:bCs/>
          <w:color w:val="auto"/>
          <w:kern w:val="2"/>
          <w:sz w:val="24"/>
          <w:szCs w:val="24"/>
          <w:highlight w:val="none"/>
          <w:lang w:val="en-US" w:eastAsia="zh-CN" w:bidi="ar-SA"/>
        </w:rPr>
        <w:t>侧开式专用窥</w:t>
      </w:r>
      <w:r>
        <w:rPr>
          <w:rFonts w:hint="eastAsia" w:ascii="仿宋" w:hAnsi="仿宋" w:eastAsia="仿宋" w:cs="仿宋"/>
          <w:b w:val="0"/>
          <w:bCs/>
          <w:color w:val="auto"/>
          <w:kern w:val="2"/>
          <w:sz w:val="24"/>
          <w:szCs w:val="24"/>
          <w:highlight w:val="none"/>
          <w:lang w:val="en-US" w:eastAsia="zh-CN" w:bidi="ar-SA"/>
        </w:rPr>
        <w:t>阴</w:t>
      </w:r>
      <w:r>
        <w:rPr>
          <w:rFonts w:hint="default" w:ascii="仿宋" w:hAnsi="仿宋" w:eastAsia="仿宋" w:cs="仿宋"/>
          <w:b w:val="0"/>
          <w:bCs/>
          <w:color w:val="auto"/>
          <w:kern w:val="2"/>
          <w:sz w:val="24"/>
          <w:szCs w:val="24"/>
          <w:highlight w:val="none"/>
          <w:lang w:val="en-US" w:eastAsia="zh-CN" w:bidi="ar-SA"/>
        </w:rPr>
        <w:t>器：方便观察与治疗阴道壁疾病，在治疗过程中可在不抽出刀具的情况下直接置入或取出窥器。</w:t>
      </w:r>
    </w:p>
    <w:p w14:paraId="35DAAA63">
      <w:pPr>
        <w:pStyle w:val="199"/>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6、活检钳      2把</w:t>
      </w:r>
    </w:p>
    <w:p w14:paraId="5BF28C8D">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质保：</w:t>
      </w:r>
      <w:r>
        <w:rPr>
          <w:rFonts w:hint="eastAsia" w:ascii="仿宋" w:hAnsi="仿宋" w:eastAsia="仿宋" w:cs="仿宋"/>
          <w:b w:val="0"/>
          <w:bCs/>
          <w:color w:val="auto"/>
          <w:sz w:val="24"/>
          <w:szCs w:val="24"/>
          <w:highlight w:val="none"/>
          <w:lang w:val="en-US" w:eastAsia="zh-CN"/>
        </w:rPr>
        <w:t>整机质保</w:t>
      </w:r>
      <w:r>
        <w:rPr>
          <w:rFonts w:hint="eastAsia" w:ascii="仿宋" w:hAnsi="仿宋" w:eastAsia="仿宋" w:cs="仿宋"/>
          <w:b w:val="0"/>
          <w:bCs/>
          <w:color w:val="auto"/>
          <w:sz w:val="24"/>
          <w:szCs w:val="24"/>
          <w:highlight w:val="none"/>
          <w:lang w:eastAsia="zh-CN"/>
        </w:rPr>
        <w:t>三年（</w:t>
      </w:r>
      <w:r>
        <w:rPr>
          <w:rFonts w:hint="eastAsia" w:ascii="仿宋" w:hAnsi="仿宋" w:eastAsia="仿宋" w:cs="仿宋"/>
          <w:b w:val="0"/>
          <w:bCs/>
          <w:color w:val="auto"/>
          <w:sz w:val="24"/>
          <w:szCs w:val="24"/>
          <w:highlight w:val="none"/>
          <w:lang w:val="en-US" w:eastAsia="zh-CN"/>
        </w:rPr>
        <w:t>包括技术服务和原厂配件更换）</w:t>
      </w:r>
      <w:r>
        <w:rPr>
          <w:rFonts w:hint="eastAsia" w:ascii="仿宋" w:hAnsi="仿宋" w:eastAsia="仿宋" w:cs="仿宋"/>
          <w:b w:val="0"/>
          <w:bCs/>
          <w:color w:val="auto"/>
          <w:sz w:val="24"/>
          <w:szCs w:val="24"/>
          <w:highlight w:val="none"/>
          <w:lang w:eastAsia="zh-CN"/>
        </w:rPr>
        <w:t>货物必须是全新的</w:t>
      </w:r>
    </w:p>
    <w:p w14:paraId="00F39F14">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售后服务要求：</w:t>
      </w:r>
    </w:p>
    <w:p w14:paraId="711814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1、厂家需提供24小时在线技术支持，确保设备在使用过程中出现问题时能够及时得到解答和处理。如果在线无法解决问题，工程师48小时到达现场排除问题。</w:t>
      </w:r>
    </w:p>
    <w:p w14:paraId="6C0DC0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2、厂家需要每季度第一周巡查一次，了解设备使用情况，收集用户反馈，以便不断改进产品和服务。</w:t>
      </w:r>
    </w:p>
    <w:p w14:paraId="446528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SA"/>
        </w:rPr>
        <w:t>3、厂家需提供必要的培训服务，长期线上视频指导，确保科室操作人员能够熟练掌握设备的使用方法和注意事项。</w:t>
      </w:r>
    </w:p>
    <w:p w14:paraId="44702FD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七、验收标准：</w:t>
      </w:r>
    </w:p>
    <w:p w14:paraId="28BD15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1、设备外观完好无损，无明显的划痕或损坏。</w:t>
      </w:r>
    </w:p>
    <w:p w14:paraId="46DE7E3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2、随附的配件和资料齐全，符合装箱配置单要求。</w:t>
      </w:r>
    </w:p>
    <w:p w14:paraId="1D93A7B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3、厂家需提供设备的合格证明和质保书。</w:t>
      </w:r>
    </w:p>
    <w:p w14:paraId="30F1D1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4、网络接口费由供货商承担，如需网络升级，升级费用终身由供货商承担。</w:t>
      </w:r>
    </w:p>
    <w:p w14:paraId="334F17C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八、供货时间：</w:t>
      </w:r>
      <w:r>
        <w:rPr>
          <w:rFonts w:hint="eastAsia" w:ascii="仿宋" w:hAnsi="仿宋" w:eastAsia="仿宋" w:cs="仿宋"/>
          <w:bCs/>
          <w:color w:val="auto"/>
          <w:sz w:val="24"/>
          <w:szCs w:val="24"/>
          <w:highlight w:val="none"/>
          <w:lang w:val="en-US" w:eastAsia="zh-CN"/>
        </w:rPr>
        <w:t>自合同签订之日起15个工作日内完成供货、安装、调试、验收、移交。</w:t>
      </w:r>
    </w:p>
    <w:p w14:paraId="734D85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16.5万元</w:t>
      </w:r>
      <w:r>
        <w:rPr>
          <w:rFonts w:hint="eastAsia" w:ascii="仿宋" w:hAnsi="仿宋" w:eastAsia="仿宋" w:cs="仿宋"/>
          <w:b w:val="0"/>
          <w:bCs/>
          <w:color w:val="auto"/>
          <w:sz w:val="24"/>
          <w:szCs w:val="24"/>
          <w:highlight w:val="none"/>
        </w:rPr>
        <w:t>（单价）</w:t>
      </w:r>
    </w:p>
    <w:p w14:paraId="660CD3F1">
      <w:pP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5903B967">
      <w:pPr>
        <w:adjustRightInd w:val="0"/>
        <w:snapToGrid w:val="0"/>
        <w:spacing w:line="360" w:lineRule="auto"/>
        <w:outlineLvl w:val="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设备名称：</w:t>
      </w:r>
      <w:r>
        <w:rPr>
          <w:rFonts w:hint="eastAsia" w:ascii="仿宋" w:hAnsi="仿宋" w:eastAsia="仿宋" w:cs="仿宋"/>
          <w:bCs/>
          <w:color w:val="auto"/>
          <w:sz w:val="24"/>
          <w:szCs w:val="24"/>
          <w:highlight w:val="none"/>
          <w:lang w:eastAsia="zh-CN"/>
        </w:rPr>
        <w:t>妇科床</w:t>
      </w:r>
    </w:p>
    <w:p w14:paraId="5A90DE7F">
      <w:pPr>
        <w:pStyle w:val="199"/>
        <w:adjustRightInd w:val="0"/>
        <w:snapToGrid w:val="0"/>
        <w:spacing w:line="360" w:lineRule="auto"/>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一、产地：（国产）</w:t>
      </w:r>
    </w:p>
    <w:p w14:paraId="04587544">
      <w:pPr>
        <w:pStyle w:val="199"/>
        <w:adjustRightInd w:val="0"/>
        <w:snapToGrid w:val="0"/>
        <w:spacing w:line="360" w:lineRule="auto"/>
        <w:ind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二、数量：</w:t>
      </w:r>
      <w:r>
        <w:rPr>
          <w:rFonts w:hint="eastAsia" w:ascii="仿宋" w:hAnsi="仿宋" w:eastAsia="仿宋" w:cs="仿宋"/>
          <w:bCs/>
          <w:color w:val="auto"/>
          <w:sz w:val="24"/>
          <w:szCs w:val="24"/>
          <w:highlight w:val="none"/>
          <w:lang w:val="en-US" w:eastAsia="zh-CN"/>
        </w:rPr>
        <w:t>3张</w:t>
      </w:r>
    </w:p>
    <w:p w14:paraId="6F2F51E8">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三、技术参数：</w:t>
      </w:r>
    </w:p>
    <w:p w14:paraId="2D191A8A">
      <w:pPr>
        <w:adjustRightInd w:val="0"/>
        <w:snapToGrid w:val="0"/>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妇科手术台；整体升降、背板折转为电动操作，腿部休息板等为手动操作，托腿架等附件可根据患者实际情况调节</w:t>
      </w:r>
      <w:r>
        <w:rPr>
          <w:rFonts w:hint="eastAsia" w:ascii="仿宋" w:hAnsi="仿宋" w:eastAsia="仿宋" w:cs="仿宋"/>
          <w:bCs/>
          <w:color w:val="auto"/>
          <w:sz w:val="24"/>
          <w:szCs w:val="24"/>
          <w:highlight w:val="none"/>
          <w:lang w:eastAsia="zh-CN"/>
        </w:rPr>
        <w:t>。</w:t>
      </w:r>
    </w:p>
    <w:p w14:paraId="65838E86">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动力系统采用电机，升降机构采用4连杆机构。</w:t>
      </w:r>
    </w:p>
    <w:p w14:paraId="071FD5A6">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台面采用PU皮模具成型，表面无缝，座板皮垫中部设置半圆形缺口，方便医护人员进行操作、污物排除等，皮垫可以取下清洁，座板下方设有工程塑料的污物盆。</w:t>
      </w:r>
    </w:p>
    <w:p w14:paraId="53C9B644">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搁手板、搁腿架为模具发泡一次成型。</w:t>
      </w:r>
    </w:p>
    <w:p w14:paraId="379A1938">
      <w:pPr>
        <w:adjustRightInd w:val="0"/>
        <w:snapToGrid w:val="0"/>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腿板可脱卸式，设有工程塑料后盖，脚撑为可拆卸式，可调节</w:t>
      </w:r>
      <w:r>
        <w:rPr>
          <w:rFonts w:hint="eastAsia" w:ascii="仿宋" w:hAnsi="仿宋" w:eastAsia="仿宋" w:cs="仿宋"/>
          <w:bCs/>
          <w:color w:val="auto"/>
          <w:sz w:val="24"/>
          <w:szCs w:val="24"/>
          <w:highlight w:val="none"/>
          <w:lang w:eastAsia="zh-CN"/>
        </w:rPr>
        <w:t>。</w:t>
      </w:r>
    </w:p>
    <w:p w14:paraId="4083485A">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背板设有负角度调节功能，后盖为工程塑料， 背板后面设有纸卷轴，用于安装一次性纸巾。</w:t>
      </w:r>
    </w:p>
    <w:p w14:paraId="0C8DA578">
      <w:pPr>
        <w:adjustRightInd w:val="0"/>
        <w:snapToGrid w:val="0"/>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底盘外罩采用工程塑料模具成型</w:t>
      </w:r>
      <w:r>
        <w:rPr>
          <w:rFonts w:hint="eastAsia" w:ascii="仿宋" w:hAnsi="仿宋" w:eastAsia="仿宋" w:cs="仿宋"/>
          <w:bCs/>
          <w:color w:val="auto"/>
          <w:sz w:val="24"/>
          <w:szCs w:val="24"/>
          <w:highlight w:val="none"/>
          <w:lang w:eastAsia="zh-CN"/>
        </w:rPr>
        <w:t>。</w:t>
      </w:r>
    </w:p>
    <w:p w14:paraId="70642545">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床底设有滚轮，方便整机的移动</w:t>
      </w:r>
    </w:p>
    <w:p w14:paraId="3A85D70A">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床面颜色可选</w:t>
      </w:r>
    </w:p>
    <w:p w14:paraId="030D776E">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台面尺寸：</w:t>
      </w:r>
      <w:r>
        <w:rPr>
          <w:rFonts w:hint="eastAsia" w:ascii="仿宋" w:hAnsi="仿宋" w:eastAsia="仿宋" w:cs="仿宋"/>
          <w:bCs/>
          <w:color w:val="auto"/>
          <w:sz w:val="24"/>
          <w:szCs w:val="24"/>
          <w:highlight w:val="none"/>
          <w:lang w:val="en-US" w:eastAsia="zh-CN"/>
        </w:rPr>
        <w:t>≥1250</w:t>
      </w:r>
      <w:r>
        <w:rPr>
          <w:rFonts w:hint="eastAsia" w:ascii="仿宋" w:hAnsi="仿宋" w:eastAsia="仿宋" w:cs="仿宋"/>
          <w:bCs/>
          <w:color w:val="auto"/>
          <w:sz w:val="24"/>
          <w:szCs w:val="24"/>
          <w:highlight w:val="none"/>
        </w:rPr>
        <w:t>mmⅹ</w:t>
      </w:r>
      <w:r>
        <w:rPr>
          <w:rFonts w:hint="eastAsia" w:ascii="仿宋" w:hAnsi="仿宋" w:eastAsia="仿宋" w:cs="仿宋"/>
          <w:bCs/>
          <w:color w:val="auto"/>
          <w:sz w:val="24"/>
          <w:szCs w:val="24"/>
          <w:highlight w:val="none"/>
          <w:lang w:val="en-US" w:eastAsia="zh-CN"/>
        </w:rPr>
        <w:t>600</w:t>
      </w:r>
      <w:r>
        <w:rPr>
          <w:rFonts w:hint="eastAsia" w:ascii="仿宋" w:hAnsi="仿宋" w:eastAsia="仿宋" w:cs="仿宋"/>
          <w:bCs/>
          <w:color w:val="auto"/>
          <w:sz w:val="24"/>
          <w:szCs w:val="24"/>
          <w:highlight w:val="none"/>
        </w:rPr>
        <w:t>mm(长ⅹ宽)</w:t>
      </w:r>
    </w:p>
    <w:p w14:paraId="1DBA6B5A">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rPr>
        <w:t>全体全长（台面尺寸加辅助台尺寸）：</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00mm</w:t>
      </w:r>
    </w:p>
    <w:p w14:paraId="7EBD648F">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rPr>
        <w:t>座部高度：4</w:t>
      </w:r>
      <w:r>
        <w:rPr>
          <w:rFonts w:hint="eastAsia" w:ascii="仿宋" w:hAnsi="仿宋" w:eastAsia="仿宋" w:cs="仿宋"/>
          <w:bCs/>
          <w:color w:val="auto"/>
          <w:sz w:val="24"/>
          <w:szCs w:val="24"/>
          <w:highlight w:val="none"/>
          <w:lang w:val="en-US" w:eastAsia="zh-CN"/>
        </w:rPr>
        <w:t>50</w:t>
      </w:r>
      <w:r>
        <w:rPr>
          <w:rFonts w:hint="eastAsia" w:ascii="仿宋" w:hAnsi="仿宋" w:eastAsia="仿宋" w:cs="仿宋"/>
          <w:bCs/>
          <w:color w:val="auto"/>
          <w:sz w:val="24"/>
          <w:szCs w:val="24"/>
          <w:highlight w:val="none"/>
        </w:rPr>
        <w:t>(低位)～</w:t>
      </w:r>
      <w:r>
        <w:rPr>
          <w:rFonts w:hint="eastAsia" w:ascii="仿宋" w:hAnsi="仿宋" w:eastAsia="仿宋" w:cs="仿宋"/>
          <w:bCs/>
          <w:color w:val="auto"/>
          <w:sz w:val="24"/>
          <w:szCs w:val="24"/>
          <w:highlight w:val="none"/>
          <w:lang w:val="en-US" w:eastAsia="zh-CN"/>
        </w:rPr>
        <w:t>780</w:t>
      </w:r>
      <w:r>
        <w:rPr>
          <w:rFonts w:hint="eastAsia" w:ascii="仿宋" w:hAnsi="仿宋" w:eastAsia="仿宋" w:cs="仿宋"/>
          <w:bCs/>
          <w:color w:val="auto"/>
          <w:sz w:val="24"/>
          <w:szCs w:val="24"/>
          <w:highlight w:val="none"/>
        </w:rPr>
        <w:t>（高位）</w:t>
      </w:r>
    </w:p>
    <w:p w14:paraId="54FB8C2F">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13.</w:t>
      </w:r>
      <w:r>
        <w:rPr>
          <w:rFonts w:hint="eastAsia" w:ascii="仿宋" w:hAnsi="仿宋" w:eastAsia="仿宋" w:cs="仿宋"/>
          <w:bCs/>
          <w:color w:val="auto"/>
          <w:sz w:val="24"/>
          <w:szCs w:val="24"/>
          <w:highlight w:val="none"/>
        </w:rPr>
        <w:t>背板调节角度：-15°～80°</w:t>
      </w:r>
    </w:p>
    <w:p w14:paraId="5D54D152">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14.</w:t>
      </w:r>
      <w:r>
        <w:rPr>
          <w:rFonts w:hint="eastAsia" w:ascii="仿宋" w:hAnsi="仿宋" w:eastAsia="仿宋" w:cs="仿宋"/>
          <w:bCs/>
          <w:color w:val="auto"/>
          <w:sz w:val="24"/>
          <w:szCs w:val="24"/>
          <w:highlight w:val="none"/>
        </w:rPr>
        <w:t>搁手板调节角度：0°～90°</w:t>
      </w:r>
    </w:p>
    <w:p w14:paraId="37B5C8C3">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脚撑外摆角度：  0°～45°</w:t>
      </w:r>
    </w:p>
    <w:p w14:paraId="2ADBC632">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16.</w:t>
      </w:r>
      <w:r>
        <w:rPr>
          <w:rFonts w:hint="eastAsia" w:ascii="仿宋" w:hAnsi="仿宋" w:eastAsia="仿宋" w:cs="仿宋"/>
          <w:bCs/>
          <w:color w:val="auto"/>
          <w:sz w:val="24"/>
          <w:szCs w:val="24"/>
          <w:highlight w:val="none"/>
        </w:rPr>
        <w:t>承载重量：</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180 kg</w:t>
      </w:r>
    </w:p>
    <w:p w14:paraId="3C770692">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17.</w:t>
      </w:r>
      <w:r>
        <w:rPr>
          <w:rFonts w:hint="eastAsia" w:ascii="仿宋" w:hAnsi="仿宋" w:eastAsia="仿宋" w:cs="仿宋"/>
          <w:bCs/>
          <w:color w:val="auto"/>
          <w:sz w:val="24"/>
          <w:szCs w:val="24"/>
          <w:highlight w:val="none"/>
        </w:rPr>
        <w:t>电源：AC 220V 50 HZ</w:t>
      </w:r>
    </w:p>
    <w:p w14:paraId="112FD93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四、装箱配置单：</w:t>
      </w:r>
    </w:p>
    <w:p w14:paraId="4B21F4F8">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1、主机       1台</w:t>
      </w:r>
    </w:p>
    <w:p w14:paraId="136B0866">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2、配件       1套</w:t>
      </w:r>
    </w:p>
    <w:p w14:paraId="7AA58E92">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五、质保：</w:t>
      </w:r>
      <w:r>
        <w:rPr>
          <w:rFonts w:hint="eastAsia" w:ascii="仿宋" w:hAnsi="仿宋" w:eastAsia="仿宋" w:cs="仿宋"/>
          <w:b w:val="0"/>
          <w:bCs/>
          <w:color w:val="auto"/>
          <w:sz w:val="24"/>
          <w:szCs w:val="24"/>
          <w:highlight w:val="none"/>
          <w:lang w:val="en-US" w:eastAsia="zh-CN"/>
        </w:rPr>
        <w:t>设备整体质保</w:t>
      </w:r>
      <w:r>
        <w:rPr>
          <w:rFonts w:hint="eastAsia" w:ascii="仿宋" w:hAnsi="仿宋" w:eastAsia="仿宋" w:cs="仿宋"/>
          <w:b w:val="0"/>
          <w:bCs/>
          <w:color w:val="auto"/>
          <w:sz w:val="24"/>
          <w:szCs w:val="24"/>
          <w:highlight w:val="none"/>
        </w:rPr>
        <w:t>三年</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包括技术服务和原厂原件更换）</w:t>
      </w:r>
    </w:p>
    <w:p w14:paraId="5ABC7B04">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六、售后服务要求：</w:t>
      </w:r>
    </w:p>
    <w:p w14:paraId="3B01EDFC">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31C3F62F">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3BB2DA63">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767F5417">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七、验收标准：</w:t>
      </w:r>
    </w:p>
    <w:p w14:paraId="0CFC2860">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4D2B9943">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3304521A">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3、厂家需提供设备的合格证明和质保书。</w:t>
      </w:r>
    </w:p>
    <w:p w14:paraId="480E9E14">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4、网络接口费由供货商承担，如需网络升级，升级费用终身由供货商承担。</w:t>
      </w:r>
    </w:p>
    <w:p w14:paraId="4C0E48DC">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八、供货时间：自合同签订之日起15个工作日内完成供货、安装、调试、验收、移交。</w:t>
      </w:r>
    </w:p>
    <w:p w14:paraId="1C7F1A2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九、预算：0.58/台</w:t>
      </w:r>
    </w:p>
    <w:p w14:paraId="1C6F35AD">
      <w:pP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br w:type="page"/>
      </w:r>
    </w:p>
    <w:p w14:paraId="160B91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设备名称：妇科射频治疗仪</w:t>
      </w:r>
    </w:p>
    <w:p w14:paraId="5CF974C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39C2E3D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1台</w:t>
      </w:r>
    </w:p>
    <w:p w14:paraId="13154A4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370FA2A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 治疗主机：</w:t>
      </w:r>
    </w:p>
    <w:p w14:paraId="073E2EF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1.1、治疗范围：宫颈糜烂、宫颈息肉、宫颈肥大、尖锐湿疣、前庭大腺囊肿。</w:t>
      </w:r>
    </w:p>
    <w:p w14:paraId="03BC8C4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★1.2、工作频率：550KHz±40KHz。</w:t>
      </w:r>
    </w:p>
    <w:p w14:paraId="2740A06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★1.3、输出功率范围：≤700W、整机输出功率：≥40W,≤150W;  可调步进1W。</w:t>
      </w:r>
    </w:p>
    <w:p w14:paraId="5D60B43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1.4、阻抗百分比显示为100～999%。</w:t>
      </w:r>
    </w:p>
    <w:p w14:paraId="4542C35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二、无烟保证指标</w:t>
      </w:r>
    </w:p>
    <w:p w14:paraId="4DF0419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2.、烟雾净化高频手术电极 设置在手术刀头的吸风口，吸烟率达到99.5%。</w:t>
      </w:r>
    </w:p>
    <w:p w14:paraId="0BA97FF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2.2、管径大于5MM的专用操作手柄。</w:t>
      </w:r>
    </w:p>
    <w:p w14:paraId="09418B2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2.3、气管防折叠系统 设有防折皱装置的管路。</w:t>
      </w:r>
    </w:p>
    <w:p w14:paraId="561A65A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2.4、真空系统：140L/MIN抽吸45dB超低静音。</w:t>
      </w:r>
    </w:p>
    <w:p w14:paraId="493D6FE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2.5、可以产生≥-700mmHg的近似真空的压力。</w:t>
      </w:r>
    </w:p>
    <w:p w14:paraId="3EE633B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三、四层烟尘净化系统</w:t>
      </w:r>
    </w:p>
    <w:p w14:paraId="5D31210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3.1、防尘：HEPA对直径为0.3微米微粒的过滤效≥99%。</w:t>
      </w:r>
    </w:p>
    <w:p w14:paraId="26EFA1D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3.2、除臭：活性炭专用于吸附甲醛、苯系物、氨、氧、TVOC等有害物质，祛除异味。</w:t>
      </w:r>
    </w:p>
    <w:p w14:paraId="4730BF1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3.3、灭菌：活性炭可杀灭大肠杆菌，金黄色葡萄球菌、霉菌、脓菌等致病菌，抑制流行病原的传播。</w:t>
      </w:r>
    </w:p>
    <w:p w14:paraId="3AD2918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3.4、杀毒：冷触酶可破坏固化病毒的蛋白质，将有机污染物和部分无机物分解成二氧化碳和水。</w:t>
      </w:r>
    </w:p>
    <w:p w14:paraId="17EF182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3.5、手柄方便拔插手术电极；拥有凝、切双按钮；大于5MM的管径，宫颈自动无烟电切技术，自动旋切病变组织。</w:t>
      </w:r>
    </w:p>
    <w:p w14:paraId="56D075D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★3.6、刀无烟手术电极具有： 锥形电极、环形电极、方形电极、适形电极。</w:t>
      </w:r>
    </w:p>
    <w:p w14:paraId="3DC9308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3.7、专用宫颈刀具：宫颈凝固刀、宫颈肥大刀、宫颈息肉刀、尖锐湿疣刀、前庭大腺囊肿刀。</w:t>
      </w:r>
    </w:p>
    <w:p w14:paraId="06ACB8A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四：宫颈冷刀自动锥切系统：</w:t>
      </w:r>
    </w:p>
    <w:p w14:paraId="13A5E50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4.1、锥切范围可控：冷刀切割范围可控制，可根据宫颈坏死组织大小，控制深入的深浅从而控制切割的范围。</w:t>
      </w:r>
    </w:p>
    <w:p w14:paraId="5A7B0AD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4.2、无热损伤：自动锥切通过电机控制，完全冷锥切。</w:t>
      </w:r>
    </w:p>
    <w:p w14:paraId="28ED3DC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活组织细胞取检：手动控制切割。</w:t>
      </w:r>
    </w:p>
    <w:p w14:paraId="556763D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4.3、组织结构：送检细胞组织结构完整，保留完整的上皮和足够的间质。</w:t>
      </w:r>
    </w:p>
    <w:p w14:paraId="4EF4CB0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4.4、送检组织染色后可见：细胞大小、形态；细胞核大小、颜色、形状、核分裂是否增多、有无病理性核分裂像；异性细胞多少及区域；基底膜是否完整。</w:t>
      </w:r>
    </w:p>
    <w:p w14:paraId="58E88BB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五、侧开式专用窥阴器：</w:t>
      </w:r>
    </w:p>
    <w:p w14:paraId="69F44B5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5.1、方便观察与治疗阴道壁疾病，在治疗过程中可在不抽出刀具的情况下直接置入或取出窥阴器。</w:t>
      </w:r>
    </w:p>
    <w:p w14:paraId="4731F10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六：工作环境温度：</w:t>
      </w:r>
    </w:p>
    <w:p w14:paraId="3687278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6.1、环境温度范围：5℃-40℃。</w:t>
      </w:r>
    </w:p>
    <w:p w14:paraId="6CF7CED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6.2、相对湿度：≤80%。</w:t>
      </w:r>
    </w:p>
    <w:p w14:paraId="3D4C4F3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6.3、电源：交流220V±22V 50Hz±1 Hz。</w:t>
      </w:r>
    </w:p>
    <w:p w14:paraId="2D50B85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6.4、大气压力70kpa-106kpa。</w:t>
      </w:r>
    </w:p>
    <w:p w14:paraId="6B2B814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四、装箱配置单：</w:t>
      </w:r>
    </w:p>
    <w:p w14:paraId="5FFBB697">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1、主机      1台</w:t>
      </w:r>
    </w:p>
    <w:p w14:paraId="44735B1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2、操作手柄  1个</w:t>
      </w:r>
    </w:p>
    <w:p w14:paraId="753E4103">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3、中性电极  1套</w:t>
      </w:r>
    </w:p>
    <w:p w14:paraId="7E9B5EA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4、电极连接线 1套</w:t>
      </w:r>
    </w:p>
    <w:p w14:paraId="75A8DD48">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5、脚踏开关   1套</w:t>
      </w:r>
    </w:p>
    <w:p w14:paraId="3CA303DF">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6、移动台车   1台</w:t>
      </w:r>
    </w:p>
    <w:p w14:paraId="7DA2A033">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 宫颈糜烂电极  3把</w:t>
      </w:r>
    </w:p>
    <w:p w14:paraId="5B923AC6">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8、息肉电极   3把</w:t>
      </w:r>
    </w:p>
    <w:p w14:paraId="2F49DBC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9、囊肿电极  3把</w:t>
      </w:r>
    </w:p>
    <w:p w14:paraId="11EFCF06">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10.尖锐湿疣电极 3把</w:t>
      </w:r>
    </w:p>
    <w:p w14:paraId="7CEDD8B8">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11、阴道扩阴器侧开式 1个</w:t>
      </w:r>
    </w:p>
    <w:p w14:paraId="7F08411D">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12、烟雾净化系统      1套</w:t>
      </w:r>
    </w:p>
    <w:p w14:paraId="51EFE4B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13、锥形电极（大中小）       各1个</w:t>
      </w:r>
    </w:p>
    <w:p w14:paraId="59F1C74F">
      <w:pPr>
        <w:adjustRightInd w:val="0"/>
        <w:snapToGrid w:val="0"/>
        <w:spacing w:line="36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14、LEEP刀配置    1套</w:t>
      </w:r>
    </w:p>
    <w:p w14:paraId="0725AF6E">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五、质保：货物必须是全新的，整机</w:t>
      </w:r>
      <w:r>
        <w:rPr>
          <w:rFonts w:hint="eastAsia" w:ascii="仿宋" w:hAnsi="仿宋" w:eastAsia="仿宋" w:cs="仿宋"/>
          <w:b w:val="0"/>
          <w:bCs/>
          <w:color w:val="auto"/>
          <w:sz w:val="24"/>
          <w:szCs w:val="24"/>
          <w:highlight w:val="none"/>
          <w:lang w:val="en-US" w:eastAsia="zh-CN"/>
        </w:rPr>
        <w:t>质保</w:t>
      </w:r>
      <w:r>
        <w:rPr>
          <w:rFonts w:hint="eastAsia" w:ascii="仿宋" w:hAnsi="仿宋" w:eastAsia="仿宋" w:cs="仿宋"/>
          <w:b w:val="0"/>
          <w:bCs/>
          <w:color w:val="auto"/>
          <w:sz w:val="24"/>
          <w:szCs w:val="24"/>
          <w:highlight w:val="none"/>
        </w:rPr>
        <w:t>三年</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包括技术服务和原厂原件更换）</w:t>
      </w:r>
    </w:p>
    <w:p w14:paraId="02A0B2A6">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六、售后服务要求：</w:t>
      </w:r>
    </w:p>
    <w:p w14:paraId="7EFC76ED">
      <w:pPr>
        <w:adjustRightInd w:val="0"/>
        <w:snapToGrid w:val="0"/>
        <w:spacing w:line="36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1、厂家需提供24小时在线技术支持，确保设备在使用过程中出现问题时能够及时得到解答和处理。如果在线无法解决问题，工程师48小时到达现场排除问题。</w:t>
      </w:r>
    </w:p>
    <w:p w14:paraId="1992D3A5">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2、厂家需要每季度第一周巡查一次，了解设备使用情况，收集用户反馈，以便不断改进产品和服务。</w:t>
      </w:r>
    </w:p>
    <w:p w14:paraId="06B52730">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3、厂家需提供必要的培训服务，长期线上视频指导，确保科室操作人员能够熟练掌握设备的使用方法和注意事项。</w:t>
      </w:r>
    </w:p>
    <w:p w14:paraId="008C3E8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七、验收标准：</w:t>
      </w:r>
    </w:p>
    <w:p w14:paraId="0A9C7A7E">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7F0ED5F8">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266654B7">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3、厂家需提供设备的合格证明和质保书。</w:t>
      </w:r>
    </w:p>
    <w:p w14:paraId="22455B7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4、网络接口费由供货商承担，如需网络升级，升级费用终身由供货商承担。</w:t>
      </w:r>
    </w:p>
    <w:p w14:paraId="545219D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八、供货时间：自合同签订之日起15个工作日内完成供货、安装、调试、验收、移交。</w:t>
      </w:r>
    </w:p>
    <w:p w14:paraId="4B9AD1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37.785万元</w:t>
      </w:r>
      <w:r>
        <w:rPr>
          <w:rFonts w:hint="eastAsia" w:ascii="仿宋" w:hAnsi="仿宋" w:eastAsia="仿宋" w:cs="仿宋"/>
          <w:b w:val="0"/>
          <w:bCs/>
          <w:color w:val="auto"/>
          <w:sz w:val="24"/>
          <w:szCs w:val="24"/>
          <w:highlight w:val="none"/>
        </w:rPr>
        <w:t>（单价）</w:t>
      </w:r>
    </w:p>
    <w:p w14:paraId="29FE90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7B341D7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337A03B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19CF12B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0378C3E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337D08D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1D25741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61E5C29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25F97A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65EA6A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7A2925B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66FFBD5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05477D2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745AFD4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17FA5C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04F64A0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543474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29AAAF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41D6EB9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04FB57B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p>
    <w:p w14:paraId="3D62A0B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设备名称：宫腔镜手术系统</w:t>
      </w:r>
    </w:p>
    <w:p w14:paraId="690C7A3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1ADF054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1台</w:t>
      </w:r>
    </w:p>
    <w:p w14:paraId="2C629A0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4327C43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1、内窥镜摄像系统技术参数。</w:t>
      </w:r>
      <w:bookmarkStart w:id="321" w:name="_GoBack"/>
      <w:bookmarkEnd w:id="321"/>
    </w:p>
    <w:p w14:paraId="4CB59E6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1.1、TV系统制式：PAL。</w:t>
      </w:r>
    </w:p>
    <w:p w14:paraId="356F1B3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1.2、传感器：采用1/≥2.8英寸CMOS或CCD传感器；1080P图像</w:t>
      </w:r>
    </w:p>
    <w:p w14:paraId="43D4A94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1.3、效果；摄像头最高防水级别（≥IPX7），可浸泡消毒。</w:t>
      </w:r>
    </w:p>
    <w:p w14:paraId="40FB9E6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1.4、输出分辨率为1920*1080，≥200万像素。</w:t>
      </w:r>
    </w:p>
    <w:p w14:paraId="4890F8E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1.5、逐行扫描，水平分辨力≥1100线；50帧。</w:t>
      </w:r>
    </w:p>
    <w:p w14:paraId="3AD7B16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1.6、输出端口≥3个，信号输出方式包括3G-SDI、HDMI等</w:t>
      </w:r>
    </w:p>
    <w:p w14:paraId="4857969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1.7、最低照度：F1.6 ≤ 2Lux。</w:t>
      </w:r>
    </w:p>
    <w:p w14:paraId="00B5E60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1.8、摄像头按键≥4个，按键可编程实现快捷操作，可编程设置功能≥16项。</w:t>
      </w:r>
    </w:p>
    <w:p w14:paraId="7A2B90D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1.9、采用触摸屏设计，可在屏幕上设置功能和参数。</w:t>
      </w:r>
    </w:p>
    <w:p w14:paraId="6DC53B1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1.10、摄像主机可自定时配置至少10种手术场景参数。</w:t>
      </w:r>
    </w:p>
    <w:p w14:paraId="7054F21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1.11、数字降噪：具有数字降噪功能，支持高、中、低和关闭模式。</w:t>
      </w:r>
    </w:p>
    <w:p w14:paraId="7DC3F41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1.12、具有电子放大和电子缩小功能，放大范围：X1.0~X5.0 ；缩小范围：X0.5~X1.0</w:t>
      </w:r>
    </w:p>
    <w:p w14:paraId="129CD87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1.13、双镜显示：主机可同时处理两路图像信号，可实现单平台双镜联合，可同时刻录两个手术画面。</w:t>
      </w:r>
    </w:p>
    <w:p w14:paraId="50DAADC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1.14、集成图文工作站功能，摄像主机带高清刻录功能。</w:t>
      </w:r>
    </w:p>
    <w:p w14:paraId="0751EB0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 全高清图文采集系统技术参数</w:t>
      </w:r>
    </w:p>
    <w:p w14:paraId="36C4334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2.1、病人登记：可集中统一登记病人信息，检查项目能自由组合。</w:t>
      </w:r>
    </w:p>
    <w:p w14:paraId="41F7096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图像采集：兼容多媒体处理领域中OpenML 、OpenGL4.1、DirectX11等诸多前沿技术。对高频信号能正确清晰地呈现，支持VGA、DVI、HDMI、SDI、S端子、BNC等多种接口。</w:t>
      </w:r>
    </w:p>
    <w:p w14:paraId="679C3A3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2.2、分辨率：1920*1080像素。</w:t>
      </w:r>
    </w:p>
    <w:p w14:paraId="2F0D63A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2.3、视频录像：动态录像采用多路异步线程实时压缩技术，实现高清录像。</w:t>
      </w:r>
    </w:p>
    <w:p w14:paraId="1E6E3BF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2.4、图文报告:提供定制病例项操作，满足医院对工作站扩展和延展性的要求，支持增加任意风格或特殊要求的报告单，医生可按自己的使用频率设定模板的排列顺序。</w:t>
      </w:r>
    </w:p>
    <w:p w14:paraId="762F4C3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2.5、数据库：单个或整体导出病人资料网页，可脱离工作站平台单独查看，可用于医学交流。</w:t>
      </w:r>
    </w:p>
    <w:p w14:paraId="7404178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2.6、病历管理：快速检索历史病例，支持病历的导出功能，包括文字资料和图像资料。</w:t>
      </w:r>
    </w:p>
    <w:p w14:paraId="02E2ACC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2.7、图像保存：单独以文件形式保存，可存储≥8000万幅照片。</w:t>
      </w:r>
    </w:p>
    <w:p w14:paraId="524AAA9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2.8、打印机：彩色打印机。</w:t>
      </w:r>
    </w:p>
    <w:p w14:paraId="2DE2A98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2.9、打印机：彩色打印机。</w:t>
      </w:r>
    </w:p>
    <w:p w14:paraId="7E55555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3.27寸高清液晶监视器技术参数。</w:t>
      </w:r>
    </w:p>
    <w:p w14:paraId="7F0BF2D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3.1、电源：外置电源 24V。</w:t>
      </w:r>
    </w:p>
    <w:p w14:paraId="128E797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3.2、分辨率：≥3840*2160。</w:t>
      </w:r>
    </w:p>
    <w:p w14:paraId="2FEDFBF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3.3、比例：16:9。</w:t>
      </w:r>
    </w:p>
    <w:p w14:paraId="047DED0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3.4、色彩：≥1.07B。</w:t>
      </w:r>
    </w:p>
    <w:p w14:paraId="257236E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3.5、亮度：≥1000cd/m2。</w:t>
      </w:r>
    </w:p>
    <w:p w14:paraId="044C154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3.6、对比度：1000:1。</w:t>
      </w:r>
    </w:p>
    <w:p w14:paraId="1F54974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3.7、可视角度：≥178/178。</w:t>
      </w:r>
    </w:p>
    <w:p w14:paraId="7E276B1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3.8、信号接口：3G-SDI、DP、DVI、HDMI。</w:t>
      </w:r>
    </w:p>
    <w:p w14:paraId="001FE85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3.9、设备仪器台车：金属材质，四层；带可旋转臂架，方便屏幕方向调节。</w:t>
      </w:r>
    </w:p>
    <w:p w14:paraId="1DC1CF5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4.LED冷光源技术参数。</w:t>
      </w:r>
    </w:p>
    <w:p w14:paraId="6CABC7F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4.1、LED冷光源采用半导体发光，不含有害物质，亮度高、使用寿命长、启动没有延时，无频闪、不含红外线和紫外线等优点，亮度可调节。闭合操作通道。</w:t>
      </w:r>
    </w:p>
    <w:p w14:paraId="331AB31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4.2、电源电压： 220V±10%。</w:t>
      </w:r>
    </w:p>
    <w:p w14:paraId="4447843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★4.3、输出总光通量：≥4000Lm，可进行多级亮度调节，满足不同临床手术的亮度要求。</w:t>
      </w:r>
    </w:p>
    <w:p w14:paraId="397DF97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4.4、设备具有HCOM1接口，连接摄像系统设备后，支持通过摄像头按键实现冷光源的亮度调节。</w:t>
      </w:r>
    </w:p>
    <w:p w14:paraId="6931BD6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4.5、色温≥5000k，发光颜色纯，无杂光,显色指数不小于90。</w:t>
      </w:r>
    </w:p>
    <w:p w14:paraId="49D1C5A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4.6、具有屏保功能，无操作保持20分钟后设备进入屏保状态，小图标在触摸屏界面移动，减少屏幕光亮造成眼部疲劳。</w:t>
      </w:r>
    </w:p>
    <w:p w14:paraId="70077FA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4.7、使用寿命为≥20000小时。</w:t>
      </w:r>
    </w:p>
    <w:p w14:paraId="7B50242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4.8、光源亮度调节范围10%--100%。</w:t>
      </w:r>
    </w:p>
    <w:p w14:paraId="44DB863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5.宫腔检查治疗镜技术参数。</w:t>
      </w:r>
    </w:p>
    <w:p w14:paraId="5A0473E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★5.1、具有7Fr的手术器械通道，在可视情况下手术操作。</w:t>
      </w:r>
    </w:p>
    <w:p w14:paraId="7BFD6B0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5.2、视场角90。</w:t>
      </w:r>
    </w:p>
    <w:p w14:paraId="3FBDF81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5.3、视向角22°、景深3mm-100mm。</w:t>
      </w:r>
    </w:p>
    <w:p w14:paraId="649FEDB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5.4、插入部工作长度200mm，插入部最大宽度5.4mm。</w:t>
      </w:r>
    </w:p>
    <w:p w14:paraId="55F33EE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5.5、配备多种器械，包括剪刀、活检钳、异物钳等。</w:t>
      </w:r>
    </w:p>
    <w:p w14:paraId="6C899BE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5.6、镜鞘一体，镜体更细，进出水更通畅。</w:t>
      </w:r>
    </w:p>
    <w:p w14:paraId="4C4CD23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5.7、密封帽内置，双层医用硅胶致密封防漏水设计。</w:t>
      </w:r>
    </w:p>
    <w:p w14:paraId="2FEA31E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5.8、配置5Fr硬性活检钳、硬性剪刀、硬性取环钳各1把。</w:t>
      </w:r>
    </w:p>
    <w:p w14:paraId="2F4E083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5.9、进出水口可根据手术需求360°旋转。</w:t>
      </w:r>
    </w:p>
    <w:p w14:paraId="303F94D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5.10、可耐高温高压消毒，镜体密封性好。</w:t>
      </w:r>
    </w:p>
    <w:p w14:paraId="77D824F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6、医用灌注泵</w:t>
      </w:r>
    </w:p>
    <w:p w14:paraId="0AA3078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6.1、安全分类I类BF型。</w:t>
      </w:r>
    </w:p>
    <w:p w14:paraId="4A6E20F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6.2、液晶屏显示。</w:t>
      </w:r>
    </w:p>
    <w:p w14:paraId="5B51DB3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6.3、压力可以根据需要调节设定，压力设定范围50～700mmHg。</w:t>
      </w:r>
    </w:p>
    <w:p w14:paraId="0C9D4A9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6.4、流量可以根据需要调节设定，流量设定范围10ml～1500ml/min。6.5、可显示各种功能数据（实际流量、实际压力等），监测精准。</w:t>
      </w:r>
    </w:p>
    <w:p w14:paraId="7AFF609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6.6、管路可高温高压和低温等离子消毒。</w:t>
      </w:r>
    </w:p>
    <w:p w14:paraId="09CE3AE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6.7、采用挤压式的供水方式。</w:t>
      </w:r>
    </w:p>
    <w:p w14:paraId="6AA98AB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6.8、运行方式：连续运行。</w:t>
      </w:r>
    </w:p>
    <w:p w14:paraId="687D9325">
      <w:pPr>
        <w:pStyle w:val="199"/>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装箱配置单：</w:t>
      </w:r>
    </w:p>
    <w:p w14:paraId="7CFCE0D8">
      <w:pPr>
        <w:pStyle w:val="199"/>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主机     1台</w:t>
      </w:r>
    </w:p>
    <w:p w14:paraId="4760C938">
      <w:pPr>
        <w:pStyle w:val="199"/>
        <w:keepNext w:val="0"/>
        <w:keepLines w:val="0"/>
        <w:pageBreakBefore w:val="0"/>
        <w:widowControl w:val="0"/>
        <w:numPr>
          <w:ilvl w:val="0"/>
          <w:numId w:val="6"/>
        </w:numPr>
        <w:kinsoku/>
        <w:wordWrap/>
        <w:overflowPunct/>
        <w:topLinePunct w:val="0"/>
        <w:autoSpaceDE/>
        <w:autoSpaceDN/>
        <w:bidi w:val="0"/>
        <w:adjustRightInd w:val="0"/>
        <w:snapToGrid w:val="0"/>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配件 </w:t>
      </w:r>
      <w:r>
        <w:rPr>
          <w:rFonts w:hint="eastAsia" w:ascii="仿宋" w:hAnsi="仿宋" w:eastAsia="仿宋" w:cs="仿宋"/>
          <w:b w:val="0"/>
          <w:bCs/>
          <w:color w:val="auto"/>
          <w:kern w:val="2"/>
          <w:sz w:val="24"/>
          <w:szCs w:val="24"/>
          <w:highlight w:val="none"/>
          <w:lang w:val="en-US" w:eastAsia="zh-CN" w:bidi="ar-SA"/>
        </w:rPr>
        <w:t>（检查镜+鞘+活检钳+冷光源+监视器+膨宫机）1套</w:t>
      </w:r>
    </w:p>
    <w:p w14:paraId="0EE44E4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b w:val="0"/>
          <w:bCs/>
          <w:color w:val="auto"/>
          <w:sz w:val="24"/>
          <w:szCs w:val="24"/>
          <w:highlight w:val="none"/>
          <w:lang w:val="en-US" w:eastAsia="zh-CN"/>
        </w:rPr>
        <w:t>设备必须是全新的，整机质保</w:t>
      </w:r>
      <w:r>
        <w:rPr>
          <w:rFonts w:hint="eastAsia" w:ascii="仿宋" w:hAnsi="仿宋" w:eastAsia="仿宋" w:cs="仿宋"/>
          <w:b w:val="0"/>
          <w:bCs/>
          <w:color w:val="auto"/>
          <w:sz w:val="24"/>
          <w:szCs w:val="24"/>
          <w:highlight w:val="none"/>
        </w:rPr>
        <w:t>三年</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包括技术服务和原厂原件更换）</w:t>
      </w:r>
    </w:p>
    <w:p w14:paraId="19D2A5E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六、售后服务要求：</w:t>
      </w:r>
    </w:p>
    <w:p w14:paraId="15781BA7">
      <w:pPr>
        <w:adjustRightInd w:val="0"/>
        <w:snapToGrid w:val="0"/>
        <w:rPr>
          <w:rFonts w:hint="default" w:ascii="仿宋" w:hAnsi="仿宋" w:eastAsia="仿宋" w:cs="仿宋"/>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8"/>
          <w:szCs w:val="28"/>
          <w:highlight w:val="none"/>
          <w:lang w:val="en-US" w:eastAsia="zh-CN"/>
        </w:rPr>
        <w:t>1</w:t>
      </w:r>
      <w:r>
        <w:rPr>
          <w:rFonts w:hint="eastAsia" w:ascii="仿宋" w:hAnsi="仿宋" w:eastAsia="仿宋" w:cs="仿宋"/>
          <w:b w:val="0"/>
          <w:bCs/>
          <w:color w:val="auto"/>
          <w:kern w:val="2"/>
          <w:sz w:val="24"/>
          <w:szCs w:val="24"/>
          <w:highlight w:val="none"/>
          <w:lang w:val="en-US" w:eastAsia="zh-CN" w:bidi="ar-SA"/>
        </w:rPr>
        <w:t>、厂家需提供24小时在线技术支持，确保设备在使用过程中出现问题时能够及时得到解答和处理。如果在线无法解决问题，工程师48小时到达现场排除问题。</w:t>
      </w:r>
    </w:p>
    <w:p w14:paraId="7F70AC51">
      <w:pPr>
        <w:adjustRightInd w:val="0"/>
        <w:snapToGrid w:val="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2、厂家需要每季度第一周巡查一次，了解设备使用情况，收集用户反馈，以便不断改进产品和服务。</w:t>
      </w:r>
    </w:p>
    <w:p w14:paraId="70F7F7DB">
      <w:pPr>
        <w:pStyle w:val="199"/>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3、厂家需提供必要的培训服务，长期线上视频指导，确保科室操作人员能够熟练掌握设备的使用方法和注意事项。</w:t>
      </w:r>
    </w:p>
    <w:p w14:paraId="45620C5A">
      <w:pPr>
        <w:pStyle w:val="199"/>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4、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w:t>
      </w:r>
    </w:p>
    <w:p w14:paraId="2EBA7FF2">
      <w:pPr>
        <w:pStyle w:val="199"/>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5、如具有工作站或相关操作系统，其中包含的所有软件，无年度维护费用；软件中涉及到存储病人就诊信息的，无单独就诊卡或芯片类存储介质。</w:t>
      </w:r>
    </w:p>
    <w:p w14:paraId="1AA858E5">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七、验收标准：</w:t>
      </w:r>
    </w:p>
    <w:p w14:paraId="749A4E94">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1AB22336">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69B3AD7A">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3、厂家需提供设备的合格证明和质保书。</w:t>
      </w:r>
    </w:p>
    <w:p w14:paraId="268CB1C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4、网络接口费由供货商承担，如需网络升级，升级费终身用由供货商承担。</w:t>
      </w:r>
    </w:p>
    <w:p w14:paraId="5DDFC85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八、供货时间：自合同签订之日起15个工作日内完成供货、安装、调试、验收、移交。</w:t>
      </w:r>
    </w:p>
    <w:p w14:paraId="5F4364A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30.8678万元</w:t>
      </w:r>
      <w:r>
        <w:rPr>
          <w:rFonts w:hint="eastAsia" w:ascii="仿宋" w:hAnsi="仿宋" w:eastAsia="仿宋" w:cs="仿宋"/>
          <w:b w:val="0"/>
          <w:bCs/>
          <w:color w:val="auto"/>
          <w:sz w:val="24"/>
          <w:szCs w:val="24"/>
          <w:highlight w:val="none"/>
        </w:rPr>
        <w:t>（单价）</w:t>
      </w:r>
    </w:p>
    <w:p w14:paraId="373047BA">
      <w:pP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br w:type="page"/>
      </w:r>
    </w:p>
    <w:p w14:paraId="30268BDD">
      <w:pPr>
        <w:adjustRightInd w:val="0"/>
        <w:snapToGrid w:val="0"/>
        <w:spacing w:line="360" w:lineRule="auto"/>
        <w:jc w:val="both"/>
        <w:outlineLvl w:val="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设备名称：</w:t>
      </w:r>
      <w:r>
        <w:rPr>
          <w:rFonts w:hint="eastAsia" w:ascii="仿宋" w:hAnsi="仿宋" w:eastAsia="仿宋" w:cs="仿宋"/>
          <w:bCs/>
          <w:color w:val="auto"/>
          <w:sz w:val="24"/>
          <w:szCs w:val="24"/>
          <w:highlight w:val="none"/>
          <w:lang w:eastAsia="zh-CN"/>
        </w:rPr>
        <w:t>妇科</w:t>
      </w:r>
      <w:r>
        <w:rPr>
          <w:rFonts w:hint="eastAsia" w:ascii="仿宋" w:hAnsi="仿宋" w:eastAsia="仿宋" w:cs="仿宋"/>
          <w:bCs/>
          <w:color w:val="auto"/>
          <w:sz w:val="24"/>
          <w:szCs w:val="24"/>
          <w:highlight w:val="none"/>
          <w:lang w:val="en-US" w:eastAsia="zh-CN"/>
        </w:rPr>
        <w:t>检查</w:t>
      </w:r>
      <w:r>
        <w:rPr>
          <w:rFonts w:hint="eastAsia" w:ascii="仿宋" w:hAnsi="仿宋" w:eastAsia="仿宋" w:cs="仿宋"/>
          <w:bCs/>
          <w:color w:val="auto"/>
          <w:sz w:val="24"/>
          <w:szCs w:val="24"/>
          <w:highlight w:val="none"/>
          <w:lang w:eastAsia="zh-CN"/>
        </w:rPr>
        <w:t>床</w:t>
      </w:r>
    </w:p>
    <w:p w14:paraId="2614500F">
      <w:pPr>
        <w:pStyle w:val="199"/>
        <w:adjustRightInd w:val="0"/>
        <w:snapToGrid w:val="0"/>
        <w:spacing w:line="360" w:lineRule="auto"/>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一、产地：国产</w:t>
      </w:r>
    </w:p>
    <w:p w14:paraId="6F9E2C32">
      <w:pPr>
        <w:pStyle w:val="199"/>
        <w:adjustRightInd w:val="0"/>
        <w:snapToGrid w:val="0"/>
        <w:spacing w:line="360" w:lineRule="auto"/>
        <w:ind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二、数量：</w:t>
      </w:r>
      <w:r>
        <w:rPr>
          <w:rFonts w:hint="eastAsia" w:ascii="仿宋" w:hAnsi="仿宋" w:eastAsia="仿宋" w:cs="仿宋"/>
          <w:bCs/>
          <w:color w:val="auto"/>
          <w:sz w:val="24"/>
          <w:szCs w:val="24"/>
          <w:highlight w:val="none"/>
          <w:lang w:val="en-US" w:eastAsia="zh-CN"/>
        </w:rPr>
        <w:t>1张</w:t>
      </w:r>
    </w:p>
    <w:p w14:paraId="22D2F070">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三、技术参数：</w:t>
      </w:r>
    </w:p>
    <w:p w14:paraId="240ACF68">
      <w:pPr>
        <w:adjustRightInd w:val="0"/>
        <w:snapToGrid w:val="0"/>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电动妇科检查床是多用途妇科产品，适用于妇科检查、诊断和一般手术之用。</w:t>
      </w:r>
    </w:p>
    <w:p w14:paraId="6F1C0540">
      <w:pPr>
        <w:adjustRightInd w:val="0"/>
        <w:snapToGrid w:val="0"/>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床体由手控器控制升降，通过操作手控开关可使背板上下折转，床面前后倾斜，使医师获得比较理想手术位置。</w:t>
      </w:r>
    </w:p>
    <w:p w14:paraId="69A9D085">
      <w:pPr>
        <w:adjustRightInd w:val="0"/>
        <w:snapToGrid w:val="0"/>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底座采用优质不锈钢。</w:t>
      </w:r>
    </w:p>
    <w:p w14:paraId="5CBB43F5">
      <w:pPr>
        <w:adjustRightInd w:val="0"/>
        <w:snapToGrid w:val="0"/>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床体下面安置了隐藏式的污物盆，可方便地拉出或缩进，便于处理污水及杂物</w:t>
      </w:r>
      <w:r>
        <w:rPr>
          <w:rFonts w:hint="eastAsia" w:ascii="仿宋" w:hAnsi="仿宋" w:eastAsia="仿宋" w:cs="仿宋"/>
          <w:bCs/>
          <w:color w:val="auto"/>
          <w:sz w:val="24"/>
          <w:szCs w:val="24"/>
          <w:highlight w:val="none"/>
          <w:lang w:eastAsia="zh-CN"/>
        </w:rPr>
        <w:t>。</w:t>
      </w:r>
    </w:p>
    <w:p w14:paraId="480E6BC6">
      <w:pPr>
        <w:adjustRightInd w:val="0"/>
        <w:snapToGrid w:val="0"/>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床垫有效缓解患者压力点，防止术后褥疮发生；床垫材质符合安全标准，表面抗菌、易清洁，符合手术室消毒要求。</w:t>
      </w:r>
    </w:p>
    <w:p w14:paraId="52155427">
      <w:pPr>
        <w:adjustRightInd w:val="0"/>
        <w:snapToGrid w:val="0"/>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配置机械刹车。</w:t>
      </w:r>
    </w:p>
    <w:p w14:paraId="17407185">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Cs/>
          <w:color w:val="auto"/>
          <w:sz w:val="24"/>
          <w:szCs w:val="24"/>
          <w:highlight w:val="none"/>
          <w:lang w:val="en-US" w:eastAsia="zh-CN"/>
        </w:rPr>
        <w:t>7、床面长度：1240mm（±20）</w:t>
      </w:r>
    </w:p>
    <w:p w14:paraId="50E1403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8、床面宽度：600（±20）mm</w:t>
      </w:r>
    </w:p>
    <w:p w14:paraId="402DA8CC">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Cs/>
          <w:color w:val="auto"/>
          <w:sz w:val="24"/>
          <w:szCs w:val="24"/>
          <w:highlight w:val="none"/>
          <w:lang w:val="en-US" w:eastAsia="zh-CN"/>
        </w:rPr>
        <w:t>9、床面高度（含床垫）：最低710(±20)--930(±20)mm  (电动）</w:t>
      </w:r>
    </w:p>
    <w:p w14:paraId="483C5BFC">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10、床面升距：220±20mm(电动）</w:t>
      </w:r>
    </w:p>
    <w:p w14:paraId="53C96F4E">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11、背板上折角度：≥75°(电动）</w:t>
      </w:r>
    </w:p>
    <w:p w14:paraId="52BCF7AB">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12、背板下折角度：≥15°(电动）</w:t>
      </w:r>
    </w:p>
    <w:p w14:paraId="2A40F5C5">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13、前倾角度：≥22°(电动）</w:t>
      </w:r>
    </w:p>
    <w:p w14:paraId="54647D68">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14、后倾角度：≥20°(电动）</w:t>
      </w:r>
    </w:p>
    <w:p w14:paraId="123D5BE5">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15、电源：AC 220V 50Hz</w:t>
      </w:r>
    </w:p>
    <w:p w14:paraId="47E510D9">
      <w:pPr>
        <w:numPr>
          <w:ilvl w:val="0"/>
          <w:numId w:val="7"/>
        </w:num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装箱配置单：</w:t>
      </w:r>
    </w:p>
    <w:p w14:paraId="37D268B3">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1、主机       1台</w:t>
      </w:r>
    </w:p>
    <w:p w14:paraId="06A740E8">
      <w:pPr>
        <w:numPr>
          <w:ilvl w:val="0"/>
          <w:numId w:val="0"/>
        </w:num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2、配件       1套</w:t>
      </w:r>
    </w:p>
    <w:p w14:paraId="7E80C459">
      <w:pPr>
        <w:adjustRightInd w:val="0"/>
        <w:snapToGrid w:val="0"/>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五、质保：</w:t>
      </w:r>
      <w:r>
        <w:rPr>
          <w:rFonts w:hint="eastAsia" w:ascii="仿宋" w:hAnsi="仿宋" w:eastAsia="仿宋" w:cs="仿宋"/>
          <w:b w:val="0"/>
          <w:bCs/>
          <w:color w:val="auto"/>
          <w:sz w:val="24"/>
          <w:szCs w:val="24"/>
          <w:highlight w:val="none"/>
          <w:lang w:val="en-US" w:eastAsia="zh-CN"/>
        </w:rPr>
        <w:t>设备必须是全新的，设备整体质保</w:t>
      </w:r>
      <w:r>
        <w:rPr>
          <w:rFonts w:hint="eastAsia" w:ascii="仿宋" w:hAnsi="仿宋" w:eastAsia="仿宋" w:cs="仿宋"/>
          <w:b w:val="0"/>
          <w:bCs/>
          <w:color w:val="auto"/>
          <w:sz w:val="24"/>
          <w:szCs w:val="24"/>
          <w:highlight w:val="none"/>
        </w:rPr>
        <w:t>三年</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包括技术服务和原厂原件更换）</w:t>
      </w:r>
    </w:p>
    <w:p w14:paraId="24687C75">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六、售后服务要求：</w:t>
      </w:r>
    </w:p>
    <w:p w14:paraId="6DD5537B">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1C764C17">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657A534A">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2130F3F4">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七、验收标准：</w:t>
      </w:r>
    </w:p>
    <w:p w14:paraId="70A9F0D6">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6F817F34">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23BCF150">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3、厂家需提供设备的合格证明和质保书。</w:t>
      </w:r>
    </w:p>
    <w:p w14:paraId="5DCC71BD">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4、网络接口费由供货商承担，如需网络升级，升级费用终身由供货商承担。</w:t>
      </w:r>
    </w:p>
    <w:p w14:paraId="683C0BC6">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八、供货时间：自合同签订之日起15个工作日内完成供货、安装、调试、验收、移交。</w:t>
      </w:r>
    </w:p>
    <w:p w14:paraId="775721A6">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九、预算：</w:t>
      </w:r>
      <w:r>
        <w:rPr>
          <w:rFonts w:hint="eastAsia" w:ascii="仿宋" w:hAnsi="仿宋" w:eastAsia="仿宋" w:cs="仿宋"/>
          <w:bCs/>
          <w:color w:val="auto"/>
          <w:sz w:val="24"/>
          <w:szCs w:val="24"/>
          <w:highlight w:val="none"/>
          <w:lang w:val="en-US" w:eastAsia="zh-CN"/>
        </w:rPr>
        <w:t>0.2462/</w:t>
      </w:r>
      <w:r>
        <w:rPr>
          <w:rFonts w:hint="eastAsia" w:ascii="仿宋" w:hAnsi="仿宋" w:eastAsia="仿宋" w:cs="仿宋"/>
          <w:bCs/>
          <w:color w:val="auto"/>
          <w:sz w:val="24"/>
          <w:szCs w:val="24"/>
          <w:highlight w:val="none"/>
          <w:lang w:eastAsia="zh-CN"/>
        </w:rPr>
        <w:t>台</w:t>
      </w:r>
    </w:p>
    <w:p w14:paraId="18895AB3">
      <w:pP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br w:type="page"/>
      </w:r>
    </w:p>
    <w:p w14:paraId="5457B67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设备名称：</w:t>
      </w:r>
      <w:r>
        <w:rPr>
          <w:rFonts w:hint="eastAsia" w:ascii="仿宋" w:hAnsi="仿宋" w:eastAsia="仿宋" w:cs="仿宋"/>
          <w:color w:val="auto"/>
          <w:sz w:val="24"/>
          <w:szCs w:val="24"/>
          <w:highlight w:val="none"/>
          <w:lang w:eastAsia="zh-CN"/>
        </w:rPr>
        <w:t>乳腺旋切系统</w:t>
      </w:r>
    </w:p>
    <w:p w14:paraId="5089876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一、产地：</w:t>
      </w:r>
      <w:r>
        <w:rPr>
          <w:rFonts w:hint="eastAsia" w:ascii="仿宋" w:hAnsi="仿宋" w:eastAsia="仿宋" w:cs="仿宋"/>
          <w:b w:val="0"/>
          <w:bCs/>
          <w:color w:val="auto"/>
          <w:sz w:val="24"/>
          <w:szCs w:val="24"/>
          <w:highlight w:val="none"/>
        </w:rPr>
        <w:t>国产</w:t>
      </w:r>
    </w:p>
    <w:p w14:paraId="1165489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1</w:t>
      </w:r>
    </w:p>
    <w:p w14:paraId="09B10C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三、技术参数：</w:t>
      </w:r>
    </w:p>
    <w:p w14:paraId="42FC4C1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技术规格和要求：</w:t>
      </w:r>
    </w:p>
    <w:p w14:paraId="5A53B3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1.1 电源：交流电 220V, 50Hz</w:t>
      </w:r>
    </w:p>
    <w:p w14:paraId="6188F1E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1.2 功率：250W</w:t>
      </w:r>
    </w:p>
    <w:p w14:paraId="201EEDD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1.3 真空负压：极限真空压力-80kpa±5kpa(高负压)</w:t>
      </w:r>
    </w:p>
    <w:p w14:paraId="774C78C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1.4 抽气速率：≥20L/min </w:t>
      </w:r>
    </w:p>
    <w:p w14:paraId="695EB5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 xml:space="preserve">.控制主机    </w:t>
      </w:r>
    </w:p>
    <w:p w14:paraId="4809B0B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2.1主机≥15英寸大屏，刀口位置实时显示光标，活检针型号显示区。全中文人机交互界面，真空强度显示，不同模式自动匹配参数，取样次数统计，刀具就绪状态，操作界面数字化实时显示，手柄LED实时监测显示        </w:t>
      </w:r>
    </w:p>
    <w:p w14:paraId="48AD4D5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2.2取样槽无级调节技术，当取样槽长度5 mm≤L≤10 mm 时，误差在士0.5 mm 范围内</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 xml:space="preserve">当取样槽长度 10 mm≤L≤20 mm 时，误差在士1.0 mm 范围内 </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 xml:space="preserve">当取样槽长度 20 mm≤L≤30 mm 时，误差在士1.5 mm 范围内            </w:t>
      </w:r>
    </w:p>
    <w:p w14:paraId="245607E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2.3 具备常规模式/致密模式，可切割不同密度的组织</w:t>
      </w:r>
    </w:p>
    <w:p w14:paraId="7014325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2.4 具备常规抽吸/强力抽吸，强力抽吸可在关窗状态下连续真空吸取组织液 和血液      </w:t>
      </w:r>
    </w:p>
    <w:p w14:paraId="3A03D12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2.5 废液容量实时同步监测显示，累计至 800mL±100mL 范围时，有真空桶废 液过多报警提示，防止漏液、污染             </w:t>
      </w:r>
    </w:p>
    <w:p w14:paraId="1C4DFD5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2.6 具备故障自诊断功能。系统出现故障时提示相应故障内容，用户可根据 此内容进行故障的排查及解决。</w:t>
      </w:r>
    </w:p>
    <w:p w14:paraId="3A1092E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2.7 系统对活检针规格型号具备自动识别功能，能根据识别结果自动匹配和显示工作参数</w:t>
      </w:r>
    </w:p>
    <w:p w14:paraId="4011C6B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2.8 软件可升级 </w:t>
      </w:r>
    </w:p>
    <w:p w14:paraId="40439C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 驱动手柄</w:t>
      </w:r>
    </w:p>
    <w:p w14:paraId="1C8AAD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3.1 配备超声引导下手柄</w:t>
      </w:r>
    </w:p>
    <w:p w14:paraId="6FF1E0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3.2 转速： ≥600r/min  </w:t>
      </w:r>
    </w:p>
    <w:p w14:paraId="2C75CB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3.4 工作时手柄前端的 LED 亮条能同步指示活检针有效取样槽的状态</w:t>
      </w:r>
    </w:p>
    <w:p w14:paraId="49DD650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4.活检针</w:t>
      </w:r>
    </w:p>
    <w:p w14:paraId="25D08D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4.1 三凹面刀尖</w:t>
      </w:r>
      <w:r>
        <w:rPr>
          <w:rFonts w:hint="eastAsia" w:ascii="仿宋" w:hAnsi="仿宋" w:eastAsia="仿宋" w:cs="仿宋"/>
          <w:b w:val="0"/>
          <w:bCs/>
          <w:color w:val="auto"/>
          <w:sz w:val="24"/>
          <w:szCs w:val="24"/>
          <w:highlight w:val="none"/>
          <w:lang w:eastAsia="zh-CN"/>
        </w:rPr>
        <w:t>。</w:t>
      </w:r>
    </w:p>
    <w:p w14:paraId="13ECFF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4.2 单通道 360 °单向旋转切割</w:t>
      </w:r>
      <w:r>
        <w:rPr>
          <w:rFonts w:hint="eastAsia" w:ascii="仿宋" w:hAnsi="仿宋" w:eastAsia="仿宋" w:cs="仿宋"/>
          <w:b w:val="0"/>
          <w:bCs/>
          <w:color w:val="auto"/>
          <w:sz w:val="24"/>
          <w:szCs w:val="24"/>
          <w:highlight w:val="none"/>
          <w:lang w:eastAsia="zh-CN"/>
        </w:rPr>
        <w:t>。</w:t>
      </w:r>
    </w:p>
    <w:p w14:paraId="3C44BE3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4.3 封闭取样，样本连续自动传输收纳；可随时打开标本槽，观察标本状态</w:t>
      </w:r>
    </w:p>
    <w:p w14:paraId="679FB7D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4.4 封闭标本盒两个：每个独立包装内配备两个样本收集盒，方便对于同一乳房不同取样部位标本单独存储，减少交叉</w:t>
      </w:r>
      <w:r>
        <w:rPr>
          <w:rFonts w:hint="eastAsia" w:ascii="仿宋" w:hAnsi="仿宋" w:eastAsia="仿宋" w:cs="仿宋"/>
          <w:b w:val="0"/>
          <w:bCs/>
          <w:color w:val="auto"/>
          <w:sz w:val="24"/>
          <w:szCs w:val="24"/>
          <w:highlight w:val="none"/>
          <w:lang w:eastAsia="zh-CN"/>
        </w:rPr>
        <w:t>污染，</w:t>
      </w:r>
      <w:r>
        <w:rPr>
          <w:rFonts w:hint="eastAsia" w:ascii="仿宋" w:hAnsi="仿宋" w:eastAsia="仿宋" w:cs="仿宋"/>
          <w:b w:val="0"/>
          <w:bCs/>
          <w:color w:val="auto"/>
          <w:sz w:val="24"/>
          <w:szCs w:val="24"/>
          <w:highlight w:val="none"/>
        </w:rPr>
        <w:t>避免假阳性。</w:t>
      </w:r>
    </w:p>
    <w:p w14:paraId="06BE2F3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4.5 外刀管直径 7G/10G/12G，有效长度 110mm/150mm </w:t>
      </w:r>
    </w:p>
    <w:p w14:paraId="0C1041E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4.6取样槽可 360 °范围内任意选择取样槽开窗方向，对准病灶</w:t>
      </w:r>
    </w:p>
    <w:p w14:paraId="0F42103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4.7外刀管刻度以厘米精准标记，测量进针深度</w:t>
      </w:r>
      <w:r>
        <w:rPr>
          <w:rFonts w:hint="eastAsia" w:ascii="仿宋" w:hAnsi="仿宋" w:eastAsia="仿宋" w:cs="仿宋"/>
          <w:b w:val="0"/>
          <w:bCs/>
          <w:color w:val="auto"/>
          <w:sz w:val="24"/>
          <w:szCs w:val="24"/>
          <w:highlight w:val="none"/>
          <w:lang w:eastAsia="zh-CN"/>
        </w:rPr>
        <w:t>。</w:t>
      </w:r>
    </w:p>
    <w:p w14:paraId="355F487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 真空桶</w:t>
      </w:r>
    </w:p>
    <w:p w14:paraId="56BFB03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5.1 真空桶盖厚度≥ 3mm，桶壁厚度≥ 4mm</w:t>
      </w:r>
      <w:r>
        <w:rPr>
          <w:rFonts w:hint="eastAsia" w:ascii="仿宋" w:hAnsi="仿宋" w:eastAsia="仿宋" w:cs="仿宋"/>
          <w:b w:val="0"/>
          <w:bCs/>
          <w:color w:val="auto"/>
          <w:sz w:val="24"/>
          <w:szCs w:val="24"/>
          <w:highlight w:val="none"/>
          <w:lang w:eastAsia="zh-CN"/>
        </w:rPr>
        <w:t>。</w:t>
      </w:r>
    </w:p>
    <w:p w14:paraId="5DB3ED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 控制方式</w:t>
      </w:r>
    </w:p>
    <w:p w14:paraId="3CFBD21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6.1 具有脚踏和手柄控制两种控制方式，脚踏可控制取样槽开关、取样槽窗 口快捷调节、常规及强力抽吸模式切换。</w:t>
      </w:r>
    </w:p>
    <w:p w14:paraId="4F7BB61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四、装箱配置单：（不可以体现品牌及型号）</w:t>
      </w:r>
    </w:p>
    <w:p w14:paraId="726C55D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1、主机               1</w:t>
      </w:r>
    </w:p>
    <w:p w14:paraId="13EFCF5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2、穿刺与旋切组件     1</w:t>
      </w:r>
    </w:p>
    <w:p w14:paraId="7A6D0BB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3、负压泵/真空发射器  1 </w:t>
      </w:r>
    </w:p>
    <w:p w14:paraId="53E53D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4、手柄               1</w:t>
      </w:r>
    </w:p>
    <w:p w14:paraId="72A123C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5、手柄连接线         1 </w:t>
      </w:r>
    </w:p>
    <w:p w14:paraId="02F829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b w:val="0"/>
          <w:bCs/>
          <w:color w:val="auto"/>
          <w:sz w:val="24"/>
          <w:szCs w:val="24"/>
          <w:highlight w:val="none"/>
          <w:lang w:val="en-US" w:eastAsia="zh-CN"/>
        </w:rPr>
        <w:t>设备必须是全新的，整机质保</w:t>
      </w:r>
      <w:r>
        <w:rPr>
          <w:rFonts w:hint="eastAsia" w:ascii="仿宋" w:hAnsi="仿宋" w:eastAsia="仿宋" w:cs="仿宋"/>
          <w:b w:val="0"/>
          <w:bCs/>
          <w:color w:val="auto"/>
          <w:sz w:val="24"/>
          <w:szCs w:val="24"/>
          <w:highlight w:val="none"/>
        </w:rPr>
        <w:t>三年</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包括技术服务和原厂原件更换）</w:t>
      </w:r>
    </w:p>
    <w:p w14:paraId="785A78D4">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六、售后服务要求：</w:t>
      </w:r>
    </w:p>
    <w:p w14:paraId="450C0FAE">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1513FB45">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7B0BC978">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60FB52D0">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七、验收标准：</w:t>
      </w:r>
    </w:p>
    <w:p w14:paraId="37F34DCA">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7D5C4512">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04DE177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3、厂家需提供设备的合格证明和质保书。</w:t>
      </w:r>
    </w:p>
    <w:p w14:paraId="15797A0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4、网络接口费由供货商承担，如需网络升级，升级费用由供货商承担。</w:t>
      </w:r>
    </w:p>
    <w:p w14:paraId="5D22AB4A">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八、供货时间：自合同签订之日起15个工作日内完成供货、安装、调试、验收、移交。</w:t>
      </w:r>
    </w:p>
    <w:p w14:paraId="3739F76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26.8万元</w:t>
      </w:r>
      <w:r>
        <w:rPr>
          <w:rFonts w:hint="eastAsia" w:ascii="仿宋" w:hAnsi="仿宋" w:eastAsia="仿宋" w:cs="仿宋"/>
          <w:b w:val="0"/>
          <w:bCs/>
          <w:color w:val="auto"/>
          <w:sz w:val="24"/>
          <w:szCs w:val="24"/>
          <w:highlight w:val="none"/>
        </w:rPr>
        <w:t>（单价）</w:t>
      </w:r>
    </w:p>
    <w:p w14:paraId="53BD400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color w:val="auto"/>
          <w:sz w:val="24"/>
          <w:szCs w:val="24"/>
          <w:highlight w:val="none"/>
        </w:rPr>
      </w:pPr>
    </w:p>
    <w:p w14:paraId="13EE4D8A">
      <w:pPr>
        <w:adjustRightInd w:val="0"/>
        <w:snapToGrid w:val="0"/>
        <w:spacing w:line="360" w:lineRule="auto"/>
        <w:rPr>
          <w:rFonts w:hint="eastAsia" w:ascii="仿宋" w:hAnsi="仿宋" w:eastAsia="仿宋" w:cs="仿宋"/>
          <w:bCs/>
          <w:color w:val="auto"/>
          <w:sz w:val="24"/>
          <w:szCs w:val="24"/>
          <w:highlight w:val="none"/>
          <w:lang w:val="en-US" w:eastAsia="zh-CN"/>
        </w:rPr>
      </w:pPr>
    </w:p>
    <w:p w14:paraId="41C31C2F">
      <w:pPr>
        <w:tabs>
          <w:tab w:val="left" w:pos="3628"/>
        </w:tabs>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ab/>
      </w:r>
    </w:p>
    <w:p w14:paraId="6491936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color w:val="auto"/>
          <w:sz w:val="24"/>
          <w:szCs w:val="24"/>
          <w:highlight w:val="none"/>
          <w:lang w:val="en-US" w:eastAsia="zh-CN"/>
        </w:rPr>
      </w:pPr>
    </w:p>
    <w:p w14:paraId="7B11F7E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center"/>
        <w:textAlignment w:val="auto"/>
        <w:rPr>
          <w:rFonts w:hint="eastAsia" w:ascii="仿宋" w:hAnsi="仿宋" w:eastAsia="仿宋" w:cs="仿宋"/>
          <w:b w:val="0"/>
          <w:bCs/>
          <w:color w:val="auto"/>
          <w:sz w:val="24"/>
          <w:szCs w:val="24"/>
          <w:highlight w:val="none"/>
          <w:lang w:val="en-US" w:eastAsia="zh-CN"/>
        </w:rPr>
      </w:pPr>
    </w:p>
    <w:p w14:paraId="53F634C1">
      <w:pPr>
        <w:pStyle w:val="19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5C908DA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color w:val="auto"/>
          <w:sz w:val="24"/>
          <w:szCs w:val="24"/>
          <w:highlight w:val="none"/>
        </w:rPr>
      </w:pPr>
    </w:p>
    <w:p w14:paraId="4916CFBD">
      <w:pP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17BEA65D">
      <w:pPr>
        <w:spacing w:line="440" w:lineRule="exact"/>
        <w:jc w:val="center"/>
        <w:outlineLvl w:val="0"/>
        <w:rPr>
          <w:rFonts w:hint="eastAsia" w:ascii="仿宋" w:hAnsi="仿宋" w:eastAsia="仿宋" w:cs="仿宋"/>
          <w:b/>
          <w:color w:val="auto"/>
          <w:sz w:val="24"/>
          <w:szCs w:val="24"/>
          <w:highlight w:val="none"/>
        </w:rPr>
      </w:pPr>
      <w:bookmarkStart w:id="95" w:name="_Toc22549"/>
      <w:r>
        <w:rPr>
          <w:rFonts w:hint="eastAsia" w:ascii="仿宋" w:hAnsi="仿宋" w:eastAsia="仿宋" w:cs="仿宋"/>
          <w:b/>
          <w:color w:val="auto"/>
          <w:sz w:val="24"/>
          <w:szCs w:val="24"/>
          <w:highlight w:val="none"/>
        </w:rPr>
        <w:t>第五章 投标文件格式</w:t>
      </w:r>
      <w:bookmarkEnd w:id="91"/>
      <w:bookmarkEnd w:id="94"/>
      <w:bookmarkEnd w:id="95"/>
    </w:p>
    <w:p w14:paraId="1B4D7084">
      <w:pPr>
        <w:rPr>
          <w:rFonts w:hint="eastAsia" w:ascii="仿宋" w:hAnsi="仿宋" w:eastAsia="仿宋" w:cs="仿宋"/>
          <w:b/>
          <w:color w:val="auto"/>
          <w:sz w:val="24"/>
          <w:szCs w:val="24"/>
          <w:highlight w:val="none"/>
        </w:rPr>
      </w:pPr>
    </w:p>
    <w:p w14:paraId="144F3838">
      <w:pPr>
        <w:rPr>
          <w:rFonts w:hint="eastAsia" w:ascii="仿宋" w:hAnsi="仿宋" w:eastAsia="仿宋" w:cs="仿宋"/>
          <w:color w:val="auto"/>
          <w:sz w:val="24"/>
          <w:szCs w:val="24"/>
          <w:highlight w:val="none"/>
          <w:u w:val="single"/>
        </w:rPr>
      </w:pPr>
    </w:p>
    <w:p w14:paraId="500D2BE6">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747AF557">
      <w:pPr>
        <w:spacing w:line="480" w:lineRule="auto"/>
        <w:jc w:val="center"/>
        <w:rPr>
          <w:rFonts w:hint="eastAsia" w:ascii="仿宋" w:hAnsi="仿宋" w:eastAsia="仿宋" w:cs="仿宋"/>
          <w:b/>
          <w:bCs/>
          <w:color w:val="auto"/>
          <w:sz w:val="24"/>
          <w:szCs w:val="24"/>
          <w:highlight w:val="none"/>
          <w:u w:val="single"/>
        </w:rPr>
      </w:pPr>
    </w:p>
    <w:p w14:paraId="2D34C3A6">
      <w:pPr>
        <w:pStyle w:val="36"/>
        <w:ind w:firstLine="210"/>
        <w:rPr>
          <w:rFonts w:hint="eastAsia" w:ascii="仿宋" w:hAnsi="仿宋" w:eastAsia="仿宋" w:cs="仿宋"/>
          <w:color w:val="auto"/>
          <w:highlight w:val="none"/>
        </w:rPr>
      </w:pPr>
    </w:p>
    <w:p w14:paraId="2AA3AC4C">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w:t>
      </w:r>
      <w:r>
        <w:rPr>
          <w:rFonts w:hint="eastAsia" w:ascii="仿宋" w:hAnsi="仿宋" w:eastAsia="仿宋" w:cs="仿宋"/>
          <w:b/>
          <w:bCs/>
          <w:color w:val="auto"/>
          <w:sz w:val="24"/>
          <w:szCs w:val="24"/>
          <w:highlight w:val="none"/>
          <w:u w:val="single"/>
        </w:rPr>
        <w:t>名称）</w:t>
      </w:r>
    </w:p>
    <w:p w14:paraId="4040B6DE">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eastAsia="zh-CN"/>
        </w:rPr>
        <w:t>项目</w:t>
      </w:r>
      <w:r>
        <w:rPr>
          <w:rFonts w:hint="eastAsia" w:ascii="仿宋" w:hAnsi="仿宋" w:eastAsia="仿宋" w:cs="仿宋"/>
          <w:b/>
          <w:bCs/>
          <w:color w:val="auto"/>
          <w:sz w:val="24"/>
          <w:szCs w:val="24"/>
          <w:highlight w:val="none"/>
          <w:u w:val="single"/>
        </w:rPr>
        <w:t>编号）</w:t>
      </w:r>
    </w:p>
    <w:p w14:paraId="2621574E">
      <w:pPr>
        <w:spacing w:line="300" w:lineRule="exact"/>
        <w:jc w:val="center"/>
        <w:rPr>
          <w:rFonts w:hint="eastAsia" w:ascii="仿宋" w:hAnsi="仿宋" w:eastAsia="仿宋" w:cs="仿宋"/>
          <w:b/>
          <w:bCs/>
          <w:color w:val="auto"/>
          <w:sz w:val="24"/>
          <w:szCs w:val="24"/>
          <w:highlight w:val="none"/>
        </w:rPr>
      </w:pPr>
    </w:p>
    <w:p w14:paraId="40134540">
      <w:pPr>
        <w:spacing w:line="300" w:lineRule="exact"/>
        <w:jc w:val="center"/>
        <w:rPr>
          <w:rFonts w:hint="eastAsia" w:ascii="仿宋" w:hAnsi="仿宋" w:eastAsia="仿宋" w:cs="仿宋"/>
          <w:b/>
          <w:bCs/>
          <w:color w:val="auto"/>
          <w:sz w:val="24"/>
          <w:szCs w:val="24"/>
          <w:highlight w:val="none"/>
        </w:rPr>
      </w:pPr>
    </w:p>
    <w:p w14:paraId="55F4CE60">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34B2E024">
      <w:pPr>
        <w:spacing w:line="720" w:lineRule="auto"/>
        <w:rPr>
          <w:rFonts w:hint="eastAsia" w:ascii="仿宋" w:hAnsi="仿宋" w:eastAsia="仿宋" w:cs="仿宋"/>
          <w:color w:val="auto"/>
          <w:sz w:val="24"/>
          <w:szCs w:val="24"/>
          <w:highlight w:val="none"/>
        </w:rPr>
      </w:pPr>
    </w:p>
    <w:p w14:paraId="232F27D1">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5FC3D3B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sz w:val="24"/>
          <w:szCs w:val="24"/>
          <w:highlight w:val="none"/>
        </w:rPr>
        <w:t>）</w:t>
      </w:r>
    </w:p>
    <w:p w14:paraId="3634274F">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662CC0C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1B8F0C48">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773060A4">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22C68F7B">
      <w:pPr>
        <w:spacing w:line="720" w:lineRule="auto"/>
        <w:rPr>
          <w:rFonts w:hint="eastAsia" w:ascii="仿宋" w:hAnsi="仿宋" w:eastAsia="仿宋" w:cs="仿宋"/>
          <w:color w:val="auto"/>
          <w:sz w:val="24"/>
          <w:szCs w:val="24"/>
          <w:highlight w:val="none"/>
        </w:rPr>
      </w:pPr>
    </w:p>
    <w:p w14:paraId="22BB99A0">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0607A51">
      <w:pPr>
        <w:tabs>
          <w:tab w:val="center" w:pos="4832"/>
          <w:tab w:val="left" w:pos="7140"/>
        </w:tabs>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96" w:name="_Toc130252613"/>
      <w:r>
        <w:rPr>
          <w:rFonts w:hint="eastAsia" w:ascii="仿宋" w:hAnsi="仿宋" w:eastAsia="仿宋" w:cs="仿宋"/>
          <w:b/>
          <w:color w:val="auto"/>
          <w:sz w:val="24"/>
          <w:szCs w:val="24"/>
          <w:highlight w:val="none"/>
        </w:rPr>
        <w:t>目 录</w:t>
      </w:r>
      <w:bookmarkEnd w:id="96"/>
    </w:p>
    <w:p w14:paraId="49B4458A">
      <w:pPr>
        <w:spacing w:line="280" w:lineRule="exact"/>
        <w:ind w:firstLine="240" w:firstLineChars="100"/>
        <w:rPr>
          <w:rFonts w:hint="eastAsia" w:ascii="仿宋" w:hAnsi="仿宋" w:eastAsia="仿宋" w:cs="仿宋"/>
          <w:bCs/>
          <w:color w:val="auto"/>
          <w:sz w:val="24"/>
          <w:szCs w:val="24"/>
          <w:highlight w:val="none"/>
        </w:rPr>
      </w:pPr>
    </w:p>
    <w:p w14:paraId="1076F07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一、开标一览表</w:t>
      </w:r>
    </w:p>
    <w:p w14:paraId="6BF7CA7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二、投标函</w:t>
      </w:r>
    </w:p>
    <w:p w14:paraId="306E97C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三、投标价格明细表</w:t>
      </w:r>
    </w:p>
    <w:p w14:paraId="336DC9E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4A06B4B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五、技术条款偏离表</w:t>
      </w:r>
    </w:p>
    <w:p w14:paraId="0829B2D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6F37527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66BEA76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八、投标人资格条件证明材料</w:t>
      </w:r>
    </w:p>
    <w:p w14:paraId="1DBBB66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九、投标人近年类似项目情况表</w:t>
      </w:r>
    </w:p>
    <w:p w14:paraId="49ED2FA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十、售后服务承诺书</w:t>
      </w:r>
    </w:p>
    <w:p w14:paraId="3783BC4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十一、技术方案</w:t>
      </w:r>
    </w:p>
    <w:p w14:paraId="756106D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十二、保证金缴纳证明材料</w:t>
      </w:r>
    </w:p>
    <w:p w14:paraId="01D7D477">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十三、</w:t>
      </w:r>
      <w:r>
        <w:rPr>
          <w:rFonts w:hint="eastAsia" w:ascii="仿宋" w:hAnsi="仿宋" w:eastAsia="仿宋" w:cs="仿宋"/>
          <w:color w:val="auto"/>
          <w:kern w:val="0"/>
          <w:sz w:val="24"/>
          <w:szCs w:val="24"/>
          <w:highlight w:val="none"/>
        </w:rPr>
        <w:t>其它需要提交的资料</w:t>
      </w:r>
    </w:p>
    <w:p w14:paraId="3E041AA5">
      <w:pPr>
        <w:pStyle w:val="8"/>
        <w:spacing w:line="360" w:lineRule="auto"/>
        <w:ind w:firstLine="480"/>
        <w:rPr>
          <w:rFonts w:hint="eastAsia" w:ascii="仿宋" w:hAnsi="仿宋" w:eastAsia="仿宋" w:cs="仿宋"/>
          <w:color w:val="auto"/>
          <w:highlight w:val="none"/>
        </w:rPr>
      </w:pPr>
    </w:p>
    <w:p w14:paraId="2535345B">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55C1F794">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97" w:name="_Toc24099"/>
      <w:bookmarkStart w:id="98" w:name="_Toc6644"/>
      <w:bookmarkStart w:id="99" w:name="_Toc4642"/>
      <w:r>
        <w:rPr>
          <w:rFonts w:hint="eastAsia" w:ascii="仿宋" w:hAnsi="仿宋" w:eastAsia="仿宋" w:cs="仿宋"/>
          <w:b/>
          <w:color w:val="auto"/>
          <w:sz w:val="24"/>
          <w:szCs w:val="24"/>
          <w:highlight w:val="none"/>
        </w:rPr>
        <w:t>一、开标一览表</w:t>
      </w:r>
      <w:bookmarkEnd w:id="97"/>
      <w:bookmarkEnd w:id="98"/>
      <w:bookmarkEnd w:id="99"/>
    </w:p>
    <w:p w14:paraId="3AEE6744">
      <w:pPr>
        <w:rPr>
          <w:rFonts w:hint="eastAsia" w:ascii="仿宋" w:hAnsi="仿宋" w:eastAsia="仿宋" w:cs="仿宋"/>
          <w:color w:val="auto"/>
          <w:highlight w:val="none"/>
        </w:rPr>
      </w:pPr>
    </w:p>
    <w:p w14:paraId="3772166F">
      <w:pPr>
        <w:rPr>
          <w:rFonts w:hint="eastAsia" w:ascii="仿宋" w:hAnsi="仿宋" w:eastAsia="仿宋" w:cs="仿宋"/>
          <w:color w:val="auto"/>
          <w:highlight w:val="none"/>
        </w:rPr>
      </w:pPr>
    </w:p>
    <w:tbl>
      <w:tblPr>
        <w:tblStyle w:val="38"/>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6249"/>
      </w:tblGrid>
      <w:tr w14:paraId="4A8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2E9D98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名称</w:t>
            </w:r>
          </w:p>
        </w:tc>
        <w:tc>
          <w:tcPr>
            <w:tcW w:w="3499" w:type="pct"/>
            <w:tcBorders>
              <w:left w:val="single" w:color="auto" w:sz="4" w:space="0"/>
            </w:tcBorders>
            <w:shd w:val="clear" w:color="auto" w:fill="auto"/>
            <w:vAlign w:val="center"/>
          </w:tcPr>
          <w:p w14:paraId="51F124AB">
            <w:pPr>
              <w:spacing w:line="360" w:lineRule="auto"/>
              <w:ind w:right="-670"/>
              <w:rPr>
                <w:rFonts w:hint="eastAsia" w:ascii="仿宋" w:hAnsi="仿宋" w:eastAsia="仿宋" w:cs="仿宋"/>
                <w:bCs/>
                <w:color w:val="auto"/>
                <w:sz w:val="24"/>
                <w:szCs w:val="24"/>
                <w:highlight w:val="none"/>
              </w:rPr>
            </w:pPr>
          </w:p>
        </w:tc>
      </w:tr>
      <w:tr w14:paraId="7E45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C72A370">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编号</w:t>
            </w:r>
          </w:p>
        </w:tc>
        <w:tc>
          <w:tcPr>
            <w:tcW w:w="3499" w:type="pct"/>
            <w:tcBorders>
              <w:left w:val="single" w:color="auto" w:sz="4" w:space="0"/>
            </w:tcBorders>
            <w:shd w:val="clear" w:color="auto" w:fill="auto"/>
            <w:vAlign w:val="center"/>
          </w:tcPr>
          <w:p w14:paraId="445E1563">
            <w:pPr>
              <w:spacing w:line="360" w:lineRule="auto"/>
              <w:ind w:right="-670"/>
              <w:rPr>
                <w:rFonts w:hint="eastAsia" w:ascii="仿宋" w:hAnsi="仿宋" w:eastAsia="仿宋" w:cs="仿宋"/>
                <w:bCs/>
                <w:color w:val="auto"/>
                <w:sz w:val="24"/>
                <w:szCs w:val="24"/>
                <w:highlight w:val="none"/>
              </w:rPr>
            </w:pPr>
          </w:p>
        </w:tc>
      </w:tr>
      <w:tr w14:paraId="011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21E9B8B">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投标价格</w:t>
            </w:r>
          </w:p>
        </w:tc>
        <w:tc>
          <w:tcPr>
            <w:tcW w:w="3499" w:type="pct"/>
            <w:tcBorders>
              <w:left w:val="single" w:color="auto" w:sz="4" w:space="0"/>
            </w:tcBorders>
            <w:shd w:val="clear" w:color="auto" w:fill="auto"/>
            <w:vAlign w:val="center"/>
          </w:tcPr>
          <w:p w14:paraId="6FE5D5C7">
            <w:pPr>
              <w:spacing w:line="360" w:lineRule="auto"/>
              <w:ind w:right="-67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rPr>
              <w:t xml:space="preserve">                 </w:t>
            </w:r>
          </w:p>
          <w:p w14:paraId="6C9BC66A">
            <w:pPr>
              <w:pStyle w:val="37"/>
              <w:ind w:left="0" w:leftChars="0" w:firstLine="0" w:firstLineChars="0"/>
              <w:rPr>
                <w:rFonts w:hint="eastAsia" w:ascii="仿宋" w:hAnsi="仿宋" w:eastAsia="仿宋" w:cs="仿宋"/>
                <w:color w:val="auto"/>
                <w:highlight w:val="none"/>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rPr>
              <w:t xml:space="preserve">                 </w:t>
            </w:r>
          </w:p>
        </w:tc>
      </w:tr>
      <w:tr w14:paraId="678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3E4F25D">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合同履约期限</w:t>
            </w:r>
          </w:p>
        </w:tc>
        <w:tc>
          <w:tcPr>
            <w:tcW w:w="3499" w:type="pct"/>
            <w:tcBorders>
              <w:left w:val="single" w:color="auto" w:sz="4" w:space="0"/>
            </w:tcBorders>
            <w:shd w:val="clear" w:color="auto" w:fill="auto"/>
            <w:vAlign w:val="center"/>
          </w:tcPr>
          <w:p w14:paraId="01C6B984">
            <w:pPr>
              <w:snapToGrid w:val="0"/>
              <w:spacing w:line="360" w:lineRule="auto"/>
              <w:rPr>
                <w:rFonts w:hint="eastAsia"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lang w:val="en-US" w:eastAsia="zh-CN"/>
              </w:rPr>
              <w:t>自合同签订之日起</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个工作日内完成供货、安装、调试、验收、移交。</w:t>
            </w:r>
          </w:p>
        </w:tc>
      </w:tr>
      <w:tr w14:paraId="4FDC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D0E40BE">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质保期</w:t>
            </w:r>
          </w:p>
        </w:tc>
        <w:tc>
          <w:tcPr>
            <w:tcW w:w="3499" w:type="pct"/>
            <w:tcBorders>
              <w:left w:val="single" w:color="auto" w:sz="4" w:space="0"/>
            </w:tcBorders>
            <w:shd w:val="clear" w:color="auto" w:fill="auto"/>
            <w:vAlign w:val="center"/>
          </w:tcPr>
          <w:p w14:paraId="18B5A835">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w:t>
            </w: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货物质保期为</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none"/>
                <w:lang w:val="en-US" w:eastAsia="zh-CN"/>
              </w:rPr>
              <w:t>年（如与招标文件“第四章技术标准和要求”中要求不一致，以较长质保期为标准执行）</w:t>
            </w:r>
            <w:r>
              <w:rPr>
                <w:rFonts w:hint="eastAsia" w:ascii="仿宋" w:hAnsi="仿宋" w:eastAsia="仿宋" w:cs="仿宋"/>
                <w:bCs/>
                <w:color w:val="auto"/>
                <w:sz w:val="24"/>
                <w:szCs w:val="24"/>
                <w:highlight w:val="none"/>
              </w:rPr>
              <w:t>，自采购人及相关部门总体验收合格之日起计算。如果由于我方责任致使不能验收，此质保期相应顺延。</w:t>
            </w:r>
          </w:p>
        </w:tc>
      </w:tr>
      <w:tr w14:paraId="217D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677E23F">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投标有效期</w:t>
            </w:r>
          </w:p>
        </w:tc>
        <w:tc>
          <w:tcPr>
            <w:tcW w:w="3499" w:type="pct"/>
            <w:tcBorders>
              <w:left w:val="single" w:color="auto" w:sz="4" w:space="0"/>
            </w:tcBorders>
            <w:shd w:val="clear" w:color="auto" w:fill="auto"/>
            <w:vAlign w:val="center"/>
          </w:tcPr>
          <w:p w14:paraId="0E7870B2">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自投标截止之日90日历日</w:t>
            </w:r>
          </w:p>
        </w:tc>
      </w:tr>
      <w:tr w14:paraId="090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FE8837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3499" w:type="pct"/>
            <w:tcBorders>
              <w:left w:val="single" w:color="auto" w:sz="4" w:space="0"/>
            </w:tcBorders>
            <w:shd w:val="clear" w:color="auto" w:fill="auto"/>
            <w:vAlign w:val="center"/>
          </w:tcPr>
          <w:p w14:paraId="056CF9DE">
            <w:pPr>
              <w:rPr>
                <w:rFonts w:hint="eastAsia" w:ascii="仿宋" w:hAnsi="仿宋" w:eastAsia="仿宋" w:cs="仿宋"/>
                <w:bCs/>
                <w:color w:val="auto"/>
                <w:sz w:val="24"/>
                <w:szCs w:val="24"/>
                <w:highlight w:val="none"/>
              </w:rPr>
            </w:pPr>
          </w:p>
        </w:tc>
      </w:tr>
    </w:tbl>
    <w:p w14:paraId="0AAECBC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2A7DDE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841C89">
      <w:pPr>
        <w:pStyle w:val="37"/>
        <w:ind w:left="420"/>
        <w:rPr>
          <w:rFonts w:hint="eastAsia" w:ascii="仿宋" w:hAnsi="仿宋" w:eastAsia="仿宋" w:cs="仿宋"/>
          <w:color w:val="auto"/>
          <w:highlight w:val="none"/>
        </w:rPr>
      </w:pPr>
    </w:p>
    <w:p w14:paraId="45235A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1C7700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AFA75F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433F31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6E9A01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65E372EB">
      <w:pPr>
        <w:tabs>
          <w:tab w:val="center" w:pos="4832"/>
          <w:tab w:val="left" w:pos="7140"/>
        </w:tabs>
        <w:jc w:val="center"/>
        <w:outlineLvl w:val="1"/>
        <w:rPr>
          <w:rFonts w:hint="eastAsia" w:ascii="仿宋" w:hAnsi="仿宋" w:eastAsia="仿宋" w:cs="仿宋"/>
          <w:b/>
          <w:color w:val="auto"/>
          <w:sz w:val="24"/>
          <w:szCs w:val="24"/>
          <w:highlight w:val="none"/>
        </w:rPr>
      </w:pPr>
      <w:bookmarkStart w:id="100" w:name="_Toc16466"/>
      <w:bookmarkStart w:id="101" w:name="_Toc13707"/>
      <w:bookmarkStart w:id="102" w:name="_Toc17938"/>
      <w:r>
        <w:rPr>
          <w:rFonts w:hint="eastAsia" w:ascii="仿宋" w:hAnsi="仿宋" w:eastAsia="仿宋" w:cs="仿宋"/>
          <w:b/>
          <w:color w:val="auto"/>
          <w:sz w:val="24"/>
          <w:szCs w:val="24"/>
          <w:highlight w:val="none"/>
        </w:rPr>
        <w:t>二、投标函</w:t>
      </w:r>
      <w:bookmarkEnd w:id="100"/>
      <w:bookmarkEnd w:id="101"/>
      <w:bookmarkEnd w:id="102"/>
    </w:p>
    <w:p w14:paraId="7416A3B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180F53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31F792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7474B18">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名称）的招标文件，遵照《中华人民共和国政府采购法》等有关法律法规的规定，经考察现场和充分研究贵方的招标文件的全部内容后，我方郑重承诺如下：</w:t>
      </w:r>
    </w:p>
    <w:p w14:paraId="57E30557">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00CEADBE">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4B9B53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1DB9613F">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4A34307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766BEBCD">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41493F6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7、如我方中标，我方自愿向代理机构支付咨询费，并在合同签订后1个工作日内向采购代理机构提供采购合同原件一份用于采购资料备案工作。</w:t>
      </w:r>
    </w:p>
    <w:p w14:paraId="053776F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09C9651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0E2C1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D61FB9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9C41D9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798DAE3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E92BEB1">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1F2E943">
      <w:pPr>
        <w:tabs>
          <w:tab w:val="center" w:pos="4832"/>
          <w:tab w:val="left" w:pos="7140"/>
        </w:tabs>
        <w:jc w:val="center"/>
        <w:outlineLvl w:val="1"/>
        <w:rPr>
          <w:rFonts w:hint="eastAsia" w:ascii="仿宋" w:hAnsi="仿宋" w:eastAsia="仿宋" w:cs="仿宋"/>
          <w:b/>
          <w:color w:val="auto"/>
          <w:sz w:val="24"/>
          <w:szCs w:val="24"/>
          <w:highlight w:val="none"/>
        </w:rPr>
        <w:sectPr>
          <w:headerReference r:id="rId7" w:type="default"/>
          <w:footerReference r:id="rId8" w:type="default"/>
          <w:pgSz w:w="11906" w:h="16838"/>
          <w:pgMar w:top="1134" w:right="1418" w:bottom="1134" w:left="1418" w:header="851" w:footer="992" w:gutter="0"/>
          <w:pgBorders>
            <w:top w:val="none" w:sz="0" w:space="0"/>
            <w:left w:val="none" w:sz="0" w:space="0"/>
            <w:bottom w:val="none" w:sz="0" w:space="0"/>
            <w:right w:val="none" w:sz="0" w:space="0"/>
          </w:pgBorders>
          <w:pgNumType w:fmt="decimal"/>
          <w:cols w:space="425" w:num="1"/>
          <w:docGrid w:linePitch="312" w:charSpace="0"/>
        </w:sectPr>
      </w:pPr>
      <w:bookmarkStart w:id="103" w:name="_Toc109941765"/>
      <w:bookmarkStart w:id="104" w:name="_Toc4866"/>
      <w:bookmarkStart w:id="105" w:name="_Toc110707965"/>
      <w:bookmarkStart w:id="106" w:name="_Toc109921158"/>
      <w:bookmarkStart w:id="107" w:name="_Toc130252615"/>
    </w:p>
    <w:p w14:paraId="0386B0EF">
      <w:pPr>
        <w:tabs>
          <w:tab w:val="center" w:pos="4832"/>
          <w:tab w:val="left" w:pos="7140"/>
        </w:tabs>
        <w:jc w:val="center"/>
        <w:outlineLvl w:val="1"/>
        <w:rPr>
          <w:rFonts w:hint="eastAsia" w:ascii="仿宋" w:hAnsi="仿宋" w:eastAsia="仿宋" w:cs="仿宋"/>
          <w:color w:val="auto"/>
          <w:sz w:val="24"/>
          <w:szCs w:val="24"/>
          <w:highlight w:val="none"/>
        </w:rPr>
      </w:pPr>
      <w:bookmarkStart w:id="108" w:name="_Toc12204"/>
      <w:r>
        <w:rPr>
          <w:rFonts w:hint="eastAsia" w:ascii="仿宋" w:hAnsi="仿宋" w:eastAsia="仿宋" w:cs="仿宋"/>
          <w:b/>
          <w:color w:val="auto"/>
          <w:sz w:val="24"/>
          <w:szCs w:val="24"/>
          <w:highlight w:val="none"/>
        </w:rPr>
        <w:t>三、投标价格明细表</w:t>
      </w:r>
      <w:bookmarkEnd w:id="103"/>
      <w:bookmarkEnd w:id="104"/>
      <w:bookmarkEnd w:id="105"/>
      <w:bookmarkEnd w:id="106"/>
      <w:bookmarkEnd w:id="107"/>
      <w:bookmarkEnd w:id="108"/>
    </w:p>
    <w:tbl>
      <w:tblPr>
        <w:tblStyle w:val="38"/>
        <w:tblW w:w="453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1"/>
        <w:gridCol w:w="1557"/>
        <w:gridCol w:w="1254"/>
        <w:gridCol w:w="1216"/>
        <w:gridCol w:w="1240"/>
        <w:gridCol w:w="1093"/>
        <w:gridCol w:w="1093"/>
        <w:gridCol w:w="1098"/>
        <w:gridCol w:w="1702"/>
        <w:gridCol w:w="1345"/>
        <w:gridCol w:w="1121"/>
      </w:tblGrid>
      <w:tr w14:paraId="73D01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66F6CAFD">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序号</w:t>
            </w:r>
          </w:p>
        </w:tc>
        <w:tc>
          <w:tcPr>
            <w:tcW w:w="580" w:type="pct"/>
            <w:vAlign w:val="center"/>
          </w:tcPr>
          <w:p w14:paraId="24D63556">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标的名称</w:t>
            </w:r>
          </w:p>
        </w:tc>
        <w:tc>
          <w:tcPr>
            <w:tcW w:w="467" w:type="pct"/>
            <w:vAlign w:val="center"/>
          </w:tcPr>
          <w:p w14:paraId="48C8ED86">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规格型号</w:t>
            </w:r>
          </w:p>
        </w:tc>
        <w:tc>
          <w:tcPr>
            <w:tcW w:w="453" w:type="pct"/>
            <w:vAlign w:val="center"/>
          </w:tcPr>
          <w:p w14:paraId="5F4CF9E1">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注册号</w:t>
            </w:r>
          </w:p>
        </w:tc>
        <w:tc>
          <w:tcPr>
            <w:tcW w:w="462" w:type="pct"/>
            <w:shd w:val="clear" w:color="auto" w:fill="auto"/>
            <w:vAlign w:val="center"/>
          </w:tcPr>
          <w:p w14:paraId="271B2287">
            <w:pPr>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rPr>
              <w:t>品牌</w:t>
            </w:r>
          </w:p>
        </w:tc>
        <w:tc>
          <w:tcPr>
            <w:tcW w:w="407" w:type="pct"/>
            <w:shd w:val="clear" w:color="auto" w:fill="auto"/>
            <w:vAlign w:val="center"/>
          </w:tcPr>
          <w:p w14:paraId="35F5F68F">
            <w:pPr>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rPr>
              <w:t>制造商</w:t>
            </w:r>
          </w:p>
        </w:tc>
        <w:tc>
          <w:tcPr>
            <w:tcW w:w="407" w:type="pct"/>
            <w:vAlign w:val="center"/>
          </w:tcPr>
          <w:p w14:paraId="65C8D28C">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单位</w:t>
            </w:r>
          </w:p>
        </w:tc>
        <w:tc>
          <w:tcPr>
            <w:tcW w:w="409" w:type="pct"/>
            <w:vAlign w:val="center"/>
          </w:tcPr>
          <w:p w14:paraId="57085D33">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数量</w:t>
            </w:r>
          </w:p>
        </w:tc>
        <w:tc>
          <w:tcPr>
            <w:tcW w:w="631" w:type="pct"/>
            <w:vAlign w:val="center"/>
          </w:tcPr>
          <w:p w14:paraId="76EC444B">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单价（</w:t>
            </w:r>
            <w:r>
              <w:rPr>
                <w:rFonts w:hint="eastAsia" w:ascii="仿宋" w:hAnsi="仿宋" w:eastAsia="仿宋" w:cs="仿宋"/>
                <w:color w:val="auto"/>
                <w:sz w:val="21"/>
                <w:szCs w:val="21"/>
                <w:highlight w:val="none"/>
              </w:rPr>
              <w:t>元</w:t>
            </w:r>
            <w:r>
              <w:rPr>
                <w:rFonts w:hint="eastAsia" w:ascii="仿宋" w:hAnsi="仿宋" w:eastAsia="仿宋" w:cs="仿宋"/>
                <w:bCs/>
                <w:color w:val="auto"/>
                <w:sz w:val="21"/>
                <w:szCs w:val="21"/>
                <w:highlight w:val="none"/>
              </w:rPr>
              <w:t>）</w:t>
            </w:r>
          </w:p>
        </w:tc>
        <w:tc>
          <w:tcPr>
            <w:tcW w:w="501" w:type="pct"/>
            <w:vAlign w:val="center"/>
          </w:tcPr>
          <w:p w14:paraId="6104D81F">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小计（</w:t>
            </w:r>
            <w:r>
              <w:rPr>
                <w:rFonts w:hint="eastAsia" w:ascii="仿宋" w:hAnsi="仿宋" w:eastAsia="仿宋" w:cs="仿宋"/>
                <w:color w:val="auto"/>
                <w:sz w:val="21"/>
                <w:szCs w:val="21"/>
                <w:highlight w:val="none"/>
              </w:rPr>
              <w:t>元</w:t>
            </w:r>
            <w:r>
              <w:rPr>
                <w:rFonts w:hint="eastAsia" w:ascii="仿宋" w:hAnsi="仿宋" w:eastAsia="仿宋" w:cs="仿宋"/>
                <w:bCs/>
                <w:color w:val="auto"/>
                <w:sz w:val="21"/>
                <w:szCs w:val="21"/>
                <w:highlight w:val="none"/>
              </w:rPr>
              <w:t>）</w:t>
            </w:r>
          </w:p>
        </w:tc>
        <w:tc>
          <w:tcPr>
            <w:tcW w:w="417" w:type="pct"/>
            <w:vAlign w:val="center"/>
          </w:tcPr>
          <w:p w14:paraId="11E4063D">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备注</w:t>
            </w:r>
          </w:p>
        </w:tc>
      </w:tr>
      <w:tr w14:paraId="5B5E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6CD35BF3">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w:t>
            </w:r>
          </w:p>
        </w:tc>
        <w:tc>
          <w:tcPr>
            <w:tcW w:w="580" w:type="pct"/>
            <w:vAlign w:val="center"/>
          </w:tcPr>
          <w:p w14:paraId="21E6E398">
            <w:pPr>
              <w:jc w:val="center"/>
              <w:rPr>
                <w:rFonts w:hint="eastAsia" w:ascii="仿宋" w:hAnsi="仿宋" w:eastAsia="仿宋" w:cs="仿宋"/>
                <w:bCs/>
                <w:color w:val="auto"/>
                <w:sz w:val="21"/>
                <w:szCs w:val="21"/>
                <w:highlight w:val="none"/>
              </w:rPr>
            </w:pPr>
          </w:p>
        </w:tc>
        <w:tc>
          <w:tcPr>
            <w:tcW w:w="467" w:type="pct"/>
            <w:vAlign w:val="center"/>
          </w:tcPr>
          <w:p w14:paraId="6784B519">
            <w:pPr>
              <w:jc w:val="center"/>
              <w:rPr>
                <w:rFonts w:hint="eastAsia" w:ascii="仿宋" w:hAnsi="仿宋" w:eastAsia="仿宋" w:cs="仿宋"/>
                <w:bCs/>
                <w:color w:val="auto"/>
                <w:sz w:val="21"/>
                <w:szCs w:val="21"/>
                <w:highlight w:val="none"/>
              </w:rPr>
            </w:pPr>
          </w:p>
        </w:tc>
        <w:tc>
          <w:tcPr>
            <w:tcW w:w="453" w:type="pct"/>
            <w:vAlign w:val="center"/>
          </w:tcPr>
          <w:p w14:paraId="20DA98B0">
            <w:pPr>
              <w:jc w:val="center"/>
              <w:rPr>
                <w:rFonts w:hint="eastAsia" w:ascii="仿宋" w:hAnsi="仿宋" w:eastAsia="仿宋" w:cs="仿宋"/>
                <w:bCs/>
                <w:color w:val="auto"/>
                <w:sz w:val="21"/>
                <w:szCs w:val="21"/>
                <w:highlight w:val="none"/>
                <w:lang w:val="en-US" w:eastAsia="zh-CN"/>
              </w:rPr>
            </w:pPr>
          </w:p>
        </w:tc>
        <w:tc>
          <w:tcPr>
            <w:tcW w:w="462" w:type="pct"/>
            <w:shd w:val="clear" w:color="auto" w:fill="auto"/>
            <w:vAlign w:val="center"/>
          </w:tcPr>
          <w:p w14:paraId="398BD15F">
            <w:pPr>
              <w:jc w:val="center"/>
              <w:rPr>
                <w:rFonts w:hint="eastAsia" w:ascii="仿宋" w:hAnsi="仿宋" w:eastAsia="仿宋" w:cs="仿宋"/>
                <w:bCs/>
                <w:color w:val="auto"/>
                <w:sz w:val="21"/>
                <w:szCs w:val="21"/>
                <w:highlight w:val="none"/>
              </w:rPr>
            </w:pPr>
          </w:p>
        </w:tc>
        <w:tc>
          <w:tcPr>
            <w:tcW w:w="407" w:type="pct"/>
            <w:shd w:val="clear" w:color="auto" w:fill="auto"/>
            <w:vAlign w:val="center"/>
          </w:tcPr>
          <w:p w14:paraId="47CC7E60">
            <w:pPr>
              <w:jc w:val="center"/>
              <w:rPr>
                <w:rFonts w:hint="eastAsia" w:ascii="仿宋" w:hAnsi="仿宋" w:eastAsia="仿宋" w:cs="仿宋"/>
                <w:bCs/>
                <w:color w:val="auto"/>
                <w:sz w:val="21"/>
                <w:szCs w:val="21"/>
                <w:highlight w:val="none"/>
              </w:rPr>
            </w:pPr>
          </w:p>
        </w:tc>
        <w:tc>
          <w:tcPr>
            <w:tcW w:w="407" w:type="pct"/>
            <w:vAlign w:val="center"/>
          </w:tcPr>
          <w:p w14:paraId="63A9DC07">
            <w:pPr>
              <w:jc w:val="center"/>
              <w:rPr>
                <w:rFonts w:hint="eastAsia" w:ascii="仿宋" w:hAnsi="仿宋" w:eastAsia="仿宋" w:cs="仿宋"/>
                <w:bCs/>
                <w:color w:val="auto"/>
                <w:sz w:val="21"/>
                <w:szCs w:val="21"/>
                <w:highlight w:val="none"/>
                <w:lang w:val="en-US" w:eastAsia="zh-CN"/>
              </w:rPr>
            </w:pPr>
          </w:p>
        </w:tc>
        <w:tc>
          <w:tcPr>
            <w:tcW w:w="409" w:type="pct"/>
            <w:vAlign w:val="center"/>
          </w:tcPr>
          <w:p w14:paraId="4B87721C">
            <w:pPr>
              <w:jc w:val="center"/>
              <w:rPr>
                <w:rFonts w:hint="eastAsia" w:ascii="仿宋" w:hAnsi="仿宋" w:eastAsia="仿宋" w:cs="仿宋"/>
                <w:bCs/>
                <w:color w:val="auto"/>
                <w:sz w:val="21"/>
                <w:szCs w:val="21"/>
                <w:highlight w:val="none"/>
              </w:rPr>
            </w:pPr>
          </w:p>
        </w:tc>
        <w:tc>
          <w:tcPr>
            <w:tcW w:w="631" w:type="pct"/>
            <w:vAlign w:val="center"/>
          </w:tcPr>
          <w:p w14:paraId="3C60A4E2">
            <w:pPr>
              <w:jc w:val="center"/>
              <w:rPr>
                <w:rFonts w:hint="eastAsia" w:ascii="仿宋" w:hAnsi="仿宋" w:eastAsia="仿宋" w:cs="仿宋"/>
                <w:bCs/>
                <w:color w:val="auto"/>
                <w:sz w:val="21"/>
                <w:szCs w:val="21"/>
                <w:highlight w:val="none"/>
              </w:rPr>
            </w:pPr>
          </w:p>
        </w:tc>
        <w:tc>
          <w:tcPr>
            <w:tcW w:w="501" w:type="pct"/>
            <w:vAlign w:val="center"/>
          </w:tcPr>
          <w:p w14:paraId="1351044F">
            <w:pPr>
              <w:jc w:val="center"/>
              <w:rPr>
                <w:rFonts w:hint="eastAsia" w:ascii="仿宋" w:hAnsi="仿宋" w:eastAsia="仿宋" w:cs="仿宋"/>
                <w:bCs/>
                <w:color w:val="auto"/>
                <w:sz w:val="21"/>
                <w:szCs w:val="21"/>
                <w:highlight w:val="none"/>
              </w:rPr>
            </w:pPr>
          </w:p>
        </w:tc>
        <w:tc>
          <w:tcPr>
            <w:tcW w:w="417" w:type="pct"/>
            <w:vAlign w:val="center"/>
          </w:tcPr>
          <w:p w14:paraId="21EBF37B">
            <w:pPr>
              <w:jc w:val="center"/>
              <w:rPr>
                <w:rFonts w:hint="eastAsia" w:ascii="仿宋" w:hAnsi="仿宋" w:eastAsia="仿宋" w:cs="仿宋"/>
                <w:bCs/>
                <w:color w:val="auto"/>
                <w:sz w:val="21"/>
                <w:szCs w:val="21"/>
                <w:highlight w:val="none"/>
              </w:rPr>
            </w:pPr>
          </w:p>
        </w:tc>
      </w:tr>
      <w:tr w14:paraId="14A58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4CD0F25B">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w:t>
            </w:r>
          </w:p>
        </w:tc>
        <w:tc>
          <w:tcPr>
            <w:tcW w:w="580" w:type="pct"/>
            <w:vAlign w:val="center"/>
          </w:tcPr>
          <w:p w14:paraId="398E4E9D">
            <w:pPr>
              <w:jc w:val="center"/>
              <w:rPr>
                <w:rFonts w:hint="eastAsia" w:ascii="仿宋" w:hAnsi="仿宋" w:eastAsia="仿宋" w:cs="仿宋"/>
                <w:bCs/>
                <w:color w:val="auto"/>
                <w:sz w:val="21"/>
                <w:szCs w:val="21"/>
                <w:highlight w:val="none"/>
              </w:rPr>
            </w:pPr>
          </w:p>
        </w:tc>
        <w:tc>
          <w:tcPr>
            <w:tcW w:w="467" w:type="pct"/>
            <w:vAlign w:val="center"/>
          </w:tcPr>
          <w:p w14:paraId="524D55E6">
            <w:pPr>
              <w:jc w:val="center"/>
              <w:rPr>
                <w:rFonts w:hint="eastAsia" w:ascii="仿宋" w:hAnsi="仿宋" w:eastAsia="仿宋" w:cs="仿宋"/>
                <w:bCs/>
                <w:color w:val="auto"/>
                <w:sz w:val="21"/>
                <w:szCs w:val="21"/>
                <w:highlight w:val="none"/>
              </w:rPr>
            </w:pPr>
          </w:p>
        </w:tc>
        <w:tc>
          <w:tcPr>
            <w:tcW w:w="453" w:type="pct"/>
            <w:vAlign w:val="center"/>
          </w:tcPr>
          <w:p w14:paraId="1493E713">
            <w:pPr>
              <w:jc w:val="center"/>
              <w:rPr>
                <w:rFonts w:hint="eastAsia" w:ascii="仿宋" w:hAnsi="仿宋" w:eastAsia="仿宋" w:cs="仿宋"/>
                <w:bCs/>
                <w:color w:val="auto"/>
                <w:sz w:val="21"/>
                <w:szCs w:val="21"/>
                <w:highlight w:val="none"/>
                <w:lang w:val="en-US" w:eastAsia="zh-CN"/>
              </w:rPr>
            </w:pPr>
          </w:p>
        </w:tc>
        <w:tc>
          <w:tcPr>
            <w:tcW w:w="462" w:type="pct"/>
            <w:shd w:val="clear" w:color="auto" w:fill="auto"/>
            <w:vAlign w:val="center"/>
          </w:tcPr>
          <w:p w14:paraId="739A2F04">
            <w:pPr>
              <w:jc w:val="center"/>
              <w:rPr>
                <w:rFonts w:hint="eastAsia" w:ascii="仿宋" w:hAnsi="仿宋" w:eastAsia="仿宋" w:cs="仿宋"/>
                <w:bCs/>
                <w:color w:val="auto"/>
                <w:sz w:val="21"/>
                <w:szCs w:val="21"/>
                <w:highlight w:val="none"/>
              </w:rPr>
            </w:pPr>
          </w:p>
        </w:tc>
        <w:tc>
          <w:tcPr>
            <w:tcW w:w="407" w:type="pct"/>
            <w:shd w:val="clear" w:color="auto" w:fill="auto"/>
            <w:vAlign w:val="center"/>
          </w:tcPr>
          <w:p w14:paraId="22530935">
            <w:pPr>
              <w:jc w:val="center"/>
              <w:rPr>
                <w:rFonts w:hint="eastAsia" w:ascii="仿宋" w:hAnsi="仿宋" w:eastAsia="仿宋" w:cs="仿宋"/>
                <w:bCs/>
                <w:color w:val="auto"/>
                <w:sz w:val="21"/>
                <w:szCs w:val="21"/>
                <w:highlight w:val="none"/>
              </w:rPr>
            </w:pPr>
          </w:p>
        </w:tc>
        <w:tc>
          <w:tcPr>
            <w:tcW w:w="407" w:type="pct"/>
            <w:vAlign w:val="center"/>
          </w:tcPr>
          <w:p w14:paraId="7F3945B0">
            <w:pPr>
              <w:jc w:val="center"/>
              <w:rPr>
                <w:rFonts w:hint="eastAsia" w:ascii="仿宋" w:hAnsi="仿宋" w:eastAsia="仿宋" w:cs="仿宋"/>
                <w:bCs/>
                <w:color w:val="auto"/>
                <w:sz w:val="21"/>
                <w:szCs w:val="21"/>
                <w:highlight w:val="none"/>
                <w:lang w:val="en-US" w:eastAsia="zh-CN"/>
              </w:rPr>
            </w:pPr>
          </w:p>
        </w:tc>
        <w:tc>
          <w:tcPr>
            <w:tcW w:w="409" w:type="pct"/>
            <w:vAlign w:val="center"/>
          </w:tcPr>
          <w:p w14:paraId="59E4A428">
            <w:pPr>
              <w:jc w:val="center"/>
              <w:rPr>
                <w:rFonts w:hint="eastAsia" w:ascii="仿宋" w:hAnsi="仿宋" w:eastAsia="仿宋" w:cs="仿宋"/>
                <w:bCs/>
                <w:color w:val="auto"/>
                <w:sz w:val="21"/>
                <w:szCs w:val="21"/>
                <w:highlight w:val="none"/>
              </w:rPr>
            </w:pPr>
          </w:p>
        </w:tc>
        <w:tc>
          <w:tcPr>
            <w:tcW w:w="631" w:type="pct"/>
            <w:vAlign w:val="center"/>
          </w:tcPr>
          <w:p w14:paraId="528297B2">
            <w:pPr>
              <w:jc w:val="center"/>
              <w:rPr>
                <w:rFonts w:hint="eastAsia" w:ascii="仿宋" w:hAnsi="仿宋" w:eastAsia="仿宋" w:cs="仿宋"/>
                <w:bCs/>
                <w:color w:val="auto"/>
                <w:sz w:val="21"/>
                <w:szCs w:val="21"/>
                <w:highlight w:val="none"/>
              </w:rPr>
            </w:pPr>
          </w:p>
        </w:tc>
        <w:tc>
          <w:tcPr>
            <w:tcW w:w="501" w:type="pct"/>
            <w:vAlign w:val="center"/>
          </w:tcPr>
          <w:p w14:paraId="74640DF6">
            <w:pPr>
              <w:jc w:val="center"/>
              <w:rPr>
                <w:rFonts w:hint="eastAsia" w:ascii="仿宋" w:hAnsi="仿宋" w:eastAsia="仿宋" w:cs="仿宋"/>
                <w:bCs/>
                <w:color w:val="auto"/>
                <w:sz w:val="21"/>
                <w:szCs w:val="21"/>
                <w:highlight w:val="none"/>
              </w:rPr>
            </w:pPr>
          </w:p>
        </w:tc>
        <w:tc>
          <w:tcPr>
            <w:tcW w:w="417" w:type="pct"/>
            <w:vAlign w:val="center"/>
          </w:tcPr>
          <w:p w14:paraId="565DA664">
            <w:pPr>
              <w:jc w:val="center"/>
              <w:rPr>
                <w:rFonts w:hint="eastAsia" w:ascii="仿宋" w:hAnsi="仿宋" w:eastAsia="仿宋" w:cs="仿宋"/>
                <w:bCs/>
                <w:color w:val="auto"/>
                <w:sz w:val="21"/>
                <w:szCs w:val="21"/>
                <w:highlight w:val="none"/>
              </w:rPr>
            </w:pPr>
          </w:p>
        </w:tc>
      </w:tr>
      <w:tr w14:paraId="390FA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03B09F2E">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w:t>
            </w:r>
          </w:p>
        </w:tc>
        <w:tc>
          <w:tcPr>
            <w:tcW w:w="580" w:type="pct"/>
            <w:vAlign w:val="center"/>
          </w:tcPr>
          <w:p w14:paraId="45C86692">
            <w:pPr>
              <w:jc w:val="center"/>
              <w:rPr>
                <w:rFonts w:hint="eastAsia" w:ascii="仿宋" w:hAnsi="仿宋" w:eastAsia="仿宋" w:cs="仿宋"/>
                <w:bCs/>
                <w:color w:val="auto"/>
                <w:sz w:val="21"/>
                <w:szCs w:val="21"/>
                <w:highlight w:val="none"/>
              </w:rPr>
            </w:pPr>
          </w:p>
        </w:tc>
        <w:tc>
          <w:tcPr>
            <w:tcW w:w="467" w:type="pct"/>
            <w:vAlign w:val="center"/>
          </w:tcPr>
          <w:p w14:paraId="5F108102">
            <w:pPr>
              <w:jc w:val="center"/>
              <w:rPr>
                <w:rFonts w:hint="eastAsia" w:ascii="仿宋" w:hAnsi="仿宋" w:eastAsia="仿宋" w:cs="仿宋"/>
                <w:bCs/>
                <w:color w:val="auto"/>
                <w:sz w:val="21"/>
                <w:szCs w:val="21"/>
                <w:highlight w:val="none"/>
              </w:rPr>
            </w:pPr>
          </w:p>
        </w:tc>
        <w:tc>
          <w:tcPr>
            <w:tcW w:w="453" w:type="pct"/>
            <w:vAlign w:val="center"/>
          </w:tcPr>
          <w:p w14:paraId="4DDCE437">
            <w:pPr>
              <w:jc w:val="center"/>
              <w:rPr>
                <w:rFonts w:hint="eastAsia" w:ascii="仿宋" w:hAnsi="仿宋" w:eastAsia="仿宋" w:cs="仿宋"/>
                <w:bCs/>
                <w:color w:val="auto"/>
                <w:sz w:val="21"/>
                <w:szCs w:val="21"/>
                <w:highlight w:val="none"/>
                <w:lang w:val="en-US" w:eastAsia="zh-CN"/>
              </w:rPr>
            </w:pPr>
          </w:p>
        </w:tc>
        <w:tc>
          <w:tcPr>
            <w:tcW w:w="462" w:type="pct"/>
            <w:shd w:val="clear" w:color="auto" w:fill="auto"/>
            <w:vAlign w:val="center"/>
          </w:tcPr>
          <w:p w14:paraId="5F9FA267">
            <w:pPr>
              <w:jc w:val="center"/>
              <w:rPr>
                <w:rFonts w:hint="eastAsia" w:ascii="仿宋" w:hAnsi="仿宋" w:eastAsia="仿宋" w:cs="仿宋"/>
                <w:bCs/>
                <w:color w:val="auto"/>
                <w:sz w:val="21"/>
                <w:szCs w:val="21"/>
                <w:highlight w:val="none"/>
              </w:rPr>
            </w:pPr>
          </w:p>
        </w:tc>
        <w:tc>
          <w:tcPr>
            <w:tcW w:w="407" w:type="pct"/>
            <w:shd w:val="clear" w:color="auto" w:fill="auto"/>
            <w:vAlign w:val="center"/>
          </w:tcPr>
          <w:p w14:paraId="26F046EC">
            <w:pPr>
              <w:jc w:val="center"/>
              <w:rPr>
                <w:rFonts w:hint="eastAsia" w:ascii="仿宋" w:hAnsi="仿宋" w:eastAsia="仿宋" w:cs="仿宋"/>
                <w:bCs/>
                <w:color w:val="auto"/>
                <w:sz w:val="21"/>
                <w:szCs w:val="21"/>
                <w:highlight w:val="none"/>
              </w:rPr>
            </w:pPr>
          </w:p>
        </w:tc>
        <w:tc>
          <w:tcPr>
            <w:tcW w:w="407" w:type="pct"/>
            <w:vAlign w:val="center"/>
          </w:tcPr>
          <w:p w14:paraId="37B15D44">
            <w:pPr>
              <w:jc w:val="center"/>
              <w:rPr>
                <w:rFonts w:hint="eastAsia" w:ascii="仿宋" w:hAnsi="仿宋" w:eastAsia="仿宋" w:cs="仿宋"/>
                <w:bCs/>
                <w:color w:val="auto"/>
                <w:sz w:val="21"/>
                <w:szCs w:val="21"/>
                <w:highlight w:val="none"/>
                <w:lang w:val="en-US" w:eastAsia="zh-CN"/>
              </w:rPr>
            </w:pPr>
          </w:p>
        </w:tc>
        <w:tc>
          <w:tcPr>
            <w:tcW w:w="409" w:type="pct"/>
            <w:vAlign w:val="center"/>
          </w:tcPr>
          <w:p w14:paraId="5C55C93F">
            <w:pPr>
              <w:jc w:val="center"/>
              <w:rPr>
                <w:rFonts w:hint="eastAsia" w:ascii="仿宋" w:hAnsi="仿宋" w:eastAsia="仿宋" w:cs="仿宋"/>
                <w:bCs/>
                <w:color w:val="auto"/>
                <w:sz w:val="21"/>
                <w:szCs w:val="21"/>
                <w:highlight w:val="none"/>
              </w:rPr>
            </w:pPr>
          </w:p>
        </w:tc>
        <w:tc>
          <w:tcPr>
            <w:tcW w:w="631" w:type="pct"/>
            <w:vAlign w:val="center"/>
          </w:tcPr>
          <w:p w14:paraId="5C5FB8EE">
            <w:pPr>
              <w:jc w:val="center"/>
              <w:rPr>
                <w:rFonts w:hint="eastAsia" w:ascii="仿宋" w:hAnsi="仿宋" w:eastAsia="仿宋" w:cs="仿宋"/>
                <w:bCs/>
                <w:color w:val="auto"/>
                <w:sz w:val="21"/>
                <w:szCs w:val="21"/>
                <w:highlight w:val="none"/>
              </w:rPr>
            </w:pPr>
          </w:p>
        </w:tc>
        <w:tc>
          <w:tcPr>
            <w:tcW w:w="501" w:type="pct"/>
            <w:vAlign w:val="center"/>
          </w:tcPr>
          <w:p w14:paraId="0CCF1383">
            <w:pPr>
              <w:jc w:val="center"/>
              <w:rPr>
                <w:rFonts w:hint="eastAsia" w:ascii="仿宋" w:hAnsi="仿宋" w:eastAsia="仿宋" w:cs="仿宋"/>
                <w:bCs/>
                <w:color w:val="auto"/>
                <w:sz w:val="21"/>
                <w:szCs w:val="21"/>
                <w:highlight w:val="none"/>
              </w:rPr>
            </w:pPr>
          </w:p>
        </w:tc>
        <w:tc>
          <w:tcPr>
            <w:tcW w:w="417" w:type="pct"/>
            <w:vAlign w:val="center"/>
          </w:tcPr>
          <w:p w14:paraId="5F874D83">
            <w:pPr>
              <w:jc w:val="center"/>
              <w:rPr>
                <w:rFonts w:hint="eastAsia" w:ascii="仿宋" w:hAnsi="仿宋" w:eastAsia="仿宋" w:cs="仿宋"/>
                <w:bCs/>
                <w:color w:val="auto"/>
                <w:sz w:val="21"/>
                <w:szCs w:val="21"/>
                <w:highlight w:val="none"/>
              </w:rPr>
            </w:pPr>
          </w:p>
        </w:tc>
      </w:tr>
      <w:tr w14:paraId="013BF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1E3F6711">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w:t>
            </w:r>
          </w:p>
        </w:tc>
        <w:tc>
          <w:tcPr>
            <w:tcW w:w="580" w:type="pct"/>
            <w:vAlign w:val="center"/>
          </w:tcPr>
          <w:p w14:paraId="446D32D4">
            <w:pPr>
              <w:jc w:val="center"/>
              <w:rPr>
                <w:rFonts w:hint="eastAsia" w:ascii="仿宋" w:hAnsi="仿宋" w:eastAsia="仿宋" w:cs="仿宋"/>
                <w:bCs/>
                <w:color w:val="auto"/>
                <w:sz w:val="21"/>
                <w:szCs w:val="21"/>
                <w:highlight w:val="none"/>
              </w:rPr>
            </w:pPr>
          </w:p>
        </w:tc>
        <w:tc>
          <w:tcPr>
            <w:tcW w:w="467" w:type="pct"/>
            <w:vAlign w:val="center"/>
          </w:tcPr>
          <w:p w14:paraId="6152EF16">
            <w:pPr>
              <w:jc w:val="center"/>
              <w:rPr>
                <w:rFonts w:hint="eastAsia" w:ascii="仿宋" w:hAnsi="仿宋" w:eastAsia="仿宋" w:cs="仿宋"/>
                <w:bCs/>
                <w:color w:val="auto"/>
                <w:sz w:val="21"/>
                <w:szCs w:val="21"/>
                <w:highlight w:val="none"/>
              </w:rPr>
            </w:pPr>
          </w:p>
        </w:tc>
        <w:tc>
          <w:tcPr>
            <w:tcW w:w="453" w:type="pct"/>
            <w:vAlign w:val="center"/>
          </w:tcPr>
          <w:p w14:paraId="0AB8F369">
            <w:pPr>
              <w:jc w:val="center"/>
              <w:rPr>
                <w:rFonts w:hint="eastAsia" w:ascii="仿宋" w:hAnsi="仿宋" w:eastAsia="仿宋" w:cs="仿宋"/>
                <w:bCs/>
                <w:color w:val="auto"/>
                <w:sz w:val="21"/>
                <w:szCs w:val="21"/>
                <w:highlight w:val="none"/>
                <w:lang w:val="en-US" w:eastAsia="zh-CN"/>
              </w:rPr>
            </w:pPr>
          </w:p>
        </w:tc>
        <w:tc>
          <w:tcPr>
            <w:tcW w:w="462" w:type="pct"/>
            <w:shd w:val="clear" w:color="auto" w:fill="auto"/>
            <w:vAlign w:val="center"/>
          </w:tcPr>
          <w:p w14:paraId="3D75B812">
            <w:pPr>
              <w:jc w:val="center"/>
              <w:rPr>
                <w:rFonts w:hint="eastAsia" w:ascii="仿宋" w:hAnsi="仿宋" w:eastAsia="仿宋" w:cs="仿宋"/>
                <w:bCs/>
                <w:color w:val="auto"/>
                <w:sz w:val="21"/>
                <w:szCs w:val="21"/>
                <w:highlight w:val="none"/>
              </w:rPr>
            </w:pPr>
          </w:p>
        </w:tc>
        <w:tc>
          <w:tcPr>
            <w:tcW w:w="407" w:type="pct"/>
            <w:shd w:val="clear" w:color="auto" w:fill="auto"/>
            <w:vAlign w:val="center"/>
          </w:tcPr>
          <w:p w14:paraId="2A2C1385">
            <w:pPr>
              <w:jc w:val="center"/>
              <w:rPr>
                <w:rFonts w:hint="eastAsia" w:ascii="仿宋" w:hAnsi="仿宋" w:eastAsia="仿宋" w:cs="仿宋"/>
                <w:bCs/>
                <w:color w:val="auto"/>
                <w:sz w:val="21"/>
                <w:szCs w:val="21"/>
                <w:highlight w:val="none"/>
              </w:rPr>
            </w:pPr>
          </w:p>
        </w:tc>
        <w:tc>
          <w:tcPr>
            <w:tcW w:w="407" w:type="pct"/>
            <w:vAlign w:val="center"/>
          </w:tcPr>
          <w:p w14:paraId="232A91BA">
            <w:pPr>
              <w:jc w:val="center"/>
              <w:rPr>
                <w:rFonts w:hint="eastAsia" w:ascii="仿宋" w:hAnsi="仿宋" w:eastAsia="仿宋" w:cs="仿宋"/>
                <w:bCs/>
                <w:color w:val="auto"/>
                <w:sz w:val="21"/>
                <w:szCs w:val="21"/>
                <w:highlight w:val="none"/>
                <w:lang w:val="en-US" w:eastAsia="zh-CN"/>
              </w:rPr>
            </w:pPr>
          </w:p>
        </w:tc>
        <w:tc>
          <w:tcPr>
            <w:tcW w:w="409" w:type="pct"/>
            <w:vAlign w:val="center"/>
          </w:tcPr>
          <w:p w14:paraId="4E795ADE">
            <w:pPr>
              <w:jc w:val="center"/>
              <w:rPr>
                <w:rFonts w:hint="eastAsia" w:ascii="仿宋" w:hAnsi="仿宋" w:eastAsia="仿宋" w:cs="仿宋"/>
                <w:bCs/>
                <w:color w:val="auto"/>
                <w:sz w:val="21"/>
                <w:szCs w:val="21"/>
                <w:highlight w:val="none"/>
              </w:rPr>
            </w:pPr>
          </w:p>
        </w:tc>
        <w:tc>
          <w:tcPr>
            <w:tcW w:w="631" w:type="pct"/>
            <w:vAlign w:val="center"/>
          </w:tcPr>
          <w:p w14:paraId="2CD8D4FD">
            <w:pPr>
              <w:jc w:val="center"/>
              <w:rPr>
                <w:rFonts w:hint="eastAsia" w:ascii="仿宋" w:hAnsi="仿宋" w:eastAsia="仿宋" w:cs="仿宋"/>
                <w:bCs/>
                <w:color w:val="auto"/>
                <w:sz w:val="21"/>
                <w:szCs w:val="21"/>
                <w:highlight w:val="none"/>
              </w:rPr>
            </w:pPr>
          </w:p>
        </w:tc>
        <w:tc>
          <w:tcPr>
            <w:tcW w:w="501" w:type="pct"/>
            <w:vAlign w:val="center"/>
          </w:tcPr>
          <w:p w14:paraId="472F89FF">
            <w:pPr>
              <w:jc w:val="center"/>
              <w:rPr>
                <w:rFonts w:hint="eastAsia" w:ascii="仿宋" w:hAnsi="仿宋" w:eastAsia="仿宋" w:cs="仿宋"/>
                <w:bCs/>
                <w:color w:val="auto"/>
                <w:sz w:val="21"/>
                <w:szCs w:val="21"/>
                <w:highlight w:val="none"/>
              </w:rPr>
            </w:pPr>
          </w:p>
        </w:tc>
        <w:tc>
          <w:tcPr>
            <w:tcW w:w="417" w:type="pct"/>
            <w:vAlign w:val="center"/>
          </w:tcPr>
          <w:p w14:paraId="57DF4035">
            <w:pPr>
              <w:jc w:val="center"/>
              <w:rPr>
                <w:rFonts w:hint="eastAsia" w:ascii="仿宋" w:hAnsi="仿宋" w:eastAsia="仿宋" w:cs="仿宋"/>
                <w:bCs/>
                <w:color w:val="auto"/>
                <w:sz w:val="21"/>
                <w:szCs w:val="21"/>
                <w:highlight w:val="none"/>
              </w:rPr>
            </w:pPr>
          </w:p>
        </w:tc>
      </w:tr>
      <w:tr w14:paraId="13C26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080" w:type="pct"/>
            <w:gridSpan w:val="9"/>
            <w:vAlign w:val="center"/>
          </w:tcPr>
          <w:p w14:paraId="63F6CDC9">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合计</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t>元</w:t>
            </w:r>
            <w:r>
              <w:rPr>
                <w:rFonts w:hint="eastAsia" w:ascii="仿宋" w:hAnsi="仿宋" w:eastAsia="仿宋" w:cs="仿宋"/>
                <w:bCs/>
                <w:color w:val="auto"/>
                <w:sz w:val="21"/>
                <w:szCs w:val="21"/>
                <w:highlight w:val="none"/>
              </w:rPr>
              <w:t>）</w:t>
            </w:r>
          </w:p>
        </w:tc>
        <w:tc>
          <w:tcPr>
            <w:tcW w:w="501" w:type="pct"/>
            <w:vAlign w:val="center"/>
          </w:tcPr>
          <w:p w14:paraId="39516D21">
            <w:pPr>
              <w:jc w:val="center"/>
              <w:rPr>
                <w:rFonts w:hint="eastAsia" w:ascii="仿宋" w:hAnsi="仿宋" w:eastAsia="仿宋" w:cs="仿宋"/>
                <w:bCs/>
                <w:color w:val="auto"/>
                <w:sz w:val="21"/>
                <w:szCs w:val="21"/>
                <w:highlight w:val="none"/>
              </w:rPr>
            </w:pPr>
          </w:p>
        </w:tc>
        <w:tc>
          <w:tcPr>
            <w:tcW w:w="417" w:type="pct"/>
            <w:vAlign w:val="center"/>
          </w:tcPr>
          <w:p w14:paraId="4ABBF727">
            <w:pPr>
              <w:jc w:val="center"/>
              <w:rPr>
                <w:rFonts w:hint="eastAsia" w:ascii="仿宋" w:hAnsi="仿宋" w:eastAsia="仿宋" w:cs="仿宋"/>
                <w:bCs/>
                <w:color w:val="auto"/>
                <w:sz w:val="21"/>
                <w:szCs w:val="21"/>
                <w:highlight w:val="none"/>
              </w:rPr>
            </w:pPr>
          </w:p>
        </w:tc>
      </w:tr>
    </w:tbl>
    <w:p w14:paraId="63FEBE7F">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应按照第四章“技术标准和要求”内容填写标的名称和数量</w:t>
      </w:r>
      <w:r>
        <w:rPr>
          <w:rFonts w:hint="eastAsia" w:ascii="仿宋" w:hAnsi="仿宋" w:eastAsia="仿宋" w:cs="仿宋"/>
          <w:color w:val="auto"/>
          <w:sz w:val="24"/>
          <w:szCs w:val="24"/>
          <w:highlight w:val="none"/>
          <w:lang w:val="en-US" w:eastAsia="zh-CN"/>
        </w:rPr>
        <w:t>等信息，现有内容为示例</w:t>
      </w:r>
      <w:r>
        <w:rPr>
          <w:rFonts w:hint="eastAsia" w:ascii="仿宋" w:hAnsi="仿宋" w:eastAsia="仿宋" w:cs="仿宋"/>
          <w:color w:val="auto"/>
          <w:sz w:val="24"/>
          <w:szCs w:val="24"/>
          <w:highlight w:val="none"/>
        </w:rPr>
        <w:t>。</w:t>
      </w:r>
    </w:p>
    <w:p w14:paraId="09DF130A">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未列和没有填写的项目费用，采购人将视为已包括在投标价格中</w:t>
      </w:r>
    </w:p>
    <w:p w14:paraId="24D3CC29">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3、非医疗器械标的“注册号”一栏可填“/”。</w:t>
      </w:r>
    </w:p>
    <w:p w14:paraId="7CCBFE3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D94A8E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26E2B469">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4AAAF3F">
      <w:pPr>
        <w:rPr>
          <w:rFonts w:hint="eastAsia" w:ascii="仿宋" w:hAnsi="仿宋" w:eastAsia="仿宋" w:cs="仿宋"/>
          <w:b/>
          <w:color w:val="auto"/>
          <w:sz w:val="24"/>
          <w:szCs w:val="24"/>
          <w:highlight w:val="none"/>
        </w:rPr>
        <w:sectPr>
          <w:pgSz w:w="16838" w:h="11906" w:orient="landscape"/>
          <w:pgMar w:top="1417" w:right="1134" w:bottom="1417" w:left="1134" w:header="851" w:footer="992" w:gutter="0"/>
          <w:pgBorders>
            <w:top w:val="none" w:sz="0" w:space="0"/>
            <w:left w:val="none" w:sz="0" w:space="0"/>
            <w:bottom w:val="none" w:sz="0" w:space="0"/>
            <w:right w:val="none" w:sz="0" w:space="0"/>
          </w:pgBorders>
          <w:pgNumType w:fmt="decimal"/>
          <w:cols w:space="0" w:num="1"/>
          <w:rtlGutter w:val="0"/>
          <w:docGrid w:linePitch="312" w:charSpace="0"/>
        </w:sectPr>
      </w:pPr>
      <w:bookmarkStart w:id="109" w:name="_Toc109941768"/>
      <w:bookmarkStart w:id="110" w:name="_Toc17089"/>
      <w:bookmarkStart w:id="111" w:name="_Toc130252618"/>
      <w:bookmarkStart w:id="112" w:name="_Toc110707968"/>
      <w:bookmarkStart w:id="113" w:name="_Toc30686"/>
      <w:bookmarkStart w:id="114" w:name="_Toc109921161"/>
      <w:bookmarkStart w:id="115" w:name="_Toc27046"/>
    </w:p>
    <w:p w14:paraId="78427B30">
      <w:pPr>
        <w:tabs>
          <w:tab w:val="center" w:pos="4832"/>
          <w:tab w:val="left" w:pos="7140"/>
        </w:tabs>
        <w:jc w:val="center"/>
        <w:outlineLvl w:val="1"/>
        <w:rPr>
          <w:rFonts w:hint="eastAsia" w:ascii="仿宋" w:hAnsi="仿宋" w:eastAsia="仿宋" w:cs="仿宋"/>
          <w:b/>
          <w:color w:val="auto"/>
          <w:sz w:val="24"/>
          <w:szCs w:val="24"/>
          <w:highlight w:val="none"/>
        </w:rPr>
      </w:pPr>
      <w:bookmarkStart w:id="116" w:name="_Toc1806"/>
      <w:r>
        <w:rPr>
          <w:rFonts w:hint="eastAsia" w:ascii="仿宋" w:hAnsi="仿宋" w:eastAsia="仿宋" w:cs="仿宋"/>
          <w:b/>
          <w:color w:val="auto"/>
          <w:sz w:val="24"/>
          <w:szCs w:val="24"/>
          <w:highlight w:val="none"/>
        </w:rPr>
        <w:t>四、商务条款偏离表</w:t>
      </w:r>
      <w:bookmarkEnd w:id="109"/>
      <w:bookmarkEnd w:id="110"/>
      <w:bookmarkEnd w:id="111"/>
      <w:bookmarkEnd w:id="112"/>
      <w:bookmarkEnd w:id="113"/>
      <w:bookmarkEnd w:id="114"/>
      <w:bookmarkEnd w:id="115"/>
      <w:bookmarkEnd w:id="116"/>
    </w:p>
    <w:p w14:paraId="0162C82C">
      <w:pPr>
        <w:rPr>
          <w:rFonts w:hint="eastAsia" w:ascii="仿宋" w:hAnsi="仿宋" w:eastAsia="仿宋" w:cs="仿宋"/>
          <w:color w:val="auto"/>
          <w:highlight w:val="none"/>
        </w:rPr>
      </w:pPr>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0E905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49C7B3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0F1E5F1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67FDA22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126" w:type="dxa"/>
            <w:vAlign w:val="center"/>
          </w:tcPr>
          <w:p w14:paraId="699A4DE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985" w:type="dxa"/>
            <w:vAlign w:val="center"/>
          </w:tcPr>
          <w:p w14:paraId="66C62B6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2BA8B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0775C28">
            <w:pPr>
              <w:jc w:val="center"/>
              <w:rPr>
                <w:rFonts w:hint="eastAsia" w:ascii="仿宋" w:hAnsi="仿宋" w:eastAsia="仿宋" w:cs="仿宋"/>
                <w:b/>
                <w:bCs/>
                <w:color w:val="auto"/>
                <w:sz w:val="24"/>
                <w:szCs w:val="24"/>
                <w:highlight w:val="none"/>
              </w:rPr>
            </w:pPr>
          </w:p>
        </w:tc>
        <w:tc>
          <w:tcPr>
            <w:tcW w:w="2070" w:type="dxa"/>
          </w:tcPr>
          <w:p w14:paraId="4F035DCD">
            <w:pPr>
              <w:jc w:val="center"/>
              <w:rPr>
                <w:rFonts w:hint="eastAsia" w:ascii="仿宋" w:hAnsi="仿宋" w:eastAsia="仿宋" w:cs="仿宋"/>
                <w:b/>
                <w:bCs/>
                <w:color w:val="auto"/>
                <w:sz w:val="24"/>
                <w:szCs w:val="24"/>
                <w:highlight w:val="none"/>
              </w:rPr>
            </w:pPr>
          </w:p>
        </w:tc>
        <w:tc>
          <w:tcPr>
            <w:tcW w:w="2052" w:type="dxa"/>
          </w:tcPr>
          <w:p w14:paraId="3E127D70">
            <w:pPr>
              <w:jc w:val="center"/>
              <w:rPr>
                <w:rFonts w:hint="eastAsia" w:ascii="仿宋" w:hAnsi="仿宋" w:eastAsia="仿宋" w:cs="仿宋"/>
                <w:b/>
                <w:bCs/>
                <w:color w:val="auto"/>
                <w:sz w:val="24"/>
                <w:szCs w:val="24"/>
                <w:highlight w:val="none"/>
              </w:rPr>
            </w:pPr>
          </w:p>
        </w:tc>
        <w:tc>
          <w:tcPr>
            <w:tcW w:w="2126" w:type="dxa"/>
          </w:tcPr>
          <w:p w14:paraId="3370CB8C">
            <w:pPr>
              <w:jc w:val="center"/>
              <w:rPr>
                <w:rFonts w:hint="eastAsia" w:ascii="仿宋" w:hAnsi="仿宋" w:eastAsia="仿宋" w:cs="仿宋"/>
                <w:b/>
                <w:bCs/>
                <w:color w:val="auto"/>
                <w:sz w:val="24"/>
                <w:szCs w:val="24"/>
                <w:highlight w:val="none"/>
              </w:rPr>
            </w:pPr>
          </w:p>
        </w:tc>
        <w:tc>
          <w:tcPr>
            <w:tcW w:w="1985" w:type="dxa"/>
          </w:tcPr>
          <w:p w14:paraId="6D1F016C">
            <w:pPr>
              <w:jc w:val="center"/>
              <w:rPr>
                <w:rFonts w:hint="eastAsia" w:ascii="仿宋" w:hAnsi="仿宋" w:eastAsia="仿宋" w:cs="仿宋"/>
                <w:b/>
                <w:bCs/>
                <w:color w:val="auto"/>
                <w:sz w:val="24"/>
                <w:szCs w:val="24"/>
                <w:highlight w:val="none"/>
              </w:rPr>
            </w:pPr>
          </w:p>
        </w:tc>
      </w:tr>
      <w:tr w14:paraId="3F83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FBDB120">
            <w:pPr>
              <w:jc w:val="center"/>
              <w:rPr>
                <w:rFonts w:hint="eastAsia" w:ascii="仿宋" w:hAnsi="仿宋" w:eastAsia="仿宋" w:cs="仿宋"/>
                <w:b/>
                <w:bCs/>
                <w:color w:val="auto"/>
                <w:sz w:val="24"/>
                <w:szCs w:val="24"/>
                <w:highlight w:val="none"/>
              </w:rPr>
            </w:pPr>
          </w:p>
        </w:tc>
        <w:tc>
          <w:tcPr>
            <w:tcW w:w="2070" w:type="dxa"/>
          </w:tcPr>
          <w:p w14:paraId="04F79203">
            <w:pPr>
              <w:jc w:val="center"/>
              <w:rPr>
                <w:rFonts w:hint="eastAsia" w:ascii="仿宋" w:hAnsi="仿宋" w:eastAsia="仿宋" w:cs="仿宋"/>
                <w:b/>
                <w:bCs/>
                <w:color w:val="auto"/>
                <w:sz w:val="24"/>
                <w:szCs w:val="24"/>
                <w:highlight w:val="none"/>
              </w:rPr>
            </w:pPr>
          </w:p>
        </w:tc>
        <w:tc>
          <w:tcPr>
            <w:tcW w:w="2052" w:type="dxa"/>
          </w:tcPr>
          <w:p w14:paraId="6CCFBB30">
            <w:pPr>
              <w:jc w:val="center"/>
              <w:rPr>
                <w:rFonts w:hint="eastAsia" w:ascii="仿宋" w:hAnsi="仿宋" w:eastAsia="仿宋" w:cs="仿宋"/>
                <w:b/>
                <w:bCs/>
                <w:color w:val="auto"/>
                <w:sz w:val="24"/>
                <w:szCs w:val="24"/>
                <w:highlight w:val="none"/>
              </w:rPr>
            </w:pPr>
          </w:p>
        </w:tc>
        <w:tc>
          <w:tcPr>
            <w:tcW w:w="2126" w:type="dxa"/>
          </w:tcPr>
          <w:p w14:paraId="1E4FDFEB">
            <w:pPr>
              <w:jc w:val="center"/>
              <w:rPr>
                <w:rFonts w:hint="eastAsia" w:ascii="仿宋" w:hAnsi="仿宋" w:eastAsia="仿宋" w:cs="仿宋"/>
                <w:b/>
                <w:bCs/>
                <w:color w:val="auto"/>
                <w:sz w:val="24"/>
                <w:szCs w:val="24"/>
                <w:highlight w:val="none"/>
              </w:rPr>
            </w:pPr>
          </w:p>
        </w:tc>
        <w:tc>
          <w:tcPr>
            <w:tcW w:w="1985" w:type="dxa"/>
          </w:tcPr>
          <w:p w14:paraId="202FD2B3">
            <w:pPr>
              <w:jc w:val="center"/>
              <w:rPr>
                <w:rFonts w:hint="eastAsia" w:ascii="仿宋" w:hAnsi="仿宋" w:eastAsia="仿宋" w:cs="仿宋"/>
                <w:b/>
                <w:bCs/>
                <w:color w:val="auto"/>
                <w:sz w:val="24"/>
                <w:szCs w:val="24"/>
                <w:highlight w:val="none"/>
              </w:rPr>
            </w:pPr>
          </w:p>
        </w:tc>
      </w:tr>
      <w:tr w14:paraId="4992E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9343520">
            <w:pPr>
              <w:jc w:val="center"/>
              <w:rPr>
                <w:rFonts w:hint="eastAsia" w:ascii="仿宋" w:hAnsi="仿宋" w:eastAsia="仿宋" w:cs="仿宋"/>
                <w:b/>
                <w:bCs/>
                <w:color w:val="auto"/>
                <w:sz w:val="24"/>
                <w:szCs w:val="24"/>
                <w:highlight w:val="none"/>
              </w:rPr>
            </w:pPr>
          </w:p>
        </w:tc>
        <w:tc>
          <w:tcPr>
            <w:tcW w:w="2070" w:type="dxa"/>
          </w:tcPr>
          <w:p w14:paraId="44B384CD">
            <w:pPr>
              <w:jc w:val="center"/>
              <w:rPr>
                <w:rFonts w:hint="eastAsia" w:ascii="仿宋" w:hAnsi="仿宋" w:eastAsia="仿宋" w:cs="仿宋"/>
                <w:b/>
                <w:bCs/>
                <w:color w:val="auto"/>
                <w:sz w:val="24"/>
                <w:szCs w:val="24"/>
                <w:highlight w:val="none"/>
              </w:rPr>
            </w:pPr>
          </w:p>
        </w:tc>
        <w:tc>
          <w:tcPr>
            <w:tcW w:w="2052" w:type="dxa"/>
          </w:tcPr>
          <w:p w14:paraId="49690099">
            <w:pPr>
              <w:jc w:val="center"/>
              <w:rPr>
                <w:rFonts w:hint="eastAsia" w:ascii="仿宋" w:hAnsi="仿宋" w:eastAsia="仿宋" w:cs="仿宋"/>
                <w:b/>
                <w:bCs/>
                <w:color w:val="auto"/>
                <w:sz w:val="24"/>
                <w:szCs w:val="24"/>
                <w:highlight w:val="none"/>
              </w:rPr>
            </w:pPr>
          </w:p>
        </w:tc>
        <w:tc>
          <w:tcPr>
            <w:tcW w:w="2126" w:type="dxa"/>
          </w:tcPr>
          <w:p w14:paraId="6BD872CB">
            <w:pPr>
              <w:jc w:val="center"/>
              <w:rPr>
                <w:rFonts w:hint="eastAsia" w:ascii="仿宋" w:hAnsi="仿宋" w:eastAsia="仿宋" w:cs="仿宋"/>
                <w:b/>
                <w:bCs/>
                <w:color w:val="auto"/>
                <w:sz w:val="24"/>
                <w:szCs w:val="24"/>
                <w:highlight w:val="none"/>
              </w:rPr>
            </w:pPr>
          </w:p>
        </w:tc>
        <w:tc>
          <w:tcPr>
            <w:tcW w:w="1985" w:type="dxa"/>
          </w:tcPr>
          <w:p w14:paraId="3206220B">
            <w:pPr>
              <w:jc w:val="center"/>
              <w:rPr>
                <w:rFonts w:hint="eastAsia" w:ascii="仿宋" w:hAnsi="仿宋" w:eastAsia="仿宋" w:cs="仿宋"/>
                <w:b/>
                <w:bCs/>
                <w:color w:val="auto"/>
                <w:sz w:val="24"/>
                <w:szCs w:val="24"/>
                <w:highlight w:val="none"/>
              </w:rPr>
            </w:pPr>
          </w:p>
        </w:tc>
      </w:tr>
      <w:tr w14:paraId="3EC4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50C956B">
            <w:pPr>
              <w:jc w:val="center"/>
              <w:rPr>
                <w:rFonts w:hint="eastAsia" w:ascii="仿宋" w:hAnsi="仿宋" w:eastAsia="仿宋" w:cs="仿宋"/>
                <w:b/>
                <w:bCs/>
                <w:color w:val="auto"/>
                <w:sz w:val="24"/>
                <w:szCs w:val="24"/>
                <w:highlight w:val="none"/>
              </w:rPr>
            </w:pPr>
          </w:p>
        </w:tc>
        <w:tc>
          <w:tcPr>
            <w:tcW w:w="2070" w:type="dxa"/>
          </w:tcPr>
          <w:p w14:paraId="029E056F">
            <w:pPr>
              <w:jc w:val="center"/>
              <w:rPr>
                <w:rFonts w:hint="eastAsia" w:ascii="仿宋" w:hAnsi="仿宋" w:eastAsia="仿宋" w:cs="仿宋"/>
                <w:b/>
                <w:bCs/>
                <w:color w:val="auto"/>
                <w:sz w:val="24"/>
                <w:szCs w:val="24"/>
                <w:highlight w:val="none"/>
              </w:rPr>
            </w:pPr>
          </w:p>
        </w:tc>
        <w:tc>
          <w:tcPr>
            <w:tcW w:w="2052" w:type="dxa"/>
          </w:tcPr>
          <w:p w14:paraId="7FDA3284">
            <w:pPr>
              <w:jc w:val="center"/>
              <w:rPr>
                <w:rFonts w:hint="eastAsia" w:ascii="仿宋" w:hAnsi="仿宋" w:eastAsia="仿宋" w:cs="仿宋"/>
                <w:b/>
                <w:bCs/>
                <w:color w:val="auto"/>
                <w:sz w:val="24"/>
                <w:szCs w:val="24"/>
                <w:highlight w:val="none"/>
              </w:rPr>
            </w:pPr>
          </w:p>
        </w:tc>
        <w:tc>
          <w:tcPr>
            <w:tcW w:w="2126" w:type="dxa"/>
          </w:tcPr>
          <w:p w14:paraId="31E53C58">
            <w:pPr>
              <w:jc w:val="center"/>
              <w:rPr>
                <w:rFonts w:hint="eastAsia" w:ascii="仿宋" w:hAnsi="仿宋" w:eastAsia="仿宋" w:cs="仿宋"/>
                <w:b/>
                <w:bCs/>
                <w:color w:val="auto"/>
                <w:sz w:val="24"/>
                <w:szCs w:val="24"/>
                <w:highlight w:val="none"/>
              </w:rPr>
            </w:pPr>
          </w:p>
        </w:tc>
        <w:tc>
          <w:tcPr>
            <w:tcW w:w="1985" w:type="dxa"/>
          </w:tcPr>
          <w:p w14:paraId="1B966EF7">
            <w:pPr>
              <w:jc w:val="center"/>
              <w:rPr>
                <w:rFonts w:hint="eastAsia" w:ascii="仿宋" w:hAnsi="仿宋" w:eastAsia="仿宋" w:cs="仿宋"/>
                <w:b/>
                <w:bCs/>
                <w:color w:val="auto"/>
                <w:sz w:val="24"/>
                <w:szCs w:val="24"/>
                <w:highlight w:val="none"/>
              </w:rPr>
            </w:pPr>
          </w:p>
        </w:tc>
      </w:tr>
      <w:tr w14:paraId="71586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051945C">
            <w:pPr>
              <w:jc w:val="center"/>
              <w:rPr>
                <w:rFonts w:hint="eastAsia" w:ascii="仿宋" w:hAnsi="仿宋" w:eastAsia="仿宋" w:cs="仿宋"/>
                <w:b/>
                <w:bCs/>
                <w:color w:val="auto"/>
                <w:sz w:val="24"/>
                <w:szCs w:val="24"/>
                <w:highlight w:val="none"/>
              </w:rPr>
            </w:pPr>
          </w:p>
        </w:tc>
        <w:tc>
          <w:tcPr>
            <w:tcW w:w="2070" w:type="dxa"/>
          </w:tcPr>
          <w:p w14:paraId="374C833B">
            <w:pPr>
              <w:jc w:val="center"/>
              <w:rPr>
                <w:rFonts w:hint="eastAsia" w:ascii="仿宋" w:hAnsi="仿宋" w:eastAsia="仿宋" w:cs="仿宋"/>
                <w:b/>
                <w:bCs/>
                <w:color w:val="auto"/>
                <w:sz w:val="24"/>
                <w:szCs w:val="24"/>
                <w:highlight w:val="none"/>
              </w:rPr>
            </w:pPr>
          </w:p>
        </w:tc>
        <w:tc>
          <w:tcPr>
            <w:tcW w:w="2052" w:type="dxa"/>
          </w:tcPr>
          <w:p w14:paraId="1DF8036B">
            <w:pPr>
              <w:jc w:val="center"/>
              <w:rPr>
                <w:rFonts w:hint="eastAsia" w:ascii="仿宋" w:hAnsi="仿宋" w:eastAsia="仿宋" w:cs="仿宋"/>
                <w:b/>
                <w:bCs/>
                <w:color w:val="auto"/>
                <w:sz w:val="24"/>
                <w:szCs w:val="24"/>
                <w:highlight w:val="none"/>
              </w:rPr>
            </w:pPr>
          </w:p>
        </w:tc>
        <w:tc>
          <w:tcPr>
            <w:tcW w:w="2126" w:type="dxa"/>
          </w:tcPr>
          <w:p w14:paraId="1B447AA1">
            <w:pPr>
              <w:jc w:val="center"/>
              <w:rPr>
                <w:rFonts w:hint="eastAsia" w:ascii="仿宋" w:hAnsi="仿宋" w:eastAsia="仿宋" w:cs="仿宋"/>
                <w:b/>
                <w:bCs/>
                <w:color w:val="auto"/>
                <w:sz w:val="24"/>
                <w:szCs w:val="24"/>
                <w:highlight w:val="none"/>
              </w:rPr>
            </w:pPr>
          </w:p>
        </w:tc>
        <w:tc>
          <w:tcPr>
            <w:tcW w:w="1985" w:type="dxa"/>
          </w:tcPr>
          <w:p w14:paraId="2DC73C01">
            <w:pPr>
              <w:jc w:val="center"/>
              <w:rPr>
                <w:rFonts w:hint="eastAsia" w:ascii="仿宋" w:hAnsi="仿宋" w:eastAsia="仿宋" w:cs="仿宋"/>
                <w:b/>
                <w:bCs/>
                <w:color w:val="auto"/>
                <w:sz w:val="24"/>
                <w:szCs w:val="24"/>
                <w:highlight w:val="none"/>
              </w:rPr>
            </w:pPr>
          </w:p>
        </w:tc>
      </w:tr>
    </w:tbl>
    <w:p w14:paraId="4901206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注：投标人商务条款有差异的，则在此表中列明实际响应的内容提要并加以说明，以便查对。无差异说明表示完全响应。</w:t>
      </w:r>
    </w:p>
    <w:p w14:paraId="3003BD03">
      <w:pPr>
        <w:spacing w:line="360" w:lineRule="auto"/>
        <w:jc w:val="left"/>
        <w:rPr>
          <w:rFonts w:hint="eastAsia" w:ascii="仿宋" w:hAnsi="仿宋" w:eastAsia="仿宋" w:cs="仿宋"/>
          <w:color w:val="auto"/>
          <w:sz w:val="24"/>
          <w:szCs w:val="24"/>
          <w:highlight w:val="none"/>
        </w:rPr>
      </w:pPr>
    </w:p>
    <w:p w14:paraId="5EF2B85F">
      <w:pPr>
        <w:spacing w:line="360" w:lineRule="auto"/>
        <w:jc w:val="left"/>
        <w:rPr>
          <w:rFonts w:hint="eastAsia" w:ascii="仿宋" w:hAnsi="仿宋" w:eastAsia="仿宋" w:cs="仿宋"/>
          <w:color w:val="auto"/>
          <w:sz w:val="24"/>
          <w:szCs w:val="24"/>
          <w:highlight w:val="none"/>
        </w:rPr>
      </w:pPr>
    </w:p>
    <w:p w14:paraId="18D8941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706624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75E88A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54FA24E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00F4448">
      <w:pPr>
        <w:rPr>
          <w:rFonts w:hint="eastAsia"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5700CD52">
      <w:pPr>
        <w:widowControl/>
        <w:jc w:val="left"/>
        <w:rPr>
          <w:rFonts w:hint="eastAsia" w:ascii="仿宋" w:hAnsi="仿宋" w:eastAsia="仿宋" w:cs="仿宋"/>
          <w:color w:val="auto"/>
          <w:sz w:val="24"/>
          <w:szCs w:val="24"/>
          <w:highlight w:val="none"/>
        </w:rPr>
      </w:pPr>
    </w:p>
    <w:p w14:paraId="171E0C6B">
      <w:pPr>
        <w:tabs>
          <w:tab w:val="center" w:pos="4832"/>
          <w:tab w:val="left" w:pos="7140"/>
        </w:tabs>
        <w:jc w:val="center"/>
        <w:outlineLvl w:val="1"/>
        <w:rPr>
          <w:rFonts w:hint="eastAsia" w:ascii="仿宋" w:hAnsi="仿宋" w:eastAsia="仿宋" w:cs="仿宋"/>
          <w:b/>
          <w:color w:val="auto"/>
          <w:sz w:val="24"/>
          <w:szCs w:val="24"/>
          <w:highlight w:val="none"/>
        </w:rPr>
      </w:pPr>
      <w:bookmarkStart w:id="117" w:name="_Toc6958"/>
      <w:bookmarkStart w:id="118" w:name="_Toc109941767"/>
      <w:bookmarkStart w:id="119" w:name="_Toc110707967"/>
      <w:bookmarkStart w:id="120" w:name="_Toc5898"/>
      <w:bookmarkStart w:id="121" w:name="_Toc2642"/>
      <w:bookmarkStart w:id="122" w:name="_Toc27420"/>
      <w:bookmarkStart w:id="123" w:name="_Toc109921160"/>
      <w:bookmarkStart w:id="124" w:name="_Toc130252617"/>
      <w:r>
        <w:rPr>
          <w:rFonts w:hint="eastAsia" w:ascii="仿宋" w:hAnsi="仿宋" w:eastAsia="仿宋" w:cs="仿宋"/>
          <w:b/>
          <w:color w:val="auto"/>
          <w:sz w:val="24"/>
          <w:szCs w:val="24"/>
          <w:highlight w:val="none"/>
        </w:rPr>
        <w:t>五、技术条款偏离表</w:t>
      </w:r>
      <w:bookmarkEnd w:id="117"/>
      <w:bookmarkEnd w:id="118"/>
      <w:bookmarkEnd w:id="119"/>
      <w:bookmarkEnd w:id="120"/>
      <w:bookmarkEnd w:id="121"/>
      <w:bookmarkEnd w:id="122"/>
      <w:bookmarkEnd w:id="123"/>
      <w:bookmarkEnd w:id="124"/>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732E8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640345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6838F4A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520E867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招标文件的技术条款</w:t>
            </w:r>
          </w:p>
        </w:tc>
        <w:tc>
          <w:tcPr>
            <w:tcW w:w="2126" w:type="dxa"/>
            <w:vAlign w:val="center"/>
          </w:tcPr>
          <w:p w14:paraId="3F0CCEE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投标文件的技术条款</w:t>
            </w:r>
          </w:p>
        </w:tc>
        <w:tc>
          <w:tcPr>
            <w:tcW w:w="1985" w:type="dxa"/>
            <w:vAlign w:val="center"/>
          </w:tcPr>
          <w:p w14:paraId="5A5D33F0">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661DC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D432912">
            <w:pPr>
              <w:jc w:val="center"/>
              <w:rPr>
                <w:rFonts w:hint="eastAsia" w:ascii="仿宋" w:hAnsi="仿宋" w:eastAsia="仿宋" w:cs="仿宋"/>
                <w:b/>
                <w:bCs/>
                <w:color w:val="auto"/>
                <w:sz w:val="24"/>
                <w:szCs w:val="24"/>
                <w:highlight w:val="none"/>
              </w:rPr>
            </w:pPr>
          </w:p>
        </w:tc>
        <w:tc>
          <w:tcPr>
            <w:tcW w:w="2070" w:type="dxa"/>
          </w:tcPr>
          <w:p w14:paraId="097A5DB8">
            <w:pPr>
              <w:jc w:val="center"/>
              <w:rPr>
                <w:rFonts w:hint="eastAsia" w:ascii="仿宋" w:hAnsi="仿宋" w:eastAsia="仿宋" w:cs="仿宋"/>
                <w:b/>
                <w:bCs/>
                <w:color w:val="auto"/>
                <w:sz w:val="24"/>
                <w:szCs w:val="24"/>
                <w:highlight w:val="none"/>
              </w:rPr>
            </w:pPr>
          </w:p>
        </w:tc>
        <w:tc>
          <w:tcPr>
            <w:tcW w:w="2052" w:type="dxa"/>
          </w:tcPr>
          <w:p w14:paraId="4CF621FE">
            <w:pPr>
              <w:jc w:val="center"/>
              <w:rPr>
                <w:rFonts w:hint="eastAsia" w:ascii="仿宋" w:hAnsi="仿宋" w:eastAsia="仿宋" w:cs="仿宋"/>
                <w:b/>
                <w:bCs/>
                <w:color w:val="auto"/>
                <w:sz w:val="24"/>
                <w:szCs w:val="24"/>
                <w:highlight w:val="none"/>
              </w:rPr>
            </w:pPr>
          </w:p>
        </w:tc>
        <w:tc>
          <w:tcPr>
            <w:tcW w:w="2126" w:type="dxa"/>
          </w:tcPr>
          <w:p w14:paraId="6FC4A5FF">
            <w:pPr>
              <w:jc w:val="center"/>
              <w:rPr>
                <w:rFonts w:hint="eastAsia" w:ascii="仿宋" w:hAnsi="仿宋" w:eastAsia="仿宋" w:cs="仿宋"/>
                <w:b/>
                <w:bCs/>
                <w:color w:val="auto"/>
                <w:sz w:val="24"/>
                <w:szCs w:val="24"/>
                <w:highlight w:val="none"/>
              </w:rPr>
            </w:pPr>
          </w:p>
        </w:tc>
        <w:tc>
          <w:tcPr>
            <w:tcW w:w="1985" w:type="dxa"/>
          </w:tcPr>
          <w:p w14:paraId="6B88D602">
            <w:pPr>
              <w:jc w:val="center"/>
              <w:rPr>
                <w:rFonts w:hint="eastAsia" w:ascii="仿宋" w:hAnsi="仿宋" w:eastAsia="仿宋" w:cs="仿宋"/>
                <w:b/>
                <w:bCs/>
                <w:color w:val="auto"/>
                <w:sz w:val="24"/>
                <w:szCs w:val="24"/>
                <w:highlight w:val="none"/>
              </w:rPr>
            </w:pPr>
          </w:p>
        </w:tc>
      </w:tr>
      <w:tr w14:paraId="45BF6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EE941D8">
            <w:pPr>
              <w:jc w:val="center"/>
              <w:rPr>
                <w:rFonts w:hint="eastAsia" w:ascii="仿宋" w:hAnsi="仿宋" w:eastAsia="仿宋" w:cs="仿宋"/>
                <w:b/>
                <w:bCs/>
                <w:color w:val="auto"/>
                <w:sz w:val="24"/>
                <w:szCs w:val="24"/>
                <w:highlight w:val="none"/>
              </w:rPr>
            </w:pPr>
          </w:p>
        </w:tc>
        <w:tc>
          <w:tcPr>
            <w:tcW w:w="2070" w:type="dxa"/>
          </w:tcPr>
          <w:p w14:paraId="2BAD935D">
            <w:pPr>
              <w:jc w:val="center"/>
              <w:rPr>
                <w:rFonts w:hint="eastAsia" w:ascii="仿宋" w:hAnsi="仿宋" w:eastAsia="仿宋" w:cs="仿宋"/>
                <w:b/>
                <w:bCs/>
                <w:color w:val="auto"/>
                <w:sz w:val="24"/>
                <w:szCs w:val="24"/>
                <w:highlight w:val="none"/>
              </w:rPr>
            </w:pPr>
          </w:p>
        </w:tc>
        <w:tc>
          <w:tcPr>
            <w:tcW w:w="2052" w:type="dxa"/>
          </w:tcPr>
          <w:p w14:paraId="1DD567B7">
            <w:pPr>
              <w:jc w:val="center"/>
              <w:rPr>
                <w:rFonts w:hint="eastAsia" w:ascii="仿宋" w:hAnsi="仿宋" w:eastAsia="仿宋" w:cs="仿宋"/>
                <w:b/>
                <w:bCs/>
                <w:color w:val="auto"/>
                <w:sz w:val="24"/>
                <w:szCs w:val="24"/>
                <w:highlight w:val="none"/>
              </w:rPr>
            </w:pPr>
          </w:p>
        </w:tc>
        <w:tc>
          <w:tcPr>
            <w:tcW w:w="2126" w:type="dxa"/>
          </w:tcPr>
          <w:p w14:paraId="54BBBB46">
            <w:pPr>
              <w:jc w:val="center"/>
              <w:rPr>
                <w:rFonts w:hint="eastAsia" w:ascii="仿宋" w:hAnsi="仿宋" w:eastAsia="仿宋" w:cs="仿宋"/>
                <w:b/>
                <w:bCs/>
                <w:color w:val="auto"/>
                <w:sz w:val="24"/>
                <w:szCs w:val="24"/>
                <w:highlight w:val="none"/>
              </w:rPr>
            </w:pPr>
          </w:p>
        </w:tc>
        <w:tc>
          <w:tcPr>
            <w:tcW w:w="1985" w:type="dxa"/>
          </w:tcPr>
          <w:p w14:paraId="35FC40E3">
            <w:pPr>
              <w:jc w:val="center"/>
              <w:rPr>
                <w:rFonts w:hint="eastAsia" w:ascii="仿宋" w:hAnsi="仿宋" w:eastAsia="仿宋" w:cs="仿宋"/>
                <w:b/>
                <w:bCs/>
                <w:color w:val="auto"/>
                <w:sz w:val="24"/>
                <w:szCs w:val="24"/>
                <w:highlight w:val="none"/>
              </w:rPr>
            </w:pPr>
          </w:p>
        </w:tc>
      </w:tr>
      <w:tr w14:paraId="03679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4563316">
            <w:pPr>
              <w:jc w:val="center"/>
              <w:rPr>
                <w:rFonts w:hint="eastAsia" w:ascii="仿宋" w:hAnsi="仿宋" w:eastAsia="仿宋" w:cs="仿宋"/>
                <w:b/>
                <w:bCs/>
                <w:color w:val="auto"/>
                <w:sz w:val="24"/>
                <w:szCs w:val="24"/>
                <w:highlight w:val="none"/>
              </w:rPr>
            </w:pPr>
          </w:p>
        </w:tc>
        <w:tc>
          <w:tcPr>
            <w:tcW w:w="2070" w:type="dxa"/>
          </w:tcPr>
          <w:p w14:paraId="764B1A3B">
            <w:pPr>
              <w:jc w:val="center"/>
              <w:rPr>
                <w:rFonts w:hint="eastAsia" w:ascii="仿宋" w:hAnsi="仿宋" w:eastAsia="仿宋" w:cs="仿宋"/>
                <w:b/>
                <w:bCs/>
                <w:color w:val="auto"/>
                <w:sz w:val="24"/>
                <w:szCs w:val="24"/>
                <w:highlight w:val="none"/>
              </w:rPr>
            </w:pPr>
          </w:p>
        </w:tc>
        <w:tc>
          <w:tcPr>
            <w:tcW w:w="2052" w:type="dxa"/>
          </w:tcPr>
          <w:p w14:paraId="5CC0AA24">
            <w:pPr>
              <w:jc w:val="center"/>
              <w:rPr>
                <w:rFonts w:hint="eastAsia" w:ascii="仿宋" w:hAnsi="仿宋" w:eastAsia="仿宋" w:cs="仿宋"/>
                <w:b/>
                <w:bCs/>
                <w:color w:val="auto"/>
                <w:sz w:val="24"/>
                <w:szCs w:val="24"/>
                <w:highlight w:val="none"/>
              </w:rPr>
            </w:pPr>
          </w:p>
        </w:tc>
        <w:tc>
          <w:tcPr>
            <w:tcW w:w="2126" w:type="dxa"/>
          </w:tcPr>
          <w:p w14:paraId="4A5FD38B">
            <w:pPr>
              <w:jc w:val="center"/>
              <w:rPr>
                <w:rFonts w:hint="eastAsia" w:ascii="仿宋" w:hAnsi="仿宋" w:eastAsia="仿宋" w:cs="仿宋"/>
                <w:b/>
                <w:bCs/>
                <w:color w:val="auto"/>
                <w:sz w:val="24"/>
                <w:szCs w:val="24"/>
                <w:highlight w:val="none"/>
              </w:rPr>
            </w:pPr>
          </w:p>
        </w:tc>
        <w:tc>
          <w:tcPr>
            <w:tcW w:w="1985" w:type="dxa"/>
          </w:tcPr>
          <w:p w14:paraId="4EACF583">
            <w:pPr>
              <w:jc w:val="center"/>
              <w:rPr>
                <w:rFonts w:hint="eastAsia" w:ascii="仿宋" w:hAnsi="仿宋" w:eastAsia="仿宋" w:cs="仿宋"/>
                <w:b/>
                <w:bCs/>
                <w:color w:val="auto"/>
                <w:sz w:val="24"/>
                <w:szCs w:val="24"/>
                <w:highlight w:val="none"/>
              </w:rPr>
            </w:pPr>
          </w:p>
        </w:tc>
      </w:tr>
      <w:tr w14:paraId="630AE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B0C7DA4">
            <w:pPr>
              <w:jc w:val="center"/>
              <w:rPr>
                <w:rFonts w:hint="eastAsia" w:ascii="仿宋" w:hAnsi="仿宋" w:eastAsia="仿宋" w:cs="仿宋"/>
                <w:b/>
                <w:bCs/>
                <w:color w:val="auto"/>
                <w:sz w:val="24"/>
                <w:szCs w:val="24"/>
                <w:highlight w:val="none"/>
              </w:rPr>
            </w:pPr>
          </w:p>
        </w:tc>
        <w:tc>
          <w:tcPr>
            <w:tcW w:w="2070" w:type="dxa"/>
          </w:tcPr>
          <w:p w14:paraId="0DA7AD72">
            <w:pPr>
              <w:jc w:val="center"/>
              <w:rPr>
                <w:rFonts w:hint="eastAsia" w:ascii="仿宋" w:hAnsi="仿宋" w:eastAsia="仿宋" w:cs="仿宋"/>
                <w:b/>
                <w:bCs/>
                <w:color w:val="auto"/>
                <w:sz w:val="24"/>
                <w:szCs w:val="24"/>
                <w:highlight w:val="none"/>
              </w:rPr>
            </w:pPr>
          </w:p>
        </w:tc>
        <w:tc>
          <w:tcPr>
            <w:tcW w:w="2052" w:type="dxa"/>
          </w:tcPr>
          <w:p w14:paraId="54E4C0B9">
            <w:pPr>
              <w:jc w:val="center"/>
              <w:rPr>
                <w:rFonts w:hint="eastAsia" w:ascii="仿宋" w:hAnsi="仿宋" w:eastAsia="仿宋" w:cs="仿宋"/>
                <w:b/>
                <w:bCs/>
                <w:color w:val="auto"/>
                <w:sz w:val="24"/>
                <w:szCs w:val="24"/>
                <w:highlight w:val="none"/>
              </w:rPr>
            </w:pPr>
          </w:p>
        </w:tc>
        <w:tc>
          <w:tcPr>
            <w:tcW w:w="2126" w:type="dxa"/>
          </w:tcPr>
          <w:p w14:paraId="2E4D53FA">
            <w:pPr>
              <w:jc w:val="center"/>
              <w:rPr>
                <w:rFonts w:hint="eastAsia" w:ascii="仿宋" w:hAnsi="仿宋" w:eastAsia="仿宋" w:cs="仿宋"/>
                <w:b/>
                <w:bCs/>
                <w:color w:val="auto"/>
                <w:sz w:val="24"/>
                <w:szCs w:val="24"/>
                <w:highlight w:val="none"/>
              </w:rPr>
            </w:pPr>
          </w:p>
        </w:tc>
        <w:tc>
          <w:tcPr>
            <w:tcW w:w="1985" w:type="dxa"/>
          </w:tcPr>
          <w:p w14:paraId="1DBC592F">
            <w:pPr>
              <w:jc w:val="center"/>
              <w:rPr>
                <w:rFonts w:hint="eastAsia" w:ascii="仿宋" w:hAnsi="仿宋" w:eastAsia="仿宋" w:cs="仿宋"/>
                <w:b/>
                <w:bCs/>
                <w:color w:val="auto"/>
                <w:sz w:val="24"/>
                <w:szCs w:val="24"/>
                <w:highlight w:val="none"/>
              </w:rPr>
            </w:pPr>
          </w:p>
        </w:tc>
      </w:tr>
      <w:tr w14:paraId="2B5BA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A2584E5">
            <w:pPr>
              <w:jc w:val="center"/>
              <w:rPr>
                <w:rFonts w:hint="eastAsia" w:ascii="仿宋" w:hAnsi="仿宋" w:eastAsia="仿宋" w:cs="仿宋"/>
                <w:b/>
                <w:bCs/>
                <w:color w:val="auto"/>
                <w:sz w:val="24"/>
                <w:szCs w:val="24"/>
                <w:highlight w:val="none"/>
              </w:rPr>
            </w:pPr>
          </w:p>
        </w:tc>
        <w:tc>
          <w:tcPr>
            <w:tcW w:w="2070" w:type="dxa"/>
          </w:tcPr>
          <w:p w14:paraId="34366E97">
            <w:pPr>
              <w:jc w:val="center"/>
              <w:rPr>
                <w:rFonts w:hint="eastAsia" w:ascii="仿宋" w:hAnsi="仿宋" w:eastAsia="仿宋" w:cs="仿宋"/>
                <w:b/>
                <w:bCs/>
                <w:color w:val="auto"/>
                <w:sz w:val="24"/>
                <w:szCs w:val="24"/>
                <w:highlight w:val="none"/>
              </w:rPr>
            </w:pPr>
          </w:p>
        </w:tc>
        <w:tc>
          <w:tcPr>
            <w:tcW w:w="2052" w:type="dxa"/>
          </w:tcPr>
          <w:p w14:paraId="4A996F5B">
            <w:pPr>
              <w:jc w:val="center"/>
              <w:rPr>
                <w:rFonts w:hint="eastAsia" w:ascii="仿宋" w:hAnsi="仿宋" w:eastAsia="仿宋" w:cs="仿宋"/>
                <w:b/>
                <w:bCs/>
                <w:color w:val="auto"/>
                <w:sz w:val="24"/>
                <w:szCs w:val="24"/>
                <w:highlight w:val="none"/>
              </w:rPr>
            </w:pPr>
          </w:p>
        </w:tc>
        <w:tc>
          <w:tcPr>
            <w:tcW w:w="2126" w:type="dxa"/>
          </w:tcPr>
          <w:p w14:paraId="7F17B445">
            <w:pPr>
              <w:jc w:val="center"/>
              <w:rPr>
                <w:rFonts w:hint="eastAsia" w:ascii="仿宋" w:hAnsi="仿宋" w:eastAsia="仿宋" w:cs="仿宋"/>
                <w:b/>
                <w:bCs/>
                <w:color w:val="auto"/>
                <w:sz w:val="24"/>
                <w:szCs w:val="24"/>
                <w:highlight w:val="none"/>
              </w:rPr>
            </w:pPr>
          </w:p>
        </w:tc>
        <w:tc>
          <w:tcPr>
            <w:tcW w:w="1985" w:type="dxa"/>
          </w:tcPr>
          <w:p w14:paraId="3D5DEF29">
            <w:pPr>
              <w:jc w:val="center"/>
              <w:rPr>
                <w:rFonts w:hint="eastAsia" w:ascii="仿宋" w:hAnsi="仿宋" w:eastAsia="仿宋" w:cs="仿宋"/>
                <w:b/>
                <w:bCs/>
                <w:color w:val="auto"/>
                <w:sz w:val="24"/>
                <w:szCs w:val="24"/>
                <w:highlight w:val="none"/>
              </w:rPr>
            </w:pPr>
          </w:p>
        </w:tc>
      </w:tr>
    </w:tbl>
    <w:p w14:paraId="300AB9CE">
      <w:pPr>
        <w:rPr>
          <w:rFonts w:hint="eastAsia" w:ascii="仿宋" w:hAnsi="仿宋" w:eastAsia="仿宋" w:cs="仿宋"/>
          <w:color w:val="auto"/>
          <w:highlight w:val="none"/>
        </w:rPr>
      </w:pPr>
    </w:p>
    <w:p w14:paraId="487C44D8">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注：投标人技术条款有差异的，则在此表中列明实际响应的内容提要并加以说明，以便查对。无差异说明表示完全响应。</w:t>
      </w:r>
    </w:p>
    <w:p w14:paraId="23E59122">
      <w:pPr>
        <w:spacing w:line="360" w:lineRule="auto"/>
        <w:ind w:firstLine="475" w:firstLineChars="198"/>
        <w:jc w:val="left"/>
        <w:rPr>
          <w:rFonts w:hint="eastAsia" w:ascii="仿宋" w:hAnsi="仿宋" w:eastAsia="仿宋" w:cs="仿宋"/>
          <w:color w:val="auto"/>
          <w:sz w:val="24"/>
          <w:szCs w:val="24"/>
          <w:highlight w:val="none"/>
        </w:rPr>
      </w:pPr>
    </w:p>
    <w:p w14:paraId="2024D39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B4CEB1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BA7314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1FBD57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C9F366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5B22A247">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0EA6B4A">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125" w:name="_Toc29249"/>
      <w:bookmarkStart w:id="126" w:name="_Toc25525"/>
      <w:bookmarkStart w:id="127" w:name="_Toc109941769"/>
      <w:bookmarkStart w:id="128" w:name="_Toc109921162"/>
      <w:bookmarkStart w:id="129" w:name="_Toc20828"/>
      <w:bookmarkStart w:id="130" w:name="_Toc5075"/>
      <w:bookmarkStart w:id="131" w:name="_Toc130252619"/>
      <w:bookmarkStart w:id="132" w:name="_Toc110707969"/>
      <w:r>
        <w:rPr>
          <w:rFonts w:hint="eastAsia" w:ascii="仿宋" w:hAnsi="仿宋" w:eastAsia="仿宋" w:cs="仿宋"/>
          <w:b/>
          <w:color w:val="auto"/>
          <w:sz w:val="24"/>
          <w:szCs w:val="24"/>
          <w:highlight w:val="none"/>
        </w:rPr>
        <w:t>六、法定代表人身份证明书</w:t>
      </w:r>
      <w:bookmarkEnd w:id="125"/>
      <w:bookmarkEnd w:id="126"/>
      <w:bookmarkEnd w:id="127"/>
      <w:bookmarkEnd w:id="128"/>
      <w:bookmarkEnd w:id="129"/>
      <w:bookmarkEnd w:id="130"/>
      <w:bookmarkEnd w:id="131"/>
      <w:bookmarkEnd w:id="132"/>
    </w:p>
    <w:p w14:paraId="0B1BF9B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A8092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48BBD02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277ABE6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085AE85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45100C6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1B3AEE8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2ECDAE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0B42027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433D4DB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BD8C5CA">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705BC3D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E89B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1EEA739">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法定代表人身份证复印件（正面）</w:t>
            </w:r>
          </w:p>
        </w:tc>
      </w:tr>
    </w:tbl>
    <w:p w14:paraId="63E2D4A0">
      <w:pPr>
        <w:rPr>
          <w:rFonts w:hint="eastAsia" w:ascii="仿宋" w:hAnsi="仿宋" w:eastAsia="仿宋" w:cs="仿宋"/>
          <w:vanish/>
          <w:color w:val="auto"/>
          <w:highlight w:val="none"/>
        </w:rPr>
      </w:pPr>
    </w:p>
    <w:tbl>
      <w:tblPr>
        <w:tblStyle w:val="3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5118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8F25EAA">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法定代表人身份证复印件（反面）</w:t>
            </w:r>
          </w:p>
        </w:tc>
      </w:tr>
    </w:tbl>
    <w:p w14:paraId="1D20603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3B64D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21070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7F582F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82923E0">
      <w:pPr>
        <w:widowControl/>
        <w:shd w:val="clear" w:color="auto" w:fill="FFFFFF"/>
        <w:wordWrap w:val="0"/>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6808F52F">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11ABF2D5">
      <w:pPr>
        <w:tabs>
          <w:tab w:val="center" w:pos="4832"/>
          <w:tab w:val="left" w:pos="7140"/>
        </w:tabs>
        <w:jc w:val="center"/>
        <w:outlineLvl w:val="1"/>
        <w:rPr>
          <w:rFonts w:hint="eastAsia" w:ascii="仿宋" w:hAnsi="仿宋" w:eastAsia="仿宋" w:cs="仿宋"/>
          <w:b/>
          <w:color w:val="auto"/>
          <w:sz w:val="24"/>
          <w:szCs w:val="24"/>
          <w:highlight w:val="none"/>
        </w:rPr>
      </w:pPr>
      <w:bookmarkStart w:id="133" w:name="_Toc7557"/>
      <w:bookmarkStart w:id="134" w:name="_Toc110707970"/>
      <w:bookmarkStart w:id="135" w:name="_Toc27079"/>
      <w:bookmarkStart w:id="136" w:name="_Toc109921163"/>
      <w:bookmarkStart w:id="137" w:name="_Toc109941770"/>
      <w:bookmarkStart w:id="138" w:name="_Toc29077"/>
      <w:bookmarkStart w:id="139" w:name="_Toc130252620"/>
      <w:bookmarkStart w:id="140" w:name="_Toc19364"/>
      <w:r>
        <w:rPr>
          <w:rFonts w:hint="eastAsia" w:ascii="仿宋" w:hAnsi="仿宋" w:eastAsia="仿宋" w:cs="仿宋"/>
          <w:b/>
          <w:color w:val="auto"/>
          <w:sz w:val="24"/>
          <w:szCs w:val="24"/>
          <w:highlight w:val="none"/>
        </w:rPr>
        <w:t>七、法定代表人授权委托书</w:t>
      </w:r>
      <w:bookmarkEnd w:id="133"/>
      <w:bookmarkEnd w:id="134"/>
      <w:bookmarkEnd w:id="135"/>
      <w:bookmarkEnd w:id="136"/>
      <w:bookmarkEnd w:id="137"/>
      <w:bookmarkEnd w:id="138"/>
      <w:bookmarkEnd w:id="139"/>
      <w:bookmarkEnd w:id="140"/>
    </w:p>
    <w:p w14:paraId="5AA250C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BEAF2C">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（投标人名称）的法定代表人，现拟派我单位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名称）的投标，以本公司名义处理一切与之有关的事务，其法律后果由我方承担。</w:t>
      </w:r>
    </w:p>
    <w:p w14:paraId="5043522E">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4E1FBED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61DBD91B">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16DCAAB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p>
    <w:p w14:paraId="374D81AA">
      <w:pPr>
        <w:widowControl/>
        <w:shd w:val="clear" w:color="auto" w:fill="FFFFFF"/>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附：委托代理人身份证明。</w:t>
      </w:r>
    </w:p>
    <w:tbl>
      <w:tblPr>
        <w:tblStyle w:val="38"/>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45C4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4B9C522D">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委托代理人身份证复印件（正面）</w:t>
            </w:r>
          </w:p>
        </w:tc>
      </w:tr>
    </w:tbl>
    <w:p w14:paraId="6174F02A">
      <w:pPr>
        <w:rPr>
          <w:rFonts w:hint="eastAsia" w:ascii="仿宋" w:hAnsi="仿宋" w:eastAsia="仿宋" w:cs="仿宋"/>
          <w:vanish/>
          <w:color w:val="auto"/>
          <w:highlight w:val="none"/>
        </w:rPr>
      </w:pPr>
    </w:p>
    <w:tbl>
      <w:tblPr>
        <w:tblStyle w:val="38"/>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B376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3C0C667">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委托代理人身份证复印件（反面）</w:t>
            </w:r>
          </w:p>
        </w:tc>
      </w:tr>
    </w:tbl>
    <w:p w14:paraId="61126C2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6252E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160C15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8C68E1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86D921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212130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E3F6C39">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5F70394F">
      <w:pPr>
        <w:rPr>
          <w:rFonts w:hint="eastAsia" w:ascii="仿宋" w:hAnsi="仿宋" w:eastAsia="仿宋" w:cs="仿宋"/>
          <w:b/>
          <w:color w:val="auto"/>
          <w:sz w:val="24"/>
          <w:szCs w:val="24"/>
          <w:highlight w:val="none"/>
        </w:rPr>
      </w:pPr>
      <w:bookmarkStart w:id="141" w:name="_Toc109941771"/>
      <w:bookmarkStart w:id="142" w:name="_Toc109921164"/>
      <w:bookmarkStart w:id="143" w:name="_Toc110707971"/>
      <w:bookmarkStart w:id="144" w:name="_Toc130252621"/>
      <w:bookmarkStart w:id="145" w:name="_Toc25783"/>
      <w:bookmarkStart w:id="146" w:name="_Toc29422"/>
      <w:bookmarkStart w:id="147" w:name="_Toc358451723"/>
      <w:r>
        <w:rPr>
          <w:rFonts w:hint="eastAsia" w:ascii="仿宋" w:hAnsi="仿宋" w:eastAsia="仿宋" w:cs="仿宋"/>
          <w:b/>
          <w:color w:val="auto"/>
          <w:sz w:val="24"/>
          <w:szCs w:val="24"/>
          <w:highlight w:val="none"/>
        </w:rPr>
        <w:br w:type="page"/>
      </w:r>
    </w:p>
    <w:p w14:paraId="0F2AB068">
      <w:pPr>
        <w:tabs>
          <w:tab w:val="center" w:pos="4832"/>
          <w:tab w:val="left" w:pos="7140"/>
        </w:tabs>
        <w:jc w:val="center"/>
        <w:outlineLvl w:val="1"/>
        <w:rPr>
          <w:rFonts w:hint="eastAsia" w:ascii="仿宋" w:hAnsi="仿宋" w:eastAsia="仿宋" w:cs="仿宋"/>
          <w:b/>
          <w:color w:val="auto"/>
          <w:sz w:val="24"/>
          <w:szCs w:val="24"/>
          <w:highlight w:val="none"/>
        </w:rPr>
      </w:pPr>
      <w:bookmarkStart w:id="148" w:name="_Toc23004"/>
      <w:bookmarkStart w:id="149" w:name="_Toc5003"/>
      <w:r>
        <w:rPr>
          <w:rFonts w:hint="eastAsia" w:ascii="仿宋" w:hAnsi="仿宋" w:eastAsia="仿宋" w:cs="仿宋"/>
          <w:b/>
          <w:color w:val="auto"/>
          <w:sz w:val="24"/>
          <w:szCs w:val="24"/>
          <w:highlight w:val="none"/>
        </w:rPr>
        <w:t>八、</w:t>
      </w:r>
      <w:bookmarkEnd w:id="141"/>
      <w:bookmarkEnd w:id="142"/>
      <w:bookmarkEnd w:id="143"/>
      <w:r>
        <w:rPr>
          <w:rFonts w:hint="eastAsia" w:ascii="仿宋" w:hAnsi="仿宋" w:eastAsia="仿宋" w:cs="仿宋"/>
          <w:b/>
          <w:bCs/>
          <w:color w:val="auto"/>
          <w:sz w:val="24"/>
          <w:szCs w:val="24"/>
          <w:highlight w:val="none"/>
        </w:rPr>
        <w:t>投标人资格条件证明材料</w:t>
      </w:r>
      <w:bookmarkEnd w:id="144"/>
      <w:bookmarkEnd w:id="145"/>
      <w:bookmarkEnd w:id="146"/>
      <w:bookmarkEnd w:id="148"/>
      <w:bookmarkEnd w:id="149"/>
    </w:p>
    <w:p w14:paraId="733115E0">
      <w:pPr>
        <w:rPr>
          <w:rFonts w:hint="eastAsia" w:ascii="仿宋" w:hAnsi="仿宋" w:eastAsia="仿宋" w:cs="仿宋"/>
          <w:color w:val="auto"/>
          <w:highlight w:val="none"/>
        </w:rPr>
      </w:pPr>
    </w:p>
    <w:tbl>
      <w:tblPr>
        <w:tblStyle w:val="3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75C3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56DC35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09B435E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4293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AE38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178D7B0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552EF25">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3A56D53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AA1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F549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7310E2F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07717CF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7D8E734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380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ADF4A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0BBB4D3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B191D5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1B3B191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055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B866626">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547E960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11389F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E013371">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55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674E5B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2BE3327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7C1A1E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59422F3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7027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70B76E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5D63EE7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5B899A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055FBBB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658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986197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0ABF32B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238DDA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06F6CDD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40D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7B1564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31B547C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888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9E3299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290FF28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01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4DFCE20">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71D1E523">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059EB111">
            <w:pPr>
              <w:autoSpaceDE w:val="0"/>
              <w:autoSpaceDN w:val="0"/>
              <w:adjustRightInd w:val="0"/>
              <w:snapToGrid w:val="0"/>
              <w:spacing w:line="520" w:lineRule="exact"/>
              <w:rPr>
                <w:rFonts w:hint="eastAsia" w:ascii="仿宋" w:hAnsi="仿宋" w:eastAsia="仿宋" w:cs="仿宋"/>
                <w:color w:val="auto"/>
                <w:kern w:val="0"/>
                <w:sz w:val="24"/>
                <w:szCs w:val="24"/>
                <w:highlight w:val="none"/>
              </w:rPr>
            </w:pPr>
          </w:p>
          <w:p w14:paraId="5A92BFFF">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3144D186">
      <w:pPr>
        <w:spacing w:line="360" w:lineRule="auto"/>
        <w:jc w:val="left"/>
        <w:rPr>
          <w:rFonts w:hint="eastAsia" w:ascii="仿宋" w:hAnsi="仿宋" w:eastAsia="仿宋" w:cs="仿宋"/>
          <w:color w:val="auto"/>
          <w:sz w:val="24"/>
          <w:szCs w:val="24"/>
          <w:highlight w:val="none"/>
        </w:rPr>
      </w:pPr>
    </w:p>
    <w:p w14:paraId="423ECF08">
      <w:pPr>
        <w:spacing w:line="360" w:lineRule="auto"/>
        <w:jc w:val="center"/>
        <w:outlineLvl w:val="1"/>
        <w:rPr>
          <w:rFonts w:hint="eastAsia" w:ascii="仿宋" w:hAnsi="仿宋" w:eastAsia="仿宋" w:cs="仿宋"/>
          <w:b/>
          <w:color w:val="auto"/>
          <w:sz w:val="24"/>
          <w:szCs w:val="24"/>
          <w:highlight w:val="none"/>
        </w:rPr>
      </w:pPr>
      <w:bookmarkStart w:id="150" w:name="_Toc128476879"/>
      <w:bookmarkStart w:id="151" w:name="_Toc141050516"/>
      <w:bookmarkStart w:id="152" w:name="_Toc130252623"/>
      <w:bookmarkStart w:id="153" w:name="_Toc29380"/>
      <w:bookmarkStart w:id="154" w:name="_Toc13628"/>
      <w:bookmarkStart w:id="155" w:name="_Toc643"/>
      <w:bookmarkStart w:id="156" w:name="_Toc113901850"/>
      <w:bookmarkStart w:id="157" w:name="_Toc19961"/>
      <w:bookmarkStart w:id="158" w:name="_Toc23897"/>
      <w:bookmarkStart w:id="159" w:name="_Toc4679"/>
      <w:bookmarkStart w:id="160" w:name="_Toc11980"/>
      <w:bookmarkStart w:id="161" w:name="_Toc24317"/>
      <w:bookmarkStart w:id="162" w:name="_Toc31943"/>
      <w:bookmarkStart w:id="163" w:name="_Toc28034"/>
      <w:bookmarkStart w:id="164" w:name="_Toc14695"/>
      <w:bookmarkStart w:id="165" w:name="_Toc13140"/>
      <w:bookmarkStart w:id="166" w:name="_Toc5144"/>
      <w:bookmarkStart w:id="167" w:name="_Toc7702"/>
      <w:bookmarkStart w:id="168" w:name="_Toc30664"/>
      <w:bookmarkStart w:id="169" w:name="_Toc18158"/>
      <w:r>
        <w:rPr>
          <w:rFonts w:hint="eastAsia" w:ascii="仿宋" w:hAnsi="仿宋" w:eastAsia="仿宋" w:cs="仿宋"/>
          <w:color w:val="auto"/>
          <w:sz w:val="24"/>
          <w:szCs w:val="24"/>
          <w:highlight w:val="none"/>
        </w:rPr>
        <w:br w:type="page"/>
      </w:r>
      <w:bookmarkStart w:id="170" w:name="_Toc29907"/>
      <w:bookmarkStart w:id="171" w:name="_Toc5302"/>
      <w:bookmarkStart w:id="172" w:name="_Toc8286"/>
      <w:bookmarkStart w:id="173" w:name="_Toc5059"/>
      <w:bookmarkStart w:id="174" w:name="_Toc23206"/>
      <w:bookmarkStart w:id="175" w:name="_Toc26222"/>
      <w:bookmarkStart w:id="176" w:name="_Toc2553"/>
      <w:bookmarkStart w:id="177" w:name="_Toc5906"/>
      <w:bookmarkStart w:id="178" w:name="_Toc22107"/>
      <w:bookmarkStart w:id="179" w:name="_Toc27784"/>
      <w:bookmarkStart w:id="180" w:name="_Toc56"/>
      <w:bookmarkStart w:id="181" w:name="_Toc7329"/>
      <w:bookmarkStart w:id="182" w:name="_Toc14445"/>
      <w:bookmarkStart w:id="183" w:name="_Toc15903"/>
      <w:bookmarkStart w:id="184" w:name="_Toc141050515"/>
      <w:bookmarkStart w:id="185" w:name="_Toc8046"/>
      <w:bookmarkStart w:id="186" w:name="_Toc29449"/>
      <w:bookmarkStart w:id="187" w:name="_Toc7909"/>
      <w:bookmarkStart w:id="188" w:name="_Toc19405"/>
      <w:bookmarkStart w:id="189" w:name="_Toc31890"/>
      <w:bookmarkStart w:id="190" w:name="_Toc29597"/>
      <w:bookmarkStart w:id="191" w:name="_Toc19012"/>
      <w:bookmarkStart w:id="192" w:name="_Toc128476878"/>
      <w:bookmarkStart w:id="193" w:name="_Toc113901849"/>
      <w:bookmarkStart w:id="194" w:name="_Toc130252622"/>
      <w:r>
        <w:rPr>
          <w:rFonts w:hint="eastAsia" w:ascii="仿宋" w:hAnsi="仿宋" w:eastAsia="仿宋" w:cs="仿宋"/>
          <w:b/>
          <w:color w:val="auto"/>
          <w:sz w:val="24"/>
          <w:szCs w:val="24"/>
          <w:highlight w:val="none"/>
        </w:rPr>
        <w:t>8.1 法人或者其他组织的营业执照等证明文件，自然人的身份证明</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61F1144">
      <w:pPr>
        <w:spacing w:line="360" w:lineRule="auto"/>
        <w:rPr>
          <w:rFonts w:hint="eastAsia" w:ascii="仿宋" w:hAnsi="仿宋" w:eastAsia="仿宋" w:cs="仿宋"/>
          <w:color w:val="auto"/>
          <w:sz w:val="24"/>
          <w:szCs w:val="24"/>
          <w:highlight w:val="none"/>
        </w:rPr>
      </w:pPr>
    </w:p>
    <w:p w14:paraId="51AEDEFE">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一、如投标人是企业（包括合伙企业)，应提供在工商部门注册的有效“企业法人营业执照”或“营业执照”;</w:t>
      </w:r>
    </w:p>
    <w:p w14:paraId="5055241D">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二、如投标人是事业单位，应提供有效的“事业单位法人证书”;</w:t>
      </w:r>
    </w:p>
    <w:p w14:paraId="3FB59AB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三、如投标人是非企业专业服务机构的，应提供执业许可证等证明文件;</w:t>
      </w:r>
    </w:p>
    <w:p w14:paraId="12BA2A78">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四、如投标人是个体工商户，应提供有效的“个体工商户营业执照”;</w:t>
      </w:r>
    </w:p>
    <w:p w14:paraId="640720C1">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五、如投标人是自然人，应提供有效的自然人身份证明。</w:t>
      </w:r>
    </w:p>
    <w:p w14:paraId="03178122">
      <w:pPr>
        <w:spacing w:line="360" w:lineRule="auto"/>
        <w:rPr>
          <w:rFonts w:hint="eastAsia" w:ascii="仿宋" w:hAnsi="仿宋" w:eastAsia="仿宋" w:cs="仿宋"/>
          <w:color w:val="auto"/>
          <w:sz w:val="24"/>
          <w:szCs w:val="24"/>
          <w:highlight w:val="none"/>
        </w:rPr>
      </w:pPr>
    </w:p>
    <w:p w14:paraId="5805472D">
      <w:pPr>
        <w:spacing w:line="360" w:lineRule="auto"/>
        <w:ind w:firstLine="480" w:firstLineChars="200"/>
        <w:rPr>
          <w:rFonts w:hint="eastAsia" w:ascii="仿宋" w:hAnsi="仿宋" w:eastAsia="仿宋" w:cs="仿宋"/>
          <w:color w:val="auto"/>
          <w:sz w:val="24"/>
          <w:szCs w:val="24"/>
          <w:highlight w:val="none"/>
        </w:rPr>
      </w:pPr>
    </w:p>
    <w:p w14:paraId="0D4DAC6E">
      <w:pPr>
        <w:spacing w:line="360" w:lineRule="auto"/>
        <w:rPr>
          <w:rFonts w:hint="eastAsia" w:ascii="仿宋" w:hAnsi="仿宋" w:eastAsia="仿宋" w:cs="仿宋"/>
          <w:color w:val="auto"/>
          <w:sz w:val="24"/>
          <w:szCs w:val="24"/>
          <w:highlight w:val="none"/>
        </w:rPr>
      </w:pPr>
    </w:p>
    <w:p w14:paraId="25235B88">
      <w:pPr>
        <w:widowControl/>
        <w:spacing w:line="360" w:lineRule="auto"/>
        <w:jc w:val="left"/>
        <w:rPr>
          <w:rFonts w:hint="eastAsia"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13288870">
      <w:pPr>
        <w:spacing w:line="360" w:lineRule="auto"/>
        <w:jc w:val="center"/>
        <w:outlineLvl w:val="1"/>
        <w:rPr>
          <w:rFonts w:hint="eastAsia" w:ascii="仿宋" w:hAnsi="仿宋" w:eastAsia="仿宋" w:cs="仿宋"/>
          <w:b/>
          <w:color w:val="auto"/>
          <w:sz w:val="24"/>
          <w:szCs w:val="24"/>
          <w:highlight w:val="none"/>
        </w:rPr>
      </w:pPr>
      <w:bookmarkStart w:id="195" w:name="_Toc4668"/>
      <w:bookmarkStart w:id="196" w:name="_Toc1284"/>
      <w:bookmarkStart w:id="197" w:name="_Toc7913"/>
      <w:bookmarkStart w:id="198" w:name="_Toc7669"/>
      <w:bookmarkStart w:id="199" w:name="_Toc9421"/>
      <w:r>
        <w:rPr>
          <w:rFonts w:hint="eastAsia" w:ascii="仿宋" w:hAnsi="仿宋" w:eastAsia="仿宋" w:cs="仿宋"/>
          <w:b/>
          <w:color w:val="auto"/>
          <w:sz w:val="24"/>
          <w:szCs w:val="24"/>
          <w:highlight w:val="none"/>
        </w:rPr>
        <w:t>8.2 财务状况报告，依法缴纳税收和社会保障资金的相关材料</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95"/>
      <w:bookmarkEnd w:id="196"/>
      <w:bookmarkEnd w:id="197"/>
      <w:bookmarkEnd w:id="198"/>
      <w:bookmarkEnd w:id="199"/>
    </w:p>
    <w:p w14:paraId="69944477">
      <w:pPr>
        <w:spacing w:after="120" w:line="360" w:lineRule="auto"/>
        <w:rPr>
          <w:rFonts w:hint="eastAsia" w:ascii="仿宋" w:hAnsi="仿宋" w:eastAsia="仿宋" w:cs="仿宋"/>
          <w:color w:val="auto"/>
          <w:spacing w:val="10"/>
          <w:kern w:val="0"/>
          <w:sz w:val="24"/>
          <w:szCs w:val="24"/>
          <w:highlight w:val="none"/>
        </w:rPr>
      </w:pPr>
    </w:p>
    <w:p w14:paraId="774EDF59">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3199CC39">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lang w:val="en-US" w:eastAsia="zh-CN"/>
        </w:rPr>
        <w:t>不限制采购人主体</w:t>
      </w:r>
      <w:r>
        <w:rPr>
          <w:rFonts w:hint="eastAsia" w:ascii="仿宋" w:hAnsi="仿宋" w:eastAsia="仿宋" w:cs="仿宋"/>
          <w:color w:val="auto"/>
          <w:spacing w:val="10"/>
          <w:szCs w:val="24"/>
          <w:highlight w:val="none"/>
          <w:shd w:val="clear" w:color="auto" w:fill="FFFFFF" w:themeFill="background1"/>
        </w:rPr>
        <w:t>）。</w:t>
      </w:r>
    </w:p>
    <w:p w14:paraId="3FBBF22A">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要求2、成立不足六个月（以投标文件递交截止之日为期限）的投标人无需提供。</w:t>
      </w:r>
    </w:p>
    <w:p w14:paraId="56B762E2">
      <w:pPr>
        <w:rPr>
          <w:rFonts w:hint="eastAsia"/>
          <w:color w:val="auto"/>
          <w:highlight w:val="none"/>
        </w:rPr>
      </w:pPr>
    </w:p>
    <w:p w14:paraId="0A8A2DD0">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12713D2B">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7E273A14">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2B74748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718B56A6">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3E1834A2">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2.3、依法免税或不需要缴纳社会保障资金的投标人，应提供相应文件证明其依法免税或不需要缴纳社会保障资金。</w:t>
      </w:r>
    </w:p>
    <w:p w14:paraId="013829B7">
      <w:pPr>
        <w:rPr>
          <w:rFonts w:hint="eastAsia"/>
          <w:color w:val="auto"/>
          <w:highlight w:val="none"/>
        </w:rPr>
      </w:pPr>
    </w:p>
    <w:p w14:paraId="10FAFF0E">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745ABE3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3B292C2A">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3.2、如投标人所在地有关主管部门反馈的证明材料与本文中要求不一致时，以当地要求为准，但须投标人提供文字说明。</w:t>
      </w:r>
    </w:p>
    <w:p w14:paraId="2791E326">
      <w:pPr>
        <w:spacing w:after="120" w:line="360" w:lineRule="auto"/>
        <w:ind w:firstLine="460" w:firstLineChars="200"/>
        <w:rPr>
          <w:rFonts w:hint="eastAsia" w:ascii="仿宋" w:hAnsi="仿宋" w:eastAsia="仿宋" w:cs="仿宋"/>
          <w:color w:val="auto"/>
          <w:spacing w:val="10"/>
          <w:szCs w:val="24"/>
          <w:highlight w:val="none"/>
          <w:shd w:val="clear" w:color="auto" w:fill="FFFFFF" w:themeFill="background1"/>
        </w:rPr>
      </w:pPr>
    </w:p>
    <w:p w14:paraId="181784BD">
      <w:pPr>
        <w:rPr>
          <w:rFonts w:hint="eastAsia" w:ascii="仿宋" w:hAnsi="仿宋" w:eastAsia="仿宋" w:cs="仿宋"/>
          <w:b/>
          <w:color w:val="auto"/>
          <w:sz w:val="24"/>
          <w:szCs w:val="24"/>
          <w:highlight w:val="none"/>
        </w:rPr>
      </w:pPr>
      <w:bookmarkStart w:id="200" w:name="_Toc28397"/>
      <w:bookmarkStart w:id="201" w:name="_Toc128476880"/>
      <w:bookmarkStart w:id="202" w:name="_Toc141050517"/>
      <w:bookmarkStart w:id="203" w:name="_Toc22195"/>
      <w:bookmarkStart w:id="204" w:name="_Toc113901851"/>
      <w:bookmarkStart w:id="205" w:name="_Toc3038"/>
      <w:bookmarkStart w:id="206" w:name="_Toc6527"/>
      <w:bookmarkStart w:id="207" w:name="_Toc8262"/>
      <w:bookmarkStart w:id="208" w:name="_Toc28937"/>
      <w:bookmarkStart w:id="209" w:name="_Toc28756"/>
      <w:bookmarkStart w:id="210" w:name="_Toc29582"/>
      <w:bookmarkStart w:id="211" w:name="_Toc6490"/>
      <w:bookmarkStart w:id="212" w:name="_Toc20521"/>
      <w:bookmarkStart w:id="213" w:name="_Toc15267"/>
      <w:bookmarkStart w:id="214" w:name="_Toc24817"/>
      <w:bookmarkStart w:id="215" w:name="_Toc24943"/>
      <w:bookmarkStart w:id="216" w:name="_Toc130252624"/>
      <w:bookmarkStart w:id="217" w:name="_Toc111556488"/>
      <w:r>
        <w:rPr>
          <w:rFonts w:hint="eastAsia" w:ascii="仿宋" w:hAnsi="仿宋" w:eastAsia="仿宋" w:cs="仿宋"/>
          <w:b/>
          <w:color w:val="auto"/>
          <w:sz w:val="24"/>
          <w:szCs w:val="24"/>
          <w:highlight w:val="none"/>
        </w:rPr>
        <w:br w:type="page"/>
      </w:r>
    </w:p>
    <w:p w14:paraId="663F6F92">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218" w:name="_Toc6917"/>
      <w:bookmarkStart w:id="219" w:name="_Toc12041"/>
      <w:bookmarkStart w:id="220" w:name="_Toc23545"/>
      <w:bookmarkStart w:id="221" w:name="_Toc7515"/>
      <w:bookmarkStart w:id="222" w:name="_Toc22614"/>
      <w:bookmarkStart w:id="223" w:name="_Toc31926"/>
      <w:bookmarkStart w:id="224" w:name="_Toc13146"/>
      <w:bookmarkStart w:id="225" w:name="_Toc25163"/>
      <w:r>
        <w:rPr>
          <w:rFonts w:hint="eastAsia" w:ascii="仿宋" w:hAnsi="仿宋" w:eastAsia="仿宋" w:cs="仿宋"/>
          <w:b/>
          <w:color w:val="auto"/>
          <w:sz w:val="24"/>
          <w:szCs w:val="24"/>
          <w:highlight w:val="none"/>
        </w:rPr>
        <w:t>8.3 具备履行合同所必需的设备和专业技术能力的证明材料</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8"/>
      <w:bookmarkEnd w:id="219"/>
      <w:bookmarkEnd w:id="220"/>
      <w:bookmarkEnd w:id="221"/>
      <w:bookmarkEnd w:id="222"/>
      <w:bookmarkEnd w:id="223"/>
      <w:bookmarkEnd w:id="224"/>
      <w:bookmarkEnd w:id="225"/>
    </w:p>
    <w:p w14:paraId="3688A8C7">
      <w:pPr>
        <w:spacing w:line="360" w:lineRule="auto"/>
        <w:jc w:val="center"/>
        <w:rPr>
          <w:rFonts w:hint="eastAsia" w:ascii="仿宋" w:hAnsi="仿宋" w:eastAsia="仿宋" w:cs="仿宋"/>
          <w:b/>
          <w:color w:val="auto"/>
          <w:sz w:val="24"/>
          <w:szCs w:val="24"/>
          <w:highlight w:val="none"/>
        </w:rPr>
      </w:pPr>
    </w:p>
    <w:p w14:paraId="5430C06A">
      <w:pPr>
        <w:spacing w:line="360" w:lineRule="auto"/>
        <w:jc w:val="center"/>
        <w:rPr>
          <w:rFonts w:hint="eastAsia" w:ascii="仿宋" w:hAnsi="仿宋" w:eastAsia="仿宋" w:cs="仿宋"/>
          <w:b/>
          <w:color w:val="auto"/>
          <w:sz w:val="24"/>
          <w:szCs w:val="24"/>
          <w:highlight w:val="none"/>
        </w:rPr>
      </w:pPr>
    </w:p>
    <w:p w14:paraId="2483ADC4">
      <w:pPr>
        <w:spacing w:line="360" w:lineRule="auto"/>
        <w:jc w:val="center"/>
        <w:rPr>
          <w:rFonts w:hint="eastAsia" w:ascii="仿宋" w:hAnsi="仿宋" w:eastAsia="仿宋" w:cs="仿宋"/>
          <w:b/>
          <w:color w:val="auto"/>
          <w:sz w:val="24"/>
          <w:szCs w:val="24"/>
          <w:highlight w:val="none"/>
        </w:rPr>
      </w:pPr>
    </w:p>
    <w:p w14:paraId="3412A026">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217"/>
      <w:r>
        <w:rPr>
          <w:rFonts w:hint="eastAsia" w:ascii="仿宋" w:hAnsi="仿宋" w:eastAsia="仿宋" w:cs="仿宋"/>
          <w:b/>
          <w:color w:val="auto"/>
          <w:sz w:val="24"/>
          <w:szCs w:val="24"/>
          <w:highlight w:val="none"/>
        </w:rPr>
        <w:t>函</w:t>
      </w:r>
    </w:p>
    <w:p w14:paraId="76003852">
      <w:pPr>
        <w:adjustRightInd w:val="0"/>
        <w:snapToGrid w:val="0"/>
        <w:spacing w:line="360" w:lineRule="auto"/>
        <w:ind w:firstLine="480" w:firstLineChars="200"/>
        <w:jc w:val="center"/>
        <w:rPr>
          <w:rFonts w:hint="eastAsia" w:ascii="仿宋" w:hAnsi="仿宋" w:eastAsia="仿宋" w:cs="仿宋"/>
          <w:color w:val="auto"/>
          <w:sz w:val="24"/>
          <w:szCs w:val="24"/>
          <w:highlight w:val="none"/>
        </w:rPr>
      </w:pPr>
    </w:p>
    <w:p w14:paraId="4C7DB7CB">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C96C201">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2F9B8A6A">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620BB08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名称）合同所必需的设备和专业技术能力；</w:t>
      </w:r>
    </w:p>
    <w:p w14:paraId="2A052C7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7D356CBC">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319D32D8">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69F005D5">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2AAA97E9">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4D4393B5">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8752A08">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1B99BB5A">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2C85C112">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71480109">
      <w:pPr>
        <w:adjustRightInd w:val="0"/>
        <w:snapToGrid w:val="0"/>
        <w:spacing w:line="360" w:lineRule="auto"/>
        <w:rPr>
          <w:rFonts w:hint="eastAsia" w:ascii="仿宋" w:hAnsi="仿宋" w:eastAsia="仿宋" w:cs="仿宋"/>
          <w:bCs/>
          <w:color w:val="auto"/>
          <w:sz w:val="24"/>
          <w:szCs w:val="24"/>
          <w:highlight w:val="none"/>
        </w:rPr>
      </w:pPr>
    </w:p>
    <w:p w14:paraId="19A47431">
      <w:pPr>
        <w:spacing w:line="360" w:lineRule="auto"/>
        <w:rPr>
          <w:rFonts w:hint="eastAsia" w:ascii="仿宋" w:hAnsi="仿宋" w:eastAsia="仿宋" w:cs="仿宋"/>
          <w:color w:val="auto"/>
          <w:sz w:val="24"/>
          <w:szCs w:val="24"/>
          <w:highlight w:val="none"/>
        </w:rPr>
      </w:pPr>
    </w:p>
    <w:p w14:paraId="0C21FAEE">
      <w:pPr>
        <w:spacing w:line="360" w:lineRule="auto"/>
        <w:rPr>
          <w:rFonts w:hint="eastAsia" w:ascii="仿宋" w:hAnsi="仿宋" w:eastAsia="仿宋" w:cs="仿宋"/>
          <w:color w:val="auto"/>
          <w:sz w:val="24"/>
          <w:szCs w:val="24"/>
          <w:highlight w:val="none"/>
        </w:rPr>
      </w:pPr>
    </w:p>
    <w:p w14:paraId="77D244A1">
      <w:pPr>
        <w:spacing w:line="360" w:lineRule="auto"/>
        <w:rPr>
          <w:rFonts w:hint="eastAsia" w:ascii="仿宋" w:hAnsi="仿宋" w:eastAsia="仿宋" w:cs="仿宋"/>
          <w:color w:val="auto"/>
          <w:sz w:val="24"/>
          <w:szCs w:val="24"/>
          <w:highlight w:val="none"/>
        </w:rPr>
      </w:pPr>
    </w:p>
    <w:p w14:paraId="7895F352">
      <w:pPr>
        <w:spacing w:line="360" w:lineRule="auto"/>
        <w:rPr>
          <w:rFonts w:hint="eastAsia" w:ascii="仿宋" w:hAnsi="仿宋" w:eastAsia="仿宋" w:cs="仿宋"/>
          <w:color w:val="auto"/>
          <w:sz w:val="24"/>
          <w:szCs w:val="24"/>
          <w:highlight w:val="none"/>
        </w:rPr>
      </w:pPr>
    </w:p>
    <w:p w14:paraId="2D2A2DA2">
      <w:pPr>
        <w:spacing w:line="360" w:lineRule="auto"/>
        <w:rPr>
          <w:rFonts w:hint="eastAsia" w:ascii="仿宋" w:hAnsi="仿宋" w:eastAsia="仿宋" w:cs="仿宋"/>
          <w:color w:val="auto"/>
          <w:sz w:val="24"/>
          <w:szCs w:val="24"/>
          <w:highlight w:val="none"/>
        </w:rPr>
      </w:pPr>
    </w:p>
    <w:p w14:paraId="656756FF">
      <w:pPr>
        <w:spacing w:line="360" w:lineRule="auto"/>
        <w:rPr>
          <w:rFonts w:hint="eastAsia" w:ascii="仿宋" w:hAnsi="仿宋" w:eastAsia="仿宋" w:cs="仿宋"/>
          <w:color w:val="auto"/>
          <w:sz w:val="24"/>
          <w:szCs w:val="24"/>
          <w:highlight w:val="none"/>
        </w:rPr>
      </w:pPr>
    </w:p>
    <w:p w14:paraId="724127BD">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226" w:name="_Toc29127"/>
      <w:bookmarkStart w:id="227" w:name="_Toc27620"/>
      <w:bookmarkStart w:id="228" w:name="_Toc128476881"/>
      <w:bookmarkStart w:id="229" w:name="_Toc130252625"/>
      <w:bookmarkStart w:id="230" w:name="_Toc16035"/>
      <w:bookmarkStart w:id="231" w:name="_Toc12824"/>
      <w:bookmarkStart w:id="232" w:name="_Toc154"/>
      <w:bookmarkStart w:id="233" w:name="_Toc7322"/>
      <w:bookmarkStart w:id="234" w:name="_Toc14597"/>
      <w:bookmarkStart w:id="235" w:name="_Toc1561"/>
      <w:bookmarkStart w:id="236" w:name="_Toc9901"/>
      <w:bookmarkStart w:id="237" w:name="_Toc17656"/>
      <w:bookmarkStart w:id="238" w:name="_Toc113901852"/>
      <w:bookmarkStart w:id="239" w:name="_Toc9960"/>
      <w:bookmarkStart w:id="240" w:name="_Toc141050518"/>
      <w:bookmarkStart w:id="241" w:name="_Toc31613"/>
      <w:bookmarkStart w:id="242" w:name="_Toc18553"/>
      <w:bookmarkStart w:id="243" w:name="_Toc4484"/>
      <w:bookmarkStart w:id="244" w:name="_Toc27933"/>
      <w:bookmarkStart w:id="245" w:name="_Toc19260"/>
      <w:bookmarkStart w:id="246" w:name="_Toc12742"/>
      <w:bookmarkStart w:id="247" w:name="_Toc5597"/>
      <w:bookmarkStart w:id="248" w:name="_Toc12060"/>
      <w:bookmarkStart w:id="249" w:name="_Toc4857"/>
      <w:bookmarkStart w:id="250" w:name="_Toc5472"/>
      <w:bookmarkStart w:id="251" w:name="_Toc111556490"/>
      <w:r>
        <w:rPr>
          <w:rFonts w:hint="eastAsia" w:ascii="仿宋" w:hAnsi="仿宋" w:eastAsia="仿宋" w:cs="仿宋"/>
          <w:b/>
          <w:color w:val="auto"/>
          <w:sz w:val="24"/>
          <w:szCs w:val="24"/>
          <w:highlight w:val="none"/>
        </w:rPr>
        <w:t>8.4 参加政府采购活动前3年内在经营活动中没有重大违法记录的书面声明</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bookmarkEnd w:id="251"/>
    <w:p w14:paraId="719484F3">
      <w:pPr>
        <w:widowControl/>
        <w:adjustRightInd w:val="0"/>
        <w:snapToGrid w:val="0"/>
        <w:spacing w:line="360" w:lineRule="auto"/>
        <w:rPr>
          <w:rFonts w:hint="eastAsia" w:ascii="仿宋" w:hAnsi="仿宋" w:eastAsia="仿宋" w:cs="仿宋"/>
          <w:color w:val="auto"/>
          <w:sz w:val="24"/>
          <w:szCs w:val="24"/>
          <w:highlight w:val="none"/>
        </w:rPr>
      </w:pPr>
    </w:p>
    <w:p w14:paraId="4837C3D4">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参加政府采购活动前3年内在经营活动中没有重大违法记录的书面声明</w:t>
      </w:r>
    </w:p>
    <w:p w14:paraId="6CEAAE7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0EF8C3F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3AF9068B">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96FAF35">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0EE873A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4917EC70">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19A9702F">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2A687399">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3DA7A54A">
      <w:pPr>
        <w:adjustRightInd w:val="0"/>
        <w:snapToGrid w:val="0"/>
        <w:spacing w:line="360" w:lineRule="auto"/>
        <w:ind w:firstLine="42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p w14:paraId="57D22957">
      <w:pPr>
        <w:adjustRightInd w:val="0"/>
        <w:snapToGrid w:val="0"/>
        <w:spacing w:line="360" w:lineRule="auto"/>
        <w:ind w:firstLine="420" w:firstLineChars="200"/>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t>若投标人在投标文件递交截止之日成立时间不足三年，以自成立以来的时间计取。</w:t>
      </w:r>
    </w:p>
    <w:p w14:paraId="4E421D78">
      <w:pPr>
        <w:adjustRightInd w:val="0"/>
        <w:snapToGrid w:val="0"/>
        <w:spacing w:line="360" w:lineRule="auto"/>
        <w:ind w:firstLine="480" w:firstLineChars="200"/>
        <w:rPr>
          <w:rFonts w:hint="eastAsia" w:ascii="仿宋" w:hAnsi="仿宋" w:eastAsia="仿宋" w:cs="仿宋"/>
          <w:color w:val="auto"/>
          <w:kern w:val="0"/>
          <w:sz w:val="24"/>
          <w:szCs w:val="24"/>
          <w:highlight w:val="none"/>
        </w:rPr>
      </w:pPr>
    </w:p>
    <w:p w14:paraId="4AEF244D">
      <w:pPr>
        <w:adjustRightInd w:val="0"/>
        <w:snapToGrid w:val="0"/>
        <w:spacing w:line="360" w:lineRule="auto"/>
        <w:ind w:firstLine="3112" w:firstLineChars="1297"/>
        <w:rPr>
          <w:rFonts w:hint="eastAsia" w:ascii="仿宋" w:hAnsi="仿宋" w:eastAsia="仿宋" w:cs="仿宋"/>
          <w:color w:val="auto"/>
          <w:sz w:val="24"/>
          <w:szCs w:val="24"/>
          <w:highlight w:val="none"/>
        </w:rPr>
      </w:pPr>
    </w:p>
    <w:p w14:paraId="3A02E3BE">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88F7DC3">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62E7B7EC">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10F5AA32">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05D71FE8">
      <w:pPr>
        <w:widowControl/>
        <w:shd w:val="clear" w:color="auto" w:fill="FFFFFF"/>
        <w:snapToGrid w:val="0"/>
        <w:spacing w:line="360" w:lineRule="auto"/>
        <w:ind w:firstLine="420"/>
        <w:rPr>
          <w:rFonts w:hint="eastAsia" w:ascii="仿宋" w:hAnsi="仿宋" w:eastAsia="仿宋" w:cs="仿宋"/>
          <w:color w:val="auto"/>
          <w:kern w:val="0"/>
          <w:sz w:val="24"/>
          <w:szCs w:val="24"/>
          <w:highlight w:val="none"/>
        </w:rPr>
      </w:pPr>
    </w:p>
    <w:p w14:paraId="1AF206A8">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252" w:name="_Toc9385"/>
      <w:bookmarkStart w:id="253" w:name="_Toc9945"/>
      <w:bookmarkStart w:id="254" w:name="_Toc25108"/>
      <w:bookmarkStart w:id="255" w:name="_Toc26082"/>
      <w:bookmarkStart w:id="256" w:name="_Toc6424"/>
      <w:bookmarkStart w:id="257" w:name="_Toc30447"/>
      <w:bookmarkStart w:id="258" w:name="_Toc13030"/>
      <w:bookmarkStart w:id="259" w:name="_Toc24660"/>
      <w:bookmarkStart w:id="260" w:name="_Toc11552"/>
      <w:bookmarkStart w:id="261" w:name="_Toc130252626"/>
      <w:bookmarkStart w:id="262" w:name="_Toc31144"/>
      <w:bookmarkStart w:id="263" w:name="_Toc8192"/>
      <w:bookmarkStart w:id="264" w:name="_Toc428"/>
      <w:bookmarkStart w:id="265" w:name="_Toc8186"/>
      <w:bookmarkStart w:id="266" w:name="_Toc113901853"/>
      <w:bookmarkStart w:id="267" w:name="_Toc141050519"/>
      <w:bookmarkStart w:id="268" w:name="_Toc25296"/>
      <w:bookmarkStart w:id="269" w:name="_Toc313"/>
      <w:bookmarkStart w:id="270" w:name="_Toc9134"/>
      <w:bookmarkStart w:id="271" w:name="_Toc18731"/>
      <w:bookmarkStart w:id="272" w:name="_Toc4675"/>
      <w:bookmarkStart w:id="273" w:name="_Toc30930"/>
      <w:bookmarkStart w:id="274" w:name="_Toc14380"/>
      <w:bookmarkStart w:id="275" w:name="_Toc128476882"/>
      <w:bookmarkStart w:id="276" w:name="_Toc17488"/>
      <w:r>
        <w:rPr>
          <w:rFonts w:hint="eastAsia" w:ascii="仿宋" w:hAnsi="仿宋" w:eastAsia="仿宋" w:cs="仿宋"/>
          <w:b/>
          <w:color w:val="auto"/>
          <w:sz w:val="24"/>
          <w:szCs w:val="24"/>
          <w:highlight w:val="none"/>
        </w:rPr>
        <w:t>8.5 具备法律、行政法规规定的其他条件的证明材料</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5F13A202">
      <w:pPr>
        <w:widowControl/>
        <w:adjustRightInd w:val="0"/>
        <w:snapToGrid w:val="0"/>
        <w:spacing w:line="360" w:lineRule="auto"/>
        <w:rPr>
          <w:rFonts w:hint="eastAsia" w:ascii="仿宋" w:hAnsi="仿宋" w:eastAsia="仿宋" w:cs="仿宋"/>
          <w:color w:val="auto"/>
          <w:sz w:val="24"/>
          <w:szCs w:val="24"/>
          <w:highlight w:val="none"/>
        </w:rPr>
      </w:pPr>
    </w:p>
    <w:p w14:paraId="3145C26E">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一、国家有关主管部门的行政许可（如有时）。</w:t>
      </w:r>
    </w:p>
    <w:p w14:paraId="064238CA">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二、中小企业声明函/残疾人福利性单位声明函/监狱企业证明文件（如有时）。</w:t>
      </w:r>
    </w:p>
    <w:p w14:paraId="5A4FADBE">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val="en-US" w:eastAsia="zh-CN"/>
        </w:rPr>
        <w:t>三、关于符合本国产品标准的声明函或</w:t>
      </w:r>
      <w:r>
        <w:rPr>
          <w:rFonts w:hint="eastAsia" w:ascii="仿宋" w:hAnsi="仿宋" w:eastAsia="仿宋" w:cs="仿宋"/>
          <w:i w:val="0"/>
          <w:iCs w:val="0"/>
          <w:caps w:val="0"/>
          <w:color w:val="auto"/>
          <w:spacing w:val="0"/>
          <w:sz w:val="24"/>
          <w:szCs w:val="24"/>
          <w:highlight w:val="none"/>
          <w:shd w:val="clear" w:fill="FFFFFF"/>
        </w:rPr>
        <w:t>或财政部会同有关部门规定的有关证明文件</w:t>
      </w:r>
      <w:r>
        <w:rPr>
          <w:rFonts w:hint="eastAsia" w:ascii="仿宋" w:hAnsi="仿宋" w:eastAsia="仿宋" w:cs="仿宋"/>
          <w:color w:val="auto"/>
          <w:sz w:val="24"/>
          <w:szCs w:val="24"/>
          <w:highlight w:val="none"/>
          <w:shd w:val="clear" w:color="auto" w:fill="FFFFFF" w:themeFill="background1"/>
        </w:rPr>
        <w:t>（如有时）。</w:t>
      </w:r>
    </w:p>
    <w:p w14:paraId="6EEAD0D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9914C0B">
      <w:pPr>
        <w:widowControl/>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附件一、                  </w:t>
      </w:r>
    </w:p>
    <w:p w14:paraId="3656A858">
      <w:pPr>
        <w:spacing w:line="588" w:lineRule="exact"/>
        <w:jc w:val="center"/>
        <w:rPr>
          <w:rFonts w:hint="eastAsia" w:ascii="仿宋" w:hAnsi="仿宋" w:eastAsia="仿宋" w:cs="仿宋"/>
          <w:b/>
          <w:color w:val="auto"/>
          <w:spacing w:val="6"/>
          <w:sz w:val="24"/>
          <w:szCs w:val="24"/>
          <w:highlight w:val="none"/>
        </w:rPr>
      </w:pPr>
    </w:p>
    <w:p w14:paraId="297417C2">
      <w:pPr>
        <w:spacing w:line="588" w:lineRule="exact"/>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中小企业声明函（货物）</w:t>
      </w:r>
    </w:p>
    <w:p w14:paraId="45AB7106">
      <w:pPr>
        <w:spacing w:line="588" w:lineRule="exact"/>
        <w:jc w:val="center"/>
        <w:rPr>
          <w:rFonts w:hint="eastAsia" w:ascii="仿宋" w:hAnsi="仿宋" w:eastAsia="仿宋" w:cs="仿宋"/>
          <w:b/>
          <w:color w:val="auto"/>
          <w:spacing w:val="6"/>
          <w:sz w:val="24"/>
          <w:szCs w:val="24"/>
          <w:highlight w:val="none"/>
        </w:rPr>
      </w:pPr>
    </w:p>
    <w:p w14:paraId="1485AA53">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rPr>
        <w:t xml:space="preserve">  （联合体）</w:t>
      </w:r>
      <w:r>
        <w:rPr>
          <w:rFonts w:hint="eastAsia" w:ascii="仿宋" w:hAnsi="仿宋" w:eastAsia="仿宋" w:cs="仿宋"/>
          <w:color w:val="auto"/>
          <w:kern w:val="0"/>
          <w:sz w:val="24"/>
          <w:szCs w:val="24"/>
          <w:highlight w:val="none"/>
        </w:rPr>
        <w:t>参加</w:t>
      </w:r>
      <w:r>
        <w:rPr>
          <w:rFonts w:hint="eastAsia" w:ascii="仿宋" w:hAnsi="仿宋" w:eastAsia="仿宋" w:cs="仿宋"/>
          <w:color w:val="auto"/>
          <w:kern w:val="0"/>
          <w:sz w:val="24"/>
          <w:szCs w:val="24"/>
          <w:highlight w:val="none"/>
          <w:u w:val="single"/>
        </w:rPr>
        <w:t xml:space="preserve">  （单位名称）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项目</w:t>
      </w:r>
      <w:r>
        <w:rPr>
          <w:rFonts w:hint="eastAsia" w:ascii="仿宋" w:hAnsi="仿宋" w:eastAsia="仿宋" w:cs="仿宋"/>
          <w:color w:val="auto"/>
          <w:kern w:val="0"/>
          <w:sz w:val="24"/>
          <w:szCs w:val="24"/>
          <w:highlight w:val="none"/>
          <w:u w:val="single"/>
        </w:rPr>
        <w:t>名称）</w:t>
      </w:r>
      <w:r>
        <w:rPr>
          <w:rFonts w:hint="eastAsia" w:ascii="仿宋" w:hAnsi="仿宋" w:eastAsia="仿宋" w:cs="仿宋"/>
          <w:color w:val="auto"/>
          <w:kern w:val="0"/>
          <w:sz w:val="24"/>
          <w:szCs w:val="24"/>
          <w:highlight w:val="none"/>
        </w:rPr>
        <w:t>采购活动，提供的货物全部由符合政策要求的中小企业制造。相关企业（含联合体中的中小企业、签订分包意向协议的中小企业）的具体情况如下：</w:t>
      </w:r>
    </w:p>
    <w:p w14:paraId="62D4A7B5">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1799B494">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4B813D5B">
      <w:pPr>
        <w:spacing w:line="588" w:lineRule="exact"/>
        <w:rPr>
          <w:rFonts w:hint="eastAsia" w:ascii="仿宋" w:hAnsi="仿宋" w:eastAsia="仿宋" w:cs="仿宋"/>
          <w:color w:val="auto"/>
          <w:kern w:val="0"/>
          <w:sz w:val="24"/>
          <w:szCs w:val="24"/>
          <w:highlight w:val="none"/>
        </w:rPr>
      </w:pPr>
    </w:p>
    <w:p w14:paraId="5058ACFF">
      <w:pPr>
        <w:spacing w:line="588"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07059CA">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3343C8DD">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07E0D426">
      <w:pPr>
        <w:spacing w:line="588" w:lineRule="exact"/>
        <w:ind w:firstLine="480" w:firstLineChars="200"/>
        <w:rPr>
          <w:rFonts w:hint="eastAsia" w:ascii="仿宋" w:hAnsi="仿宋" w:eastAsia="仿宋" w:cs="仿宋"/>
          <w:color w:val="auto"/>
          <w:kern w:val="0"/>
          <w:sz w:val="24"/>
          <w:szCs w:val="24"/>
          <w:highlight w:val="none"/>
        </w:rPr>
      </w:pPr>
    </w:p>
    <w:p w14:paraId="6AF61830">
      <w:pPr>
        <w:spacing w:line="588" w:lineRule="exact"/>
        <w:ind w:right="48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企业名称（盖章）：</w:t>
      </w:r>
    </w:p>
    <w:p w14:paraId="0D0FF74A">
      <w:pPr>
        <w:spacing w:line="588" w:lineRule="exact"/>
        <w:ind w:right="480" w:firstLine="6240" w:firstLineChars="26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p w14:paraId="536E4C44">
      <w:pPr>
        <w:spacing w:line="588" w:lineRule="exact"/>
        <w:ind w:right="480" w:firstLine="6240" w:firstLineChars="2600"/>
        <w:rPr>
          <w:rFonts w:hint="eastAsia" w:ascii="仿宋" w:hAnsi="仿宋" w:eastAsia="仿宋" w:cs="仿宋"/>
          <w:color w:val="auto"/>
          <w:kern w:val="0"/>
          <w:sz w:val="24"/>
          <w:szCs w:val="24"/>
          <w:highlight w:val="none"/>
        </w:rPr>
      </w:pPr>
    </w:p>
    <w:p w14:paraId="11A6233D">
      <w:pPr>
        <w:spacing w:line="588"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注：人员、营业收入、资产总额填报上一年度数据，无上一年度数据的新成立企业可不填报。</w:t>
      </w:r>
    </w:p>
    <w:p w14:paraId="60225F58">
      <w:pPr>
        <w:spacing w:line="588" w:lineRule="exact"/>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附件二、</w:t>
      </w:r>
    </w:p>
    <w:p w14:paraId="3105DF8B">
      <w:pPr>
        <w:spacing w:line="360" w:lineRule="auto"/>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00939A98">
      <w:pPr>
        <w:spacing w:line="360" w:lineRule="auto"/>
        <w:rPr>
          <w:rFonts w:hint="eastAsia" w:ascii="仿宋" w:hAnsi="仿宋" w:eastAsia="仿宋" w:cs="仿宋"/>
          <w:b/>
          <w:color w:val="auto"/>
          <w:spacing w:val="6"/>
          <w:sz w:val="24"/>
          <w:szCs w:val="24"/>
          <w:highlight w:val="none"/>
        </w:rPr>
      </w:pPr>
    </w:p>
    <w:p w14:paraId="0B3F501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EF33CF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36AA35DB">
      <w:pPr>
        <w:spacing w:line="360" w:lineRule="auto"/>
        <w:ind w:firstLine="504" w:firstLineChars="200"/>
        <w:rPr>
          <w:rFonts w:hint="eastAsia" w:ascii="仿宋" w:hAnsi="仿宋" w:eastAsia="仿宋" w:cs="仿宋"/>
          <w:color w:val="auto"/>
          <w:spacing w:val="6"/>
          <w:sz w:val="24"/>
          <w:szCs w:val="24"/>
          <w:highlight w:val="none"/>
        </w:rPr>
      </w:pPr>
    </w:p>
    <w:p w14:paraId="6296D94C">
      <w:pPr>
        <w:spacing w:line="360" w:lineRule="auto"/>
        <w:ind w:firstLine="504" w:firstLineChars="200"/>
        <w:rPr>
          <w:rFonts w:hint="eastAsia" w:ascii="仿宋" w:hAnsi="仿宋" w:eastAsia="仿宋" w:cs="仿宋"/>
          <w:color w:val="auto"/>
          <w:spacing w:val="6"/>
          <w:sz w:val="24"/>
          <w:szCs w:val="24"/>
          <w:highlight w:val="none"/>
        </w:rPr>
      </w:pPr>
    </w:p>
    <w:p w14:paraId="358728ED">
      <w:pPr>
        <w:tabs>
          <w:tab w:val="left" w:pos="4860"/>
        </w:tabs>
        <w:spacing w:line="360" w:lineRule="auto"/>
        <w:ind w:right="1560"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3AEFDDAD">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6313BF33">
      <w:pPr>
        <w:spacing w:line="360" w:lineRule="auto"/>
        <w:rPr>
          <w:rFonts w:hint="eastAsia" w:ascii="仿宋" w:hAnsi="仿宋" w:eastAsia="仿宋" w:cs="仿宋"/>
          <w:color w:val="auto"/>
          <w:sz w:val="24"/>
          <w:szCs w:val="24"/>
          <w:highlight w:val="none"/>
        </w:rPr>
      </w:pPr>
    </w:p>
    <w:p w14:paraId="12F4C7C6">
      <w:pPr>
        <w:spacing w:line="360" w:lineRule="auto"/>
        <w:rPr>
          <w:rFonts w:hint="eastAsia" w:ascii="仿宋" w:hAnsi="仿宋" w:eastAsia="仿宋" w:cs="仿宋"/>
          <w:color w:val="auto"/>
          <w:sz w:val="24"/>
          <w:szCs w:val="24"/>
          <w:highlight w:val="none"/>
        </w:rPr>
      </w:pPr>
    </w:p>
    <w:p w14:paraId="2487C2BE">
      <w:pPr>
        <w:spacing w:line="360" w:lineRule="auto"/>
        <w:rPr>
          <w:rFonts w:hint="eastAsia" w:ascii="仿宋" w:hAnsi="仿宋" w:eastAsia="仿宋" w:cs="仿宋"/>
          <w:color w:val="auto"/>
          <w:sz w:val="24"/>
          <w:szCs w:val="24"/>
          <w:highlight w:val="none"/>
        </w:rPr>
      </w:pPr>
    </w:p>
    <w:p w14:paraId="2147CD8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DE282FE">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附件三、</w:t>
      </w:r>
    </w:p>
    <w:p w14:paraId="5B6D9060">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1F622E0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742289F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21E4CE8A">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b/>
          <w:color w:val="auto"/>
          <w:kern w:val="0"/>
          <w:sz w:val="24"/>
          <w:szCs w:val="24"/>
          <w:highlight w:val="none"/>
        </w:rPr>
        <w:t>附件</w:t>
      </w:r>
      <w:r>
        <w:rPr>
          <w:rStyle w:val="41"/>
          <w:rFonts w:hint="eastAsia" w:ascii="仿宋" w:hAnsi="仿宋" w:eastAsia="仿宋" w:cs="仿宋"/>
          <w:color w:val="auto"/>
          <w:kern w:val="0"/>
          <w:sz w:val="24"/>
          <w:szCs w:val="24"/>
          <w:highlight w:val="none"/>
          <w:shd w:val="clear" w:color="auto" w:fill="FFFFFF" w:themeFill="background1"/>
          <w:lang w:val="en-US" w:eastAsia="zh-CN"/>
        </w:rPr>
        <w:t>四</w:t>
      </w:r>
      <w:r>
        <w:rPr>
          <w:rStyle w:val="41"/>
          <w:rFonts w:hint="eastAsia" w:ascii="仿宋" w:hAnsi="仿宋" w:eastAsia="仿宋" w:cs="仿宋"/>
          <w:color w:val="auto"/>
          <w:kern w:val="0"/>
          <w:sz w:val="24"/>
          <w:szCs w:val="24"/>
          <w:highlight w:val="none"/>
          <w:shd w:val="clear" w:color="auto" w:fill="FFFFFF" w:themeFill="background1"/>
        </w:rPr>
        <w:t>、</w:t>
      </w:r>
    </w:p>
    <w:p w14:paraId="7E3B7E6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DA511C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关于符合本国产品标准的声明函</w:t>
      </w:r>
    </w:p>
    <w:p w14:paraId="6C978DB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955433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0FFA31C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44"/>
          <w:rFonts w:hint="eastAsia" w:ascii="仿宋" w:hAnsi="仿宋" w:eastAsia="仿宋" w:cs="仿宋"/>
          <w:i w:val="0"/>
          <w:iCs w:val="0"/>
          <w:caps w:val="0"/>
          <w:color w:val="auto"/>
          <w:spacing w:val="0"/>
          <w:sz w:val="24"/>
          <w:szCs w:val="24"/>
          <w:highlight w:val="none"/>
          <w:shd w:val="clear" w:fill="FFFFFF"/>
        </w:rPr>
        <w:t>（产品名称1）</w:t>
      </w:r>
      <w:r>
        <w:rPr>
          <w:rStyle w:val="44"/>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Style w:val="44"/>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Style w:val="44"/>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Style w:val="44"/>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Style w:val="44"/>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5765312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1D49396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7AD66A7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25E093D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1B4B1E0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69EE336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1494EAF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14ADBBA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u w:val="single"/>
          <w:shd w:val="clear" w:fill="FFFFFF"/>
          <w:lang w:val="en-US" w:eastAsia="zh-CN"/>
        </w:rPr>
      </w:pPr>
      <w:r>
        <w:rPr>
          <w:rFonts w:hint="eastAsia" w:ascii="仿宋" w:hAnsi="仿宋" w:eastAsia="仿宋" w:cs="仿宋"/>
          <w:i w:val="0"/>
          <w:iCs w:val="0"/>
          <w:caps w:val="0"/>
          <w:color w:val="auto"/>
          <w:spacing w:val="0"/>
          <w:sz w:val="24"/>
          <w:szCs w:val="24"/>
          <w:highlight w:val="none"/>
          <w:u w:val="single"/>
          <w:shd w:val="clear" w:fill="FFFFFF"/>
          <w:lang w:val="en-US" w:eastAsia="zh-CN"/>
        </w:rPr>
        <w:t xml:space="preserve">                                                                         </w:t>
      </w:r>
    </w:p>
    <w:p w14:paraId="0BADD42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6573FBC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133B30C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65490CD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2820687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p w14:paraId="4A49826C">
      <w:pPr>
        <w:spacing w:line="360" w:lineRule="auto"/>
        <w:ind w:firstLine="504" w:firstLineChars="200"/>
        <w:rPr>
          <w:rFonts w:hint="eastAsia" w:ascii="仿宋" w:hAnsi="仿宋" w:eastAsia="仿宋" w:cs="仿宋"/>
          <w:color w:val="auto"/>
          <w:spacing w:val="6"/>
          <w:sz w:val="24"/>
          <w:szCs w:val="24"/>
          <w:highlight w:val="none"/>
        </w:rPr>
      </w:pPr>
    </w:p>
    <w:p w14:paraId="0C916325">
      <w:pPr>
        <w:widowControl/>
        <w:adjustRightInd w:val="0"/>
        <w:snapToGrid w:val="0"/>
        <w:spacing w:line="360" w:lineRule="auto"/>
        <w:rPr>
          <w:rFonts w:hint="eastAsia" w:ascii="仿宋" w:hAnsi="仿宋" w:eastAsia="仿宋" w:cs="仿宋"/>
          <w:color w:val="auto"/>
          <w:sz w:val="24"/>
          <w:szCs w:val="24"/>
          <w:highlight w:val="none"/>
        </w:rPr>
      </w:pPr>
    </w:p>
    <w:p w14:paraId="34FD001E">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277" w:name="_Toc109941772"/>
      <w:bookmarkStart w:id="278" w:name="_Toc110707972"/>
      <w:bookmarkStart w:id="279" w:name="_Toc109921165"/>
      <w:bookmarkStart w:id="280" w:name="_Toc27167"/>
      <w:bookmarkStart w:id="281" w:name="_Toc20402"/>
      <w:bookmarkStart w:id="282" w:name="_Toc7407"/>
      <w:bookmarkStart w:id="283" w:name="_Toc130252627"/>
      <w:bookmarkStart w:id="284" w:name="_Toc18236"/>
      <w:bookmarkStart w:id="285" w:name="_Toc10677"/>
      <w:r>
        <w:rPr>
          <w:rFonts w:hint="eastAsia" w:ascii="仿宋" w:hAnsi="仿宋" w:eastAsia="仿宋" w:cs="仿宋"/>
          <w:b/>
          <w:color w:val="auto"/>
          <w:sz w:val="24"/>
          <w:szCs w:val="24"/>
          <w:highlight w:val="none"/>
        </w:rPr>
        <w:t>九、投标人近年类似项目情况表</w:t>
      </w:r>
      <w:bookmarkEnd w:id="277"/>
      <w:bookmarkEnd w:id="278"/>
      <w:bookmarkEnd w:id="279"/>
      <w:bookmarkEnd w:id="280"/>
      <w:bookmarkEnd w:id="281"/>
      <w:bookmarkEnd w:id="282"/>
      <w:bookmarkEnd w:id="283"/>
      <w:bookmarkEnd w:id="284"/>
      <w:bookmarkEnd w:id="285"/>
    </w:p>
    <w:p w14:paraId="2434995A">
      <w:pPr>
        <w:spacing w:line="360" w:lineRule="auto"/>
        <w:jc w:val="left"/>
        <w:rPr>
          <w:rFonts w:hint="eastAsia" w:ascii="仿宋" w:hAnsi="仿宋" w:eastAsia="仿宋" w:cs="仿宋"/>
          <w:color w:val="auto"/>
          <w:sz w:val="24"/>
          <w:szCs w:val="24"/>
          <w:highlight w:val="none"/>
        </w:rPr>
      </w:pPr>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53DDC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15A38B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shd w:val="clear" w:color="auto" w:fill="auto"/>
          </w:tcPr>
          <w:p w14:paraId="21753EC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shd w:val="clear" w:color="auto" w:fill="auto"/>
          </w:tcPr>
          <w:p w14:paraId="128BBB8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shd w:val="clear" w:color="auto" w:fill="auto"/>
          </w:tcPr>
          <w:p w14:paraId="0F9D09D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shd w:val="clear" w:color="auto" w:fill="auto"/>
          </w:tcPr>
          <w:p w14:paraId="7A3797F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shd w:val="clear" w:color="auto" w:fill="auto"/>
          </w:tcPr>
          <w:p w14:paraId="0F7D929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shd w:val="clear" w:color="auto" w:fill="auto"/>
          </w:tcPr>
          <w:p w14:paraId="3B61179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shd w:val="clear" w:color="auto" w:fill="auto"/>
          </w:tcPr>
          <w:p w14:paraId="015CCB8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615A3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0328BBE">
            <w:pPr>
              <w:rPr>
                <w:rFonts w:hint="eastAsia" w:ascii="仿宋" w:hAnsi="仿宋" w:eastAsia="仿宋" w:cs="仿宋"/>
                <w:color w:val="auto"/>
                <w:kern w:val="0"/>
                <w:sz w:val="24"/>
                <w:szCs w:val="24"/>
                <w:highlight w:val="none"/>
              </w:rPr>
            </w:pPr>
          </w:p>
        </w:tc>
        <w:tc>
          <w:tcPr>
            <w:tcW w:w="1233" w:type="dxa"/>
            <w:shd w:val="clear" w:color="auto" w:fill="auto"/>
          </w:tcPr>
          <w:p w14:paraId="4B5D9A30">
            <w:pPr>
              <w:rPr>
                <w:rFonts w:hint="eastAsia" w:ascii="仿宋" w:hAnsi="仿宋" w:eastAsia="仿宋" w:cs="仿宋"/>
                <w:color w:val="auto"/>
                <w:kern w:val="0"/>
                <w:sz w:val="24"/>
                <w:szCs w:val="24"/>
                <w:highlight w:val="none"/>
              </w:rPr>
            </w:pPr>
          </w:p>
        </w:tc>
        <w:tc>
          <w:tcPr>
            <w:tcW w:w="963" w:type="dxa"/>
            <w:shd w:val="clear" w:color="auto" w:fill="auto"/>
          </w:tcPr>
          <w:p w14:paraId="6A24E65F">
            <w:pPr>
              <w:rPr>
                <w:rFonts w:hint="eastAsia" w:ascii="仿宋" w:hAnsi="仿宋" w:eastAsia="仿宋" w:cs="仿宋"/>
                <w:color w:val="auto"/>
                <w:kern w:val="0"/>
                <w:sz w:val="24"/>
                <w:szCs w:val="24"/>
                <w:highlight w:val="none"/>
              </w:rPr>
            </w:pPr>
          </w:p>
        </w:tc>
        <w:tc>
          <w:tcPr>
            <w:tcW w:w="1922" w:type="dxa"/>
            <w:shd w:val="clear" w:color="auto" w:fill="auto"/>
          </w:tcPr>
          <w:p w14:paraId="76900A40">
            <w:pPr>
              <w:rPr>
                <w:rFonts w:hint="eastAsia" w:ascii="仿宋" w:hAnsi="仿宋" w:eastAsia="仿宋" w:cs="仿宋"/>
                <w:color w:val="auto"/>
                <w:kern w:val="0"/>
                <w:sz w:val="24"/>
                <w:szCs w:val="24"/>
                <w:highlight w:val="none"/>
              </w:rPr>
            </w:pPr>
          </w:p>
        </w:tc>
        <w:tc>
          <w:tcPr>
            <w:tcW w:w="1212" w:type="dxa"/>
            <w:shd w:val="clear" w:color="auto" w:fill="auto"/>
          </w:tcPr>
          <w:p w14:paraId="4BB21EF8">
            <w:pPr>
              <w:rPr>
                <w:rFonts w:hint="eastAsia" w:ascii="仿宋" w:hAnsi="仿宋" w:eastAsia="仿宋" w:cs="仿宋"/>
                <w:color w:val="auto"/>
                <w:kern w:val="0"/>
                <w:sz w:val="24"/>
                <w:szCs w:val="24"/>
                <w:highlight w:val="none"/>
              </w:rPr>
            </w:pPr>
          </w:p>
        </w:tc>
        <w:tc>
          <w:tcPr>
            <w:tcW w:w="1232" w:type="dxa"/>
            <w:shd w:val="clear" w:color="auto" w:fill="auto"/>
          </w:tcPr>
          <w:p w14:paraId="1C06F1D2">
            <w:pPr>
              <w:rPr>
                <w:rFonts w:hint="eastAsia" w:ascii="仿宋" w:hAnsi="仿宋" w:eastAsia="仿宋" w:cs="仿宋"/>
                <w:color w:val="auto"/>
                <w:kern w:val="0"/>
                <w:sz w:val="24"/>
                <w:szCs w:val="24"/>
                <w:highlight w:val="none"/>
              </w:rPr>
            </w:pPr>
          </w:p>
        </w:tc>
        <w:tc>
          <w:tcPr>
            <w:tcW w:w="1232" w:type="dxa"/>
            <w:shd w:val="clear" w:color="auto" w:fill="auto"/>
          </w:tcPr>
          <w:p w14:paraId="182A4455">
            <w:pPr>
              <w:rPr>
                <w:rFonts w:hint="eastAsia" w:ascii="仿宋" w:hAnsi="仿宋" w:eastAsia="仿宋" w:cs="仿宋"/>
                <w:color w:val="auto"/>
                <w:kern w:val="0"/>
                <w:sz w:val="24"/>
                <w:szCs w:val="24"/>
                <w:highlight w:val="none"/>
              </w:rPr>
            </w:pPr>
          </w:p>
        </w:tc>
        <w:tc>
          <w:tcPr>
            <w:tcW w:w="795" w:type="dxa"/>
            <w:shd w:val="clear" w:color="auto" w:fill="auto"/>
          </w:tcPr>
          <w:p w14:paraId="432C2434">
            <w:pPr>
              <w:rPr>
                <w:rFonts w:hint="eastAsia" w:ascii="仿宋" w:hAnsi="仿宋" w:eastAsia="仿宋" w:cs="仿宋"/>
                <w:color w:val="auto"/>
                <w:kern w:val="0"/>
                <w:sz w:val="24"/>
                <w:szCs w:val="24"/>
                <w:highlight w:val="none"/>
              </w:rPr>
            </w:pPr>
          </w:p>
        </w:tc>
      </w:tr>
      <w:tr w14:paraId="64F7E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622D50D3">
            <w:pPr>
              <w:rPr>
                <w:rFonts w:hint="eastAsia" w:ascii="仿宋" w:hAnsi="仿宋" w:eastAsia="仿宋" w:cs="仿宋"/>
                <w:color w:val="auto"/>
                <w:kern w:val="0"/>
                <w:sz w:val="24"/>
                <w:szCs w:val="24"/>
                <w:highlight w:val="none"/>
              </w:rPr>
            </w:pPr>
          </w:p>
        </w:tc>
        <w:tc>
          <w:tcPr>
            <w:tcW w:w="1233" w:type="dxa"/>
            <w:shd w:val="clear" w:color="auto" w:fill="auto"/>
          </w:tcPr>
          <w:p w14:paraId="0F21C7B5">
            <w:pPr>
              <w:rPr>
                <w:rFonts w:hint="eastAsia" w:ascii="仿宋" w:hAnsi="仿宋" w:eastAsia="仿宋" w:cs="仿宋"/>
                <w:color w:val="auto"/>
                <w:kern w:val="0"/>
                <w:sz w:val="24"/>
                <w:szCs w:val="24"/>
                <w:highlight w:val="none"/>
              </w:rPr>
            </w:pPr>
          </w:p>
        </w:tc>
        <w:tc>
          <w:tcPr>
            <w:tcW w:w="963" w:type="dxa"/>
            <w:shd w:val="clear" w:color="auto" w:fill="auto"/>
          </w:tcPr>
          <w:p w14:paraId="62D2FF2A">
            <w:pPr>
              <w:rPr>
                <w:rFonts w:hint="eastAsia" w:ascii="仿宋" w:hAnsi="仿宋" w:eastAsia="仿宋" w:cs="仿宋"/>
                <w:color w:val="auto"/>
                <w:kern w:val="0"/>
                <w:sz w:val="24"/>
                <w:szCs w:val="24"/>
                <w:highlight w:val="none"/>
              </w:rPr>
            </w:pPr>
          </w:p>
        </w:tc>
        <w:tc>
          <w:tcPr>
            <w:tcW w:w="1922" w:type="dxa"/>
            <w:shd w:val="clear" w:color="auto" w:fill="auto"/>
          </w:tcPr>
          <w:p w14:paraId="6812D62B">
            <w:pPr>
              <w:rPr>
                <w:rFonts w:hint="eastAsia" w:ascii="仿宋" w:hAnsi="仿宋" w:eastAsia="仿宋" w:cs="仿宋"/>
                <w:color w:val="auto"/>
                <w:kern w:val="0"/>
                <w:sz w:val="24"/>
                <w:szCs w:val="24"/>
                <w:highlight w:val="none"/>
              </w:rPr>
            </w:pPr>
          </w:p>
        </w:tc>
        <w:tc>
          <w:tcPr>
            <w:tcW w:w="1212" w:type="dxa"/>
            <w:shd w:val="clear" w:color="auto" w:fill="auto"/>
          </w:tcPr>
          <w:p w14:paraId="6390B1F3">
            <w:pPr>
              <w:rPr>
                <w:rFonts w:hint="eastAsia" w:ascii="仿宋" w:hAnsi="仿宋" w:eastAsia="仿宋" w:cs="仿宋"/>
                <w:color w:val="auto"/>
                <w:kern w:val="0"/>
                <w:sz w:val="24"/>
                <w:szCs w:val="24"/>
                <w:highlight w:val="none"/>
              </w:rPr>
            </w:pPr>
          </w:p>
        </w:tc>
        <w:tc>
          <w:tcPr>
            <w:tcW w:w="1232" w:type="dxa"/>
            <w:shd w:val="clear" w:color="auto" w:fill="auto"/>
          </w:tcPr>
          <w:p w14:paraId="3A0A9FF4">
            <w:pPr>
              <w:rPr>
                <w:rFonts w:hint="eastAsia" w:ascii="仿宋" w:hAnsi="仿宋" w:eastAsia="仿宋" w:cs="仿宋"/>
                <w:color w:val="auto"/>
                <w:kern w:val="0"/>
                <w:sz w:val="24"/>
                <w:szCs w:val="24"/>
                <w:highlight w:val="none"/>
              </w:rPr>
            </w:pPr>
          </w:p>
        </w:tc>
        <w:tc>
          <w:tcPr>
            <w:tcW w:w="1232" w:type="dxa"/>
            <w:shd w:val="clear" w:color="auto" w:fill="auto"/>
          </w:tcPr>
          <w:p w14:paraId="39B959D2">
            <w:pPr>
              <w:rPr>
                <w:rFonts w:hint="eastAsia" w:ascii="仿宋" w:hAnsi="仿宋" w:eastAsia="仿宋" w:cs="仿宋"/>
                <w:color w:val="auto"/>
                <w:kern w:val="0"/>
                <w:sz w:val="24"/>
                <w:szCs w:val="24"/>
                <w:highlight w:val="none"/>
              </w:rPr>
            </w:pPr>
          </w:p>
        </w:tc>
        <w:tc>
          <w:tcPr>
            <w:tcW w:w="795" w:type="dxa"/>
            <w:shd w:val="clear" w:color="auto" w:fill="auto"/>
          </w:tcPr>
          <w:p w14:paraId="7821AC2C">
            <w:pPr>
              <w:rPr>
                <w:rFonts w:hint="eastAsia" w:ascii="仿宋" w:hAnsi="仿宋" w:eastAsia="仿宋" w:cs="仿宋"/>
                <w:color w:val="auto"/>
                <w:kern w:val="0"/>
                <w:sz w:val="24"/>
                <w:szCs w:val="24"/>
                <w:highlight w:val="none"/>
              </w:rPr>
            </w:pPr>
          </w:p>
        </w:tc>
      </w:tr>
      <w:tr w14:paraId="6EC9F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1CBFEE7">
            <w:pPr>
              <w:rPr>
                <w:rFonts w:hint="eastAsia" w:ascii="仿宋" w:hAnsi="仿宋" w:eastAsia="仿宋" w:cs="仿宋"/>
                <w:color w:val="auto"/>
                <w:kern w:val="0"/>
                <w:sz w:val="24"/>
                <w:szCs w:val="24"/>
                <w:highlight w:val="none"/>
              </w:rPr>
            </w:pPr>
          </w:p>
        </w:tc>
        <w:tc>
          <w:tcPr>
            <w:tcW w:w="1233" w:type="dxa"/>
            <w:shd w:val="clear" w:color="auto" w:fill="auto"/>
          </w:tcPr>
          <w:p w14:paraId="12547F1B">
            <w:pPr>
              <w:rPr>
                <w:rFonts w:hint="eastAsia" w:ascii="仿宋" w:hAnsi="仿宋" w:eastAsia="仿宋" w:cs="仿宋"/>
                <w:color w:val="auto"/>
                <w:kern w:val="0"/>
                <w:sz w:val="24"/>
                <w:szCs w:val="24"/>
                <w:highlight w:val="none"/>
              </w:rPr>
            </w:pPr>
          </w:p>
        </w:tc>
        <w:tc>
          <w:tcPr>
            <w:tcW w:w="963" w:type="dxa"/>
            <w:shd w:val="clear" w:color="auto" w:fill="auto"/>
          </w:tcPr>
          <w:p w14:paraId="4249A0ED">
            <w:pPr>
              <w:rPr>
                <w:rFonts w:hint="eastAsia" w:ascii="仿宋" w:hAnsi="仿宋" w:eastAsia="仿宋" w:cs="仿宋"/>
                <w:color w:val="auto"/>
                <w:kern w:val="0"/>
                <w:sz w:val="24"/>
                <w:szCs w:val="24"/>
                <w:highlight w:val="none"/>
              </w:rPr>
            </w:pPr>
          </w:p>
        </w:tc>
        <w:tc>
          <w:tcPr>
            <w:tcW w:w="1922" w:type="dxa"/>
            <w:shd w:val="clear" w:color="auto" w:fill="auto"/>
          </w:tcPr>
          <w:p w14:paraId="3D1CF853">
            <w:pPr>
              <w:rPr>
                <w:rFonts w:hint="eastAsia" w:ascii="仿宋" w:hAnsi="仿宋" w:eastAsia="仿宋" w:cs="仿宋"/>
                <w:color w:val="auto"/>
                <w:kern w:val="0"/>
                <w:sz w:val="24"/>
                <w:szCs w:val="24"/>
                <w:highlight w:val="none"/>
              </w:rPr>
            </w:pPr>
          </w:p>
        </w:tc>
        <w:tc>
          <w:tcPr>
            <w:tcW w:w="1212" w:type="dxa"/>
            <w:shd w:val="clear" w:color="auto" w:fill="auto"/>
          </w:tcPr>
          <w:p w14:paraId="12EB9617">
            <w:pPr>
              <w:rPr>
                <w:rFonts w:hint="eastAsia" w:ascii="仿宋" w:hAnsi="仿宋" w:eastAsia="仿宋" w:cs="仿宋"/>
                <w:color w:val="auto"/>
                <w:kern w:val="0"/>
                <w:sz w:val="24"/>
                <w:szCs w:val="24"/>
                <w:highlight w:val="none"/>
              </w:rPr>
            </w:pPr>
          </w:p>
        </w:tc>
        <w:tc>
          <w:tcPr>
            <w:tcW w:w="1232" w:type="dxa"/>
            <w:shd w:val="clear" w:color="auto" w:fill="auto"/>
          </w:tcPr>
          <w:p w14:paraId="56B4AB62">
            <w:pPr>
              <w:rPr>
                <w:rFonts w:hint="eastAsia" w:ascii="仿宋" w:hAnsi="仿宋" w:eastAsia="仿宋" w:cs="仿宋"/>
                <w:color w:val="auto"/>
                <w:kern w:val="0"/>
                <w:sz w:val="24"/>
                <w:szCs w:val="24"/>
                <w:highlight w:val="none"/>
              </w:rPr>
            </w:pPr>
          </w:p>
        </w:tc>
        <w:tc>
          <w:tcPr>
            <w:tcW w:w="1232" w:type="dxa"/>
            <w:shd w:val="clear" w:color="auto" w:fill="auto"/>
          </w:tcPr>
          <w:p w14:paraId="69746B5E">
            <w:pPr>
              <w:rPr>
                <w:rFonts w:hint="eastAsia" w:ascii="仿宋" w:hAnsi="仿宋" w:eastAsia="仿宋" w:cs="仿宋"/>
                <w:color w:val="auto"/>
                <w:kern w:val="0"/>
                <w:sz w:val="24"/>
                <w:szCs w:val="24"/>
                <w:highlight w:val="none"/>
              </w:rPr>
            </w:pPr>
          </w:p>
        </w:tc>
        <w:tc>
          <w:tcPr>
            <w:tcW w:w="795" w:type="dxa"/>
            <w:shd w:val="clear" w:color="auto" w:fill="auto"/>
          </w:tcPr>
          <w:p w14:paraId="0E670088">
            <w:pPr>
              <w:rPr>
                <w:rFonts w:hint="eastAsia" w:ascii="仿宋" w:hAnsi="仿宋" w:eastAsia="仿宋" w:cs="仿宋"/>
                <w:color w:val="auto"/>
                <w:kern w:val="0"/>
                <w:sz w:val="24"/>
                <w:szCs w:val="24"/>
                <w:highlight w:val="none"/>
              </w:rPr>
            </w:pPr>
          </w:p>
        </w:tc>
      </w:tr>
      <w:tr w14:paraId="2FCA0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CF3AF54">
            <w:pPr>
              <w:rPr>
                <w:rFonts w:hint="eastAsia" w:ascii="仿宋" w:hAnsi="仿宋" w:eastAsia="仿宋" w:cs="仿宋"/>
                <w:color w:val="auto"/>
                <w:kern w:val="0"/>
                <w:sz w:val="24"/>
                <w:szCs w:val="24"/>
                <w:highlight w:val="none"/>
              </w:rPr>
            </w:pPr>
          </w:p>
        </w:tc>
        <w:tc>
          <w:tcPr>
            <w:tcW w:w="1233" w:type="dxa"/>
            <w:shd w:val="clear" w:color="auto" w:fill="auto"/>
          </w:tcPr>
          <w:p w14:paraId="3C6263C5">
            <w:pPr>
              <w:rPr>
                <w:rFonts w:hint="eastAsia" w:ascii="仿宋" w:hAnsi="仿宋" w:eastAsia="仿宋" w:cs="仿宋"/>
                <w:color w:val="auto"/>
                <w:kern w:val="0"/>
                <w:sz w:val="24"/>
                <w:szCs w:val="24"/>
                <w:highlight w:val="none"/>
              </w:rPr>
            </w:pPr>
          </w:p>
        </w:tc>
        <w:tc>
          <w:tcPr>
            <w:tcW w:w="963" w:type="dxa"/>
            <w:shd w:val="clear" w:color="auto" w:fill="auto"/>
          </w:tcPr>
          <w:p w14:paraId="074900BF">
            <w:pPr>
              <w:rPr>
                <w:rFonts w:hint="eastAsia" w:ascii="仿宋" w:hAnsi="仿宋" w:eastAsia="仿宋" w:cs="仿宋"/>
                <w:color w:val="auto"/>
                <w:kern w:val="0"/>
                <w:sz w:val="24"/>
                <w:szCs w:val="24"/>
                <w:highlight w:val="none"/>
              </w:rPr>
            </w:pPr>
          </w:p>
        </w:tc>
        <w:tc>
          <w:tcPr>
            <w:tcW w:w="1922" w:type="dxa"/>
            <w:shd w:val="clear" w:color="auto" w:fill="auto"/>
          </w:tcPr>
          <w:p w14:paraId="09FA70E0">
            <w:pPr>
              <w:rPr>
                <w:rFonts w:hint="eastAsia" w:ascii="仿宋" w:hAnsi="仿宋" w:eastAsia="仿宋" w:cs="仿宋"/>
                <w:color w:val="auto"/>
                <w:kern w:val="0"/>
                <w:sz w:val="24"/>
                <w:szCs w:val="24"/>
                <w:highlight w:val="none"/>
              </w:rPr>
            </w:pPr>
          </w:p>
        </w:tc>
        <w:tc>
          <w:tcPr>
            <w:tcW w:w="1212" w:type="dxa"/>
            <w:shd w:val="clear" w:color="auto" w:fill="auto"/>
          </w:tcPr>
          <w:p w14:paraId="63EE8EA9">
            <w:pPr>
              <w:rPr>
                <w:rFonts w:hint="eastAsia" w:ascii="仿宋" w:hAnsi="仿宋" w:eastAsia="仿宋" w:cs="仿宋"/>
                <w:color w:val="auto"/>
                <w:kern w:val="0"/>
                <w:sz w:val="24"/>
                <w:szCs w:val="24"/>
                <w:highlight w:val="none"/>
              </w:rPr>
            </w:pPr>
          </w:p>
        </w:tc>
        <w:tc>
          <w:tcPr>
            <w:tcW w:w="1232" w:type="dxa"/>
            <w:shd w:val="clear" w:color="auto" w:fill="auto"/>
          </w:tcPr>
          <w:p w14:paraId="141CF655">
            <w:pPr>
              <w:rPr>
                <w:rFonts w:hint="eastAsia" w:ascii="仿宋" w:hAnsi="仿宋" w:eastAsia="仿宋" w:cs="仿宋"/>
                <w:color w:val="auto"/>
                <w:kern w:val="0"/>
                <w:sz w:val="24"/>
                <w:szCs w:val="24"/>
                <w:highlight w:val="none"/>
              </w:rPr>
            </w:pPr>
          </w:p>
        </w:tc>
        <w:tc>
          <w:tcPr>
            <w:tcW w:w="1232" w:type="dxa"/>
            <w:shd w:val="clear" w:color="auto" w:fill="auto"/>
          </w:tcPr>
          <w:p w14:paraId="2D07A812">
            <w:pPr>
              <w:rPr>
                <w:rFonts w:hint="eastAsia" w:ascii="仿宋" w:hAnsi="仿宋" w:eastAsia="仿宋" w:cs="仿宋"/>
                <w:color w:val="auto"/>
                <w:kern w:val="0"/>
                <w:sz w:val="24"/>
                <w:szCs w:val="24"/>
                <w:highlight w:val="none"/>
              </w:rPr>
            </w:pPr>
          </w:p>
        </w:tc>
        <w:tc>
          <w:tcPr>
            <w:tcW w:w="795" w:type="dxa"/>
            <w:shd w:val="clear" w:color="auto" w:fill="auto"/>
          </w:tcPr>
          <w:p w14:paraId="641868E1">
            <w:pPr>
              <w:rPr>
                <w:rFonts w:hint="eastAsia" w:ascii="仿宋" w:hAnsi="仿宋" w:eastAsia="仿宋" w:cs="仿宋"/>
                <w:color w:val="auto"/>
                <w:kern w:val="0"/>
                <w:sz w:val="24"/>
                <w:szCs w:val="24"/>
                <w:highlight w:val="none"/>
              </w:rPr>
            </w:pPr>
          </w:p>
        </w:tc>
      </w:tr>
      <w:tr w14:paraId="6B3A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A0727B8">
            <w:pPr>
              <w:rPr>
                <w:rFonts w:hint="eastAsia" w:ascii="仿宋" w:hAnsi="仿宋" w:eastAsia="仿宋" w:cs="仿宋"/>
                <w:color w:val="auto"/>
                <w:kern w:val="0"/>
                <w:sz w:val="24"/>
                <w:szCs w:val="24"/>
                <w:highlight w:val="none"/>
              </w:rPr>
            </w:pPr>
          </w:p>
        </w:tc>
        <w:tc>
          <w:tcPr>
            <w:tcW w:w="1233" w:type="dxa"/>
            <w:shd w:val="clear" w:color="auto" w:fill="auto"/>
          </w:tcPr>
          <w:p w14:paraId="1AF3F5A5">
            <w:pPr>
              <w:rPr>
                <w:rFonts w:hint="eastAsia" w:ascii="仿宋" w:hAnsi="仿宋" w:eastAsia="仿宋" w:cs="仿宋"/>
                <w:color w:val="auto"/>
                <w:kern w:val="0"/>
                <w:sz w:val="24"/>
                <w:szCs w:val="24"/>
                <w:highlight w:val="none"/>
              </w:rPr>
            </w:pPr>
          </w:p>
        </w:tc>
        <w:tc>
          <w:tcPr>
            <w:tcW w:w="963" w:type="dxa"/>
            <w:shd w:val="clear" w:color="auto" w:fill="auto"/>
          </w:tcPr>
          <w:p w14:paraId="796BD49B">
            <w:pPr>
              <w:rPr>
                <w:rFonts w:hint="eastAsia" w:ascii="仿宋" w:hAnsi="仿宋" w:eastAsia="仿宋" w:cs="仿宋"/>
                <w:color w:val="auto"/>
                <w:kern w:val="0"/>
                <w:sz w:val="24"/>
                <w:szCs w:val="24"/>
                <w:highlight w:val="none"/>
              </w:rPr>
            </w:pPr>
          </w:p>
        </w:tc>
        <w:tc>
          <w:tcPr>
            <w:tcW w:w="1922" w:type="dxa"/>
            <w:shd w:val="clear" w:color="auto" w:fill="auto"/>
          </w:tcPr>
          <w:p w14:paraId="5093E1C8">
            <w:pPr>
              <w:rPr>
                <w:rFonts w:hint="eastAsia" w:ascii="仿宋" w:hAnsi="仿宋" w:eastAsia="仿宋" w:cs="仿宋"/>
                <w:color w:val="auto"/>
                <w:kern w:val="0"/>
                <w:sz w:val="24"/>
                <w:szCs w:val="24"/>
                <w:highlight w:val="none"/>
              </w:rPr>
            </w:pPr>
          </w:p>
        </w:tc>
        <w:tc>
          <w:tcPr>
            <w:tcW w:w="1212" w:type="dxa"/>
            <w:shd w:val="clear" w:color="auto" w:fill="auto"/>
          </w:tcPr>
          <w:p w14:paraId="4AF6184B">
            <w:pPr>
              <w:rPr>
                <w:rFonts w:hint="eastAsia" w:ascii="仿宋" w:hAnsi="仿宋" w:eastAsia="仿宋" w:cs="仿宋"/>
                <w:color w:val="auto"/>
                <w:kern w:val="0"/>
                <w:sz w:val="24"/>
                <w:szCs w:val="24"/>
                <w:highlight w:val="none"/>
              </w:rPr>
            </w:pPr>
          </w:p>
        </w:tc>
        <w:tc>
          <w:tcPr>
            <w:tcW w:w="1232" w:type="dxa"/>
            <w:shd w:val="clear" w:color="auto" w:fill="auto"/>
          </w:tcPr>
          <w:p w14:paraId="768F65B7">
            <w:pPr>
              <w:rPr>
                <w:rFonts w:hint="eastAsia" w:ascii="仿宋" w:hAnsi="仿宋" w:eastAsia="仿宋" w:cs="仿宋"/>
                <w:color w:val="auto"/>
                <w:kern w:val="0"/>
                <w:sz w:val="24"/>
                <w:szCs w:val="24"/>
                <w:highlight w:val="none"/>
              </w:rPr>
            </w:pPr>
          </w:p>
        </w:tc>
        <w:tc>
          <w:tcPr>
            <w:tcW w:w="1232" w:type="dxa"/>
            <w:shd w:val="clear" w:color="auto" w:fill="auto"/>
          </w:tcPr>
          <w:p w14:paraId="5AB9D7AE">
            <w:pPr>
              <w:rPr>
                <w:rFonts w:hint="eastAsia" w:ascii="仿宋" w:hAnsi="仿宋" w:eastAsia="仿宋" w:cs="仿宋"/>
                <w:color w:val="auto"/>
                <w:kern w:val="0"/>
                <w:sz w:val="24"/>
                <w:szCs w:val="24"/>
                <w:highlight w:val="none"/>
              </w:rPr>
            </w:pPr>
          </w:p>
        </w:tc>
        <w:tc>
          <w:tcPr>
            <w:tcW w:w="795" w:type="dxa"/>
            <w:shd w:val="clear" w:color="auto" w:fill="auto"/>
          </w:tcPr>
          <w:p w14:paraId="7C1716AB">
            <w:pPr>
              <w:rPr>
                <w:rFonts w:hint="eastAsia" w:ascii="仿宋" w:hAnsi="仿宋" w:eastAsia="仿宋" w:cs="仿宋"/>
                <w:color w:val="auto"/>
                <w:kern w:val="0"/>
                <w:sz w:val="24"/>
                <w:szCs w:val="24"/>
                <w:highlight w:val="none"/>
              </w:rPr>
            </w:pPr>
          </w:p>
        </w:tc>
      </w:tr>
    </w:tbl>
    <w:p w14:paraId="17CBF27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E443F1F">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286" w:name="_Toc18139"/>
      <w:bookmarkStart w:id="287" w:name="_Toc507586175"/>
      <w:bookmarkStart w:id="288" w:name="_Toc38446480"/>
      <w:bookmarkStart w:id="289" w:name="_Toc5084"/>
      <w:bookmarkStart w:id="290" w:name="_Toc27045"/>
      <w:bookmarkStart w:id="291" w:name="_Toc533503191"/>
      <w:bookmarkStart w:id="292" w:name="_Toc19296"/>
      <w:bookmarkStart w:id="293" w:name="_Toc4461"/>
      <w:r>
        <w:rPr>
          <w:rFonts w:hint="eastAsia" w:ascii="仿宋" w:hAnsi="仿宋" w:eastAsia="仿宋" w:cs="仿宋"/>
          <w:b/>
          <w:color w:val="auto"/>
          <w:sz w:val="24"/>
          <w:szCs w:val="24"/>
          <w:highlight w:val="none"/>
          <w:shd w:val="clear" w:color="auto" w:fill="FFFFFF" w:themeFill="background1"/>
        </w:rPr>
        <w:t>十、</w:t>
      </w:r>
      <w:bookmarkEnd w:id="286"/>
      <w:bookmarkEnd w:id="287"/>
      <w:bookmarkEnd w:id="288"/>
      <w:bookmarkEnd w:id="289"/>
      <w:bookmarkEnd w:id="290"/>
      <w:bookmarkEnd w:id="291"/>
      <w:r>
        <w:rPr>
          <w:rFonts w:hint="eastAsia" w:ascii="仿宋" w:hAnsi="仿宋" w:eastAsia="仿宋" w:cs="仿宋"/>
          <w:b/>
          <w:color w:val="auto"/>
          <w:sz w:val="24"/>
          <w:szCs w:val="24"/>
          <w:highlight w:val="none"/>
          <w:shd w:val="clear" w:color="auto" w:fill="FFFFFF" w:themeFill="background1"/>
        </w:rPr>
        <w:t>售后服务承诺书</w:t>
      </w:r>
      <w:bookmarkEnd w:id="292"/>
      <w:bookmarkEnd w:id="293"/>
    </w:p>
    <w:p w14:paraId="146C69CE">
      <w:pPr>
        <w:spacing w:line="360" w:lineRule="auto"/>
        <w:jc w:val="left"/>
        <w:rPr>
          <w:rFonts w:hint="eastAsia" w:ascii="仿宋" w:hAnsi="仿宋" w:eastAsia="仿宋" w:cs="仿宋"/>
          <w:color w:val="auto"/>
          <w:sz w:val="24"/>
          <w:szCs w:val="24"/>
          <w:highlight w:val="none"/>
          <w:shd w:val="clear" w:color="auto" w:fill="FFFFFF" w:themeFill="background1"/>
        </w:rPr>
      </w:pPr>
    </w:p>
    <w:p w14:paraId="52EA4C0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p>
    <w:p w14:paraId="417A6F08">
      <w:pPr>
        <w:spacing w:line="360" w:lineRule="auto"/>
        <w:ind w:firstLine="480" w:firstLineChars="200"/>
        <w:rPr>
          <w:rFonts w:hint="eastAsia" w:ascii="仿宋" w:hAnsi="仿宋" w:eastAsia="仿宋" w:cs="仿宋"/>
          <w:color w:val="auto"/>
          <w:sz w:val="24"/>
          <w:szCs w:val="24"/>
          <w:highlight w:val="none"/>
        </w:rPr>
      </w:pPr>
    </w:p>
    <w:p w14:paraId="70911992">
      <w:pPr>
        <w:spacing w:line="360" w:lineRule="auto"/>
        <w:ind w:firstLine="480" w:firstLineChars="200"/>
        <w:rPr>
          <w:rFonts w:hint="eastAsia" w:ascii="仿宋" w:hAnsi="仿宋" w:eastAsia="仿宋" w:cs="仿宋"/>
          <w:color w:val="auto"/>
          <w:sz w:val="24"/>
          <w:szCs w:val="24"/>
          <w:highlight w:val="none"/>
        </w:rPr>
      </w:pPr>
    </w:p>
    <w:p w14:paraId="54313E23">
      <w:pPr>
        <w:spacing w:line="360" w:lineRule="auto"/>
        <w:ind w:firstLine="480" w:firstLineChars="200"/>
        <w:rPr>
          <w:rFonts w:hint="eastAsia" w:ascii="仿宋" w:hAnsi="仿宋" w:eastAsia="仿宋" w:cs="仿宋"/>
          <w:color w:val="auto"/>
          <w:sz w:val="24"/>
          <w:szCs w:val="24"/>
          <w:highlight w:val="none"/>
        </w:rPr>
      </w:pPr>
    </w:p>
    <w:p w14:paraId="57824C3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FEEC22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E33EFCE">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432999B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9348FFA">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294" w:name="_Toc22814"/>
      <w:bookmarkStart w:id="295" w:name="_Toc9493"/>
      <w:bookmarkStart w:id="296" w:name="_Toc31355"/>
      <w:bookmarkStart w:id="297" w:name="_Toc1219"/>
      <w:r>
        <w:rPr>
          <w:rFonts w:hint="eastAsia" w:ascii="仿宋" w:hAnsi="仿宋" w:eastAsia="仿宋" w:cs="仿宋"/>
          <w:b/>
          <w:color w:val="auto"/>
          <w:sz w:val="24"/>
          <w:szCs w:val="24"/>
          <w:highlight w:val="none"/>
          <w:shd w:val="clear" w:color="auto" w:fill="FFFFFF" w:themeFill="background1"/>
        </w:rPr>
        <w:t>十一、</w:t>
      </w:r>
      <w:bookmarkEnd w:id="294"/>
      <w:bookmarkEnd w:id="295"/>
      <w:r>
        <w:rPr>
          <w:rFonts w:hint="eastAsia" w:ascii="仿宋" w:hAnsi="仿宋" w:eastAsia="仿宋" w:cs="仿宋"/>
          <w:b/>
          <w:color w:val="auto"/>
          <w:sz w:val="24"/>
          <w:szCs w:val="24"/>
          <w:highlight w:val="none"/>
          <w:shd w:val="clear" w:color="auto" w:fill="FFFFFF" w:themeFill="background1"/>
        </w:rPr>
        <w:t>技术方案</w:t>
      </w:r>
      <w:bookmarkEnd w:id="296"/>
      <w:bookmarkEnd w:id="297"/>
    </w:p>
    <w:p w14:paraId="1CC81F42">
      <w:pPr>
        <w:widowControl/>
        <w:jc w:val="left"/>
        <w:rPr>
          <w:rFonts w:hint="eastAsia" w:ascii="仿宋" w:hAnsi="仿宋" w:eastAsia="仿宋" w:cs="仿宋"/>
          <w:color w:val="auto"/>
          <w:highlight w:val="none"/>
        </w:rPr>
      </w:pPr>
    </w:p>
    <w:p w14:paraId="01755D8B">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格式和内容自行拟定</w:t>
      </w:r>
    </w:p>
    <w:p w14:paraId="6343852E">
      <w:pPr>
        <w:spacing w:line="24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686567D8">
      <w:pPr>
        <w:tabs>
          <w:tab w:val="center" w:pos="4832"/>
          <w:tab w:val="left" w:pos="7140"/>
        </w:tabs>
        <w:jc w:val="center"/>
        <w:outlineLvl w:val="1"/>
        <w:rPr>
          <w:rFonts w:hint="eastAsia" w:ascii="仿宋" w:hAnsi="仿宋" w:eastAsia="仿宋" w:cs="仿宋"/>
          <w:b/>
          <w:color w:val="auto"/>
          <w:sz w:val="24"/>
          <w:szCs w:val="24"/>
          <w:highlight w:val="none"/>
        </w:rPr>
      </w:pPr>
      <w:bookmarkStart w:id="298" w:name="_Toc12468"/>
      <w:bookmarkStart w:id="299" w:name="_Toc6078"/>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、保证金缴纳证明材料</w:t>
      </w:r>
      <w:bookmarkEnd w:id="298"/>
      <w:bookmarkEnd w:id="299"/>
    </w:p>
    <w:p w14:paraId="1E639007">
      <w:pPr>
        <w:spacing w:line="360" w:lineRule="auto"/>
        <w:ind w:firstLine="480" w:firstLineChars="200"/>
        <w:rPr>
          <w:rFonts w:hint="eastAsia" w:ascii="仿宋" w:hAnsi="仿宋" w:eastAsia="仿宋" w:cs="仿宋"/>
          <w:color w:val="auto"/>
          <w:sz w:val="24"/>
          <w:szCs w:val="24"/>
          <w:highlight w:val="none"/>
        </w:rPr>
      </w:pPr>
    </w:p>
    <w:p w14:paraId="7E9EEAE8">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4DB8B334">
      <w:pPr>
        <w:spacing w:line="360" w:lineRule="auto"/>
        <w:jc w:val="center"/>
        <w:rPr>
          <w:rFonts w:hint="eastAsia" w:ascii="仿宋" w:hAnsi="仿宋" w:eastAsia="仿宋" w:cs="仿宋"/>
          <w:color w:val="auto"/>
          <w:sz w:val="24"/>
          <w:szCs w:val="24"/>
          <w:highlight w:val="none"/>
          <w:shd w:val="clear" w:color="auto" w:fill="FFFFFF" w:themeFill="background1"/>
        </w:rPr>
      </w:pPr>
    </w:p>
    <w:p w14:paraId="2765EF58">
      <w:pPr>
        <w:pStyle w:val="37"/>
        <w:ind w:left="420" w:firstLine="480"/>
        <w:rPr>
          <w:rFonts w:hint="eastAsia" w:ascii="仿宋" w:hAnsi="仿宋" w:eastAsia="仿宋" w:cs="仿宋"/>
          <w:color w:val="auto"/>
          <w:sz w:val="24"/>
          <w:szCs w:val="24"/>
          <w:highlight w:val="none"/>
          <w:shd w:val="clear" w:color="auto" w:fill="FFFFFF" w:themeFill="background1"/>
        </w:rPr>
      </w:pPr>
    </w:p>
    <w:p w14:paraId="62244E18">
      <w:pPr>
        <w:rPr>
          <w:rFonts w:hint="eastAsia" w:ascii="仿宋" w:hAnsi="仿宋" w:eastAsia="仿宋" w:cs="仿宋"/>
          <w:color w:val="auto"/>
          <w:sz w:val="24"/>
          <w:szCs w:val="24"/>
          <w:highlight w:val="none"/>
          <w:shd w:val="clear" w:color="auto" w:fill="FFFFFF" w:themeFill="background1"/>
        </w:rPr>
      </w:pPr>
    </w:p>
    <w:p w14:paraId="39E0AE16">
      <w:pPr>
        <w:pStyle w:val="37"/>
        <w:ind w:left="420"/>
        <w:rPr>
          <w:rFonts w:hint="eastAsia" w:ascii="仿宋" w:hAnsi="仿宋" w:eastAsia="仿宋" w:cs="仿宋"/>
          <w:color w:val="auto"/>
          <w:highlight w:val="none"/>
        </w:rPr>
      </w:pPr>
    </w:p>
    <w:bookmarkEnd w:id="147"/>
    <w:p w14:paraId="72B7C0E4">
      <w:pPr>
        <w:rPr>
          <w:rFonts w:hint="eastAsia" w:ascii="仿宋" w:hAnsi="仿宋" w:eastAsia="仿宋" w:cs="仿宋"/>
          <w:b/>
          <w:color w:val="auto"/>
          <w:sz w:val="24"/>
          <w:szCs w:val="24"/>
          <w:highlight w:val="none"/>
        </w:rPr>
      </w:pPr>
      <w:bookmarkStart w:id="300" w:name="_Toc109941775"/>
      <w:bookmarkStart w:id="301" w:name="_Toc16202"/>
      <w:bookmarkStart w:id="302" w:name="_Toc109921168"/>
      <w:bookmarkStart w:id="303" w:name="_Toc32457"/>
      <w:bookmarkStart w:id="304" w:name="_Toc24108"/>
      <w:bookmarkStart w:id="305" w:name="_Toc130252630"/>
      <w:bookmarkStart w:id="306" w:name="_Toc110707975"/>
      <w:r>
        <w:rPr>
          <w:rFonts w:hint="eastAsia" w:ascii="仿宋" w:hAnsi="仿宋" w:eastAsia="仿宋" w:cs="仿宋"/>
          <w:b/>
          <w:color w:val="auto"/>
          <w:sz w:val="24"/>
          <w:szCs w:val="24"/>
          <w:highlight w:val="none"/>
        </w:rPr>
        <w:br w:type="page"/>
      </w:r>
    </w:p>
    <w:p w14:paraId="448C72BE">
      <w:pPr>
        <w:tabs>
          <w:tab w:val="center" w:pos="4832"/>
          <w:tab w:val="left" w:pos="7140"/>
        </w:tabs>
        <w:jc w:val="center"/>
        <w:outlineLvl w:val="1"/>
        <w:rPr>
          <w:rFonts w:hint="eastAsia" w:ascii="仿宋" w:hAnsi="仿宋" w:eastAsia="仿宋" w:cs="仿宋"/>
          <w:b/>
          <w:color w:val="auto"/>
          <w:sz w:val="24"/>
          <w:szCs w:val="24"/>
          <w:highlight w:val="none"/>
        </w:rPr>
      </w:pPr>
      <w:bookmarkStart w:id="307" w:name="_Toc14727"/>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、其它需要提交的资料</w:t>
      </w:r>
      <w:bookmarkEnd w:id="300"/>
      <w:bookmarkEnd w:id="301"/>
      <w:bookmarkEnd w:id="302"/>
      <w:bookmarkEnd w:id="303"/>
      <w:bookmarkEnd w:id="304"/>
      <w:bookmarkEnd w:id="305"/>
      <w:bookmarkEnd w:id="306"/>
      <w:bookmarkEnd w:id="307"/>
    </w:p>
    <w:p w14:paraId="5DD203C3">
      <w:pPr>
        <w:spacing w:line="360" w:lineRule="auto"/>
        <w:ind w:firstLine="480" w:firstLineChars="200"/>
        <w:rPr>
          <w:rFonts w:hint="eastAsia" w:ascii="仿宋" w:hAnsi="仿宋" w:eastAsia="仿宋" w:cs="仿宋"/>
          <w:color w:val="auto"/>
          <w:sz w:val="24"/>
          <w:szCs w:val="24"/>
          <w:highlight w:val="none"/>
        </w:rPr>
      </w:pPr>
    </w:p>
    <w:p w14:paraId="1AE05DA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根据招标文件的要求和投标人认为需要提供的资料。</w:t>
      </w:r>
    </w:p>
    <w:p w14:paraId="36074A02">
      <w:pPr>
        <w:pStyle w:val="37"/>
        <w:ind w:left="420"/>
        <w:rPr>
          <w:rFonts w:hint="eastAsia" w:ascii="仿宋" w:hAnsi="仿宋" w:eastAsia="仿宋" w:cs="仿宋"/>
          <w:color w:val="auto"/>
          <w:highlight w:val="none"/>
        </w:rPr>
      </w:pPr>
      <w:bookmarkStart w:id="308" w:name="_Toc30206"/>
      <w:bookmarkStart w:id="309" w:name="_Toc60925660"/>
      <w:bookmarkStart w:id="310" w:name="_Toc22688"/>
      <w:bookmarkStart w:id="311" w:name="_Toc130252631"/>
    </w:p>
    <w:p w14:paraId="2A045D50">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583E0F67">
      <w:pPr>
        <w:rPr>
          <w:rFonts w:hint="eastAsia" w:ascii="仿宋" w:hAnsi="仿宋" w:eastAsia="仿宋" w:cs="仿宋"/>
          <w:b/>
          <w:color w:val="auto"/>
          <w:sz w:val="24"/>
          <w:szCs w:val="24"/>
          <w:highlight w:val="none"/>
        </w:rPr>
      </w:pPr>
    </w:p>
    <w:p w14:paraId="657CC727">
      <w:pPr>
        <w:spacing w:line="440" w:lineRule="exact"/>
        <w:jc w:val="center"/>
        <w:outlineLvl w:val="0"/>
        <w:rPr>
          <w:rFonts w:hint="eastAsia" w:ascii="仿宋" w:hAnsi="仿宋" w:eastAsia="仿宋" w:cs="仿宋"/>
          <w:b/>
          <w:color w:val="auto"/>
          <w:sz w:val="24"/>
          <w:szCs w:val="24"/>
          <w:highlight w:val="none"/>
        </w:rPr>
      </w:pPr>
      <w:bookmarkStart w:id="312" w:name="_Toc7919"/>
      <w:bookmarkStart w:id="313" w:name="_Toc4913"/>
      <w:r>
        <w:rPr>
          <w:rFonts w:hint="eastAsia" w:ascii="仿宋" w:hAnsi="仿宋" w:eastAsia="仿宋" w:cs="仿宋"/>
          <w:b/>
          <w:color w:val="auto"/>
          <w:sz w:val="24"/>
          <w:szCs w:val="24"/>
          <w:highlight w:val="none"/>
        </w:rPr>
        <w:t>第六章 补充条款</w:t>
      </w:r>
      <w:bookmarkEnd w:id="308"/>
      <w:bookmarkEnd w:id="309"/>
      <w:bookmarkEnd w:id="310"/>
      <w:bookmarkEnd w:id="311"/>
      <w:bookmarkEnd w:id="312"/>
      <w:bookmarkEnd w:id="313"/>
    </w:p>
    <w:p w14:paraId="04D94950">
      <w:pPr>
        <w:rPr>
          <w:rFonts w:hint="eastAsia" w:ascii="仿宋" w:hAnsi="仿宋" w:eastAsia="仿宋" w:cs="仿宋"/>
          <w:color w:val="auto"/>
          <w:highlight w:val="none"/>
        </w:rPr>
      </w:pPr>
    </w:p>
    <w:p w14:paraId="0A8387AB">
      <w:pPr>
        <w:rPr>
          <w:rFonts w:hint="eastAsia" w:ascii="仿宋" w:hAnsi="仿宋" w:eastAsia="仿宋" w:cs="仿宋"/>
          <w:color w:val="auto"/>
          <w:highlight w:val="none"/>
        </w:rPr>
      </w:pPr>
    </w:p>
    <w:p w14:paraId="15929513">
      <w:pPr>
        <w:spacing w:line="360" w:lineRule="auto"/>
        <w:outlineLvl w:val="1"/>
        <w:rPr>
          <w:rFonts w:hint="eastAsia" w:ascii="仿宋" w:hAnsi="仿宋" w:eastAsia="仿宋" w:cs="仿宋"/>
          <w:color w:val="auto"/>
          <w:spacing w:val="6"/>
          <w:sz w:val="24"/>
          <w:szCs w:val="24"/>
          <w:highlight w:val="none"/>
        </w:rPr>
      </w:pPr>
      <w:bookmarkStart w:id="314" w:name="_Toc30027"/>
      <w:bookmarkStart w:id="315" w:name="_Toc15778"/>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一</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中小企业扶持政策</w:t>
      </w:r>
      <w:bookmarkEnd w:id="314"/>
      <w:bookmarkEnd w:id="315"/>
    </w:p>
    <w:p w14:paraId="19CA486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5F606FBA">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10C4DA9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1F4853F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0307BF5">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5D88353A">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7EA9F783">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7631C8F9">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3F5EA4D7">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08109E54">
      <w:pPr>
        <w:spacing w:line="360" w:lineRule="auto"/>
        <w:ind w:firstLine="504" w:firstLineChars="200"/>
        <w:rPr>
          <w:rFonts w:hint="eastAsia" w:ascii="仿宋" w:hAnsi="仿宋" w:eastAsia="仿宋" w:cs="仿宋"/>
          <w:color w:val="auto"/>
          <w:spacing w:val="6"/>
          <w:sz w:val="24"/>
          <w:szCs w:val="24"/>
          <w:highlight w:val="none"/>
        </w:rPr>
      </w:pPr>
    </w:p>
    <w:p w14:paraId="53149E42">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62079D0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6906ED3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2CAF0A4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7CE119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2A66124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4E9669B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70B6A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F2D5DC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9A4F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708299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BC350C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56D88C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B0402C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295D3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F1F95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54553D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D244C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7DF70A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44CEF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C385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A19F05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62E7FE2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06FCC61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51DD4A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65CC94D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0484E72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4C683F74">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65820C91">
      <w:pPr>
        <w:spacing w:line="360" w:lineRule="auto"/>
        <w:outlineLvl w:val="1"/>
        <w:rPr>
          <w:rFonts w:hint="eastAsia" w:ascii="仿宋" w:hAnsi="仿宋" w:eastAsia="仿宋" w:cs="仿宋"/>
          <w:color w:val="auto"/>
          <w:spacing w:val="6"/>
          <w:sz w:val="24"/>
          <w:szCs w:val="24"/>
          <w:highlight w:val="none"/>
        </w:rPr>
      </w:pPr>
      <w:bookmarkStart w:id="316" w:name="_Toc10043"/>
      <w:bookmarkStart w:id="317" w:name="_Toc15980"/>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316"/>
      <w:bookmarkEnd w:id="317"/>
    </w:p>
    <w:p w14:paraId="6CAE81CA">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2334CD2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FE70F6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7F87E4A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4DF1099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686165B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1AA7CE2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7B6B33F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0236D96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602E714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F7A8D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596BF0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中标、成交供应商为残疾人福利性单位的，采购人或者其委托的采购代理机构应当随中标、成交结果同时公告其《残疾人福利性单位声明函》，接受社会监督。</w:t>
      </w:r>
    </w:p>
    <w:p w14:paraId="7C23D84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供应商提供的《残疾人福利性单位声明函》与事实不符的，依照《政府采购法》第七十七条第一款的规定追究法律责任。</w:t>
      </w:r>
    </w:p>
    <w:p w14:paraId="3DBD30E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A61754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6B829C1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C7F4D5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78EFB6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0D45C574">
      <w:pPr>
        <w:pStyle w:val="8"/>
        <w:ind w:firstLine="480"/>
        <w:rPr>
          <w:rFonts w:hint="eastAsia" w:ascii="仿宋" w:hAnsi="仿宋" w:eastAsia="仿宋" w:cs="仿宋"/>
          <w:color w:val="auto"/>
          <w:highlight w:val="none"/>
        </w:rPr>
      </w:pPr>
    </w:p>
    <w:p w14:paraId="55DABCC0">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2A5210CF">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3C18BD65">
      <w:pPr>
        <w:spacing w:line="360" w:lineRule="auto"/>
        <w:outlineLvl w:val="1"/>
        <w:rPr>
          <w:rFonts w:hint="eastAsia" w:ascii="仿宋" w:hAnsi="仿宋" w:eastAsia="仿宋" w:cs="仿宋"/>
          <w:color w:val="auto"/>
          <w:spacing w:val="6"/>
          <w:sz w:val="24"/>
          <w:szCs w:val="24"/>
          <w:highlight w:val="none"/>
        </w:rPr>
      </w:pPr>
      <w:bookmarkStart w:id="318" w:name="_Toc23851"/>
      <w:bookmarkStart w:id="319" w:name="_Toc16904"/>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318"/>
      <w:bookmarkEnd w:id="319"/>
    </w:p>
    <w:p w14:paraId="3748E33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 司法部关于政府采购支持</w:t>
      </w:r>
    </w:p>
    <w:p w14:paraId="76C0C1E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监狱企业发展有关问题的通知</w:t>
      </w:r>
    </w:p>
    <w:p w14:paraId="052A4489">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3350D94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0F10E0FB">
      <w:pPr>
        <w:pStyle w:val="8"/>
        <w:ind w:firstLine="480"/>
        <w:rPr>
          <w:rFonts w:hint="eastAsia" w:ascii="仿宋" w:hAnsi="仿宋" w:eastAsia="仿宋" w:cs="仿宋"/>
          <w:color w:val="auto"/>
          <w:highlight w:val="none"/>
        </w:rPr>
      </w:pPr>
    </w:p>
    <w:p w14:paraId="5E27DA83">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11B8C334">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2EC3744B">
      <w:pPr>
        <w:spacing w:line="360" w:lineRule="auto"/>
        <w:outlineLvl w:val="1"/>
        <w:rPr>
          <w:rFonts w:hint="eastAsia" w:ascii="仿宋" w:hAnsi="仿宋" w:eastAsia="仿宋" w:cs="仿宋"/>
          <w:color w:val="auto"/>
          <w:spacing w:val="6"/>
          <w:sz w:val="24"/>
          <w:szCs w:val="24"/>
          <w:highlight w:val="none"/>
        </w:rPr>
      </w:pPr>
      <w:bookmarkStart w:id="320" w:name="_Toc12486"/>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、实施本国产品标准及相关政策</w:t>
      </w:r>
      <w:bookmarkEnd w:id="320"/>
    </w:p>
    <w:p w14:paraId="318C23A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60" w:lineRule="auto"/>
        <w:ind w:left="0" w:right="0" w:firstLine="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 </w:t>
      </w:r>
    </w:p>
    <w:p w14:paraId="249FD2E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国务院办公厅关于在政府采购中</w:t>
      </w:r>
    </w:p>
    <w:p w14:paraId="7E8C02D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实施本国产品标准及相关政策的通知</w:t>
      </w:r>
    </w:p>
    <w:p w14:paraId="2A7551C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078B43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国办发〔2025〕34号  </w:t>
      </w:r>
    </w:p>
    <w:p w14:paraId="42992B7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各省、自治区、直辖市人民政府，国务院各部委、各直属机构：</w:t>
      </w:r>
    </w:p>
    <w:p w14:paraId="35DD8E8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16B3F90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一、本国产品标准</w:t>
      </w:r>
    </w:p>
    <w:p w14:paraId="0DB8798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本国产品应当符合以下条件：</w:t>
      </w:r>
    </w:p>
    <w:p w14:paraId="029DCE8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（一）在中国境内生产</w:t>
      </w:r>
    </w:p>
    <w:p w14:paraId="6F3AC13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产品应当在中国境内生产，即在中华人民共和国关境内实现从原材料、组件到产品的属性改变。</w:t>
      </w:r>
    </w:p>
    <w:p w14:paraId="51A3BE5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属性改变是指经过制造、加工或者组装等工序，产生完全不同于原材料、组件的新产品，并具有新的名称和特征（用途）。属性改变不包括以下细微操作：</w:t>
      </w:r>
    </w:p>
    <w:p w14:paraId="3E5045A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1.为确保产品在运输或者储存期间保持某种状态而进行的操作；</w:t>
      </w:r>
    </w:p>
    <w:p w14:paraId="2C8B63D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2.为产品运输或者销售进行的包装或者展示；</w:t>
      </w:r>
    </w:p>
    <w:p w14:paraId="3F93DD4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3.在产品或者其包装上粘贴或者印刷品牌、标志、标识以及其他用于区别的标记；</w:t>
      </w:r>
    </w:p>
    <w:p w14:paraId="7B3E2B1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4.简单的上漆、磨光和分装；</w:t>
      </w:r>
    </w:p>
    <w:p w14:paraId="4E67D8A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5.其他不属于属性改变的情形。</w:t>
      </w:r>
    </w:p>
    <w:p w14:paraId="1045CC9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（二）在中国境内生产的组件成本占比达到规定比例</w:t>
      </w:r>
    </w:p>
    <w:p w14:paraId="2C7162A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产品在中国境内生产的组件成本占比应当达到规定比例，计算公式为：</w:t>
      </w:r>
    </w:p>
    <w:p w14:paraId="73E7516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drawing>
          <wp:inline distT="0" distB="0" distL="114300" distR="114300">
            <wp:extent cx="2733675" cy="390525"/>
            <wp:effectExtent l="0" t="0" r="9525"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1"/>
                    <a:stretch>
                      <a:fillRect/>
                    </a:stretch>
                  </pic:blipFill>
                  <pic:spPr>
                    <a:xfrm>
                      <a:off x="0" y="0"/>
                      <a:ext cx="2733675" cy="390525"/>
                    </a:xfrm>
                    <a:prstGeom prst="rect">
                      <a:avLst/>
                    </a:prstGeom>
                    <a:noFill/>
                    <a:ln w="9525">
                      <a:noFill/>
                    </a:ln>
                  </pic:spPr>
                </pic:pic>
              </a:graphicData>
            </a:graphic>
          </wp:inline>
        </w:drawing>
      </w:r>
    </w:p>
    <w:p w14:paraId="0A5CBBA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EE126A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（三）特定产品的关键组件、关键工序符合相关要求</w:t>
      </w:r>
    </w:p>
    <w:p w14:paraId="5007FB6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对特定产品，在符合本通知第一条第（一）项和第（二）项条件的基础上，应当符合财政部会同有关行业主管部门确定的其关键组件、关键工序在中国境内生产、完成等要求。</w:t>
      </w:r>
    </w:p>
    <w:p w14:paraId="5A3B81D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A47E39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二、本国产品标准的适用范围</w:t>
      </w:r>
    </w:p>
    <w:p w14:paraId="092D7A1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F4B1A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三、对本国产品的支持政策</w:t>
      </w:r>
    </w:p>
    <w:p w14:paraId="43A4133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政府采购活动中既有本国产品又有非本国产品参与竞争的，依法对本国产品给予价格评审优惠，对本国产品的报价给予20%的价格扣除，用扣除后的价格参与评审。</w:t>
      </w:r>
    </w:p>
    <w:p w14:paraId="154EB72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7065D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四、政策执行要求</w:t>
      </w:r>
    </w:p>
    <w:p w14:paraId="03E305E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（一）产品在中国境内生产的组件成本核算规则。产品在中国境内生产的组件成本，按照《中国境内生产的组件成本核算基本规则》（见附件1）计算。</w:t>
      </w:r>
    </w:p>
    <w:p w14:paraId="6540FC7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AA6CD4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采购人、采购代理机构应当随中标、成交结果同时公告中标、成交供应商提供的《声明函》或有关证明文件。</w:t>
      </w:r>
    </w:p>
    <w:p w14:paraId="44734AF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158072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（四）中华人民共和国缔结或者共同参加的国际条约、协定对政府采购中本国产品政策另有规定的，按照有关条约、协定执行。</w:t>
      </w:r>
    </w:p>
    <w:p w14:paraId="71C3126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五、争议处理</w:t>
      </w:r>
    </w:p>
    <w:p w14:paraId="790C335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3F3698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（一）政府采购投诉处理、监督检查中，对产品或组件是否在中国境内生产存在争议的，按照以下原则处理：</w:t>
      </w:r>
    </w:p>
    <w:p w14:paraId="1B6616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FC6D04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C66753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32CAC4A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1F2611D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E65435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本通知自2026年1月1日起施行。</w:t>
      </w:r>
    </w:p>
    <w:p w14:paraId="6E78E1F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附件：1.中国境内生产的组件成本核算基本规则</w:t>
      </w:r>
    </w:p>
    <w:p w14:paraId="0DB4733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　　　2.关于符合本国产品标准的声明函</w:t>
      </w:r>
    </w:p>
    <w:p w14:paraId="39EC77E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国务院办公厅         </w:t>
      </w:r>
    </w:p>
    <w:p w14:paraId="708CA8C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2025年9月28日    </w:t>
      </w:r>
    </w:p>
    <w:p w14:paraId="2D8253A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F3EE2C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F0A0E1F">
      <w:pPr>
        <w:rPr>
          <w:rStyle w:val="41"/>
          <w:rFonts w:hint="eastAsia" w:ascii="仿宋" w:hAnsi="仿宋" w:eastAsia="仿宋" w:cs="仿宋"/>
          <w:i w:val="0"/>
          <w:iCs w:val="0"/>
          <w:caps w:val="0"/>
          <w:color w:val="auto"/>
          <w:spacing w:val="0"/>
          <w:sz w:val="24"/>
          <w:szCs w:val="24"/>
          <w:highlight w:val="none"/>
          <w:shd w:val="clear" w:fill="FFFFFF"/>
        </w:rPr>
      </w:pPr>
      <w:r>
        <w:rPr>
          <w:rStyle w:val="41"/>
          <w:rFonts w:hint="eastAsia" w:ascii="仿宋" w:hAnsi="仿宋" w:eastAsia="仿宋" w:cs="仿宋"/>
          <w:i w:val="0"/>
          <w:iCs w:val="0"/>
          <w:caps w:val="0"/>
          <w:color w:val="auto"/>
          <w:spacing w:val="0"/>
          <w:sz w:val="24"/>
          <w:szCs w:val="24"/>
          <w:highlight w:val="none"/>
          <w:shd w:val="clear" w:fill="FFFFFF"/>
        </w:rPr>
        <w:br w:type="page"/>
      </w:r>
    </w:p>
    <w:p w14:paraId="680CF9A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附件1</w:t>
      </w:r>
    </w:p>
    <w:p w14:paraId="2547D12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3580259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中国境内生产的组件成本核算基本规则</w:t>
      </w:r>
    </w:p>
    <w:p w14:paraId="445A75A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1F3F16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E6E346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一、产品的一级组件是指直接组成产品的组件。产品的二级组件是指直接组成产品一级组件的组件。一级组件不可分解的，视同二级组件。</w:t>
      </w:r>
    </w:p>
    <w:p w14:paraId="118804A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二、二级组件在中国境内生产的，其全部成本计入中国境内生产的组件成本；二级组件不在中国境内生产的，其成本不计入中国境内生产的组件成本。</w:t>
      </w:r>
    </w:p>
    <w:p w14:paraId="35ED755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三、产品总成本和组件成本以相关会计核算数据、采购合同、进货记录等为基础进行计算。</w:t>
      </w:r>
    </w:p>
    <w:p w14:paraId="1DE79B3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四、需要对成本核算规则予以进一步明确的其他有关事项，由财政部会同有关部门另行规定。</w:t>
      </w:r>
    </w:p>
    <w:p w14:paraId="74FB1B1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183A284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6E75377">
      <w:pPr>
        <w:rPr>
          <w:rStyle w:val="41"/>
          <w:rFonts w:hint="eastAsia" w:ascii="仿宋" w:hAnsi="仿宋" w:eastAsia="仿宋" w:cs="仿宋"/>
          <w:i w:val="0"/>
          <w:iCs w:val="0"/>
          <w:caps w:val="0"/>
          <w:color w:val="auto"/>
          <w:spacing w:val="0"/>
          <w:sz w:val="24"/>
          <w:szCs w:val="24"/>
          <w:highlight w:val="none"/>
          <w:shd w:val="clear" w:fill="FFFFFF"/>
        </w:rPr>
      </w:pPr>
      <w:r>
        <w:rPr>
          <w:rStyle w:val="41"/>
          <w:rFonts w:hint="eastAsia" w:ascii="仿宋" w:hAnsi="仿宋" w:eastAsia="仿宋" w:cs="仿宋"/>
          <w:i w:val="0"/>
          <w:iCs w:val="0"/>
          <w:caps w:val="0"/>
          <w:color w:val="auto"/>
          <w:spacing w:val="0"/>
          <w:sz w:val="24"/>
          <w:szCs w:val="24"/>
          <w:highlight w:val="none"/>
          <w:shd w:val="clear" w:fill="FFFFFF"/>
        </w:rPr>
        <w:br w:type="page"/>
      </w:r>
    </w:p>
    <w:p w14:paraId="26B2531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附件2</w:t>
      </w:r>
    </w:p>
    <w:p w14:paraId="028B552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CE6909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关于符合本国产品标准的声明函</w:t>
      </w:r>
    </w:p>
    <w:p w14:paraId="05FEF8A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36765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28DC16F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44"/>
          <w:rFonts w:hint="eastAsia" w:ascii="仿宋" w:hAnsi="仿宋" w:eastAsia="仿宋" w:cs="仿宋"/>
          <w:i w:val="0"/>
          <w:iCs w:val="0"/>
          <w:caps w:val="0"/>
          <w:color w:val="auto"/>
          <w:spacing w:val="0"/>
          <w:sz w:val="24"/>
          <w:szCs w:val="24"/>
          <w:highlight w:val="none"/>
          <w:shd w:val="clear" w:fill="FFFFFF"/>
        </w:rPr>
        <w:t>（产品名称1）</w:t>
      </w:r>
      <w:r>
        <w:rPr>
          <w:rStyle w:val="44"/>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Style w:val="44"/>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Style w:val="44"/>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Style w:val="44"/>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Style w:val="44"/>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510AD4D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6A64750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183F41C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3951DC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444F3A5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0F3D9E7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6B90E3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F40D6F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_____________________________</w:t>
      </w:r>
    </w:p>
    <w:p w14:paraId="4FB74F2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23D5314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4B38061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473A4E1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1C2E191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p w14:paraId="1F22AA9E">
      <w:pPr>
        <w:spacing w:line="360" w:lineRule="auto"/>
        <w:rPr>
          <w:rFonts w:hint="eastAsia" w:ascii="仿宋" w:hAnsi="仿宋" w:eastAsia="仿宋" w:cs="仿宋"/>
          <w:color w:val="auto"/>
          <w:sz w:val="24"/>
          <w:szCs w:val="24"/>
          <w:highlight w:val="none"/>
        </w:rPr>
      </w:pPr>
    </w:p>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1" w:fontKey="{B60F9355-E85B-4D2B-8A35-4349E8708F1A}"/>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embedRegular r:id="rId2" w:fontKey="{73926F9D-E37F-4713-BFA3-41E183D758E8}"/>
  </w:font>
  <w:font w:name="华文楷体">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14BE">
    <w:pPr>
      <w:pStyle w:val="21"/>
      <w:ind w:right="9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14BDE">
                          <w:pPr>
                            <w:pStyle w:val="2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14BDE">
                    <w:pPr>
                      <w:pStyle w:val="2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2D781">
    <w:pPr>
      <w:pStyle w:val="21"/>
      <w:ind w:right="9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529C">
    <w:pPr>
      <w:pStyle w:val="21"/>
      <w:ind w:right="9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EE967">
                          <w:pPr>
                            <w:pStyle w:val="21"/>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BEE967">
                    <w:pPr>
                      <w:pStyle w:val="21"/>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43A82">
    <w:pPr>
      <w:pStyle w:val="21"/>
      <w:ind w:right="360"/>
      <w:jc w:val="center"/>
      <w:rPr>
        <w:rFonts w:hint="eastAsia"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1"/>
                                <w:ind w:right="360"/>
                                <w:jc w:val="center"/>
                                <w:rPr>
                                  <w:rFonts w:hint="eastAsia"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hint="eastAsia"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1"/>
                          <w:ind w:right="360"/>
                          <w:jc w:val="center"/>
                          <w:rPr>
                            <w:rFonts w:hint="eastAsia"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hint="eastAsia" w:asciiTheme="minorEastAsia" w:hAnsi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3B4F">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D766">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D1EBA"/>
    <w:multiLevelType w:val="singleLevel"/>
    <w:tmpl w:val="916D1EBA"/>
    <w:lvl w:ilvl="0" w:tentative="0">
      <w:start w:val="1"/>
      <w:numFmt w:val="decimal"/>
      <w:suff w:val="nothing"/>
      <w:lvlText w:val="%1、"/>
      <w:lvlJc w:val="left"/>
    </w:lvl>
  </w:abstractNum>
  <w:abstractNum w:abstractNumId="1">
    <w:nsid w:val="A7E4DEFD"/>
    <w:multiLevelType w:val="singleLevel"/>
    <w:tmpl w:val="A7E4DEFD"/>
    <w:lvl w:ilvl="0" w:tentative="0">
      <w:start w:val="1"/>
      <w:numFmt w:val="decimal"/>
      <w:suff w:val="nothing"/>
      <w:lvlText w:val="%1、"/>
      <w:lvlJc w:val="left"/>
    </w:lvl>
  </w:abstractNum>
  <w:abstractNum w:abstractNumId="2">
    <w:nsid w:val="C20B2B37"/>
    <w:multiLevelType w:val="singleLevel"/>
    <w:tmpl w:val="C20B2B37"/>
    <w:lvl w:ilvl="0" w:tentative="0">
      <w:start w:val="4"/>
      <w:numFmt w:val="chineseCounting"/>
      <w:suff w:val="nothing"/>
      <w:lvlText w:val="%1、"/>
      <w:lvlJc w:val="left"/>
      <w:rPr>
        <w:rFonts w:hint="eastAsia"/>
      </w:rPr>
    </w:lvl>
  </w:abstractNum>
  <w:abstractNum w:abstractNumId="3">
    <w:nsid w:val="E7562E3E"/>
    <w:multiLevelType w:val="singleLevel"/>
    <w:tmpl w:val="E7562E3E"/>
    <w:lvl w:ilvl="0" w:tentative="0">
      <w:start w:val="4"/>
      <w:numFmt w:val="chineseCounting"/>
      <w:suff w:val="nothing"/>
      <w:lvlText w:val="%1、"/>
      <w:lvlJc w:val="left"/>
      <w:rPr>
        <w:rFonts w:hint="eastAsia"/>
      </w:rPr>
    </w:lvl>
  </w:abstractNum>
  <w:abstractNum w:abstractNumId="4">
    <w:nsid w:val="3E07357A"/>
    <w:multiLevelType w:val="singleLevel"/>
    <w:tmpl w:val="3E07357A"/>
    <w:lvl w:ilvl="0" w:tentative="0">
      <w:start w:val="4"/>
      <w:numFmt w:val="chineseCounting"/>
      <w:suff w:val="nothing"/>
      <w:lvlText w:val="%1、"/>
      <w:lvlJc w:val="left"/>
      <w:rPr>
        <w:rFonts w:hint="eastAsia"/>
      </w:rPr>
    </w:lvl>
  </w:abstractNum>
  <w:abstractNum w:abstractNumId="5">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77FA0DE"/>
    <w:multiLevelType w:val="singleLevel"/>
    <w:tmpl w:val="777FA0DE"/>
    <w:lvl w:ilvl="0" w:tentative="0">
      <w:start w:val="4"/>
      <w:numFmt w:val="chineseCounting"/>
      <w:suff w:val="nothing"/>
      <w:lvlText w:val="%1、"/>
      <w:lvlJc w:val="left"/>
      <w:rPr>
        <w:rFonts w:hint="eastAsia"/>
      </w:r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27"/>
    <w:rsid w:val="00172AA0"/>
    <w:rsid w:val="001733AF"/>
    <w:rsid w:val="001763E6"/>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3EEB"/>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57D8"/>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8E7"/>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3E30"/>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C26"/>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33C2"/>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60F8"/>
    <w:rsid w:val="008D7591"/>
    <w:rsid w:val="008E1C79"/>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357CB"/>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3FB8"/>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56A1"/>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1FB"/>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812"/>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D7B88"/>
    <w:rsid w:val="00BE39D4"/>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0A8"/>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4816"/>
    <w:rsid w:val="00D36619"/>
    <w:rsid w:val="00D3707C"/>
    <w:rsid w:val="00D375D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190B56"/>
    <w:rsid w:val="01192C1F"/>
    <w:rsid w:val="01233A9E"/>
    <w:rsid w:val="01362DA8"/>
    <w:rsid w:val="014529B7"/>
    <w:rsid w:val="014F219D"/>
    <w:rsid w:val="016519C1"/>
    <w:rsid w:val="019239B4"/>
    <w:rsid w:val="0196601E"/>
    <w:rsid w:val="01A544B3"/>
    <w:rsid w:val="01BD7A4F"/>
    <w:rsid w:val="01C401C9"/>
    <w:rsid w:val="01DD30DE"/>
    <w:rsid w:val="01F33470"/>
    <w:rsid w:val="02251890"/>
    <w:rsid w:val="023870D5"/>
    <w:rsid w:val="02895B83"/>
    <w:rsid w:val="02BF77F6"/>
    <w:rsid w:val="02CC5DE9"/>
    <w:rsid w:val="02D23086"/>
    <w:rsid w:val="02DA63DE"/>
    <w:rsid w:val="02F94BC3"/>
    <w:rsid w:val="02FD6D4D"/>
    <w:rsid w:val="03936C34"/>
    <w:rsid w:val="039D344D"/>
    <w:rsid w:val="03EC32E0"/>
    <w:rsid w:val="042A0AD1"/>
    <w:rsid w:val="04A10F62"/>
    <w:rsid w:val="04A3407A"/>
    <w:rsid w:val="04A8452D"/>
    <w:rsid w:val="04C109CE"/>
    <w:rsid w:val="04E1113F"/>
    <w:rsid w:val="04E90B5B"/>
    <w:rsid w:val="04EF2674"/>
    <w:rsid w:val="04F42F40"/>
    <w:rsid w:val="05353DA0"/>
    <w:rsid w:val="05366A2C"/>
    <w:rsid w:val="055F2BCB"/>
    <w:rsid w:val="05602A5A"/>
    <w:rsid w:val="056326BB"/>
    <w:rsid w:val="057C19CF"/>
    <w:rsid w:val="058368B9"/>
    <w:rsid w:val="05A218FD"/>
    <w:rsid w:val="05B0498B"/>
    <w:rsid w:val="05B35D6A"/>
    <w:rsid w:val="05BA5435"/>
    <w:rsid w:val="05C018BB"/>
    <w:rsid w:val="05C72C4A"/>
    <w:rsid w:val="05CF7D50"/>
    <w:rsid w:val="05EE467B"/>
    <w:rsid w:val="05F9301F"/>
    <w:rsid w:val="06035C4C"/>
    <w:rsid w:val="063F4718"/>
    <w:rsid w:val="065546FA"/>
    <w:rsid w:val="06B56F46"/>
    <w:rsid w:val="06C00186"/>
    <w:rsid w:val="06DE46EF"/>
    <w:rsid w:val="070677A2"/>
    <w:rsid w:val="0711495B"/>
    <w:rsid w:val="071719AF"/>
    <w:rsid w:val="071A149F"/>
    <w:rsid w:val="071E0F8F"/>
    <w:rsid w:val="07204271"/>
    <w:rsid w:val="07660B78"/>
    <w:rsid w:val="07702E6D"/>
    <w:rsid w:val="077F1302"/>
    <w:rsid w:val="0790350F"/>
    <w:rsid w:val="07940642"/>
    <w:rsid w:val="07971D2A"/>
    <w:rsid w:val="07AA45D1"/>
    <w:rsid w:val="07CA3595"/>
    <w:rsid w:val="07CC05D8"/>
    <w:rsid w:val="07D93108"/>
    <w:rsid w:val="080F6B2A"/>
    <w:rsid w:val="082D6FB0"/>
    <w:rsid w:val="083321D8"/>
    <w:rsid w:val="084D31AF"/>
    <w:rsid w:val="085B3B1D"/>
    <w:rsid w:val="086329D2"/>
    <w:rsid w:val="0898267C"/>
    <w:rsid w:val="08A50077"/>
    <w:rsid w:val="08C77405"/>
    <w:rsid w:val="08EE04EE"/>
    <w:rsid w:val="09153CCC"/>
    <w:rsid w:val="09197B3E"/>
    <w:rsid w:val="0935436E"/>
    <w:rsid w:val="09461222"/>
    <w:rsid w:val="094B394B"/>
    <w:rsid w:val="09510A7C"/>
    <w:rsid w:val="095F0CAA"/>
    <w:rsid w:val="09662A3F"/>
    <w:rsid w:val="09802D58"/>
    <w:rsid w:val="09870B6B"/>
    <w:rsid w:val="09954E0D"/>
    <w:rsid w:val="099948FD"/>
    <w:rsid w:val="09A45050"/>
    <w:rsid w:val="09B01C47"/>
    <w:rsid w:val="09B94F9F"/>
    <w:rsid w:val="09D771D4"/>
    <w:rsid w:val="09E518F1"/>
    <w:rsid w:val="09E638BB"/>
    <w:rsid w:val="0A454A85"/>
    <w:rsid w:val="0A56459C"/>
    <w:rsid w:val="0A7809B7"/>
    <w:rsid w:val="0AE51E6F"/>
    <w:rsid w:val="0AF04546"/>
    <w:rsid w:val="0AF10769"/>
    <w:rsid w:val="0B3A5CA3"/>
    <w:rsid w:val="0BA31A63"/>
    <w:rsid w:val="0BBA6DAD"/>
    <w:rsid w:val="0BC10DE0"/>
    <w:rsid w:val="0BD63080"/>
    <w:rsid w:val="0BEF6A57"/>
    <w:rsid w:val="0C112E71"/>
    <w:rsid w:val="0C2A3F33"/>
    <w:rsid w:val="0C5E598A"/>
    <w:rsid w:val="0CA5180B"/>
    <w:rsid w:val="0CB8153E"/>
    <w:rsid w:val="0CC03678"/>
    <w:rsid w:val="0CD07814"/>
    <w:rsid w:val="0CF3376D"/>
    <w:rsid w:val="0D2332ED"/>
    <w:rsid w:val="0D415C54"/>
    <w:rsid w:val="0D444B80"/>
    <w:rsid w:val="0D466B4A"/>
    <w:rsid w:val="0D5C45C0"/>
    <w:rsid w:val="0D662D48"/>
    <w:rsid w:val="0D6D2E9E"/>
    <w:rsid w:val="0DD028B8"/>
    <w:rsid w:val="0DDA3736"/>
    <w:rsid w:val="0DEA1BCB"/>
    <w:rsid w:val="0DFB786F"/>
    <w:rsid w:val="0E0D3D4A"/>
    <w:rsid w:val="0E317578"/>
    <w:rsid w:val="0E347BBB"/>
    <w:rsid w:val="0E9272B5"/>
    <w:rsid w:val="0EDD7052"/>
    <w:rsid w:val="0F000F7B"/>
    <w:rsid w:val="0F1B7B63"/>
    <w:rsid w:val="0F4E7C06"/>
    <w:rsid w:val="0F4E7F38"/>
    <w:rsid w:val="0F5576A6"/>
    <w:rsid w:val="0F73174D"/>
    <w:rsid w:val="0F75161B"/>
    <w:rsid w:val="0F781459"/>
    <w:rsid w:val="0F873108"/>
    <w:rsid w:val="0F885DD7"/>
    <w:rsid w:val="0FA91612"/>
    <w:rsid w:val="0FAB0EE6"/>
    <w:rsid w:val="0FD348E1"/>
    <w:rsid w:val="0FD85A54"/>
    <w:rsid w:val="0FDC5544"/>
    <w:rsid w:val="0FEB39D9"/>
    <w:rsid w:val="0FEE34C9"/>
    <w:rsid w:val="0FF7412C"/>
    <w:rsid w:val="10141182"/>
    <w:rsid w:val="103E5A93"/>
    <w:rsid w:val="105A0963"/>
    <w:rsid w:val="10923E54"/>
    <w:rsid w:val="1092654A"/>
    <w:rsid w:val="10DB4392"/>
    <w:rsid w:val="10DD2B9B"/>
    <w:rsid w:val="10E87F18"/>
    <w:rsid w:val="111E0546"/>
    <w:rsid w:val="11204879"/>
    <w:rsid w:val="11517434"/>
    <w:rsid w:val="117B39D6"/>
    <w:rsid w:val="118B7221"/>
    <w:rsid w:val="11AC7198"/>
    <w:rsid w:val="11AF4A68"/>
    <w:rsid w:val="11B20C52"/>
    <w:rsid w:val="11C023CD"/>
    <w:rsid w:val="11C72224"/>
    <w:rsid w:val="11C8783A"/>
    <w:rsid w:val="11F254F3"/>
    <w:rsid w:val="11F70C71"/>
    <w:rsid w:val="1202500A"/>
    <w:rsid w:val="1209283C"/>
    <w:rsid w:val="120A12F0"/>
    <w:rsid w:val="126161D4"/>
    <w:rsid w:val="128F3808"/>
    <w:rsid w:val="12913ADB"/>
    <w:rsid w:val="12BE5A78"/>
    <w:rsid w:val="12DA1AE3"/>
    <w:rsid w:val="131462C7"/>
    <w:rsid w:val="132536A6"/>
    <w:rsid w:val="13620456"/>
    <w:rsid w:val="13631AD8"/>
    <w:rsid w:val="13870AC5"/>
    <w:rsid w:val="13955291"/>
    <w:rsid w:val="139B3968"/>
    <w:rsid w:val="13BD568C"/>
    <w:rsid w:val="13EF712B"/>
    <w:rsid w:val="13FB724D"/>
    <w:rsid w:val="14143A09"/>
    <w:rsid w:val="14321BD6"/>
    <w:rsid w:val="14465682"/>
    <w:rsid w:val="1461239E"/>
    <w:rsid w:val="14642A47"/>
    <w:rsid w:val="146A5814"/>
    <w:rsid w:val="148C3F7D"/>
    <w:rsid w:val="14A423A8"/>
    <w:rsid w:val="14A8633C"/>
    <w:rsid w:val="14BE4314"/>
    <w:rsid w:val="14C8078D"/>
    <w:rsid w:val="14DD41E6"/>
    <w:rsid w:val="14E47444"/>
    <w:rsid w:val="14E86739"/>
    <w:rsid w:val="15023C9F"/>
    <w:rsid w:val="151948F4"/>
    <w:rsid w:val="154020D1"/>
    <w:rsid w:val="15453B8B"/>
    <w:rsid w:val="15610299"/>
    <w:rsid w:val="158E37F0"/>
    <w:rsid w:val="159D571F"/>
    <w:rsid w:val="15A72150"/>
    <w:rsid w:val="15C34AB0"/>
    <w:rsid w:val="15D13671"/>
    <w:rsid w:val="15DD5B72"/>
    <w:rsid w:val="15FD6214"/>
    <w:rsid w:val="1607785B"/>
    <w:rsid w:val="160A7825"/>
    <w:rsid w:val="16353154"/>
    <w:rsid w:val="16610551"/>
    <w:rsid w:val="16695657"/>
    <w:rsid w:val="167209B0"/>
    <w:rsid w:val="16762429"/>
    <w:rsid w:val="167F30CD"/>
    <w:rsid w:val="168510F5"/>
    <w:rsid w:val="16A6065A"/>
    <w:rsid w:val="16D72F09"/>
    <w:rsid w:val="16DD4CBF"/>
    <w:rsid w:val="171B1048"/>
    <w:rsid w:val="172E66CD"/>
    <w:rsid w:val="178A2F5A"/>
    <w:rsid w:val="178D2ADC"/>
    <w:rsid w:val="18047D2E"/>
    <w:rsid w:val="182E414D"/>
    <w:rsid w:val="185537EF"/>
    <w:rsid w:val="188E357D"/>
    <w:rsid w:val="18CB25F9"/>
    <w:rsid w:val="18D21BDA"/>
    <w:rsid w:val="19043F59"/>
    <w:rsid w:val="19061883"/>
    <w:rsid w:val="190D1AE1"/>
    <w:rsid w:val="19153875"/>
    <w:rsid w:val="1922362F"/>
    <w:rsid w:val="19306900"/>
    <w:rsid w:val="19351120"/>
    <w:rsid w:val="19525EEA"/>
    <w:rsid w:val="19576833"/>
    <w:rsid w:val="19683FBD"/>
    <w:rsid w:val="19766A09"/>
    <w:rsid w:val="1977008B"/>
    <w:rsid w:val="19805192"/>
    <w:rsid w:val="19A05834"/>
    <w:rsid w:val="19A370D2"/>
    <w:rsid w:val="19D13C3F"/>
    <w:rsid w:val="19F912CD"/>
    <w:rsid w:val="1A351DCA"/>
    <w:rsid w:val="1A497C7A"/>
    <w:rsid w:val="1A7F5449"/>
    <w:rsid w:val="1A891F2F"/>
    <w:rsid w:val="1A937147"/>
    <w:rsid w:val="1A951111"/>
    <w:rsid w:val="1AB05F4B"/>
    <w:rsid w:val="1AC45552"/>
    <w:rsid w:val="1AC94917"/>
    <w:rsid w:val="1AF36430"/>
    <w:rsid w:val="1B140288"/>
    <w:rsid w:val="1B574618"/>
    <w:rsid w:val="1B617245"/>
    <w:rsid w:val="1B6F3710"/>
    <w:rsid w:val="1B8229A5"/>
    <w:rsid w:val="1B884CB7"/>
    <w:rsid w:val="1B8F0552"/>
    <w:rsid w:val="1B9A62B3"/>
    <w:rsid w:val="1BA3785E"/>
    <w:rsid w:val="1BA535D6"/>
    <w:rsid w:val="1BD10986"/>
    <w:rsid w:val="1BD664C1"/>
    <w:rsid w:val="1BEA0FE8"/>
    <w:rsid w:val="1BEB6743"/>
    <w:rsid w:val="1BF72D21"/>
    <w:rsid w:val="1BFD0D1C"/>
    <w:rsid w:val="1C312E45"/>
    <w:rsid w:val="1C381D54"/>
    <w:rsid w:val="1C6568C1"/>
    <w:rsid w:val="1C7A60C9"/>
    <w:rsid w:val="1C890801"/>
    <w:rsid w:val="1CC54B7F"/>
    <w:rsid w:val="1CC632EB"/>
    <w:rsid w:val="1CCC03E2"/>
    <w:rsid w:val="1CD47504"/>
    <w:rsid w:val="1D2027D7"/>
    <w:rsid w:val="1D370008"/>
    <w:rsid w:val="1D3A5FA0"/>
    <w:rsid w:val="1D3A6632"/>
    <w:rsid w:val="1D532BBD"/>
    <w:rsid w:val="1D7B3FF9"/>
    <w:rsid w:val="1D860599"/>
    <w:rsid w:val="1DAA1C58"/>
    <w:rsid w:val="1DB93368"/>
    <w:rsid w:val="1DBC4C07"/>
    <w:rsid w:val="1DDB37DB"/>
    <w:rsid w:val="1DF24184"/>
    <w:rsid w:val="1DF60118"/>
    <w:rsid w:val="1E1265D5"/>
    <w:rsid w:val="1E1D38F7"/>
    <w:rsid w:val="1E2A7DC2"/>
    <w:rsid w:val="1E3D5D47"/>
    <w:rsid w:val="1E62130A"/>
    <w:rsid w:val="1E9B2A6E"/>
    <w:rsid w:val="1EA75C2F"/>
    <w:rsid w:val="1EB20A07"/>
    <w:rsid w:val="1EFF124F"/>
    <w:rsid w:val="1F06438B"/>
    <w:rsid w:val="1F0813F5"/>
    <w:rsid w:val="1F0C54A8"/>
    <w:rsid w:val="1F332CA6"/>
    <w:rsid w:val="1F3709E9"/>
    <w:rsid w:val="1F3F164B"/>
    <w:rsid w:val="1F601FA9"/>
    <w:rsid w:val="1F8B2894"/>
    <w:rsid w:val="1F95077E"/>
    <w:rsid w:val="1FC14756"/>
    <w:rsid w:val="1FC16504"/>
    <w:rsid w:val="1FC61D6D"/>
    <w:rsid w:val="1FD91AA0"/>
    <w:rsid w:val="1FE12702"/>
    <w:rsid w:val="1FEA5A5B"/>
    <w:rsid w:val="200308CB"/>
    <w:rsid w:val="20646A1B"/>
    <w:rsid w:val="209E357D"/>
    <w:rsid w:val="209F2C4D"/>
    <w:rsid w:val="20CC69EF"/>
    <w:rsid w:val="20DB35F6"/>
    <w:rsid w:val="21020B82"/>
    <w:rsid w:val="21140BF4"/>
    <w:rsid w:val="211704C9"/>
    <w:rsid w:val="213934BC"/>
    <w:rsid w:val="21683A4C"/>
    <w:rsid w:val="21690C01"/>
    <w:rsid w:val="217F06F4"/>
    <w:rsid w:val="21934186"/>
    <w:rsid w:val="21966885"/>
    <w:rsid w:val="21A36FDB"/>
    <w:rsid w:val="21B46321"/>
    <w:rsid w:val="21C878B8"/>
    <w:rsid w:val="21E9221E"/>
    <w:rsid w:val="222334A6"/>
    <w:rsid w:val="226715E5"/>
    <w:rsid w:val="22837AA1"/>
    <w:rsid w:val="22993768"/>
    <w:rsid w:val="22A85759"/>
    <w:rsid w:val="22C858FF"/>
    <w:rsid w:val="22DC7E78"/>
    <w:rsid w:val="231E32E1"/>
    <w:rsid w:val="236553F8"/>
    <w:rsid w:val="23744181"/>
    <w:rsid w:val="238F6834"/>
    <w:rsid w:val="23A81EB5"/>
    <w:rsid w:val="23C12F77"/>
    <w:rsid w:val="23CE7442"/>
    <w:rsid w:val="23D20CE0"/>
    <w:rsid w:val="23DE7685"/>
    <w:rsid w:val="23FA0237"/>
    <w:rsid w:val="23FC43CB"/>
    <w:rsid w:val="23FF3832"/>
    <w:rsid w:val="24117358"/>
    <w:rsid w:val="24286B52"/>
    <w:rsid w:val="242B4894"/>
    <w:rsid w:val="245C67FB"/>
    <w:rsid w:val="24612064"/>
    <w:rsid w:val="24833D88"/>
    <w:rsid w:val="249C309C"/>
    <w:rsid w:val="249C4E4A"/>
    <w:rsid w:val="24B04998"/>
    <w:rsid w:val="24FD3B3B"/>
    <w:rsid w:val="25070E5D"/>
    <w:rsid w:val="250749B9"/>
    <w:rsid w:val="250F7E9F"/>
    <w:rsid w:val="252C08C4"/>
    <w:rsid w:val="252E6649"/>
    <w:rsid w:val="25382DC5"/>
    <w:rsid w:val="2540611D"/>
    <w:rsid w:val="255D7526"/>
    <w:rsid w:val="2573095D"/>
    <w:rsid w:val="25847A9B"/>
    <w:rsid w:val="25873D4C"/>
    <w:rsid w:val="25E4441C"/>
    <w:rsid w:val="2608575D"/>
    <w:rsid w:val="262E41C8"/>
    <w:rsid w:val="26323CB8"/>
    <w:rsid w:val="264D464E"/>
    <w:rsid w:val="267A740D"/>
    <w:rsid w:val="268A58A2"/>
    <w:rsid w:val="2690396B"/>
    <w:rsid w:val="26AE512D"/>
    <w:rsid w:val="26B96187"/>
    <w:rsid w:val="26CB04CF"/>
    <w:rsid w:val="26FB054E"/>
    <w:rsid w:val="272E0923"/>
    <w:rsid w:val="27535154"/>
    <w:rsid w:val="27541D8F"/>
    <w:rsid w:val="275639D6"/>
    <w:rsid w:val="275D6B12"/>
    <w:rsid w:val="27976C47"/>
    <w:rsid w:val="27C065A2"/>
    <w:rsid w:val="280444F2"/>
    <w:rsid w:val="28092E82"/>
    <w:rsid w:val="283C7070"/>
    <w:rsid w:val="284B1663"/>
    <w:rsid w:val="285525AD"/>
    <w:rsid w:val="285831A2"/>
    <w:rsid w:val="287D5314"/>
    <w:rsid w:val="28AB0135"/>
    <w:rsid w:val="28C32245"/>
    <w:rsid w:val="28D472A8"/>
    <w:rsid w:val="28D771B3"/>
    <w:rsid w:val="28E15521"/>
    <w:rsid w:val="28F22610"/>
    <w:rsid w:val="28F6715F"/>
    <w:rsid w:val="2927562A"/>
    <w:rsid w:val="293E5137"/>
    <w:rsid w:val="294D1B32"/>
    <w:rsid w:val="295C2DFA"/>
    <w:rsid w:val="297B7831"/>
    <w:rsid w:val="29C15A7E"/>
    <w:rsid w:val="2A247DBB"/>
    <w:rsid w:val="2A352282"/>
    <w:rsid w:val="2A5F71FE"/>
    <w:rsid w:val="2A7E1274"/>
    <w:rsid w:val="2AD4533E"/>
    <w:rsid w:val="2ADC41F2"/>
    <w:rsid w:val="2ADF3CE2"/>
    <w:rsid w:val="2B006133"/>
    <w:rsid w:val="2B183E1B"/>
    <w:rsid w:val="2B19215E"/>
    <w:rsid w:val="2B22112A"/>
    <w:rsid w:val="2B265158"/>
    <w:rsid w:val="2B3744A0"/>
    <w:rsid w:val="2BAF21A8"/>
    <w:rsid w:val="2BCC11A7"/>
    <w:rsid w:val="2BDB76C2"/>
    <w:rsid w:val="2BE27F2E"/>
    <w:rsid w:val="2BE87AAD"/>
    <w:rsid w:val="2BE912BD"/>
    <w:rsid w:val="2BF832AE"/>
    <w:rsid w:val="2C1A1476"/>
    <w:rsid w:val="2C2E6CCF"/>
    <w:rsid w:val="2C37360C"/>
    <w:rsid w:val="2C5A3DB0"/>
    <w:rsid w:val="2C666469"/>
    <w:rsid w:val="2C6D3C9C"/>
    <w:rsid w:val="2C732934"/>
    <w:rsid w:val="2C7548FE"/>
    <w:rsid w:val="2C7F154B"/>
    <w:rsid w:val="2CCB451E"/>
    <w:rsid w:val="2D26365A"/>
    <w:rsid w:val="2D4B565F"/>
    <w:rsid w:val="2D5B1AF1"/>
    <w:rsid w:val="2D71156A"/>
    <w:rsid w:val="2D7121BC"/>
    <w:rsid w:val="2D8F7C42"/>
    <w:rsid w:val="2DB23588"/>
    <w:rsid w:val="2DB61DC2"/>
    <w:rsid w:val="2DD85145"/>
    <w:rsid w:val="2E0F48DF"/>
    <w:rsid w:val="2E195B6E"/>
    <w:rsid w:val="2E2C36E3"/>
    <w:rsid w:val="2E4A0A0F"/>
    <w:rsid w:val="2E61479F"/>
    <w:rsid w:val="2E782BB1"/>
    <w:rsid w:val="2E935510"/>
    <w:rsid w:val="2EA84727"/>
    <w:rsid w:val="2EC21111"/>
    <w:rsid w:val="2ED964C1"/>
    <w:rsid w:val="2EED10C4"/>
    <w:rsid w:val="2F0C2E65"/>
    <w:rsid w:val="2F113395"/>
    <w:rsid w:val="2F2B1BEC"/>
    <w:rsid w:val="2F3F2FA2"/>
    <w:rsid w:val="2F5729E1"/>
    <w:rsid w:val="2F8337D6"/>
    <w:rsid w:val="2FAD2601"/>
    <w:rsid w:val="2FBD207A"/>
    <w:rsid w:val="2FC46C7B"/>
    <w:rsid w:val="2FE8309F"/>
    <w:rsid w:val="2FE861DB"/>
    <w:rsid w:val="2FEA115F"/>
    <w:rsid w:val="2FF975F4"/>
    <w:rsid w:val="30091D21"/>
    <w:rsid w:val="301A5EE8"/>
    <w:rsid w:val="301D68DE"/>
    <w:rsid w:val="30226E93"/>
    <w:rsid w:val="302A1EA4"/>
    <w:rsid w:val="306A22A0"/>
    <w:rsid w:val="30847806"/>
    <w:rsid w:val="30D75B88"/>
    <w:rsid w:val="31181CFC"/>
    <w:rsid w:val="31307046"/>
    <w:rsid w:val="313A6116"/>
    <w:rsid w:val="318C2702"/>
    <w:rsid w:val="319770C5"/>
    <w:rsid w:val="31FE7144"/>
    <w:rsid w:val="32285F6F"/>
    <w:rsid w:val="322C5A5F"/>
    <w:rsid w:val="3245276F"/>
    <w:rsid w:val="32546D64"/>
    <w:rsid w:val="325A31AA"/>
    <w:rsid w:val="32650FD7"/>
    <w:rsid w:val="32916000"/>
    <w:rsid w:val="32AC4DF2"/>
    <w:rsid w:val="32FF13C6"/>
    <w:rsid w:val="33030EB6"/>
    <w:rsid w:val="330B682A"/>
    <w:rsid w:val="33163A81"/>
    <w:rsid w:val="332561EC"/>
    <w:rsid w:val="334260EE"/>
    <w:rsid w:val="336D4581"/>
    <w:rsid w:val="33705E1F"/>
    <w:rsid w:val="33835B53"/>
    <w:rsid w:val="33953AD8"/>
    <w:rsid w:val="33AB50A9"/>
    <w:rsid w:val="33C70135"/>
    <w:rsid w:val="33CF4C6C"/>
    <w:rsid w:val="33DC5BDE"/>
    <w:rsid w:val="34181BA1"/>
    <w:rsid w:val="341B222F"/>
    <w:rsid w:val="342015F4"/>
    <w:rsid w:val="3446557F"/>
    <w:rsid w:val="34480B4A"/>
    <w:rsid w:val="34567FB6"/>
    <w:rsid w:val="34A30383"/>
    <w:rsid w:val="34AE6BFF"/>
    <w:rsid w:val="34C1517C"/>
    <w:rsid w:val="34C91C8B"/>
    <w:rsid w:val="34FA3BF3"/>
    <w:rsid w:val="350B632D"/>
    <w:rsid w:val="351E0F07"/>
    <w:rsid w:val="3529033D"/>
    <w:rsid w:val="354F72C2"/>
    <w:rsid w:val="3589141A"/>
    <w:rsid w:val="359009FB"/>
    <w:rsid w:val="359360C4"/>
    <w:rsid w:val="3599165E"/>
    <w:rsid w:val="35C67F79"/>
    <w:rsid w:val="35C97A69"/>
    <w:rsid w:val="35D97CAC"/>
    <w:rsid w:val="35E46651"/>
    <w:rsid w:val="35E87EEF"/>
    <w:rsid w:val="35F3679E"/>
    <w:rsid w:val="35FA7C22"/>
    <w:rsid w:val="35FB3FA8"/>
    <w:rsid w:val="35FF348B"/>
    <w:rsid w:val="36063CE6"/>
    <w:rsid w:val="36415C96"/>
    <w:rsid w:val="3647031A"/>
    <w:rsid w:val="36525CB0"/>
    <w:rsid w:val="368528CA"/>
    <w:rsid w:val="36910587"/>
    <w:rsid w:val="36B129D7"/>
    <w:rsid w:val="36CF172B"/>
    <w:rsid w:val="36D668E1"/>
    <w:rsid w:val="36DF7544"/>
    <w:rsid w:val="36E80454"/>
    <w:rsid w:val="37012882"/>
    <w:rsid w:val="37537F2A"/>
    <w:rsid w:val="375D1A85"/>
    <w:rsid w:val="37737C8C"/>
    <w:rsid w:val="37932249"/>
    <w:rsid w:val="37984548"/>
    <w:rsid w:val="37C91FA2"/>
    <w:rsid w:val="37CD55EE"/>
    <w:rsid w:val="37E61FE4"/>
    <w:rsid w:val="37E734B9"/>
    <w:rsid w:val="38073014"/>
    <w:rsid w:val="380D6333"/>
    <w:rsid w:val="380D685F"/>
    <w:rsid w:val="384004B6"/>
    <w:rsid w:val="38400B30"/>
    <w:rsid w:val="386901D1"/>
    <w:rsid w:val="389E1FD9"/>
    <w:rsid w:val="38A26A7B"/>
    <w:rsid w:val="38AB12B1"/>
    <w:rsid w:val="38C000E0"/>
    <w:rsid w:val="38C764E2"/>
    <w:rsid w:val="38DB2C38"/>
    <w:rsid w:val="38F55BAA"/>
    <w:rsid w:val="39206C68"/>
    <w:rsid w:val="39495149"/>
    <w:rsid w:val="394A04AD"/>
    <w:rsid w:val="394B3C70"/>
    <w:rsid w:val="395104A1"/>
    <w:rsid w:val="396B3311"/>
    <w:rsid w:val="39B051C8"/>
    <w:rsid w:val="39B27192"/>
    <w:rsid w:val="39D37108"/>
    <w:rsid w:val="39E460AF"/>
    <w:rsid w:val="39F46F0A"/>
    <w:rsid w:val="39FD5F33"/>
    <w:rsid w:val="3A080B60"/>
    <w:rsid w:val="3A085004"/>
    <w:rsid w:val="3A361B71"/>
    <w:rsid w:val="3A4A585F"/>
    <w:rsid w:val="3A4D6F07"/>
    <w:rsid w:val="3A5A5133"/>
    <w:rsid w:val="3A6366DE"/>
    <w:rsid w:val="3A685AA2"/>
    <w:rsid w:val="3A6C5593"/>
    <w:rsid w:val="3A773948"/>
    <w:rsid w:val="3A7E0A06"/>
    <w:rsid w:val="3A942F44"/>
    <w:rsid w:val="3A972710"/>
    <w:rsid w:val="3B293484"/>
    <w:rsid w:val="3B3E6803"/>
    <w:rsid w:val="3B806E1C"/>
    <w:rsid w:val="3B86054F"/>
    <w:rsid w:val="3B945A17"/>
    <w:rsid w:val="3B9D177C"/>
    <w:rsid w:val="3BA64AD4"/>
    <w:rsid w:val="3BA90120"/>
    <w:rsid w:val="3BB0325D"/>
    <w:rsid w:val="3BB17243"/>
    <w:rsid w:val="3BC95E9A"/>
    <w:rsid w:val="3BE455FD"/>
    <w:rsid w:val="3C0D48A1"/>
    <w:rsid w:val="3C2679C3"/>
    <w:rsid w:val="3C3C2B3B"/>
    <w:rsid w:val="3C634773"/>
    <w:rsid w:val="3C996A8E"/>
    <w:rsid w:val="3CC60243"/>
    <w:rsid w:val="3CDE6407"/>
    <w:rsid w:val="3CFB0E50"/>
    <w:rsid w:val="3D0A1093"/>
    <w:rsid w:val="3D136199"/>
    <w:rsid w:val="3D2C1009"/>
    <w:rsid w:val="3D2F6747"/>
    <w:rsid w:val="3D361E88"/>
    <w:rsid w:val="3D410A49"/>
    <w:rsid w:val="3D4D2D2E"/>
    <w:rsid w:val="3DA84E3B"/>
    <w:rsid w:val="3DD14FC6"/>
    <w:rsid w:val="3DD36477"/>
    <w:rsid w:val="3DF82424"/>
    <w:rsid w:val="3E06185A"/>
    <w:rsid w:val="3E2B12C1"/>
    <w:rsid w:val="3E4A068A"/>
    <w:rsid w:val="3E500D27"/>
    <w:rsid w:val="3E607FF6"/>
    <w:rsid w:val="3E656809"/>
    <w:rsid w:val="3E864749"/>
    <w:rsid w:val="3E9064A4"/>
    <w:rsid w:val="3EA34825"/>
    <w:rsid w:val="3EED2A1A"/>
    <w:rsid w:val="3EF45B57"/>
    <w:rsid w:val="3EFC4A0B"/>
    <w:rsid w:val="3F22673D"/>
    <w:rsid w:val="3F31711E"/>
    <w:rsid w:val="3F543E53"/>
    <w:rsid w:val="3F5C54AA"/>
    <w:rsid w:val="3F656A54"/>
    <w:rsid w:val="3F760C61"/>
    <w:rsid w:val="3F984734"/>
    <w:rsid w:val="3FAE422A"/>
    <w:rsid w:val="3FDA7ED4"/>
    <w:rsid w:val="3FDE5C0F"/>
    <w:rsid w:val="40224945"/>
    <w:rsid w:val="405C7E57"/>
    <w:rsid w:val="406B3BF6"/>
    <w:rsid w:val="40742202"/>
    <w:rsid w:val="40803118"/>
    <w:rsid w:val="40835A4C"/>
    <w:rsid w:val="409C0254"/>
    <w:rsid w:val="40BE01CA"/>
    <w:rsid w:val="40CA3013"/>
    <w:rsid w:val="40CE4185"/>
    <w:rsid w:val="40D02C36"/>
    <w:rsid w:val="40D21EC7"/>
    <w:rsid w:val="40D7128C"/>
    <w:rsid w:val="40D854C8"/>
    <w:rsid w:val="40D914A8"/>
    <w:rsid w:val="410B008F"/>
    <w:rsid w:val="41313092"/>
    <w:rsid w:val="41362456"/>
    <w:rsid w:val="416163D3"/>
    <w:rsid w:val="416845DA"/>
    <w:rsid w:val="418331C2"/>
    <w:rsid w:val="41B576FD"/>
    <w:rsid w:val="41E81277"/>
    <w:rsid w:val="420C765B"/>
    <w:rsid w:val="42273EA0"/>
    <w:rsid w:val="423F17DF"/>
    <w:rsid w:val="42402E61"/>
    <w:rsid w:val="42611433"/>
    <w:rsid w:val="426C6E5E"/>
    <w:rsid w:val="42876CE2"/>
    <w:rsid w:val="42997141"/>
    <w:rsid w:val="429B4101"/>
    <w:rsid w:val="42B775C7"/>
    <w:rsid w:val="42F26851"/>
    <w:rsid w:val="42F70A75"/>
    <w:rsid w:val="43156510"/>
    <w:rsid w:val="435318D7"/>
    <w:rsid w:val="43A40C40"/>
    <w:rsid w:val="43BC79A0"/>
    <w:rsid w:val="43C23C8A"/>
    <w:rsid w:val="44006D4C"/>
    <w:rsid w:val="44093E52"/>
    <w:rsid w:val="44123658"/>
    <w:rsid w:val="441B2477"/>
    <w:rsid w:val="44305883"/>
    <w:rsid w:val="44617F98"/>
    <w:rsid w:val="44877E79"/>
    <w:rsid w:val="448E4357"/>
    <w:rsid w:val="44A675B4"/>
    <w:rsid w:val="44A8366B"/>
    <w:rsid w:val="44B518E4"/>
    <w:rsid w:val="44CC6850"/>
    <w:rsid w:val="44D90D2D"/>
    <w:rsid w:val="44EB79FC"/>
    <w:rsid w:val="44EE4DF6"/>
    <w:rsid w:val="45193A79"/>
    <w:rsid w:val="453A7E81"/>
    <w:rsid w:val="454A1600"/>
    <w:rsid w:val="4557299B"/>
    <w:rsid w:val="45594965"/>
    <w:rsid w:val="45765517"/>
    <w:rsid w:val="457C0654"/>
    <w:rsid w:val="4588524B"/>
    <w:rsid w:val="45895E80"/>
    <w:rsid w:val="459E0800"/>
    <w:rsid w:val="459F6E66"/>
    <w:rsid w:val="45B33821"/>
    <w:rsid w:val="45EC1A9C"/>
    <w:rsid w:val="45F97EF6"/>
    <w:rsid w:val="46152F37"/>
    <w:rsid w:val="461B7E6D"/>
    <w:rsid w:val="463351B6"/>
    <w:rsid w:val="464C1070"/>
    <w:rsid w:val="465377FB"/>
    <w:rsid w:val="4656787E"/>
    <w:rsid w:val="468477C0"/>
    <w:rsid w:val="468A0B4E"/>
    <w:rsid w:val="468F7886"/>
    <w:rsid w:val="469A3487"/>
    <w:rsid w:val="469C7200"/>
    <w:rsid w:val="46B1432D"/>
    <w:rsid w:val="46C16C66"/>
    <w:rsid w:val="46DF533E"/>
    <w:rsid w:val="4740699E"/>
    <w:rsid w:val="476538B5"/>
    <w:rsid w:val="47743CD8"/>
    <w:rsid w:val="47A12944"/>
    <w:rsid w:val="47B16CDB"/>
    <w:rsid w:val="480F46F9"/>
    <w:rsid w:val="4856518C"/>
    <w:rsid w:val="489108BA"/>
    <w:rsid w:val="48961A2D"/>
    <w:rsid w:val="49025314"/>
    <w:rsid w:val="490364C8"/>
    <w:rsid w:val="495E079C"/>
    <w:rsid w:val="496569CB"/>
    <w:rsid w:val="496747FE"/>
    <w:rsid w:val="4972249A"/>
    <w:rsid w:val="49885819"/>
    <w:rsid w:val="498F50D9"/>
    <w:rsid w:val="49C600F0"/>
    <w:rsid w:val="49C70A83"/>
    <w:rsid w:val="49CD76D0"/>
    <w:rsid w:val="49D00F6E"/>
    <w:rsid w:val="49EA3D54"/>
    <w:rsid w:val="49EB7B56"/>
    <w:rsid w:val="49FF361D"/>
    <w:rsid w:val="4A1E7200"/>
    <w:rsid w:val="4A3228A6"/>
    <w:rsid w:val="4A3B24EE"/>
    <w:rsid w:val="4A3B6699"/>
    <w:rsid w:val="4A7E7BF1"/>
    <w:rsid w:val="4A835FE1"/>
    <w:rsid w:val="4A897A9B"/>
    <w:rsid w:val="4AA20B5D"/>
    <w:rsid w:val="4AD64D94"/>
    <w:rsid w:val="4B0F0874"/>
    <w:rsid w:val="4B202D95"/>
    <w:rsid w:val="4B38326F"/>
    <w:rsid w:val="4B3D4790"/>
    <w:rsid w:val="4B4340EE"/>
    <w:rsid w:val="4B5300A9"/>
    <w:rsid w:val="4B553E21"/>
    <w:rsid w:val="4B5C6F5D"/>
    <w:rsid w:val="4B78366B"/>
    <w:rsid w:val="4BA37583"/>
    <w:rsid w:val="4BAB333E"/>
    <w:rsid w:val="4BB70638"/>
    <w:rsid w:val="4BE84ADE"/>
    <w:rsid w:val="4BEA35E2"/>
    <w:rsid w:val="4BF81D36"/>
    <w:rsid w:val="4C067046"/>
    <w:rsid w:val="4C231829"/>
    <w:rsid w:val="4C261319"/>
    <w:rsid w:val="4C2D26A8"/>
    <w:rsid w:val="4C4208FA"/>
    <w:rsid w:val="4C453E95"/>
    <w:rsid w:val="4C6D6F48"/>
    <w:rsid w:val="4C722204"/>
    <w:rsid w:val="4C9170DB"/>
    <w:rsid w:val="4C9B1D07"/>
    <w:rsid w:val="4C9E46AD"/>
    <w:rsid w:val="4CCB7D93"/>
    <w:rsid w:val="4CEC3221"/>
    <w:rsid w:val="4CEE0089"/>
    <w:rsid w:val="4D16138E"/>
    <w:rsid w:val="4D245859"/>
    <w:rsid w:val="4D3B7C96"/>
    <w:rsid w:val="4D4978AC"/>
    <w:rsid w:val="4D5221B8"/>
    <w:rsid w:val="4DE8774A"/>
    <w:rsid w:val="4DF354E4"/>
    <w:rsid w:val="4DFC67D6"/>
    <w:rsid w:val="4E121B55"/>
    <w:rsid w:val="4E2F4B6D"/>
    <w:rsid w:val="4E3046D1"/>
    <w:rsid w:val="4E353A96"/>
    <w:rsid w:val="4E6F2738"/>
    <w:rsid w:val="4E822DD2"/>
    <w:rsid w:val="4E9764FE"/>
    <w:rsid w:val="4E9B4352"/>
    <w:rsid w:val="4EDE412D"/>
    <w:rsid w:val="4EF574D2"/>
    <w:rsid w:val="4F02606E"/>
    <w:rsid w:val="4F144A63"/>
    <w:rsid w:val="4F22401A"/>
    <w:rsid w:val="4F254E70"/>
    <w:rsid w:val="4F3D0E54"/>
    <w:rsid w:val="4F561F16"/>
    <w:rsid w:val="4F622668"/>
    <w:rsid w:val="4F6603AB"/>
    <w:rsid w:val="4F7725B8"/>
    <w:rsid w:val="4F9D7B44"/>
    <w:rsid w:val="4F9F1B0F"/>
    <w:rsid w:val="4FC43323"/>
    <w:rsid w:val="4FD712A8"/>
    <w:rsid w:val="4FD95020"/>
    <w:rsid w:val="4FEA0478"/>
    <w:rsid w:val="500B71A4"/>
    <w:rsid w:val="501047BA"/>
    <w:rsid w:val="50107600"/>
    <w:rsid w:val="501E2A33"/>
    <w:rsid w:val="502B5150"/>
    <w:rsid w:val="50373AF5"/>
    <w:rsid w:val="50616DC4"/>
    <w:rsid w:val="50783615"/>
    <w:rsid w:val="50A22688"/>
    <w:rsid w:val="50C03AEB"/>
    <w:rsid w:val="50F33EC0"/>
    <w:rsid w:val="510A745C"/>
    <w:rsid w:val="511107EA"/>
    <w:rsid w:val="51202BC1"/>
    <w:rsid w:val="51251CF4"/>
    <w:rsid w:val="512A18AC"/>
    <w:rsid w:val="51402E7D"/>
    <w:rsid w:val="51482C7D"/>
    <w:rsid w:val="515B7031"/>
    <w:rsid w:val="515D758B"/>
    <w:rsid w:val="51656D01"/>
    <w:rsid w:val="51864D34"/>
    <w:rsid w:val="518B234A"/>
    <w:rsid w:val="519311FF"/>
    <w:rsid w:val="51965D71"/>
    <w:rsid w:val="519F7BA4"/>
    <w:rsid w:val="51A96C75"/>
    <w:rsid w:val="51AE428B"/>
    <w:rsid w:val="51C55131"/>
    <w:rsid w:val="51D57A6A"/>
    <w:rsid w:val="52804A52"/>
    <w:rsid w:val="52A53AFB"/>
    <w:rsid w:val="52AD59E4"/>
    <w:rsid w:val="52B256B5"/>
    <w:rsid w:val="52CC2C1B"/>
    <w:rsid w:val="52E57838"/>
    <w:rsid w:val="52F421A7"/>
    <w:rsid w:val="5302488E"/>
    <w:rsid w:val="531E4716"/>
    <w:rsid w:val="532F4F57"/>
    <w:rsid w:val="53310342"/>
    <w:rsid w:val="534F55FA"/>
    <w:rsid w:val="539D5CEC"/>
    <w:rsid w:val="53A72D40"/>
    <w:rsid w:val="53B355D7"/>
    <w:rsid w:val="53C806C1"/>
    <w:rsid w:val="53E421E6"/>
    <w:rsid w:val="53F33750"/>
    <w:rsid w:val="541128AF"/>
    <w:rsid w:val="541E31C1"/>
    <w:rsid w:val="542A0708"/>
    <w:rsid w:val="548968E9"/>
    <w:rsid w:val="54A75BE6"/>
    <w:rsid w:val="54A83213"/>
    <w:rsid w:val="54B2355D"/>
    <w:rsid w:val="54B77AC1"/>
    <w:rsid w:val="54BA746C"/>
    <w:rsid w:val="54BE5272"/>
    <w:rsid w:val="54F46459"/>
    <w:rsid w:val="553D706B"/>
    <w:rsid w:val="556F3D31"/>
    <w:rsid w:val="557462A8"/>
    <w:rsid w:val="55825812"/>
    <w:rsid w:val="55AD03B6"/>
    <w:rsid w:val="55B11F2F"/>
    <w:rsid w:val="55C51FC7"/>
    <w:rsid w:val="55C67DF5"/>
    <w:rsid w:val="55E60D40"/>
    <w:rsid w:val="561C4D71"/>
    <w:rsid w:val="5624659F"/>
    <w:rsid w:val="563034C0"/>
    <w:rsid w:val="5632548A"/>
    <w:rsid w:val="56715A24"/>
    <w:rsid w:val="567B189B"/>
    <w:rsid w:val="567F7FA4"/>
    <w:rsid w:val="56BA0D62"/>
    <w:rsid w:val="56BF65F2"/>
    <w:rsid w:val="56D54068"/>
    <w:rsid w:val="56E11407"/>
    <w:rsid w:val="57054EF3"/>
    <w:rsid w:val="570D55B0"/>
    <w:rsid w:val="57142097"/>
    <w:rsid w:val="572D0CFC"/>
    <w:rsid w:val="57633CE5"/>
    <w:rsid w:val="577A4DC8"/>
    <w:rsid w:val="57960AF2"/>
    <w:rsid w:val="57A51C8C"/>
    <w:rsid w:val="57AA6E55"/>
    <w:rsid w:val="57AC6B77"/>
    <w:rsid w:val="57C83332"/>
    <w:rsid w:val="57CE2F91"/>
    <w:rsid w:val="57D4431F"/>
    <w:rsid w:val="58311772"/>
    <w:rsid w:val="583F79EB"/>
    <w:rsid w:val="589E0EC5"/>
    <w:rsid w:val="58BA3515"/>
    <w:rsid w:val="58D26AB1"/>
    <w:rsid w:val="58D273BA"/>
    <w:rsid w:val="58E107A1"/>
    <w:rsid w:val="58E16CF4"/>
    <w:rsid w:val="5906099D"/>
    <w:rsid w:val="590B5B1F"/>
    <w:rsid w:val="59115444"/>
    <w:rsid w:val="59145045"/>
    <w:rsid w:val="591D7F46"/>
    <w:rsid w:val="59351195"/>
    <w:rsid w:val="59577DF1"/>
    <w:rsid w:val="59B937CD"/>
    <w:rsid w:val="59F667CF"/>
    <w:rsid w:val="5A3A140D"/>
    <w:rsid w:val="5A3C1A2E"/>
    <w:rsid w:val="5A4237C2"/>
    <w:rsid w:val="5A443ABB"/>
    <w:rsid w:val="5A571C23"/>
    <w:rsid w:val="5A680140"/>
    <w:rsid w:val="5A767910"/>
    <w:rsid w:val="5A8E2EAB"/>
    <w:rsid w:val="5A957D96"/>
    <w:rsid w:val="5AA77AC9"/>
    <w:rsid w:val="5ABA77FD"/>
    <w:rsid w:val="5ABE498D"/>
    <w:rsid w:val="5AD76600"/>
    <w:rsid w:val="5B0B62AA"/>
    <w:rsid w:val="5B21787C"/>
    <w:rsid w:val="5B2378A8"/>
    <w:rsid w:val="5B4812AC"/>
    <w:rsid w:val="5B4D241F"/>
    <w:rsid w:val="5B5A431C"/>
    <w:rsid w:val="5BBF7FC8"/>
    <w:rsid w:val="5BCA7F13"/>
    <w:rsid w:val="5BE34B31"/>
    <w:rsid w:val="5BE80399"/>
    <w:rsid w:val="5BEE7330"/>
    <w:rsid w:val="5C001B87"/>
    <w:rsid w:val="5C07081F"/>
    <w:rsid w:val="5C1473E0"/>
    <w:rsid w:val="5C1A4C32"/>
    <w:rsid w:val="5C632F21"/>
    <w:rsid w:val="5C7F2AAC"/>
    <w:rsid w:val="5CAC586B"/>
    <w:rsid w:val="5CB519F1"/>
    <w:rsid w:val="5CB8077F"/>
    <w:rsid w:val="5D235B2D"/>
    <w:rsid w:val="5D2C38E4"/>
    <w:rsid w:val="5D2D2508"/>
    <w:rsid w:val="5D323FC2"/>
    <w:rsid w:val="5D454E22"/>
    <w:rsid w:val="5D641CA2"/>
    <w:rsid w:val="5D8B5B79"/>
    <w:rsid w:val="5DE30E18"/>
    <w:rsid w:val="5DEA7BA9"/>
    <w:rsid w:val="5DF448C0"/>
    <w:rsid w:val="5DF9063C"/>
    <w:rsid w:val="5DFB2D6D"/>
    <w:rsid w:val="5E365ED2"/>
    <w:rsid w:val="5E4F72F6"/>
    <w:rsid w:val="5E6301AB"/>
    <w:rsid w:val="5E6F4DA2"/>
    <w:rsid w:val="5E7B54F5"/>
    <w:rsid w:val="5E821550"/>
    <w:rsid w:val="5E875C48"/>
    <w:rsid w:val="5E9F7435"/>
    <w:rsid w:val="5EA44A4C"/>
    <w:rsid w:val="5EDD61AF"/>
    <w:rsid w:val="5EF43590"/>
    <w:rsid w:val="5F1F40D2"/>
    <w:rsid w:val="5F434264"/>
    <w:rsid w:val="5F57386C"/>
    <w:rsid w:val="5F593A88"/>
    <w:rsid w:val="5F5B4A5D"/>
    <w:rsid w:val="5F7A57AC"/>
    <w:rsid w:val="5F9745B0"/>
    <w:rsid w:val="5FAC70AD"/>
    <w:rsid w:val="5FB355F1"/>
    <w:rsid w:val="601856F1"/>
    <w:rsid w:val="602D0A71"/>
    <w:rsid w:val="603277EB"/>
    <w:rsid w:val="60387556"/>
    <w:rsid w:val="603B4F3C"/>
    <w:rsid w:val="604162CA"/>
    <w:rsid w:val="60584392"/>
    <w:rsid w:val="605C7849"/>
    <w:rsid w:val="606326E4"/>
    <w:rsid w:val="607246D5"/>
    <w:rsid w:val="60777D0A"/>
    <w:rsid w:val="608A7C71"/>
    <w:rsid w:val="6098238E"/>
    <w:rsid w:val="60CA4AE4"/>
    <w:rsid w:val="60D47DFC"/>
    <w:rsid w:val="60D659FD"/>
    <w:rsid w:val="60EF5D26"/>
    <w:rsid w:val="60F039E4"/>
    <w:rsid w:val="611F660B"/>
    <w:rsid w:val="612754C0"/>
    <w:rsid w:val="614C3178"/>
    <w:rsid w:val="61783F6D"/>
    <w:rsid w:val="61835CB6"/>
    <w:rsid w:val="61845D8D"/>
    <w:rsid w:val="618943CD"/>
    <w:rsid w:val="61F611D0"/>
    <w:rsid w:val="61FE0917"/>
    <w:rsid w:val="62007000"/>
    <w:rsid w:val="620E510C"/>
    <w:rsid w:val="62287777"/>
    <w:rsid w:val="628F56D7"/>
    <w:rsid w:val="62A53835"/>
    <w:rsid w:val="62C21944"/>
    <w:rsid w:val="62E0001C"/>
    <w:rsid w:val="62E4606E"/>
    <w:rsid w:val="62EC4C13"/>
    <w:rsid w:val="62EC69C1"/>
    <w:rsid w:val="63332842"/>
    <w:rsid w:val="633E116D"/>
    <w:rsid w:val="63464492"/>
    <w:rsid w:val="6347009B"/>
    <w:rsid w:val="63517581"/>
    <w:rsid w:val="63554566"/>
    <w:rsid w:val="63586D06"/>
    <w:rsid w:val="636E222C"/>
    <w:rsid w:val="637D586B"/>
    <w:rsid w:val="63A97172"/>
    <w:rsid w:val="63E92F01"/>
    <w:rsid w:val="63EC3F70"/>
    <w:rsid w:val="63F7386F"/>
    <w:rsid w:val="642D54E3"/>
    <w:rsid w:val="64383AD1"/>
    <w:rsid w:val="64502F80"/>
    <w:rsid w:val="64526CF8"/>
    <w:rsid w:val="64590086"/>
    <w:rsid w:val="64754794"/>
    <w:rsid w:val="647629E6"/>
    <w:rsid w:val="648669A1"/>
    <w:rsid w:val="64923598"/>
    <w:rsid w:val="64BA2183"/>
    <w:rsid w:val="650515E5"/>
    <w:rsid w:val="65312F1B"/>
    <w:rsid w:val="65384140"/>
    <w:rsid w:val="65554CF2"/>
    <w:rsid w:val="65735178"/>
    <w:rsid w:val="658C7FE7"/>
    <w:rsid w:val="659155FE"/>
    <w:rsid w:val="65996677"/>
    <w:rsid w:val="65A417D5"/>
    <w:rsid w:val="65AE3D26"/>
    <w:rsid w:val="65CD26B4"/>
    <w:rsid w:val="65DC4ACB"/>
    <w:rsid w:val="65EC7453"/>
    <w:rsid w:val="66047238"/>
    <w:rsid w:val="660648E1"/>
    <w:rsid w:val="66154481"/>
    <w:rsid w:val="661A0A16"/>
    <w:rsid w:val="661C0C7C"/>
    <w:rsid w:val="666176C6"/>
    <w:rsid w:val="666B22F3"/>
    <w:rsid w:val="666F1DE3"/>
    <w:rsid w:val="66B9305E"/>
    <w:rsid w:val="66C832A1"/>
    <w:rsid w:val="66D24120"/>
    <w:rsid w:val="66E63727"/>
    <w:rsid w:val="66F83B86"/>
    <w:rsid w:val="66FD14C3"/>
    <w:rsid w:val="6700465F"/>
    <w:rsid w:val="670544F5"/>
    <w:rsid w:val="67236BC5"/>
    <w:rsid w:val="676A4610"/>
    <w:rsid w:val="676A6F7B"/>
    <w:rsid w:val="677156E7"/>
    <w:rsid w:val="67753429"/>
    <w:rsid w:val="67780A64"/>
    <w:rsid w:val="677D30E0"/>
    <w:rsid w:val="678609C8"/>
    <w:rsid w:val="678E44EB"/>
    <w:rsid w:val="67EE0AE5"/>
    <w:rsid w:val="67EE31DB"/>
    <w:rsid w:val="68071BA7"/>
    <w:rsid w:val="68093B71"/>
    <w:rsid w:val="683230C8"/>
    <w:rsid w:val="683A01CF"/>
    <w:rsid w:val="684B418A"/>
    <w:rsid w:val="68555008"/>
    <w:rsid w:val="686200DD"/>
    <w:rsid w:val="686F7E78"/>
    <w:rsid w:val="687761F1"/>
    <w:rsid w:val="687B6875"/>
    <w:rsid w:val="688D02FE"/>
    <w:rsid w:val="688F22C8"/>
    <w:rsid w:val="689E69AF"/>
    <w:rsid w:val="68B65AA7"/>
    <w:rsid w:val="68EB20F0"/>
    <w:rsid w:val="68ED3493"/>
    <w:rsid w:val="68F95994"/>
    <w:rsid w:val="6917406C"/>
    <w:rsid w:val="6922138F"/>
    <w:rsid w:val="6928618E"/>
    <w:rsid w:val="694420CC"/>
    <w:rsid w:val="69661355"/>
    <w:rsid w:val="696E1C4C"/>
    <w:rsid w:val="69A00505"/>
    <w:rsid w:val="69A34438"/>
    <w:rsid w:val="6A0A597F"/>
    <w:rsid w:val="6A0B5A82"/>
    <w:rsid w:val="6A1C1F14"/>
    <w:rsid w:val="6A31115D"/>
    <w:rsid w:val="6A4175F2"/>
    <w:rsid w:val="6A7F7B72"/>
    <w:rsid w:val="6A96716E"/>
    <w:rsid w:val="6AC0668D"/>
    <w:rsid w:val="6AC93629"/>
    <w:rsid w:val="6AD42215"/>
    <w:rsid w:val="6ADC556D"/>
    <w:rsid w:val="6ADF6E0B"/>
    <w:rsid w:val="6AFA27E1"/>
    <w:rsid w:val="6B1C36D8"/>
    <w:rsid w:val="6B2A277C"/>
    <w:rsid w:val="6B2E1512"/>
    <w:rsid w:val="6B4F21E3"/>
    <w:rsid w:val="6B7B77ED"/>
    <w:rsid w:val="6B833C3B"/>
    <w:rsid w:val="6B923E7E"/>
    <w:rsid w:val="6BAF4A30"/>
    <w:rsid w:val="6BC24637"/>
    <w:rsid w:val="6BF40EC1"/>
    <w:rsid w:val="6C16685D"/>
    <w:rsid w:val="6C3F4006"/>
    <w:rsid w:val="6C5E021D"/>
    <w:rsid w:val="6C7041BF"/>
    <w:rsid w:val="6CA922DA"/>
    <w:rsid w:val="6CBA36C1"/>
    <w:rsid w:val="6CD02EB0"/>
    <w:rsid w:val="6D01750D"/>
    <w:rsid w:val="6D260D22"/>
    <w:rsid w:val="6D341690"/>
    <w:rsid w:val="6D714693"/>
    <w:rsid w:val="6D9034EF"/>
    <w:rsid w:val="6DA560EA"/>
    <w:rsid w:val="6DAF0D17"/>
    <w:rsid w:val="6DAF3EC3"/>
    <w:rsid w:val="6DBD1686"/>
    <w:rsid w:val="6DC761B7"/>
    <w:rsid w:val="6DD01ED5"/>
    <w:rsid w:val="6DD05733"/>
    <w:rsid w:val="6DD571EC"/>
    <w:rsid w:val="6E1D776A"/>
    <w:rsid w:val="6E2711F5"/>
    <w:rsid w:val="6E3336F6"/>
    <w:rsid w:val="6E3B6A4F"/>
    <w:rsid w:val="6E3C0F89"/>
    <w:rsid w:val="6E3E23D3"/>
    <w:rsid w:val="6E58315D"/>
    <w:rsid w:val="6E9137E0"/>
    <w:rsid w:val="6E916298"/>
    <w:rsid w:val="6E9323E7"/>
    <w:rsid w:val="6EA84809"/>
    <w:rsid w:val="6EE36271"/>
    <w:rsid w:val="6EF041DC"/>
    <w:rsid w:val="6F244603"/>
    <w:rsid w:val="6F4831D1"/>
    <w:rsid w:val="6F66625A"/>
    <w:rsid w:val="6FA51644"/>
    <w:rsid w:val="6FAF3250"/>
    <w:rsid w:val="6FC50CC6"/>
    <w:rsid w:val="6FC61E8F"/>
    <w:rsid w:val="6FCE7B7A"/>
    <w:rsid w:val="6FD607DD"/>
    <w:rsid w:val="6FDE7692"/>
    <w:rsid w:val="6FF75479"/>
    <w:rsid w:val="705A140E"/>
    <w:rsid w:val="705F4C76"/>
    <w:rsid w:val="70613731"/>
    <w:rsid w:val="70812E3F"/>
    <w:rsid w:val="70981F36"/>
    <w:rsid w:val="70997AC2"/>
    <w:rsid w:val="70C374A1"/>
    <w:rsid w:val="70F133F4"/>
    <w:rsid w:val="71096990"/>
    <w:rsid w:val="7113780F"/>
    <w:rsid w:val="712E63F7"/>
    <w:rsid w:val="713003C1"/>
    <w:rsid w:val="713A2FED"/>
    <w:rsid w:val="716A52DB"/>
    <w:rsid w:val="71706A0F"/>
    <w:rsid w:val="717C7162"/>
    <w:rsid w:val="719178EE"/>
    <w:rsid w:val="71A60683"/>
    <w:rsid w:val="71B763EC"/>
    <w:rsid w:val="71CD5C10"/>
    <w:rsid w:val="71D32BF0"/>
    <w:rsid w:val="723839D1"/>
    <w:rsid w:val="72695938"/>
    <w:rsid w:val="72B648F6"/>
    <w:rsid w:val="72BA11D4"/>
    <w:rsid w:val="73025D8D"/>
    <w:rsid w:val="73335F46"/>
    <w:rsid w:val="734B7734"/>
    <w:rsid w:val="73722F12"/>
    <w:rsid w:val="7386225B"/>
    <w:rsid w:val="73972979"/>
    <w:rsid w:val="739F6935"/>
    <w:rsid w:val="73B201E3"/>
    <w:rsid w:val="740718AD"/>
    <w:rsid w:val="741B5358"/>
    <w:rsid w:val="744F6DB0"/>
    <w:rsid w:val="745E5245"/>
    <w:rsid w:val="74624D35"/>
    <w:rsid w:val="74714F78"/>
    <w:rsid w:val="748A428C"/>
    <w:rsid w:val="7497043C"/>
    <w:rsid w:val="74CC6652"/>
    <w:rsid w:val="74DD43BC"/>
    <w:rsid w:val="74DE2D28"/>
    <w:rsid w:val="7521074C"/>
    <w:rsid w:val="75317F36"/>
    <w:rsid w:val="753A7A60"/>
    <w:rsid w:val="755248A6"/>
    <w:rsid w:val="75660855"/>
    <w:rsid w:val="759242AE"/>
    <w:rsid w:val="759A22AD"/>
    <w:rsid w:val="75B51DBC"/>
    <w:rsid w:val="75C94940"/>
    <w:rsid w:val="75CB06B8"/>
    <w:rsid w:val="75E57159"/>
    <w:rsid w:val="75ED6880"/>
    <w:rsid w:val="75FC4D15"/>
    <w:rsid w:val="763C5112"/>
    <w:rsid w:val="76431924"/>
    <w:rsid w:val="765E152C"/>
    <w:rsid w:val="766034F6"/>
    <w:rsid w:val="767E572A"/>
    <w:rsid w:val="76966F18"/>
    <w:rsid w:val="76C21ABB"/>
    <w:rsid w:val="76E01F41"/>
    <w:rsid w:val="76E45ED5"/>
    <w:rsid w:val="76EB7264"/>
    <w:rsid w:val="770025E3"/>
    <w:rsid w:val="771E7D75"/>
    <w:rsid w:val="77347057"/>
    <w:rsid w:val="77416E84"/>
    <w:rsid w:val="776668EA"/>
    <w:rsid w:val="77A64F39"/>
    <w:rsid w:val="77CF26E1"/>
    <w:rsid w:val="77E12415"/>
    <w:rsid w:val="77F9775E"/>
    <w:rsid w:val="77FA5285"/>
    <w:rsid w:val="781E0F73"/>
    <w:rsid w:val="781E29DE"/>
    <w:rsid w:val="782725D3"/>
    <w:rsid w:val="782B3690"/>
    <w:rsid w:val="7831514A"/>
    <w:rsid w:val="78660DE1"/>
    <w:rsid w:val="78757AE0"/>
    <w:rsid w:val="78B638A1"/>
    <w:rsid w:val="78C80EDF"/>
    <w:rsid w:val="78D14237"/>
    <w:rsid w:val="791871BB"/>
    <w:rsid w:val="793547C6"/>
    <w:rsid w:val="794A3E9B"/>
    <w:rsid w:val="798968C0"/>
    <w:rsid w:val="799F4335"/>
    <w:rsid w:val="79D96301"/>
    <w:rsid w:val="79DC7338"/>
    <w:rsid w:val="79E461EC"/>
    <w:rsid w:val="7A1A0D3D"/>
    <w:rsid w:val="7A344A7E"/>
    <w:rsid w:val="7A48677B"/>
    <w:rsid w:val="7A546ECE"/>
    <w:rsid w:val="7A592736"/>
    <w:rsid w:val="7A6766F3"/>
    <w:rsid w:val="7A8F4065"/>
    <w:rsid w:val="7A9F75E2"/>
    <w:rsid w:val="7AC51B7A"/>
    <w:rsid w:val="7AEC5358"/>
    <w:rsid w:val="7B0A3A31"/>
    <w:rsid w:val="7B1524BC"/>
    <w:rsid w:val="7B9D6653"/>
    <w:rsid w:val="7BA06143"/>
    <w:rsid w:val="7BD754B6"/>
    <w:rsid w:val="7BE36163"/>
    <w:rsid w:val="7BE60B10"/>
    <w:rsid w:val="7C1F52BA"/>
    <w:rsid w:val="7C282DC5"/>
    <w:rsid w:val="7C4A61CB"/>
    <w:rsid w:val="7C69085F"/>
    <w:rsid w:val="7C7744E9"/>
    <w:rsid w:val="7C8F68E3"/>
    <w:rsid w:val="7C920C6D"/>
    <w:rsid w:val="7D210AD2"/>
    <w:rsid w:val="7D527246"/>
    <w:rsid w:val="7D5B1FAF"/>
    <w:rsid w:val="7DA979A9"/>
    <w:rsid w:val="7DBD4D8A"/>
    <w:rsid w:val="7DC4607A"/>
    <w:rsid w:val="7E1F77F3"/>
    <w:rsid w:val="7E4253D3"/>
    <w:rsid w:val="7E6E734E"/>
    <w:rsid w:val="7E955D07"/>
    <w:rsid w:val="7E985949"/>
    <w:rsid w:val="7EC30AC6"/>
    <w:rsid w:val="7ECA7238"/>
    <w:rsid w:val="7EDE145C"/>
    <w:rsid w:val="7EE061AE"/>
    <w:rsid w:val="7EFB1398"/>
    <w:rsid w:val="7F1C1F84"/>
    <w:rsid w:val="7F4D213E"/>
    <w:rsid w:val="7F7B6CAB"/>
    <w:rsid w:val="7F930498"/>
    <w:rsid w:val="7F995383"/>
    <w:rsid w:val="7FAB3A34"/>
    <w:rsid w:val="7FCF6FF7"/>
    <w:rsid w:val="7FD12D6F"/>
    <w:rsid w:val="7FD64829"/>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9"/>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8"/>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unhideWhenUsed/>
    <w:qFormat/>
    <w:uiPriority w:val="0"/>
    <w:pPr>
      <w:keepNext/>
      <w:keepLines/>
      <w:spacing w:before="280" w:after="290" w:line="376" w:lineRule="auto"/>
      <w:outlineLvl w:val="3"/>
    </w:pPr>
    <w:rPr>
      <w:rFonts w:asciiTheme="majorHAnsi" w:hAnsiTheme="majorHAnsi" w:cstheme="majorBidi"/>
      <w:b/>
      <w:bCs/>
      <w:sz w:val="28"/>
      <w:szCs w:val="28"/>
    </w:rPr>
  </w:style>
  <w:style w:type="character" w:default="1" w:styleId="40">
    <w:name w:val="Default Paragraph Font"/>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link w:val="110"/>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128"/>
    <w:qFormat/>
    <w:uiPriority w:val="0"/>
    <w:rPr>
      <w:rFonts w:ascii="宋体" w:hAnsi="Calibri" w:eastAsia="宋体" w:cs="Times New Roman"/>
      <w:kern w:val="0"/>
      <w:sz w:val="18"/>
      <w:szCs w:val="20"/>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156"/>
    <w:qFormat/>
    <w:uiPriority w:val="0"/>
    <w:pPr>
      <w:jc w:val="left"/>
    </w:pPr>
  </w:style>
  <w:style w:type="paragraph" w:styleId="12">
    <w:name w:val="Body Text"/>
    <w:basedOn w:val="1"/>
    <w:next w:val="1"/>
    <w:link w:val="131"/>
    <w:qFormat/>
    <w:uiPriority w:val="99"/>
    <w:pPr>
      <w:spacing w:after="120"/>
    </w:pPr>
    <w:rPr>
      <w:rFonts w:ascii="Calibri" w:hAnsi="Calibri" w:eastAsia="宋体" w:cs="Times New Roman"/>
      <w:kern w:val="0"/>
      <w:sz w:val="24"/>
      <w:szCs w:val="20"/>
    </w:rPr>
  </w:style>
  <w:style w:type="paragraph" w:styleId="13">
    <w:name w:val="Body Text Indent"/>
    <w:basedOn w:val="1"/>
    <w:link w:val="62"/>
    <w:qFormat/>
    <w:uiPriority w:val="0"/>
    <w:pPr>
      <w:widowControl/>
      <w:spacing w:after="120"/>
      <w:ind w:left="420"/>
    </w:pPr>
    <w:rPr>
      <w:rFonts w:ascii="??" w:hAnsi="??" w:eastAsia="宋体" w:cs="Arial"/>
      <w:kern w:val="0"/>
      <w:sz w:val="24"/>
      <w:szCs w:val="24"/>
    </w:rPr>
  </w:style>
  <w:style w:type="paragraph" w:styleId="14">
    <w:name w:val="toc 5"/>
    <w:basedOn w:val="1"/>
    <w:next w:val="1"/>
    <w:qFormat/>
    <w:uiPriority w:val="0"/>
    <w:pPr>
      <w:ind w:left="1680" w:leftChars="800"/>
    </w:pPr>
    <w:rPr>
      <w:rFonts w:ascii="Times New Roman" w:hAnsi="Times New Roman" w:eastAsia="宋体" w:cs="Times New Roman"/>
      <w:szCs w:val="24"/>
    </w:rPr>
  </w:style>
  <w:style w:type="paragraph" w:styleId="15">
    <w:name w:val="toc 3"/>
    <w:basedOn w:val="1"/>
    <w:next w:val="1"/>
    <w:qFormat/>
    <w:uiPriority w:val="39"/>
    <w:pPr>
      <w:ind w:left="840" w:leftChars="400"/>
    </w:pPr>
    <w:rPr>
      <w:rFonts w:ascii="Times New Roman" w:hAnsi="Times New Roman" w:eastAsia="宋体" w:cs="Times New Roman"/>
      <w:szCs w:val="24"/>
    </w:rPr>
  </w:style>
  <w:style w:type="paragraph" w:styleId="16">
    <w:name w:val="Plain Text"/>
    <w:basedOn w:val="1"/>
    <w:link w:val="191"/>
    <w:qFormat/>
    <w:uiPriority w:val="0"/>
    <w:rPr>
      <w:rFonts w:ascii="宋体" w:hAnsi="Courier New" w:eastAsia="宋体"/>
      <w:szCs w:val="21"/>
    </w:rPr>
  </w:style>
  <w:style w:type="paragraph" w:styleId="17">
    <w:name w:val="toc 8"/>
    <w:basedOn w:val="1"/>
    <w:next w:val="1"/>
    <w:qFormat/>
    <w:uiPriority w:val="0"/>
    <w:pPr>
      <w:ind w:left="2940" w:leftChars="1400"/>
    </w:pPr>
    <w:rPr>
      <w:rFonts w:ascii="Times New Roman" w:hAnsi="Times New Roman" w:eastAsia="宋体" w:cs="Times New Roman"/>
      <w:szCs w:val="24"/>
    </w:rPr>
  </w:style>
  <w:style w:type="paragraph" w:styleId="18">
    <w:name w:val="Date"/>
    <w:basedOn w:val="1"/>
    <w:next w:val="1"/>
    <w:link w:val="151"/>
    <w:qFormat/>
    <w:uiPriority w:val="0"/>
    <w:rPr>
      <w:szCs w:val="21"/>
    </w:rPr>
  </w:style>
  <w:style w:type="paragraph" w:styleId="19">
    <w:name w:val="Body Text Indent 2"/>
    <w:basedOn w:val="1"/>
    <w:link w:val="124"/>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4"/>
    <w:qFormat/>
    <w:uiPriority w:val="99"/>
    <w:rPr>
      <w:rFonts w:ascii="Calibri" w:hAnsi="Calibri" w:eastAsia="宋体" w:cs="Times New Roman"/>
      <w:sz w:val="18"/>
      <w:szCs w:val="18"/>
    </w:rPr>
  </w:style>
  <w:style w:type="paragraph" w:styleId="21">
    <w:name w:val="footer"/>
    <w:basedOn w:val="1"/>
    <w:link w:val="61"/>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60"/>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footnote text"/>
    <w:basedOn w:val="1"/>
    <w:link w:val="168"/>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ind w:left="2100" w:leftChars="1000"/>
    </w:pPr>
    <w:rPr>
      <w:rFonts w:ascii="Times New Roman" w:hAnsi="Times New Roman" w:eastAsia="宋体" w:cs="Times New Roman"/>
      <w:szCs w:val="24"/>
    </w:rPr>
  </w:style>
  <w:style w:type="paragraph" w:styleId="27">
    <w:name w:val="Body Text Indent 3"/>
    <w:basedOn w:val="1"/>
    <w:link w:val="126"/>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toc 9"/>
    <w:basedOn w:val="1"/>
    <w:next w:val="1"/>
    <w:qFormat/>
    <w:uiPriority w:val="0"/>
    <w:pPr>
      <w:ind w:left="3360" w:leftChars="1600"/>
    </w:pPr>
    <w:rPr>
      <w:rFonts w:ascii="Times New Roman" w:hAnsi="Times New Roman" w:eastAsia="宋体" w:cs="Times New Roman"/>
      <w:szCs w:val="24"/>
    </w:rPr>
  </w:style>
  <w:style w:type="paragraph" w:styleId="31">
    <w:name w:val="List Continue 2"/>
    <w:basedOn w:val="1"/>
    <w:qFormat/>
    <w:uiPriority w:val="99"/>
    <w:pPr>
      <w:spacing w:after="120"/>
      <w:ind w:left="840" w:leftChars="400"/>
    </w:pPr>
    <w:rPr>
      <w:rFonts w:ascii="Times New Roman" w:hAnsi="Times New Roman" w:eastAsia="宋体" w:cs="Times New Roman"/>
      <w:szCs w:val="24"/>
    </w:rPr>
  </w:style>
  <w:style w:type="paragraph" w:styleId="3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3">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4">
    <w:name w:val="Title"/>
    <w:basedOn w:val="1"/>
    <w:link w:val="154"/>
    <w:qFormat/>
    <w:uiPriority w:val="0"/>
    <w:pPr>
      <w:spacing w:before="240" w:after="60"/>
      <w:jc w:val="center"/>
      <w:outlineLvl w:val="0"/>
    </w:pPr>
    <w:rPr>
      <w:rFonts w:ascii="Cambria" w:hAnsi="Cambria" w:cs="Times New Roman"/>
      <w:b/>
      <w:bCs/>
      <w:sz w:val="32"/>
      <w:szCs w:val="32"/>
    </w:rPr>
  </w:style>
  <w:style w:type="paragraph" w:styleId="35">
    <w:name w:val="annotation subject"/>
    <w:basedOn w:val="11"/>
    <w:next w:val="11"/>
    <w:link w:val="161"/>
    <w:qFormat/>
    <w:uiPriority w:val="0"/>
    <w:rPr>
      <w:b/>
      <w:bCs/>
    </w:rPr>
  </w:style>
  <w:style w:type="paragraph" w:styleId="36">
    <w:name w:val="Body Text First Indent"/>
    <w:basedOn w:val="12"/>
    <w:link w:val="201"/>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7">
    <w:name w:val="Body Text First Indent 2"/>
    <w:basedOn w:val="13"/>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9">
    <w:name w:val="Table Grid"/>
    <w:basedOn w:val="3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22"/>
    <w:rPr>
      <w:rFonts w:cs="Times New Roman"/>
      <w:b/>
    </w:rPr>
  </w:style>
  <w:style w:type="character" w:styleId="42">
    <w:name w:val="page number"/>
    <w:basedOn w:val="40"/>
    <w:qFormat/>
    <w:uiPriority w:val="0"/>
    <w:rPr>
      <w:rFonts w:cs="Times New Roman"/>
    </w:rPr>
  </w:style>
  <w:style w:type="character" w:styleId="43">
    <w:name w:val="FollowedHyperlink"/>
    <w:basedOn w:val="40"/>
    <w:qFormat/>
    <w:uiPriority w:val="99"/>
    <w:rPr>
      <w:rFonts w:cs="Times New Roman"/>
      <w:color w:val="555555"/>
      <w:u w:val="none"/>
    </w:rPr>
  </w:style>
  <w:style w:type="character" w:styleId="44">
    <w:name w:val="Emphasis"/>
    <w:basedOn w:val="40"/>
    <w:qFormat/>
    <w:uiPriority w:val="0"/>
    <w:rPr>
      <w:rFonts w:cs="Times New Roman"/>
      <w:i/>
    </w:rPr>
  </w:style>
  <w:style w:type="character" w:styleId="45">
    <w:name w:val="HTML Definition"/>
    <w:basedOn w:val="40"/>
    <w:qFormat/>
    <w:uiPriority w:val="99"/>
    <w:rPr>
      <w:rFonts w:cs="Times New Roman"/>
    </w:rPr>
  </w:style>
  <w:style w:type="character" w:styleId="46">
    <w:name w:val="HTML Acronym"/>
    <w:basedOn w:val="40"/>
    <w:qFormat/>
    <w:uiPriority w:val="99"/>
    <w:rPr>
      <w:rFonts w:cs="Times New Roman"/>
    </w:rPr>
  </w:style>
  <w:style w:type="character" w:styleId="47">
    <w:name w:val="HTML Variable"/>
    <w:basedOn w:val="40"/>
    <w:qFormat/>
    <w:uiPriority w:val="99"/>
    <w:rPr>
      <w:rFonts w:cs="Times New Roman"/>
    </w:rPr>
  </w:style>
  <w:style w:type="character" w:styleId="48">
    <w:name w:val="Hyperlink"/>
    <w:basedOn w:val="40"/>
    <w:qFormat/>
    <w:uiPriority w:val="99"/>
    <w:rPr>
      <w:rFonts w:cs="Times New Roman"/>
      <w:color w:val="555555"/>
      <w:u w:val="none"/>
    </w:rPr>
  </w:style>
  <w:style w:type="character" w:styleId="49">
    <w:name w:val="HTML Code"/>
    <w:basedOn w:val="40"/>
    <w:qFormat/>
    <w:uiPriority w:val="99"/>
    <w:rPr>
      <w:rFonts w:ascii="monospace" w:hAnsi="monospace" w:cs="Times New Roman"/>
      <w:sz w:val="24"/>
    </w:rPr>
  </w:style>
  <w:style w:type="character" w:styleId="50">
    <w:name w:val="annotation reference"/>
    <w:qFormat/>
    <w:uiPriority w:val="0"/>
    <w:rPr>
      <w:sz w:val="21"/>
      <w:szCs w:val="21"/>
    </w:rPr>
  </w:style>
  <w:style w:type="character" w:styleId="51">
    <w:name w:val="HTML Cite"/>
    <w:basedOn w:val="40"/>
    <w:qFormat/>
    <w:uiPriority w:val="99"/>
    <w:rPr>
      <w:rFonts w:cs="Times New Roman"/>
    </w:rPr>
  </w:style>
  <w:style w:type="character" w:styleId="52">
    <w:name w:val="footnote reference"/>
    <w:semiHidden/>
    <w:qFormat/>
    <w:uiPriority w:val="0"/>
    <w:rPr>
      <w:vertAlign w:val="superscript"/>
    </w:rPr>
  </w:style>
  <w:style w:type="character" w:styleId="53">
    <w:name w:val="HTML Keyboard"/>
    <w:basedOn w:val="40"/>
    <w:qFormat/>
    <w:uiPriority w:val="99"/>
    <w:rPr>
      <w:rFonts w:ascii="monospace" w:hAnsi="monospace" w:cs="Times New Roman"/>
      <w:sz w:val="24"/>
    </w:rPr>
  </w:style>
  <w:style w:type="character" w:styleId="54">
    <w:name w:val="HTML Sample"/>
    <w:basedOn w:val="40"/>
    <w:qFormat/>
    <w:uiPriority w:val="99"/>
    <w:rPr>
      <w:rFonts w:ascii="monospace" w:hAnsi="monospace" w:cs="Times New Roman"/>
      <w:sz w:val="24"/>
    </w:rPr>
  </w:style>
  <w:style w:type="paragraph" w:customStyle="1" w:styleId="55">
    <w:name w:val="Default"/>
    <w:basedOn w:val="34"/>
    <w:next w:val="2"/>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6">
    <w:name w:val="方案正文"/>
    <w:basedOn w:val="12"/>
    <w:qFormat/>
    <w:uiPriority w:val="0"/>
    <w:pPr>
      <w:spacing w:after="0"/>
      <w:ind w:firstLine="560" w:firstLineChars="200"/>
      <w:jc w:val="left"/>
    </w:pPr>
    <w:rPr>
      <w:rFonts w:ascii="Arial" w:hAnsi="Arial" w:eastAsia="仿宋" w:cs="宋体"/>
      <w:sz w:val="28"/>
      <w:szCs w:val="21"/>
    </w:rPr>
  </w:style>
  <w:style w:type="character" w:customStyle="1" w:styleId="57">
    <w:name w:val="标题 1 字符"/>
    <w:basedOn w:val="40"/>
    <w:link w:val="2"/>
    <w:qFormat/>
    <w:uiPriority w:val="9"/>
    <w:rPr>
      <w:rFonts w:ascii="???" w:hAnsi="???" w:eastAsia="宋体" w:cs="Arial"/>
      <w:b/>
      <w:bCs/>
      <w:color w:val="020000"/>
      <w:kern w:val="36"/>
      <w:sz w:val="44"/>
      <w:szCs w:val="44"/>
    </w:rPr>
  </w:style>
  <w:style w:type="character" w:customStyle="1" w:styleId="58">
    <w:name w:val="标题 3 字符"/>
    <w:basedOn w:val="40"/>
    <w:link w:val="4"/>
    <w:qFormat/>
    <w:uiPriority w:val="0"/>
    <w:rPr>
      <w:rFonts w:ascii="??" w:hAnsi="??" w:eastAsia="宋体" w:cs="Arial"/>
      <w:b/>
      <w:bCs/>
      <w:color w:val="000000"/>
      <w:kern w:val="0"/>
      <w:sz w:val="32"/>
      <w:szCs w:val="32"/>
    </w:rPr>
  </w:style>
  <w:style w:type="character" w:customStyle="1" w:styleId="59">
    <w:name w:val="标题 2 字符"/>
    <w:basedOn w:val="40"/>
    <w:link w:val="3"/>
    <w:qFormat/>
    <w:uiPriority w:val="99"/>
    <w:rPr>
      <w:rFonts w:ascii="???" w:hAnsi="???" w:eastAsia="宋体" w:cs="Arial"/>
      <w:b/>
      <w:bCs/>
      <w:color w:val="020000"/>
      <w:kern w:val="0"/>
      <w:sz w:val="32"/>
      <w:szCs w:val="32"/>
    </w:rPr>
  </w:style>
  <w:style w:type="character" w:customStyle="1" w:styleId="60">
    <w:name w:val="页眉 字符"/>
    <w:basedOn w:val="40"/>
    <w:link w:val="22"/>
    <w:qFormat/>
    <w:uiPriority w:val="99"/>
    <w:rPr>
      <w:rFonts w:ascii="Calibri" w:hAnsi="Calibri" w:eastAsia="宋体" w:cs="Times New Roman"/>
      <w:sz w:val="18"/>
      <w:szCs w:val="18"/>
    </w:rPr>
  </w:style>
  <w:style w:type="character" w:customStyle="1" w:styleId="61">
    <w:name w:val="页脚 字符"/>
    <w:basedOn w:val="40"/>
    <w:link w:val="21"/>
    <w:qFormat/>
    <w:uiPriority w:val="99"/>
    <w:rPr>
      <w:rFonts w:ascii="Calibri" w:hAnsi="Calibri" w:eastAsia="宋体" w:cs="Times New Roman"/>
      <w:sz w:val="18"/>
      <w:szCs w:val="18"/>
    </w:rPr>
  </w:style>
  <w:style w:type="character" w:customStyle="1" w:styleId="62">
    <w:name w:val="正文文本缩进 字符"/>
    <w:basedOn w:val="40"/>
    <w:link w:val="13"/>
    <w:qFormat/>
    <w:uiPriority w:val="0"/>
    <w:rPr>
      <w:rFonts w:ascii="??" w:hAnsi="??" w:eastAsia="宋体" w:cs="Arial"/>
      <w:kern w:val="0"/>
      <w:sz w:val="24"/>
      <w:szCs w:val="24"/>
    </w:rPr>
  </w:style>
  <w:style w:type="paragraph" w:customStyle="1" w:styleId="63">
    <w:name w:val="列出段落1"/>
    <w:basedOn w:val="1"/>
    <w:qFormat/>
    <w:uiPriority w:val="34"/>
    <w:pPr>
      <w:ind w:firstLine="420" w:firstLineChars="200"/>
    </w:pPr>
    <w:rPr>
      <w:rFonts w:ascii="Calibri" w:hAnsi="Calibri" w:eastAsia="宋体" w:cs="Times New Roman"/>
    </w:rPr>
  </w:style>
  <w:style w:type="character" w:customStyle="1" w:styleId="64">
    <w:name w:val="标题 2 Char Char"/>
    <w:qFormat/>
    <w:uiPriority w:val="99"/>
    <w:rPr>
      <w:rFonts w:ascii="Arial" w:hAnsi="Arial" w:eastAsia="黑体"/>
      <w:b/>
      <w:kern w:val="2"/>
      <w:sz w:val="32"/>
      <w:lang w:val="en-US" w:eastAsia="zh-CN"/>
    </w:rPr>
  </w:style>
  <w:style w:type="character" w:customStyle="1" w:styleId="65">
    <w:name w:val="2charchar"/>
    <w:basedOn w:val="40"/>
    <w:qFormat/>
    <w:uiPriority w:val="99"/>
    <w:rPr>
      <w:rFonts w:cs="Times New Roman"/>
    </w:rPr>
  </w:style>
  <w:style w:type="paragraph" w:customStyle="1" w:styleId="66">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7">
    <w:name w:val="z-窗体顶端1"/>
    <w:basedOn w:val="1"/>
    <w:next w:val="1"/>
    <w:link w:val="68"/>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8">
    <w:name w:val="z-窗体顶端 Char"/>
    <w:basedOn w:val="40"/>
    <w:link w:val="67"/>
    <w:semiHidden/>
    <w:qFormat/>
    <w:uiPriority w:val="99"/>
    <w:rPr>
      <w:rFonts w:ascii="Arial" w:hAnsi="Arial" w:eastAsia="宋体" w:cs="Arial"/>
      <w:vanish/>
      <w:kern w:val="0"/>
      <w:sz w:val="16"/>
      <w:szCs w:val="16"/>
    </w:rPr>
  </w:style>
  <w:style w:type="paragraph" w:customStyle="1" w:styleId="69">
    <w:name w:val="z-窗体底端1"/>
    <w:basedOn w:val="1"/>
    <w:next w:val="1"/>
    <w:link w:val="70"/>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0">
    <w:name w:val="z-窗体底端 Char"/>
    <w:basedOn w:val="40"/>
    <w:link w:val="69"/>
    <w:semiHidden/>
    <w:qFormat/>
    <w:uiPriority w:val="99"/>
    <w:rPr>
      <w:rFonts w:ascii="Arial" w:hAnsi="Arial" w:eastAsia="宋体" w:cs="Arial"/>
      <w:vanish/>
      <w:kern w:val="0"/>
      <w:sz w:val="16"/>
      <w:szCs w:val="16"/>
    </w:rPr>
  </w:style>
  <w:style w:type="paragraph" w:customStyle="1" w:styleId="71">
    <w:name w:val="hu正文"/>
    <w:basedOn w:val="1"/>
    <w:link w:val="72"/>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2">
    <w:name w:val="hu正文 Char"/>
    <w:link w:val="71"/>
    <w:qFormat/>
    <w:locked/>
    <w:uiPriority w:val="99"/>
    <w:rPr>
      <w:rFonts w:ascii="Times New Roman" w:hAnsi="Times New Roman" w:eastAsia="宋体" w:cs="Times New Roman"/>
      <w:kern w:val="0"/>
      <w:sz w:val="24"/>
      <w:szCs w:val="20"/>
    </w:rPr>
  </w:style>
  <w:style w:type="paragraph" w:customStyle="1" w:styleId="73">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4">
    <w:name w:val="批注框文本 字符"/>
    <w:basedOn w:val="40"/>
    <w:link w:val="20"/>
    <w:qFormat/>
    <w:uiPriority w:val="99"/>
    <w:rPr>
      <w:rFonts w:ascii="Calibri" w:hAnsi="Calibri" w:eastAsia="宋体" w:cs="Times New Roman"/>
      <w:sz w:val="18"/>
      <w:szCs w:val="18"/>
    </w:rPr>
  </w:style>
  <w:style w:type="character" w:customStyle="1" w:styleId="75">
    <w:name w:val="ui-bz-bg-hover1"/>
    <w:basedOn w:val="40"/>
    <w:qFormat/>
    <w:uiPriority w:val="99"/>
    <w:rPr>
      <w:rFonts w:cs="Times New Roman"/>
    </w:rPr>
  </w:style>
  <w:style w:type="character" w:customStyle="1" w:styleId="76">
    <w:name w:val="批注框文本 Char1"/>
    <w:qFormat/>
    <w:uiPriority w:val="99"/>
    <w:rPr>
      <w:rFonts w:ascii="Times New Roman" w:hAnsi="Times New Roman" w:eastAsia="宋体"/>
      <w:sz w:val="18"/>
    </w:rPr>
  </w:style>
  <w:style w:type="character" w:customStyle="1" w:styleId="77">
    <w:name w:val="bds_nopic"/>
    <w:basedOn w:val="40"/>
    <w:qFormat/>
    <w:uiPriority w:val="99"/>
    <w:rPr>
      <w:rFonts w:cs="Times New Roman"/>
    </w:rPr>
  </w:style>
  <w:style w:type="character" w:customStyle="1" w:styleId="78">
    <w:name w:val="tip12"/>
    <w:qFormat/>
    <w:uiPriority w:val="99"/>
    <w:rPr>
      <w:vanish/>
      <w:color w:val="FF0000"/>
      <w:sz w:val="18"/>
    </w:rPr>
  </w:style>
  <w:style w:type="character" w:customStyle="1" w:styleId="79">
    <w:name w:val="Body Text Indent 3 Char"/>
    <w:qFormat/>
    <w:locked/>
    <w:uiPriority w:val="99"/>
    <w:rPr>
      <w:rFonts w:ascii="宋体" w:eastAsia="宋体"/>
    </w:rPr>
  </w:style>
  <w:style w:type="character" w:customStyle="1" w:styleId="80">
    <w:name w:val="HTML Markup"/>
    <w:qFormat/>
    <w:uiPriority w:val="99"/>
    <w:rPr>
      <w:vanish/>
      <w:color w:val="FF0000"/>
    </w:rPr>
  </w:style>
  <w:style w:type="character" w:customStyle="1" w:styleId="81">
    <w:name w:val="tip7"/>
    <w:qFormat/>
    <w:uiPriority w:val="99"/>
    <w:rPr>
      <w:vanish/>
      <w:color w:val="FF0000"/>
      <w:sz w:val="18"/>
    </w:rPr>
  </w:style>
  <w:style w:type="character" w:customStyle="1" w:styleId="82">
    <w:name w:val="f-star"/>
    <w:qFormat/>
    <w:uiPriority w:val="99"/>
    <w:rPr>
      <w:color w:val="999999"/>
      <w:sz w:val="21"/>
    </w:rPr>
  </w:style>
  <w:style w:type="character" w:customStyle="1" w:styleId="83">
    <w:name w:val="Document Map Char1"/>
    <w:qFormat/>
    <w:uiPriority w:val="99"/>
    <w:rPr>
      <w:rFonts w:ascii="Times New Roman" w:hAnsi="Times New Roman"/>
      <w:kern w:val="2"/>
      <w:sz w:val="2"/>
    </w:rPr>
  </w:style>
  <w:style w:type="character" w:customStyle="1" w:styleId="84">
    <w:name w:val="my-class2"/>
    <w:basedOn w:val="40"/>
    <w:qFormat/>
    <w:uiPriority w:val="99"/>
    <w:rPr>
      <w:rFonts w:cs="Times New Roman"/>
    </w:rPr>
  </w:style>
  <w:style w:type="character" w:customStyle="1" w:styleId="85">
    <w:name w:val="no52"/>
    <w:basedOn w:val="40"/>
    <w:qFormat/>
    <w:uiPriority w:val="99"/>
    <w:rPr>
      <w:rFonts w:cs="Times New Roman"/>
    </w:rPr>
  </w:style>
  <w:style w:type="character" w:customStyle="1" w:styleId="86">
    <w:name w:val="no4"/>
    <w:basedOn w:val="40"/>
    <w:qFormat/>
    <w:uiPriority w:val="99"/>
    <w:rPr>
      <w:rFonts w:cs="Times New Roman"/>
    </w:rPr>
  </w:style>
  <w:style w:type="character" w:customStyle="1" w:styleId="87">
    <w:name w:val="my-notice"/>
    <w:basedOn w:val="40"/>
    <w:qFormat/>
    <w:uiPriority w:val="99"/>
    <w:rPr>
      <w:rFonts w:cs="Times New Roman"/>
    </w:rPr>
  </w:style>
  <w:style w:type="character" w:customStyle="1" w:styleId="88">
    <w:name w:val="ico-jiang"/>
    <w:basedOn w:val="40"/>
    <w:qFormat/>
    <w:uiPriority w:val="99"/>
    <w:rPr>
      <w:rFonts w:cs="Times New Roman"/>
    </w:rPr>
  </w:style>
  <w:style w:type="character" w:customStyle="1" w:styleId="89">
    <w:name w:val="ico-jiang2"/>
    <w:basedOn w:val="40"/>
    <w:qFormat/>
    <w:uiPriority w:val="99"/>
    <w:rPr>
      <w:rFonts w:cs="Times New Roman"/>
    </w:rPr>
  </w:style>
  <w:style w:type="character" w:customStyle="1" w:styleId="90">
    <w:name w:val="bds_more1"/>
    <w:qFormat/>
    <w:uiPriority w:val="99"/>
    <w:rPr>
      <w:rFonts w:ascii="宋体" w:hAnsi="宋体" w:eastAsia="宋体"/>
    </w:rPr>
  </w:style>
  <w:style w:type="character" w:customStyle="1" w:styleId="91">
    <w:name w:val="Body Text Indent 2 Char"/>
    <w:qFormat/>
    <w:locked/>
    <w:uiPriority w:val="99"/>
    <w:rPr>
      <w:rFonts w:ascii="宋体" w:eastAsia="宋体"/>
      <w:sz w:val="24"/>
    </w:rPr>
  </w:style>
  <w:style w:type="character" w:customStyle="1" w:styleId="92">
    <w:name w:val="org_name"/>
    <w:basedOn w:val="40"/>
    <w:qFormat/>
    <w:uiPriority w:val="99"/>
    <w:rPr>
      <w:rFonts w:cs="Times New Roman"/>
    </w:rPr>
  </w:style>
  <w:style w:type="character" w:customStyle="1" w:styleId="93">
    <w:name w:val="org_name2"/>
    <w:basedOn w:val="40"/>
    <w:qFormat/>
    <w:uiPriority w:val="99"/>
    <w:rPr>
      <w:rFonts w:cs="Times New Roman"/>
    </w:rPr>
  </w:style>
  <w:style w:type="character" w:customStyle="1" w:styleId="94">
    <w:name w:val="tip10"/>
    <w:qFormat/>
    <w:uiPriority w:val="99"/>
    <w:rPr>
      <w:vanish/>
      <w:color w:val="FF0000"/>
      <w:sz w:val="18"/>
    </w:rPr>
  </w:style>
  <w:style w:type="character" w:customStyle="1" w:styleId="95">
    <w:name w:val="orange"/>
    <w:qFormat/>
    <w:uiPriority w:val="99"/>
    <w:rPr>
      <w:color w:val="3FB58F"/>
    </w:rPr>
  </w:style>
  <w:style w:type="character" w:customStyle="1" w:styleId="96">
    <w:name w:val="bds_more"/>
    <w:basedOn w:val="40"/>
    <w:qFormat/>
    <w:uiPriority w:val="99"/>
    <w:rPr>
      <w:rFonts w:cs="Times New Roman"/>
    </w:rPr>
  </w:style>
  <w:style w:type="character" w:customStyle="1" w:styleId="97">
    <w:name w:val="t-tag"/>
    <w:qFormat/>
    <w:uiPriority w:val="99"/>
    <w:rPr>
      <w:color w:val="FFFFFF"/>
      <w:sz w:val="18"/>
      <w:shd w:val="clear" w:color="auto" w:fill="FE8833"/>
    </w:rPr>
  </w:style>
  <w:style w:type="character" w:customStyle="1" w:styleId="98">
    <w:name w:val="top-icon"/>
    <w:basedOn w:val="40"/>
    <w:qFormat/>
    <w:uiPriority w:val="99"/>
    <w:rPr>
      <w:rFonts w:cs="Times New Roman"/>
    </w:rPr>
  </w:style>
  <w:style w:type="character" w:customStyle="1" w:styleId="99">
    <w:name w:val="Body Text Char"/>
    <w:qFormat/>
    <w:locked/>
    <w:uiPriority w:val="99"/>
    <w:rPr>
      <w:sz w:val="24"/>
    </w:rPr>
  </w:style>
  <w:style w:type="character" w:customStyle="1" w:styleId="100">
    <w:name w:val="no72"/>
    <w:basedOn w:val="40"/>
    <w:qFormat/>
    <w:uiPriority w:val="99"/>
    <w:rPr>
      <w:rFonts w:cs="Times New Roman"/>
    </w:rPr>
  </w:style>
  <w:style w:type="character" w:customStyle="1" w:styleId="101">
    <w:name w:val="bds_nopic2"/>
    <w:basedOn w:val="40"/>
    <w:qFormat/>
    <w:uiPriority w:val="99"/>
    <w:rPr>
      <w:rFonts w:cs="Times New Roman"/>
    </w:rPr>
  </w:style>
  <w:style w:type="character" w:customStyle="1" w:styleId="102">
    <w:name w:val="Document Map Char"/>
    <w:qFormat/>
    <w:uiPriority w:val="99"/>
    <w:rPr>
      <w:rFonts w:ascii="宋体"/>
      <w:sz w:val="18"/>
    </w:rPr>
  </w:style>
  <w:style w:type="character" w:customStyle="1" w:styleId="103">
    <w:name w:val="no6"/>
    <w:basedOn w:val="40"/>
    <w:qFormat/>
    <w:uiPriority w:val="99"/>
    <w:rPr>
      <w:rFonts w:cs="Times New Roman"/>
    </w:rPr>
  </w:style>
  <w:style w:type="character" w:customStyle="1" w:styleId="104">
    <w:name w:val="tip"/>
    <w:qFormat/>
    <w:uiPriority w:val="99"/>
    <w:rPr>
      <w:vanish/>
      <w:color w:val="FF0000"/>
      <w:sz w:val="18"/>
    </w:rPr>
  </w:style>
  <w:style w:type="character" w:customStyle="1" w:styleId="105">
    <w:name w:val="apple-converted-space"/>
    <w:basedOn w:val="40"/>
    <w:qFormat/>
    <w:uiPriority w:val="99"/>
    <w:rPr>
      <w:rFonts w:cs="Times New Roman"/>
    </w:rPr>
  </w:style>
  <w:style w:type="character" w:customStyle="1" w:styleId="106">
    <w:name w:val="bds_more2"/>
    <w:basedOn w:val="40"/>
    <w:qFormat/>
    <w:uiPriority w:val="99"/>
    <w:rPr>
      <w:rFonts w:cs="Times New Roman"/>
    </w:rPr>
  </w:style>
  <w:style w:type="character" w:customStyle="1" w:styleId="107">
    <w:name w:val="my-class"/>
    <w:basedOn w:val="40"/>
    <w:qFormat/>
    <w:uiPriority w:val="99"/>
    <w:rPr>
      <w:rFonts w:cs="Times New Roman"/>
    </w:rPr>
  </w:style>
  <w:style w:type="character" w:customStyle="1" w:styleId="108">
    <w:name w:val="ui-bz-bg-hover"/>
    <w:qFormat/>
    <w:uiPriority w:val="99"/>
    <w:rPr>
      <w:shd w:val="clear" w:color="auto" w:fill="000000"/>
    </w:rPr>
  </w:style>
  <w:style w:type="character" w:customStyle="1" w:styleId="109">
    <w:name w:val="no7"/>
    <w:basedOn w:val="40"/>
    <w:qFormat/>
    <w:uiPriority w:val="99"/>
    <w:rPr>
      <w:rFonts w:cs="Times New Roman"/>
    </w:rPr>
  </w:style>
  <w:style w:type="character" w:customStyle="1" w:styleId="110">
    <w:name w:val="正文缩进 字符"/>
    <w:link w:val="8"/>
    <w:qFormat/>
    <w:locked/>
    <w:uiPriority w:val="99"/>
    <w:rPr>
      <w:rFonts w:ascii="Times New Roman" w:hAnsi="Times New Roman" w:eastAsia="宋体" w:cs="Times New Roman"/>
      <w:kern w:val="0"/>
      <w:sz w:val="24"/>
      <w:szCs w:val="20"/>
    </w:rPr>
  </w:style>
  <w:style w:type="character" w:customStyle="1" w:styleId="111">
    <w:name w:val="ico-jiang1"/>
    <w:basedOn w:val="40"/>
    <w:qFormat/>
    <w:uiPriority w:val="99"/>
    <w:rPr>
      <w:rFonts w:cs="Times New Roman"/>
    </w:rPr>
  </w:style>
  <w:style w:type="character" w:customStyle="1" w:styleId="112">
    <w:name w:val="no62"/>
    <w:basedOn w:val="40"/>
    <w:qFormat/>
    <w:uiPriority w:val="99"/>
    <w:rPr>
      <w:rFonts w:cs="Times New Roman"/>
    </w:rPr>
  </w:style>
  <w:style w:type="character" w:customStyle="1" w:styleId="113">
    <w:name w:val="orange5"/>
    <w:qFormat/>
    <w:uiPriority w:val="99"/>
    <w:rPr>
      <w:color w:val="3FB58F"/>
    </w:rPr>
  </w:style>
  <w:style w:type="character" w:customStyle="1" w:styleId="114">
    <w:name w:val="bds_more4"/>
    <w:basedOn w:val="40"/>
    <w:qFormat/>
    <w:uiPriority w:val="99"/>
    <w:rPr>
      <w:rFonts w:cs="Times New Roman"/>
    </w:rPr>
  </w:style>
  <w:style w:type="character" w:customStyle="1" w:styleId="115">
    <w:name w:val="no5"/>
    <w:basedOn w:val="40"/>
    <w:qFormat/>
    <w:uiPriority w:val="99"/>
    <w:rPr>
      <w:rFonts w:cs="Times New Roman"/>
    </w:rPr>
  </w:style>
  <w:style w:type="character" w:customStyle="1" w:styleId="116">
    <w:name w:val="bds_more3"/>
    <w:basedOn w:val="40"/>
    <w:qFormat/>
    <w:uiPriority w:val="99"/>
    <w:rPr>
      <w:rFonts w:cs="Times New Roman"/>
    </w:rPr>
  </w:style>
  <w:style w:type="character" w:customStyle="1" w:styleId="117">
    <w:name w:val="no42"/>
    <w:basedOn w:val="40"/>
    <w:qFormat/>
    <w:uiPriority w:val="99"/>
    <w:rPr>
      <w:rFonts w:cs="Times New Roman"/>
    </w:rPr>
  </w:style>
  <w:style w:type="character" w:customStyle="1" w:styleId="118">
    <w:name w:val="bds_nopic1"/>
    <w:basedOn w:val="40"/>
    <w:qFormat/>
    <w:uiPriority w:val="99"/>
    <w:rPr>
      <w:rFonts w:cs="Times New Roman"/>
    </w:rPr>
  </w:style>
  <w:style w:type="character" w:customStyle="1" w:styleId="119">
    <w:name w:val="my-notice1"/>
    <w:basedOn w:val="40"/>
    <w:qFormat/>
    <w:uiPriority w:val="99"/>
    <w:rPr>
      <w:rFonts w:cs="Times New Roman"/>
    </w:rPr>
  </w:style>
  <w:style w:type="character" w:customStyle="1" w:styleId="120">
    <w:name w:val="orange6"/>
    <w:qFormat/>
    <w:uiPriority w:val="99"/>
    <w:rPr>
      <w:color w:val="3FB58F"/>
    </w:rPr>
  </w:style>
  <w:style w:type="character" w:customStyle="1" w:styleId="121">
    <w:name w:val="Document Map Char2"/>
    <w:qFormat/>
    <w:locked/>
    <w:uiPriority w:val="99"/>
    <w:rPr>
      <w:rFonts w:ascii="宋体"/>
      <w:sz w:val="18"/>
    </w:rPr>
  </w:style>
  <w:style w:type="character" w:customStyle="1" w:styleId="122">
    <w:name w:val="ico-jiang3"/>
    <w:basedOn w:val="40"/>
    <w:qFormat/>
    <w:uiPriority w:val="99"/>
    <w:rPr>
      <w:rFonts w:cs="Times New Roman"/>
    </w:rPr>
  </w:style>
  <w:style w:type="character" w:customStyle="1" w:styleId="123">
    <w:name w:val="tip13"/>
    <w:qFormat/>
    <w:uiPriority w:val="99"/>
    <w:rPr>
      <w:vanish/>
      <w:color w:val="FF0000"/>
      <w:sz w:val="18"/>
    </w:rPr>
  </w:style>
  <w:style w:type="character" w:customStyle="1" w:styleId="124">
    <w:name w:val="正文文本缩进 2 字符"/>
    <w:basedOn w:val="40"/>
    <w:link w:val="19"/>
    <w:qFormat/>
    <w:uiPriority w:val="99"/>
    <w:rPr>
      <w:rFonts w:ascii="宋体" w:hAnsi="Calibri" w:eastAsia="宋体" w:cs="Times New Roman"/>
      <w:kern w:val="0"/>
      <w:sz w:val="24"/>
      <w:szCs w:val="20"/>
    </w:rPr>
  </w:style>
  <w:style w:type="character" w:customStyle="1" w:styleId="125">
    <w:name w:val="Body Text Indent 2 Char1"/>
    <w:basedOn w:val="40"/>
    <w:semiHidden/>
    <w:qFormat/>
    <w:locked/>
    <w:uiPriority w:val="99"/>
    <w:rPr>
      <w:rFonts w:cs="Times New Roman"/>
    </w:rPr>
  </w:style>
  <w:style w:type="character" w:customStyle="1" w:styleId="126">
    <w:name w:val="正文文本缩进 3 字符"/>
    <w:basedOn w:val="40"/>
    <w:link w:val="27"/>
    <w:qFormat/>
    <w:uiPriority w:val="99"/>
    <w:rPr>
      <w:rFonts w:ascii="宋体" w:hAnsi="Calibri" w:eastAsia="宋体" w:cs="Times New Roman"/>
      <w:kern w:val="0"/>
      <w:sz w:val="20"/>
      <w:szCs w:val="20"/>
    </w:rPr>
  </w:style>
  <w:style w:type="character" w:customStyle="1" w:styleId="127">
    <w:name w:val="Body Text Indent 3 Char1"/>
    <w:basedOn w:val="40"/>
    <w:semiHidden/>
    <w:qFormat/>
    <w:locked/>
    <w:uiPriority w:val="99"/>
    <w:rPr>
      <w:rFonts w:cs="Times New Roman"/>
      <w:sz w:val="16"/>
      <w:szCs w:val="16"/>
    </w:rPr>
  </w:style>
  <w:style w:type="character" w:customStyle="1" w:styleId="128">
    <w:name w:val="文档结构图 字符"/>
    <w:basedOn w:val="40"/>
    <w:link w:val="9"/>
    <w:qFormat/>
    <w:uiPriority w:val="99"/>
    <w:rPr>
      <w:rFonts w:ascii="宋体" w:hAnsi="Calibri" w:eastAsia="宋体" w:cs="Times New Roman"/>
      <w:kern w:val="0"/>
      <w:sz w:val="18"/>
      <w:szCs w:val="20"/>
    </w:rPr>
  </w:style>
  <w:style w:type="character" w:customStyle="1" w:styleId="129">
    <w:name w:val="Document Map Char3"/>
    <w:basedOn w:val="40"/>
    <w:semiHidden/>
    <w:qFormat/>
    <w:locked/>
    <w:uiPriority w:val="99"/>
    <w:rPr>
      <w:rFonts w:ascii="Times New Roman" w:hAnsi="Times New Roman" w:cs="Times New Roman"/>
      <w:sz w:val="2"/>
    </w:rPr>
  </w:style>
  <w:style w:type="paragraph" w:customStyle="1" w:styleId="130">
    <w:name w:val="_Style 1"/>
    <w:basedOn w:val="1"/>
    <w:qFormat/>
    <w:uiPriority w:val="99"/>
    <w:pPr>
      <w:ind w:firstLine="420" w:firstLineChars="200"/>
    </w:pPr>
    <w:rPr>
      <w:rFonts w:ascii="Times New Roman" w:hAnsi="Times New Roman" w:eastAsia="宋体" w:cs="Times New Roman"/>
      <w:szCs w:val="24"/>
    </w:rPr>
  </w:style>
  <w:style w:type="character" w:customStyle="1" w:styleId="131">
    <w:name w:val="正文文本 字符"/>
    <w:basedOn w:val="40"/>
    <w:link w:val="12"/>
    <w:qFormat/>
    <w:uiPriority w:val="99"/>
    <w:rPr>
      <w:rFonts w:ascii="Calibri" w:hAnsi="Calibri" w:eastAsia="宋体" w:cs="Times New Roman"/>
      <w:kern w:val="0"/>
      <w:sz w:val="24"/>
      <w:szCs w:val="20"/>
    </w:rPr>
  </w:style>
  <w:style w:type="character" w:customStyle="1" w:styleId="132">
    <w:name w:val="Body Text Char1"/>
    <w:basedOn w:val="40"/>
    <w:semiHidden/>
    <w:qFormat/>
    <w:locked/>
    <w:uiPriority w:val="99"/>
    <w:rPr>
      <w:rFonts w:cs="Times New Roman"/>
    </w:rPr>
  </w:style>
  <w:style w:type="paragraph" w:customStyle="1" w:styleId="133">
    <w:name w:val="_Style 21"/>
    <w:basedOn w:val="1"/>
    <w:qFormat/>
    <w:uiPriority w:val="99"/>
    <w:rPr>
      <w:rFonts w:ascii="Times New Roman" w:hAnsi="Times New Roman" w:eastAsia="宋体" w:cs="Times New Roman"/>
      <w:szCs w:val="20"/>
    </w:rPr>
  </w:style>
  <w:style w:type="paragraph" w:customStyle="1" w:styleId="134">
    <w:name w:val="p0"/>
    <w:basedOn w:val="1"/>
    <w:qFormat/>
    <w:uiPriority w:val="99"/>
    <w:pPr>
      <w:widowControl/>
    </w:pPr>
    <w:rPr>
      <w:rFonts w:ascii="Times New Roman" w:hAnsi="Times New Roman" w:eastAsia="宋体" w:cs="Times New Roman"/>
      <w:kern w:val="0"/>
      <w:szCs w:val="21"/>
    </w:rPr>
  </w:style>
  <w:style w:type="paragraph" w:customStyle="1" w:styleId="135">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7">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8">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9">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0">
    <w:name w:val="_Style 2"/>
    <w:basedOn w:val="1"/>
    <w:qFormat/>
    <w:uiPriority w:val="99"/>
    <w:pPr>
      <w:ind w:firstLine="420" w:firstLineChars="200"/>
    </w:pPr>
    <w:rPr>
      <w:rFonts w:ascii="Calibri" w:hAnsi="Calibri" w:eastAsia="宋体" w:cs="Times New Roman"/>
    </w:rPr>
  </w:style>
  <w:style w:type="paragraph" w:customStyle="1" w:styleId="141">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2">
    <w:name w:val="_Style 11"/>
    <w:basedOn w:val="1"/>
    <w:qFormat/>
    <w:uiPriority w:val="99"/>
    <w:rPr>
      <w:rFonts w:ascii="Times New Roman" w:hAnsi="Times New Roman" w:eastAsia="宋体" w:cs="Times New Roman"/>
      <w:szCs w:val="24"/>
    </w:rPr>
  </w:style>
  <w:style w:type="paragraph" w:customStyle="1" w:styleId="143">
    <w:name w:val="Char"/>
    <w:basedOn w:val="1"/>
    <w:qFormat/>
    <w:uiPriority w:val="99"/>
    <w:rPr>
      <w:rFonts w:ascii="Times New Roman" w:hAnsi="Times New Roman" w:eastAsia="宋体" w:cs="Times New Roman"/>
      <w:szCs w:val="21"/>
    </w:rPr>
  </w:style>
  <w:style w:type="paragraph" w:customStyle="1" w:styleId="144">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5">
    <w:name w:val="列出段落2"/>
    <w:basedOn w:val="1"/>
    <w:qFormat/>
    <w:uiPriority w:val="99"/>
    <w:pPr>
      <w:ind w:firstLine="420" w:firstLineChars="200"/>
    </w:pPr>
    <w:rPr>
      <w:rFonts w:ascii="Times New Roman" w:hAnsi="Times New Roman" w:eastAsia="宋体" w:cs="Times New Roman"/>
      <w:szCs w:val="24"/>
    </w:rPr>
  </w:style>
  <w:style w:type="paragraph" w:customStyle="1" w:styleId="146">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7">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8">
    <w:name w:val="font41"/>
    <w:qFormat/>
    <w:uiPriority w:val="99"/>
    <w:rPr>
      <w:rFonts w:hint="eastAsia" w:ascii="宋体" w:hAnsi="宋体" w:eastAsia="宋体" w:cs="宋体"/>
      <w:b/>
      <w:color w:val="000000"/>
      <w:sz w:val="22"/>
      <w:szCs w:val="22"/>
      <w:u w:val="none"/>
    </w:rPr>
  </w:style>
  <w:style w:type="character" w:customStyle="1" w:styleId="149">
    <w:name w:val="font81"/>
    <w:qFormat/>
    <w:uiPriority w:val="99"/>
    <w:rPr>
      <w:rFonts w:hint="eastAsia" w:ascii="宋体" w:hAnsi="宋体" w:eastAsia="宋体" w:cs="宋体"/>
      <w:b/>
      <w:color w:val="000000"/>
      <w:sz w:val="22"/>
      <w:szCs w:val="22"/>
      <w:u w:val="none"/>
    </w:rPr>
  </w:style>
  <w:style w:type="character" w:customStyle="1" w:styleId="150">
    <w:name w:val="font21"/>
    <w:qFormat/>
    <w:uiPriority w:val="0"/>
    <w:rPr>
      <w:rFonts w:hint="eastAsia" w:ascii="宋体" w:hAnsi="宋体" w:eastAsia="宋体" w:cs="宋体"/>
      <w:color w:val="000000"/>
      <w:sz w:val="18"/>
      <w:szCs w:val="18"/>
      <w:u w:val="none"/>
    </w:rPr>
  </w:style>
  <w:style w:type="character" w:customStyle="1" w:styleId="151">
    <w:name w:val="日期 字符"/>
    <w:link w:val="18"/>
    <w:qFormat/>
    <w:uiPriority w:val="0"/>
    <w:rPr>
      <w:szCs w:val="21"/>
    </w:rPr>
  </w:style>
  <w:style w:type="character" w:customStyle="1" w:styleId="152">
    <w:name w:val="font01"/>
    <w:qFormat/>
    <w:uiPriority w:val="99"/>
    <w:rPr>
      <w:rFonts w:hint="eastAsia" w:ascii="宋体" w:hAnsi="宋体" w:eastAsia="宋体" w:cs="宋体"/>
      <w:color w:val="000000"/>
      <w:sz w:val="22"/>
      <w:szCs w:val="22"/>
      <w:u w:val="none"/>
    </w:rPr>
  </w:style>
  <w:style w:type="character" w:customStyle="1" w:styleId="153">
    <w:name w:val="Char Char1"/>
    <w:qFormat/>
    <w:uiPriority w:val="0"/>
    <w:rPr>
      <w:rFonts w:eastAsia="宋体"/>
      <w:kern w:val="2"/>
      <w:sz w:val="18"/>
      <w:szCs w:val="18"/>
      <w:lang w:val="en-US" w:eastAsia="zh-CN" w:bidi="ar-SA"/>
    </w:rPr>
  </w:style>
  <w:style w:type="character" w:customStyle="1" w:styleId="154">
    <w:name w:val="标题 字符"/>
    <w:link w:val="34"/>
    <w:qFormat/>
    <w:uiPriority w:val="0"/>
    <w:rPr>
      <w:rFonts w:ascii="Cambria" w:hAnsi="Cambria" w:cs="Times New Roman"/>
      <w:b/>
      <w:bCs/>
      <w:sz w:val="32"/>
      <w:szCs w:val="32"/>
    </w:rPr>
  </w:style>
  <w:style w:type="character" w:customStyle="1" w:styleId="155">
    <w:name w:val="hei141"/>
    <w:qFormat/>
    <w:uiPriority w:val="0"/>
    <w:rPr>
      <w:rFonts w:hint="eastAsia" w:ascii="宋体" w:hAnsi="宋体" w:eastAsia="宋体"/>
      <w:color w:val="000000"/>
      <w:sz w:val="19"/>
      <w:szCs w:val="19"/>
      <w:u w:val="none"/>
    </w:rPr>
  </w:style>
  <w:style w:type="character" w:customStyle="1" w:styleId="156">
    <w:name w:val="批注文字 字符"/>
    <w:link w:val="11"/>
    <w:qFormat/>
    <w:uiPriority w:val="0"/>
  </w:style>
  <w:style w:type="character" w:customStyle="1" w:styleId="157">
    <w:name w:val="apple-style-span"/>
    <w:basedOn w:val="40"/>
    <w:qFormat/>
    <w:uiPriority w:val="0"/>
  </w:style>
  <w:style w:type="character" w:customStyle="1" w:styleId="158">
    <w:name w:val="param-value"/>
    <w:qFormat/>
    <w:uiPriority w:val="99"/>
    <w:rPr>
      <w:rFonts w:cs="Times New Roman"/>
    </w:rPr>
  </w:style>
  <w:style w:type="character" w:customStyle="1" w:styleId="159">
    <w:name w:val="font61"/>
    <w:qFormat/>
    <w:uiPriority w:val="0"/>
    <w:rPr>
      <w:rFonts w:hint="eastAsia" w:ascii="宋体" w:hAnsi="宋体" w:eastAsia="宋体" w:cs="宋体"/>
      <w:color w:val="000000"/>
      <w:sz w:val="22"/>
      <w:szCs w:val="22"/>
      <w:u w:val="none"/>
    </w:rPr>
  </w:style>
  <w:style w:type="character" w:customStyle="1" w:styleId="160">
    <w:name w:val="font11"/>
    <w:basedOn w:val="40"/>
    <w:qFormat/>
    <w:uiPriority w:val="0"/>
    <w:rPr>
      <w:rFonts w:hint="eastAsia" w:ascii="宋体" w:hAnsi="宋体" w:eastAsia="宋体" w:cs="宋体"/>
      <w:color w:val="FF0000"/>
      <w:sz w:val="22"/>
      <w:szCs w:val="22"/>
      <w:u w:val="none"/>
    </w:rPr>
  </w:style>
  <w:style w:type="character" w:customStyle="1" w:styleId="161">
    <w:name w:val="批注主题 字符"/>
    <w:link w:val="35"/>
    <w:qFormat/>
    <w:uiPriority w:val="0"/>
    <w:rPr>
      <w:b/>
      <w:bCs/>
    </w:rPr>
  </w:style>
  <w:style w:type="character" w:customStyle="1" w:styleId="162">
    <w:name w:val="批注文字 Char1"/>
    <w:basedOn w:val="40"/>
    <w:semiHidden/>
    <w:qFormat/>
    <w:uiPriority w:val="99"/>
  </w:style>
  <w:style w:type="paragraph" w:customStyle="1" w:styleId="163">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4">
    <w:name w:val="批注主题 Char1"/>
    <w:basedOn w:val="162"/>
    <w:semiHidden/>
    <w:qFormat/>
    <w:uiPriority w:val="99"/>
    <w:rPr>
      <w:b/>
      <w:bCs/>
    </w:rPr>
  </w:style>
  <w:style w:type="paragraph" w:customStyle="1" w:styleId="165">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日期 Char1"/>
    <w:basedOn w:val="40"/>
    <w:semiHidden/>
    <w:qFormat/>
    <w:uiPriority w:val="99"/>
  </w:style>
  <w:style w:type="paragraph" w:customStyle="1" w:styleId="167">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脚注文本 字符"/>
    <w:basedOn w:val="40"/>
    <w:link w:val="25"/>
    <w:semiHidden/>
    <w:qFormat/>
    <w:uiPriority w:val="0"/>
    <w:rPr>
      <w:rFonts w:ascii="Times New Roman" w:hAnsi="Times New Roman" w:eastAsia="宋体" w:cs="Times New Roman"/>
      <w:sz w:val="18"/>
      <w:szCs w:val="18"/>
    </w:rPr>
  </w:style>
  <w:style w:type="paragraph" w:customStyle="1" w:styleId="169">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标题 Char1"/>
    <w:basedOn w:val="40"/>
    <w:qFormat/>
    <w:uiPriority w:val="10"/>
    <w:rPr>
      <w:rFonts w:eastAsia="宋体" w:asciiTheme="majorHAnsi" w:hAnsiTheme="majorHAnsi" w:cstheme="majorBidi"/>
      <w:b/>
      <w:bCs/>
      <w:sz w:val="32"/>
      <w:szCs w:val="32"/>
    </w:rPr>
  </w:style>
  <w:style w:type="paragraph" w:customStyle="1" w:styleId="172">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3">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qFormat/>
    <w:uiPriority w:val="0"/>
    <w:pPr>
      <w:ind w:firstLine="420" w:firstLineChars="200"/>
    </w:pPr>
    <w:rPr>
      <w:rFonts w:ascii="Times New Roman" w:hAnsi="Times New Roman" w:eastAsia="宋体" w:cs="Times New Roman"/>
      <w:szCs w:val="24"/>
    </w:rPr>
  </w:style>
  <w:style w:type="character" w:customStyle="1" w:styleId="183">
    <w:name w:val="Char Char12"/>
    <w:qFormat/>
    <w:uiPriority w:val="0"/>
    <w:rPr>
      <w:rFonts w:eastAsia="宋体"/>
      <w:kern w:val="2"/>
      <w:sz w:val="18"/>
      <w:szCs w:val="18"/>
      <w:lang w:val="en-US" w:eastAsia="zh-CN" w:bidi="ar-SA"/>
    </w:rPr>
  </w:style>
  <w:style w:type="paragraph" w:customStyle="1" w:styleId="184">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qFormat/>
    <w:uiPriority w:val="0"/>
    <w:pPr>
      <w:ind w:firstLine="420" w:firstLineChars="200"/>
    </w:pPr>
    <w:rPr>
      <w:rFonts w:ascii="Times New Roman" w:hAnsi="Times New Roman" w:eastAsia="宋体" w:cs="Times New Roman"/>
      <w:szCs w:val="24"/>
    </w:rPr>
  </w:style>
  <w:style w:type="character" w:customStyle="1" w:styleId="187">
    <w:name w:val="Char Char11"/>
    <w:qFormat/>
    <w:uiPriority w:val="0"/>
    <w:rPr>
      <w:rFonts w:eastAsia="宋体"/>
      <w:kern w:val="2"/>
      <w:sz w:val="18"/>
      <w:szCs w:val="18"/>
      <w:lang w:val="en-US" w:eastAsia="zh-CN" w:bidi="ar-SA"/>
    </w:rPr>
  </w:style>
  <w:style w:type="paragraph" w:customStyle="1" w:styleId="188">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qFormat/>
    <w:uiPriority w:val="0"/>
    <w:pPr>
      <w:ind w:firstLine="420" w:firstLineChars="200"/>
    </w:pPr>
    <w:rPr>
      <w:rFonts w:ascii="Times New Roman" w:hAnsi="Times New Roman" w:eastAsia="宋体" w:cs="Times New Roman"/>
      <w:szCs w:val="24"/>
    </w:rPr>
  </w:style>
  <w:style w:type="character" w:customStyle="1" w:styleId="191">
    <w:name w:val="纯文本 字符"/>
    <w:link w:val="16"/>
    <w:qFormat/>
    <w:uiPriority w:val="0"/>
    <w:rPr>
      <w:rFonts w:ascii="宋体" w:hAnsi="Courier New" w:eastAsia="宋体"/>
      <w:szCs w:val="21"/>
    </w:rPr>
  </w:style>
  <w:style w:type="character" w:customStyle="1" w:styleId="192">
    <w:name w:val="纯文本 Char1"/>
    <w:basedOn w:val="40"/>
    <w:semiHidden/>
    <w:qFormat/>
    <w:uiPriority w:val="99"/>
    <w:rPr>
      <w:rFonts w:ascii="宋体" w:hAnsi="Courier New" w:eastAsia="宋体" w:cs="Courier New"/>
      <w:szCs w:val="21"/>
    </w:rPr>
  </w:style>
  <w:style w:type="paragraph" w:customStyle="1" w:styleId="19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5">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6">
    <w:name w:val="正文缩进2格"/>
    <w:basedOn w:val="1"/>
    <w:link w:val="197"/>
    <w:qFormat/>
    <w:uiPriority w:val="0"/>
    <w:pPr>
      <w:spacing w:line="600" w:lineRule="exact"/>
      <w:ind w:firstLine="639" w:firstLineChars="206"/>
    </w:pPr>
    <w:rPr>
      <w:rFonts w:ascii="仿宋_GB2312" w:hAnsi="宋体" w:eastAsia="仿宋_GB2312" w:cs="Times New Roman"/>
      <w:sz w:val="31"/>
      <w:szCs w:val="28"/>
    </w:rPr>
  </w:style>
  <w:style w:type="character" w:customStyle="1" w:styleId="197">
    <w:name w:val="正文缩进2格 Char"/>
    <w:link w:val="196"/>
    <w:qFormat/>
    <w:uiPriority w:val="0"/>
    <w:rPr>
      <w:rFonts w:ascii="仿宋_GB2312" w:hAnsi="宋体" w:eastAsia="仿宋_GB2312" w:cs="Times New Roman"/>
      <w:sz w:val="31"/>
      <w:szCs w:val="28"/>
    </w:rPr>
  </w:style>
  <w:style w:type="paragraph" w:customStyle="1" w:styleId="198">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199">
    <w:name w:val="List Paragraph"/>
    <w:basedOn w:val="1"/>
    <w:qFormat/>
    <w:uiPriority w:val="34"/>
    <w:pPr>
      <w:ind w:firstLine="420" w:firstLineChars="200"/>
    </w:pPr>
  </w:style>
  <w:style w:type="paragraph" w:customStyle="1" w:styleId="200">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1">
    <w:name w:val="正文文本首行缩进 字符"/>
    <w:basedOn w:val="131"/>
    <w:link w:val="36"/>
    <w:semiHidden/>
    <w:qFormat/>
    <w:uiPriority w:val="99"/>
    <w:rPr>
      <w:rFonts w:asciiTheme="minorHAnsi" w:hAnsiTheme="minorHAnsi" w:eastAsiaTheme="minorEastAsia" w:cstheme="minorBidi"/>
      <w:kern w:val="2"/>
      <w:sz w:val="21"/>
      <w:szCs w:val="22"/>
    </w:rPr>
  </w:style>
  <w:style w:type="paragraph" w:customStyle="1" w:styleId="202">
    <w:name w:val="Table Paragraph"/>
    <w:basedOn w:val="1"/>
    <w:qFormat/>
    <w:uiPriority w:val="1"/>
    <w:pPr>
      <w:autoSpaceDE w:val="0"/>
      <w:autoSpaceDN w:val="0"/>
      <w:jc w:val="left"/>
    </w:pPr>
    <w:rPr>
      <w:rFonts w:ascii="宋体" w:hAnsi="宋体" w:eastAsia="宋体" w:cs="宋体"/>
      <w:kern w:val="0"/>
      <w:sz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font31"/>
    <w:basedOn w:val="40"/>
    <w:qFormat/>
    <w:uiPriority w:val="0"/>
    <w:rPr>
      <w:rFonts w:ascii="Calibri" w:hAnsi="Calibri" w:cs="Calibri"/>
      <w:color w:val="000000"/>
      <w:sz w:val="18"/>
      <w:szCs w:val="18"/>
      <w:u w:val="none"/>
    </w:rPr>
  </w:style>
  <w:style w:type="paragraph" w:customStyle="1" w:styleId="20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7">
    <w:name w:val="Table Normal"/>
    <w:unhideWhenUsed/>
    <w:qFormat/>
    <w:uiPriority w:val="0"/>
    <w:tblPr>
      <w:tblCellMar>
        <w:top w:w="0" w:type="dxa"/>
        <w:left w:w="0" w:type="dxa"/>
        <w:bottom w:w="0" w:type="dxa"/>
        <w:right w:w="0" w:type="dxa"/>
      </w:tblCellMar>
    </w:tblPr>
  </w:style>
  <w:style w:type="paragraph" w:customStyle="1" w:styleId="208">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09">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1">
    <w:name w:val="字元 字元"/>
    <w:basedOn w:val="1"/>
    <w:qFormat/>
    <w:uiPriority w:val="0"/>
    <w:rPr>
      <w:rFonts w:ascii="Tahoma" w:hAnsi="Tahoma"/>
      <w:sz w:val="24"/>
      <w:szCs w:val="20"/>
    </w:rPr>
  </w:style>
  <w:style w:type="paragraph" w:customStyle="1" w:styleId="21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3">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4">
    <w:name w:val="Table Text"/>
    <w:basedOn w:val="1"/>
    <w:semiHidden/>
    <w:qFormat/>
    <w:uiPriority w:val="0"/>
    <w:rPr>
      <w:rFonts w:ascii="宋体" w:hAnsi="宋体" w:eastAsia="宋体" w:cs="宋体"/>
      <w:sz w:val="24"/>
      <w:szCs w:val="24"/>
      <w:lang w:val="en-US" w:eastAsia="en-US" w:bidi="ar-SA"/>
    </w:rPr>
  </w:style>
  <w:style w:type="paragraph" w:customStyle="1" w:styleId="215">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216">
    <w:name w:val="正文缩进2"/>
    <w:basedOn w:val="1"/>
    <w:autoRedefine/>
    <w:qFormat/>
    <w:uiPriority w:val="0"/>
    <w:pPr>
      <w:wordWrap w:val="0"/>
      <w:ind w:firstLine="480"/>
    </w:pPr>
    <w:rPr>
      <w:iCs/>
      <w:shd w:val="clear" w:color="auto" w:fill="FFFFFF" w:themeFill="background1"/>
      <w:lang w:val="zh-CN"/>
    </w:rPr>
  </w:style>
  <w:style w:type="paragraph" w:customStyle="1" w:styleId="217">
    <w:name w:val="Normal"/>
    <w:autoRedefine/>
    <w:qFormat/>
    <w:uiPriority w:val="0"/>
    <w:pPr>
      <w:widowControl w:val="0"/>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C109-E789-406A-BDBA-9506EB43D9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89</Pages>
  <Words>13334</Words>
  <Characters>14438</Characters>
  <Lines>358</Lines>
  <Paragraphs>100</Paragraphs>
  <TotalTime>3</TotalTime>
  <ScaleCrop>false</ScaleCrop>
  <LinksUpToDate>false</LinksUpToDate>
  <CharactersWithSpaces>14552</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2025-05-09T09:34:00Z</dcterms:created>
  <dc:creator>Administrator</dc:creator>
  <cp:lastModifiedBy>.</cp:lastModifiedBy>
  <cp:lastPrinted>2025-07-03T02:15:00Z</cp:lastPrinted>
  <dcterms:modified xsi:type="dcterms:W3CDTF">2026-04-27T02:26:24Z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AD068B95BA054D4495A45BAFF5662A35_13</vt:lpwstr>
  </property>
  <property fmtid="{D5CDD505-2E9C-101B-9397-08002B2CF9AE}" pid="4" name="KSOTemplateDocerSaveRecord">
    <vt:lpwstr>eyJoZGlkIjoiYzE5M2NlMWI0ZmI4MTMyOTFjNDg1ODY2YTdiMDE0NzAiLCJ1c2VySWQiOiIyMDc2NjcyMDcifQ==</vt:lpwstr>
  </property>
</Properties>
</file>