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7C8E0">
      <w:pPr>
        <w:widowControl/>
        <w:autoSpaceDN w:val="0"/>
        <w:spacing w:line="360" w:lineRule="auto"/>
        <w:jc w:val="center"/>
        <w:rPr>
          <w:rFonts w:ascii="宋体" w:hAnsi="宋体" w:eastAsia="宋体" w:cs="宋体"/>
          <w:b/>
          <w:bCs/>
          <w:sz w:val="48"/>
          <w:szCs w:val="48"/>
        </w:rPr>
      </w:pPr>
    </w:p>
    <w:p w14:paraId="1245FC28">
      <w:pPr>
        <w:widowControl/>
        <w:autoSpaceDN w:val="0"/>
        <w:spacing w:line="360" w:lineRule="auto"/>
        <w:jc w:val="center"/>
        <w:rPr>
          <w:rFonts w:hint="eastAsia" w:ascii="宋体" w:hAnsi="宋体" w:cs="宋体" w:eastAsiaTheme="minorEastAsia"/>
          <w:b/>
          <w:bCs/>
          <w:sz w:val="44"/>
          <w:szCs w:val="44"/>
          <w:lang w:eastAsia="zh-CN"/>
        </w:rPr>
      </w:pPr>
      <w:r>
        <w:rPr>
          <w:rFonts w:hint="eastAsia" w:ascii="宋体" w:hAnsi="宋体" w:cs="宋体"/>
          <w:b/>
          <w:bCs/>
          <w:sz w:val="44"/>
          <w:szCs w:val="44"/>
          <w:lang w:eastAsia="zh-CN"/>
        </w:rPr>
        <w:t>吉林省阳光学校校园单体楼防水改造项目</w:t>
      </w:r>
    </w:p>
    <w:p w14:paraId="2FA80A7D">
      <w:pPr>
        <w:pStyle w:val="12"/>
        <w:autoSpaceDN w:val="0"/>
        <w:rPr>
          <w:rFonts w:ascii="宋体" w:hAnsi="宋体" w:cs="宋体"/>
        </w:rPr>
      </w:pPr>
    </w:p>
    <w:p w14:paraId="62F76D67">
      <w:pPr>
        <w:autoSpaceDN w:val="0"/>
        <w:rPr>
          <w:rFonts w:ascii="宋体" w:hAnsi="宋体" w:eastAsia="宋体" w:cs="宋体"/>
          <w:szCs w:val="21"/>
        </w:rPr>
      </w:pPr>
    </w:p>
    <w:p w14:paraId="1CFF62D2">
      <w:pPr>
        <w:pStyle w:val="22"/>
        <w:autoSpaceDN w:val="0"/>
        <w:rPr>
          <w:rFonts w:ascii="宋体" w:hAnsi="宋体" w:cs="宋体"/>
          <w:b/>
          <w:bCs/>
          <w:kern w:val="0"/>
          <w:sz w:val="44"/>
          <w:szCs w:val="44"/>
        </w:rPr>
      </w:pPr>
    </w:p>
    <w:p w14:paraId="45E13784">
      <w:pPr>
        <w:pStyle w:val="22"/>
        <w:autoSpaceDN w:val="0"/>
        <w:rPr>
          <w:rFonts w:ascii="宋体" w:hAnsi="宋体" w:cs="宋体"/>
          <w:b/>
          <w:bCs/>
          <w:kern w:val="0"/>
          <w:sz w:val="44"/>
          <w:szCs w:val="44"/>
        </w:rPr>
      </w:pPr>
    </w:p>
    <w:p w14:paraId="5A00A4A2">
      <w:pPr>
        <w:autoSpaceDN w:val="0"/>
        <w:rPr>
          <w:rFonts w:ascii="宋体" w:hAnsi="宋体" w:eastAsia="宋体" w:cs="宋体"/>
          <w:szCs w:val="21"/>
        </w:rPr>
      </w:pPr>
    </w:p>
    <w:p w14:paraId="23DCA1E8">
      <w:pPr>
        <w:pStyle w:val="28"/>
        <w:ind w:firstLine="420"/>
        <w:rPr>
          <w:rFonts w:ascii="宋体" w:hAnsi="宋体" w:cs="宋体"/>
        </w:rPr>
      </w:pPr>
    </w:p>
    <w:p w14:paraId="192BC1A7">
      <w:pPr>
        <w:pStyle w:val="12"/>
        <w:autoSpaceDN w:val="0"/>
        <w:rPr>
          <w:rFonts w:ascii="宋体" w:hAnsi="宋体" w:cs="宋体"/>
        </w:rPr>
      </w:pPr>
    </w:p>
    <w:p w14:paraId="34726873"/>
    <w:p w14:paraId="77C9F042">
      <w:pPr>
        <w:autoSpaceDN w:val="0"/>
        <w:rPr>
          <w:rFonts w:ascii="宋体" w:hAnsi="宋体" w:eastAsia="宋体" w:cs="宋体"/>
          <w:szCs w:val="21"/>
        </w:rPr>
      </w:pPr>
    </w:p>
    <w:p w14:paraId="589918F3">
      <w:pPr>
        <w:widowControl/>
        <w:autoSpaceDN w:val="0"/>
        <w:spacing w:line="360" w:lineRule="auto"/>
        <w:jc w:val="center"/>
        <w:rPr>
          <w:rFonts w:ascii="宋体" w:hAnsi="宋体" w:eastAsia="宋体" w:cs="宋体"/>
          <w:b/>
          <w:bCs/>
          <w:kern w:val="0"/>
          <w:sz w:val="32"/>
          <w:szCs w:val="32"/>
        </w:rPr>
      </w:pPr>
      <w:r>
        <w:rPr>
          <w:rFonts w:hint="eastAsia" w:ascii="宋体" w:hAnsi="宋体" w:eastAsia="宋体" w:cs="宋体"/>
          <w:b/>
          <w:bCs/>
          <w:sz w:val="72"/>
          <w:szCs w:val="72"/>
        </w:rPr>
        <w:t>竞争性磋商文件</w:t>
      </w:r>
    </w:p>
    <w:p w14:paraId="69378C78">
      <w:pPr>
        <w:jc w:val="center"/>
        <w:rPr>
          <w:rFonts w:hint="default" w:ascii="宋体" w:hAnsi="宋体" w:eastAsia="宋体" w:cs="宋体"/>
          <w:b/>
          <w:bCs/>
          <w:kern w:val="0"/>
          <w:sz w:val="24"/>
          <w:lang w:val="en-US" w:eastAsia="zh-CN"/>
        </w:rPr>
      </w:pPr>
      <w:r>
        <w:rPr>
          <w:rFonts w:hint="eastAsia" w:ascii="宋体" w:hAnsi="宋体" w:eastAsia="宋体" w:cs="宋体"/>
          <w:b/>
          <w:bCs/>
          <w:kern w:val="0"/>
          <w:sz w:val="24"/>
        </w:rPr>
        <w:t>采购项目</w:t>
      </w:r>
      <w:r>
        <w:rPr>
          <w:rFonts w:ascii="宋体" w:hAnsi="宋体" w:eastAsia="宋体" w:cs="宋体"/>
          <w:b/>
          <w:bCs/>
          <w:kern w:val="0"/>
          <w:sz w:val="24"/>
        </w:rPr>
        <w:t>编号：</w:t>
      </w:r>
      <w:r>
        <w:rPr>
          <w:rFonts w:hint="eastAsia" w:ascii="宋体" w:hAnsi="宋体" w:eastAsia="宋体" w:cs="宋体"/>
          <w:b/>
          <w:bCs/>
          <w:kern w:val="0"/>
          <w:sz w:val="24"/>
        </w:rPr>
        <w:t>采购计划-[2026]-07292号-</w:t>
      </w:r>
      <w:r>
        <w:rPr>
          <w:rFonts w:hint="eastAsia" w:ascii="宋体" w:hAnsi="宋体" w:eastAsia="宋体" w:cs="宋体"/>
          <w:b/>
          <w:bCs/>
          <w:kern w:val="0"/>
          <w:sz w:val="24"/>
          <w:lang w:val="en-US" w:eastAsia="zh-CN"/>
        </w:rPr>
        <w:t xml:space="preserve">WLGC202605-036 </w:t>
      </w:r>
    </w:p>
    <w:p w14:paraId="57A1B288">
      <w:pPr>
        <w:jc w:val="center"/>
        <w:rPr>
          <w:rFonts w:ascii="宋体" w:hAnsi="宋体" w:eastAsia="宋体" w:cs="宋体"/>
          <w:b/>
          <w:bCs/>
          <w:kern w:val="0"/>
          <w:sz w:val="24"/>
        </w:rPr>
      </w:pPr>
    </w:p>
    <w:p w14:paraId="7AB5D589">
      <w:pPr>
        <w:widowControl/>
        <w:autoSpaceDN w:val="0"/>
        <w:rPr>
          <w:rFonts w:ascii="宋体" w:hAnsi="宋体" w:eastAsia="宋体" w:cs="宋体"/>
          <w:sz w:val="15"/>
          <w:szCs w:val="15"/>
        </w:rPr>
      </w:pPr>
    </w:p>
    <w:p w14:paraId="0DCCBC4C">
      <w:pPr>
        <w:pStyle w:val="22"/>
        <w:autoSpaceDN w:val="0"/>
        <w:rPr>
          <w:rFonts w:ascii="宋体" w:hAnsi="宋体" w:cs="宋体"/>
        </w:rPr>
      </w:pPr>
    </w:p>
    <w:p w14:paraId="405D68F2">
      <w:pPr>
        <w:pStyle w:val="22"/>
        <w:autoSpaceDN w:val="0"/>
        <w:rPr>
          <w:rFonts w:ascii="宋体" w:hAnsi="宋体" w:cs="宋体"/>
        </w:rPr>
      </w:pPr>
    </w:p>
    <w:p w14:paraId="43F425A8">
      <w:pPr>
        <w:pStyle w:val="22"/>
        <w:autoSpaceDN w:val="0"/>
        <w:rPr>
          <w:rFonts w:ascii="宋体" w:hAnsi="宋体" w:cs="宋体"/>
        </w:rPr>
      </w:pPr>
    </w:p>
    <w:p w14:paraId="286DE9D4">
      <w:pPr>
        <w:pStyle w:val="22"/>
        <w:autoSpaceDN w:val="0"/>
        <w:rPr>
          <w:rFonts w:ascii="宋体" w:hAnsi="宋体" w:cs="宋体"/>
        </w:rPr>
      </w:pPr>
    </w:p>
    <w:p w14:paraId="3B2641CC">
      <w:pPr>
        <w:pStyle w:val="22"/>
        <w:autoSpaceDN w:val="0"/>
        <w:rPr>
          <w:rFonts w:ascii="宋体" w:hAnsi="宋体" w:cs="宋体"/>
        </w:rPr>
      </w:pPr>
    </w:p>
    <w:p w14:paraId="0D7F50A9">
      <w:pPr>
        <w:pStyle w:val="22"/>
        <w:autoSpaceDN w:val="0"/>
        <w:rPr>
          <w:rFonts w:ascii="宋体" w:hAnsi="宋体" w:cs="宋体"/>
        </w:rPr>
      </w:pPr>
    </w:p>
    <w:p w14:paraId="36FB0FB4">
      <w:pPr>
        <w:pStyle w:val="22"/>
        <w:autoSpaceDN w:val="0"/>
        <w:rPr>
          <w:rFonts w:ascii="宋体" w:hAnsi="宋体" w:cs="宋体"/>
        </w:rPr>
      </w:pPr>
    </w:p>
    <w:p w14:paraId="603E683C">
      <w:pPr>
        <w:pStyle w:val="22"/>
        <w:autoSpaceDN w:val="0"/>
        <w:rPr>
          <w:rFonts w:ascii="宋体" w:hAnsi="宋体" w:cs="宋体"/>
        </w:rPr>
      </w:pPr>
    </w:p>
    <w:p w14:paraId="43DF4304">
      <w:pPr>
        <w:pStyle w:val="14"/>
        <w:rPr>
          <w:rFonts w:ascii="宋体" w:hAnsi="宋体" w:cs="宋体"/>
        </w:rPr>
      </w:pPr>
    </w:p>
    <w:p w14:paraId="37FB9616">
      <w:pPr>
        <w:pStyle w:val="14"/>
        <w:rPr>
          <w:rFonts w:ascii="宋体" w:hAnsi="宋体" w:cs="宋体"/>
        </w:rPr>
      </w:pPr>
    </w:p>
    <w:p w14:paraId="22AC2A47">
      <w:pPr>
        <w:pStyle w:val="22"/>
        <w:autoSpaceDN w:val="0"/>
        <w:rPr>
          <w:rFonts w:ascii="宋体" w:hAnsi="宋体" w:cs="宋体"/>
        </w:rPr>
      </w:pPr>
    </w:p>
    <w:p w14:paraId="099C254F">
      <w:pPr>
        <w:widowControl/>
        <w:autoSpaceDN w:val="0"/>
        <w:spacing w:line="480" w:lineRule="auto"/>
        <w:jc w:val="center"/>
        <w:rPr>
          <w:rFonts w:ascii="宋体" w:hAnsi="宋体" w:eastAsia="宋体" w:cs="宋体"/>
          <w:sz w:val="18"/>
          <w:szCs w:val="18"/>
        </w:rPr>
      </w:pPr>
    </w:p>
    <w:p w14:paraId="6BAC1E63">
      <w:pPr>
        <w:widowControl/>
        <w:snapToGrid w:val="0"/>
        <w:spacing w:line="560" w:lineRule="exact"/>
        <w:ind w:firstLine="1558" w:firstLineChars="485"/>
        <w:jc w:val="left"/>
        <w:rPr>
          <w:rFonts w:ascii="宋体" w:hAnsi="宋体" w:cs="宋体"/>
          <w:b/>
          <w:bCs/>
          <w:sz w:val="32"/>
          <w:szCs w:val="32"/>
        </w:rPr>
      </w:pPr>
      <w:r>
        <w:rPr>
          <w:rFonts w:hint="eastAsia" w:ascii="宋体" w:hAnsi="宋体"/>
          <w:b/>
          <w:bCs/>
          <w:kern w:val="0"/>
          <w:sz w:val="32"/>
          <w:szCs w:val="20"/>
        </w:rPr>
        <w:t>采   购   人：吉林省阳光学校</w:t>
      </w:r>
    </w:p>
    <w:p w14:paraId="20AB471D">
      <w:pPr>
        <w:pStyle w:val="28"/>
        <w:ind w:firstLine="420"/>
      </w:pPr>
    </w:p>
    <w:p w14:paraId="0F450399">
      <w:pPr>
        <w:widowControl/>
        <w:snapToGrid w:val="0"/>
        <w:spacing w:line="560" w:lineRule="exact"/>
        <w:ind w:firstLine="1558" w:firstLineChars="485"/>
        <w:jc w:val="left"/>
        <w:rPr>
          <w:rFonts w:ascii="宋体" w:hAnsi="宋体"/>
          <w:b/>
          <w:bCs/>
          <w:kern w:val="0"/>
          <w:sz w:val="32"/>
          <w:szCs w:val="20"/>
        </w:rPr>
      </w:pPr>
      <w:r>
        <w:rPr>
          <w:rFonts w:hint="eastAsia" w:ascii="宋体" w:hAnsi="宋体"/>
          <w:b/>
          <w:bCs/>
          <w:kern w:val="0"/>
          <w:sz w:val="32"/>
          <w:szCs w:val="20"/>
        </w:rPr>
        <w:t>采购代理机构：长春市万力工程咨询有限公司</w:t>
      </w:r>
    </w:p>
    <w:p w14:paraId="242A59A1">
      <w:pPr>
        <w:pStyle w:val="42"/>
        <w:rPr>
          <w:rFonts w:hint="default"/>
        </w:rPr>
      </w:pPr>
    </w:p>
    <w:p w14:paraId="3DB904CC">
      <w:pPr>
        <w:jc w:val="center"/>
        <w:rPr>
          <w:rFonts w:ascii="宋体" w:hAnsi="宋体" w:eastAsia="宋体" w:cs="宋体"/>
          <w:b/>
          <w:bCs/>
          <w:kern w:val="0"/>
          <w:sz w:val="28"/>
          <w:szCs w:val="28"/>
        </w:rPr>
      </w:pPr>
      <w:r>
        <w:rPr>
          <w:rFonts w:hint="eastAsia" w:ascii="宋体" w:hAnsi="宋体"/>
          <w:b/>
          <w:bCs/>
          <w:kern w:val="0"/>
          <w:sz w:val="32"/>
          <w:szCs w:val="20"/>
        </w:rPr>
        <w:t>202</w:t>
      </w:r>
      <w:r>
        <w:rPr>
          <w:rFonts w:hint="eastAsia" w:ascii="宋体" w:hAnsi="宋体"/>
          <w:b/>
          <w:bCs/>
          <w:kern w:val="0"/>
          <w:sz w:val="32"/>
          <w:szCs w:val="20"/>
          <w:lang w:val="en-US" w:eastAsia="zh-CN"/>
        </w:rPr>
        <w:t>6</w:t>
      </w:r>
      <w:r>
        <w:rPr>
          <w:rFonts w:hint="eastAsia" w:ascii="宋体" w:hAnsi="宋体"/>
          <w:b/>
          <w:bCs/>
          <w:kern w:val="0"/>
          <w:sz w:val="32"/>
          <w:szCs w:val="20"/>
        </w:rPr>
        <w:t>年</w:t>
      </w:r>
      <w:r>
        <w:rPr>
          <w:rFonts w:hint="eastAsia" w:ascii="宋体" w:hAnsi="宋体"/>
          <w:b/>
          <w:bCs/>
          <w:kern w:val="0"/>
          <w:sz w:val="32"/>
          <w:szCs w:val="20"/>
          <w:lang w:val="en-US" w:eastAsia="zh-CN"/>
        </w:rPr>
        <w:t>5</w:t>
      </w:r>
      <w:r>
        <w:rPr>
          <w:rFonts w:hint="eastAsia" w:ascii="宋体" w:hAnsi="宋体"/>
          <w:b/>
          <w:bCs/>
          <w:kern w:val="0"/>
          <w:sz w:val="32"/>
          <w:szCs w:val="20"/>
        </w:rPr>
        <w:t>月</w:t>
      </w:r>
    </w:p>
    <w:p w14:paraId="564BF611">
      <w:pPr>
        <w:rPr>
          <w:rFonts w:ascii="宋体" w:hAnsi="宋体" w:eastAsia="宋体" w:cs="宋体"/>
          <w:b/>
          <w:bCs/>
          <w:sz w:val="36"/>
          <w:szCs w:val="36"/>
        </w:rPr>
      </w:pPr>
      <w:r>
        <w:rPr>
          <w:rFonts w:hint="eastAsia" w:ascii="宋体" w:hAnsi="宋体" w:eastAsia="宋体" w:cs="宋体"/>
          <w:b/>
          <w:bCs/>
          <w:sz w:val="36"/>
          <w:szCs w:val="36"/>
        </w:rPr>
        <w:br w:type="page"/>
      </w:r>
    </w:p>
    <w:p w14:paraId="49AAD364">
      <w:pPr>
        <w:autoSpaceDN w:val="0"/>
        <w:spacing w:line="480" w:lineRule="auto"/>
        <w:jc w:val="center"/>
        <w:rPr>
          <w:rFonts w:ascii="宋体" w:hAnsi="宋体" w:eastAsia="宋体" w:cs="宋体"/>
          <w:b/>
          <w:bCs/>
          <w:sz w:val="36"/>
          <w:szCs w:val="36"/>
        </w:rPr>
      </w:pPr>
      <w:r>
        <w:rPr>
          <w:rFonts w:hint="eastAsia" w:ascii="宋体" w:hAnsi="宋体" w:eastAsia="宋体" w:cs="宋体"/>
          <w:b/>
          <w:bCs/>
          <w:sz w:val="36"/>
          <w:szCs w:val="36"/>
        </w:rPr>
        <w:t>目 录</w:t>
      </w:r>
    </w:p>
    <w:p w14:paraId="446D6208">
      <w:pPr>
        <w:autoSpaceDN w:val="0"/>
        <w:spacing w:line="480" w:lineRule="auto"/>
        <w:jc w:val="left"/>
        <w:rPr>
          <w:rFonts w:ascii="宋体" w:hAnsi="宋体" w:eastAsia="宋体" w:cs="宋体"/>
          <w:b/>
          <w:bCs/>
          <w:sz w:val="24"/>
        </w:rPr>
      </w:pPr>
    </w:p>
    <w:p w14:paraId="505236A9">
      <w:pPr>
        <w:pStyle w:val="21"/>
        <w:tabs>
          <w:tab w:val="right" w:leader="dot" w:pos="8305"/>
          <w:tab w:val="clear" w:pos="8295"/>
        </w:tabs>
        <w:spacing w:line="480" w:lineRule="auto"/>
        <w:jc w:val="left"/>
        <w:rPr>
          <w:sz w:val="24"/>
        </w:rPr>
      </w:pPr>
      <w:r>
        <w:rPr>
          <w:rFonts w:cs="宋体" w:asciiTheme="minorEastAsia" w:hAnsiTheme="minorEastAsia"/>
          <w:bCs/>
          <w:sz w:val="24"/>
        </w:rPr>
        <w:fldChar w:fldCharType="begin"/>
      </w:r>
      <w:r>
        <w:rPr>
          <w:rFonts w:cs="宋体" w:asciiTheme="minorEastAsia" w:hAnsiTheme="minorEastAsia"/>
          <w:bCs/>
          <w:sz w:val="24"/>
        </w:rPr>
        <w:instrText xml:space="preserve"> </w:instrText>
      </w:r>
      <w:r>
        <w:rPr>
          <w:rFonts w:hint="eastAsia" w:cs="宋体" w:asciiTheme="minorEastAsia" w:hAnsiTheme="minorEastAsia"/>
          <w:bCs/>
          <w:sz w:val="24"/>
        </w:rPr>
        <w:instrText xml:space="preserve">TOC \o "1-3" \h \z \u</w:instrText>
      </w:r>
      <w:r>
        <w:rPr>
          <w:rFonts w:cs="宋体" w:asciiTheme="minorEastAsia" w:hAnsiTheme="minorEastAsia"/>
          <w:bCs/>
          <w:sz w:val="24"/>
        </w:rPr>
        <w:instrText xml:space="preserve"> </w:instrText>
      </w:r>
      <w:r>
        <w:rPr>
          <w:rFonts w:cs="宋体" w:asciiTheme="minorEastAsia" w:hAnsiTheme="minorEastAsia"/>
          <w:bCs/>
          <w:sz w:val="24"/>
        </w:rPr>
        <w:fldChar w:fldCharType="separate"/>
      </w:r>
      <w:r>
        <w:fldChar w:fldCharType="begin"/>
      </w:r>
      <w:r>
        <w:instrText xml:space="preserve"> HYPERLINK \l "_Toc4465" </w:instrText>
      </w:r>
      <w:r>
        <w:fldChar w:fldCharType="separate"/>
      </w:r>
      <w:r>
        <w:rPr>
          <w:rFonts w:hint="eastAsia" w:ascii="宋体" w:hAnsi="宋体" w:cs="宋体"/>
          <w:sz w:val="24"/>
        </w:rPr>
        <w:t>第一章 竞争性磋商公告</w:t>
      </w:r>
      <w:r>
        <w:rPr>
          <w:sz w:val="24"/>
        </w:rPr>
        <w:tab/>
      </w:r>
      <w:r>
        <w:rPr>
          <w:sz w:val="24"/>
        </w:rPr>
        <w:fldChar w:fldCharType="begin"/>
      </w:r>
      <w:r>
        <w:rPr>
          <w:sz w:val="24"/>
        </w:rPr>
        <w:instrText xml:space="preserve"> PAGEREF _Toc4465 \h </w:instrText>
      </w:r>
      <w:r>
        <w:rPr>
          <w:sz w:val="24"/>
        </w:rPr>
        <w:fldChar w:fldCharType="separate"/>
      </w:r>
      <w:r>
        <w:rPr>
          <w:sz w:val="24"/>
        </w:rPr>
        <w:t>3</w:t>
      </w:r>
      <w:r>
        <w:rPr>
          <w:sz w:val="24"/>
        </w:rPr>
        <w:fldChar w:fldCharType="end"/>
      </w:r>
      <w:r>
        <w:rPr>
          <w:sz w:val="24"/>
        </w:rPr>
        <w:fldChar w:fldCharType="end"/>
      </w:r>
    </w:p>
    <w:p w14:paraId="2222B172">
      <w:pPr>
        <w:pStyle w:val="21"/>
        <w:tabs>
          <w:tab w:val="right" w:leader="dot" w:pos="8305"/>
          <w:tab w:val="clear" w:pos="8295"/>
        </w:tabs>
        <w:spacing w:line="480" w:lineRule="auto"/>
        <w:jc w:val="left"/>
        <w:rPr>
          <w:sz w:val="24"/>
        </w:rPr>
      </w:pPr>
      <w:r>
        <w:fldChar w:fldCharType="begin"/>
      </w:r>
      <w:r>
        <w:instrText xml:space="preserve"> HYPERLINK \l "_Toc19635" </w:instrText>
      </w:r>
      <w:r>
        <w:fldChar w:fldCharType="separate"/>
      </w:r>
      <w:r>
        <w:rPr>
          <w:rFonts w:hint="eastAsia" w:ascii="宋体" w:hAnsi="宋体" w:cs="宋体"/>
          <w:sz w:val="24"/>
        </w:rPr>
        <w:t>第二章 供应商须知</w:t>
      </w:r>
      <w:r>
        <w:rPr>
          <w:sz w:val="24"/>
        </w:rPr>
        <w:tab/>
      </w:r>
      <w:r>
        <w:rPr>
          <w:sz w:val="24"/>
        </w:rPr>
        <w:fldChar w:fldCharType="begin"/>
      </w:r>
      <w:r>
        <w:rPr>
          <w:sz w:val="24"/>
        </w:rPr>
        <w:instrText xml:space="preserve"> PAGEREF _Toc19635 \h </w:instrText>
      </w:r>
      <w:r>
        <w:rPr>
          <w:sz w:val="24"/>
        </w:rPr>
        <w:fldChar w:fldCharType="separate"/>
      </w:r>
      <w:r>
        <w:rPr>
          <w:sz w:val="24"/>
        </w:rPr>
        <w:t>9</w:t>
      </w:r>
      <w:r>
        <w:rPr>
          <w:sz w:val="24"/>
        </w:rPr>
        <w:fldChar w:fldCharType="end"/>
      </w:r>
      <w:r>
        <w:rPr>
          <w:sz w:val="24"/>
        </w:rPr>
        <w:fldChar w:fldCharType="end"/>
      </w:r>
    </w:p>
    <w:p w14:paraId="75C53B1C">
      <w:pPr>
        <w:pStyle w:val="21"/>
        <w:tabs>
          <w:tab w:val="right" w:leader="dot" w:pos="8305"/>
          <w:tab w:val="clear" w:pos="8295"/>
        </w:tabs>
        <w:spacing w:line="480" w:lineRule="auto"/>
        <w:jc w:val="left"/>
        <w:rPr>
          <w:sz w:val="24"/>
        </w:rPr>
      </w:pPr>
      <w:r>
        <w:fldChar w:fldCharType="begin"/>
      </w:r>
      <w:r>
        <w:instrText xml:space="preserve"> HYPERLINK \l "_Toc10427" </w:instrText>
      </w:r>
      <w:r>
        <w:fldChar w:fldCharType="separate"/>
      </w:r>
      <w:r>
        <w:rPr>
          <w:rFonts w:hint="eastAsia" w:ascii="宋体" w:hAnsi="宋体" w:eastAsia="宋体" w:cs="宋体"/>
          <w:bCs/>
          <w:sz w:val="24"/>
        </w:rPr>
        <w:t>第三章 磋商评审细则（综合评分法）</w:t>
      </w:r>
      <w:r>
        <w:rPr>
          <w:sz w:val="24"/>
        </w:rPr>
        <w:tab/>
      </w:r>
      <w:r>
        <w:rPr>
          <w:sz w:val="24"/>
        </w:rPr>
        <w:fldChar w:fldCharType="begin"/>
      </w:r>
      <w:r>
        <w:rPr>
          <w:sz w:val="24"/>
        </w:rPr>
        <w:instrText xml:space="preserve"> PAGEREF _Toc10427 \h </w:instrText>
      </w:r>
      <w:r>
        <w:rPr>
          <w:sz w:val="24"/>
        </w:rPr>
        <w:fldChar w:fldCharType="separate"/>
      </w:r>
      <w:r>
        <w:rPr>
          <w:sz w:val="24"/>
        </w:rPr>
        <w:t>37</w:t>
      </w:r>
      <w:r>
        <w:rPr>
          <w:sz w:val="24"/>
        </w:rPr>
        <w:fldChar w:fldCharType="end"/>
      </w:r>
      <w:r>
        <w:rPr>
          <w:sz w:val="24"/>
        </w:rPr>
        <w:fldChar w:fldCharType="end"/>
      </w:r>
    </w:p>
    <w:p w14:paraId="42368F4F">
      <w:pPr>
        <w:pStyle w:val="21"/>
        <w:tabs>
          <w:tab w:val="right" w:leader="dot" w:pos="8305"/>
          <w:tab w:val="clear" w:pos="8295"/>
        </w:tabs>
        <w:spacing w:line="480" w:lineRule="auto"/>
        <w:jc w:val="left"/>
        <w:rPr>
          <w:sz w:val="24"/>
        </w:rPr>
      </w:pPr>
      <w:r>
        <w:fldChar w:fldCharType="begin"/>
      </w:r>
      <w:r>
        <w:instrText xml:space="preserve"> HYPERLINK \l "_Toc6381" </w:instrText>
      </w:r>
      <w:r>
        <w:fldChar w:fldCharType="separate"/>
      </w:r>
      <w:r>
        <w:rPr>
          <w:rFonts w:hint="eastAsia" w:ascii="宋体" w:hAnsi="宋体" w:cs="宋体"/>
          <w:sz w:val="24"/>
        </w:rPr>
        <w:t>第四章 合同条款</w:t>
      </w:r>
      <w:r>
        <w:rPr>
          <w:sz w:val="24"/>
        </w:rPr>
        <w:tab/>
      </w:r>
      <w:r>
        <w:rPr>
          <w:sz w:val="24"/>
        </w:rPr>
        <w:fldChar w:fldCharType="begin"/>
      </w:r>
      <w:r>
        <w:rPr>
          <w:sz w:val="24"/>
        </w:rPr>
        <w:instrText xml:space="preserve"> PAGEREF _Toc6381 \h </w:instrText>
      </w:r>
      <w:r>
        <w:rPr>
          <w:sz w:val="24"/>
        </w:rPr>
        <w:fldChar w:fldCharType="separate"/>
      </w:r>
      <w:r>
        <w:rPr>
          <w:sz w:val="24"/>
        </w:rPr>
        <w:t>58</w:t>
      </w:r>
      <w:r>
        <w:rPr>
          <w:sz w:val="24"/>
        </w:rPr>
        <w:fldChar w:fldCharType="end"/>
      </w:r>
      <w:r>
        <w:rPr>
          <w:sz w:val="24"/>
        </w:rPr>
        <w:fldChar w:fldCharType="end"/>
      </w:r>
    </w:p>
    <w:p w14:paraId="16D49F47">
      <w:pPr>
        <w:pStyle w:val="21"/>
        <w:tabs>
          <w:tab w:val="right" w:leader="dot" w:pos="8305"/>
          <w:tab w:val="clear" w:pos="8295"/>
        </w:tabs>
        <w:spacing w:line="480" w:lineRule="auto"/>
        <w:jc w:val="left"/>
        <w:rPr>
          <w:sz w:val="24"/>
        </w:rPr>
      </w:pPr>
      <w:r>
        <w:fldChar w:fldCharType="begin"/>
      </w:r>
      <w:r>
        <w:instrText xml:space="preserve"> HYPERLINK \l "_Toc25450" </w:instrText>
      </w:r>
      <w:r>
        <w:fldChar w:fldCharType="separate"/>
      </w:r>
      <w:r>
        <w:rPr>
          <w:rFonts w:hint="eastAsia" w:ascii="宋体" w:hAnsi="宋体" w:cs="宋体"/>
          <w:sz w:val="24"/>
        </w:rPr>
        <w:t>第五章 采购需求</w:t>
      </w:r>
      <w:r>
        <w:rPr>
          <w:sz w:val="24"/>
        </w:rPr>
        <w:tab/>
      </w:r>
      <w:r>
        <w:rPr>
          <w:sz w:val="24"/>
        </w:rPr>
        <w:fldChar w:fldCharType="begin"/>
      </w:r>
      <w:r>
        <w:rPr>
          <w:sz w:val="24"/>
        </w:rPr>
        <w:instrText xml:space="preserve"> PAGEREF _Toc25450 \h </w:instrText>
      </w:r>
      <w:r>
        <w:rPr>
          <w:sz w:val="24"/>
        </w:rPr>
        <w:fldChar w:fldCharType="separate"/>
      </w:r>
      <w:r>
        <w:rPr>
          <w:sz w:val="24"/>
        </w:rPr>
        <w:t>78</w:t>
      </w:r>
      <w:r>
        <w:rPr>
          <w:sz w:val="24"/>
        </w:rPr>
        <w:fldChar w:fldCharType="end"/>
      </w:r>
      <w:r>
        <w:rPr>
          <w:sz w:val="24"/>
        </w:rPr>
        <w:fldChar w:fldCharType="end"/>
      </w:r>
    </w:p>
    <w:p w14:paraId="2BE436D3">
      <w:pPr>
        <w:pStyle w:val="21"/>
        <w:tabs>
          <w:tab w:val="right" w:leader="dot" w:pos="8305"/>
          <w:tab w:val="clear" w:pos="8295"/>
        </w:tabs>
        <w:spacing w:line="480" w:lineRule="auto"/>
        <w:jc w:val="left"/>
        <w:rPr>
          <w:sz w:val="24"/>
        </w:rPr>
      </w:pPr>
      <w:r>
        <w:fldChar w:fldCharType="begin"/>
      </w:r>
      <w:r>
        <w:instrText xml:space="preserve"> HYPERLINK \l "_Toc31461" </w:instrText>
      </w:r>
      <w:r>
        <w:fldChar w:fldCharType="separate"/>
      </w:r>
      <w:r>
        <w:rPr>
          <w:rFonts w:hint="eastAsia" w:ascii="宋体" w:hAnsi="宋体" w:eastAsia="宋体" w:cs="宋体"/>
          <w:bCs/>
          <w:kern w:val="44"/>
          <w:sz w:val="24"/>
        </w:rPr>
        <w:t>第六章 响应文件构成</w:t>
      </w:r>
      <w:r>
        <w:rPr>
          <w:sz w:val="24"/>
        </w:rPr>
        <w:tab/>
      </w:r>
      <w:r>
        <w:rPr>
          <w:sz w:val="24"/>
        </w:rPr>
        <w:fldChar w:fldCharType="begin"/>
      </w:r>
      <w:r>
        <w:rPr>
          <w:sz w:val="24"/>
        </w:rPr>
        <w:instrText xml:space="preserve"> PAGEREF _Toc31461 \h </w:instrText>
      </w:r>
      <w:r>
        <w:rPr>
          <w:sz w:val="24"/>
        </w:rPr>
        <w:fldChar w:fldCharType="separate"/>
      </w:r>
      <w:r>
        <w:rPr>
          <w:sz w:val="24"/>
        </w:rPr>
        <w:t>80</w:t>
      </w:r>
      <w:r>
        <w:rPr>
          <w:sz w:val="24"/>
        </w:rPr>
        <w:fldChar w:fldCharType="end"/>
      </w:r>
      <w:r>
        <w:rPr>
          <w:sz w:val="24"/>
        </w:rPr>
        <w:fldChar w:fldCharType="end"/>
      </w:r>
    </w:p>
    <w:p w14:paraId="37984D61">
      <w:pPr>
        <w:pStyle w:val="21"/>
        <w:tabs>
          <w:tab w:val="right" w:leader="dot" w:pos="8305"/>
          <w:tab w:val="clear" w:pos="8295"/>
        </w:tabs>
        <w:spacing w:line="480" w:lineRule="auto"/>
        <w:jc w:val="left"/>
        <w:rPr>
          <w:sz w:val="24"/>
        </w:rPr>
      </w:pPr>
      <w:r>
        <w:fldChar w:fldCharType="begin"/>
      </w:r>
      <w:r>
        <w:instrText xml:space="preserve"> HYPERLINK \l "_Toc14092" </w:instrText>
      </w:r>
      <w:r>
        <w:fldChar w:fldCharType="separate"/>
      </w:r>
      <w:r>
        <w:rPr>
          <w:rFonts w:hint="eastAsia"/>
          <w:sz w:val="24"/>
        </w:rPr>
        <w:t>第七章 工程量清单及图纸</w:t>
      </w:r>
      <w:r>
        <w:rPr>
          <w:sz w:val="24"/>
        </w:rPr>
        <w:tab/>
      </w:r>
      <w:r>
        <w:rPr>
          <w:sz w:val="24"/>
        </w:rPr>
        <w:fldChar w:fldCharType="begin"/>
      </w:r>
      <w:r>
        <w:rPr>
          <w:sz w:val="24"/>
        </w:rPr>
        <w:instrText xml:space="preserve"> PAGEREF _Toc14092 \h </w:instrText>
      </w:r>
      <w:r>
        <w:rPr>
          <w:sz w:val="24"/>
        </w:rPr>
        <w:fldChar w:fldCharType="separate"/>
      </w:r>
      <w:r>
        <w:rPr>
          <w:sz w:val="24"/>
        </w:rPr>
        <w:t>109</w:t>
      </w:r>
      <w:r>
        <w:rPr>
          <w:sz w:val="24"/>
        </w:rPr>
        <w:fldChar w:fldCharType="end"/>
      </w:r>
      <w:r>
        <w:rPr>
          <w:sz w:val="24"/>
        </w:rPr>
        <w:fldChar w:fldCharType="end"/>
      </w:r>
    </w:p>
    <w:p w14:paraId="0158B259">
      <w:pPr>
        <w:autoSpaceDN w:val="0"/>
        <w:spacing w:line="480" w:lineRule="auto"/>
        <w:jc w:val="left"/>
        <w:rPr>
          <w:rFonts w:cs="宋体" w:asciiTheme="minorEastAsia" w:hAnsiTheme="minorEastAsia"/>
          <w:bCs/>
          <w:sz w:val="24"/>
        </w:rPr>
      </w:pPr>
      <w:r>
        <w:rPr>
          <w:rFonts w:cs="宋体" w:asciiTheme="minorEastAsia" w:hAnsiTheme="minorEastAsia"/>
          <w:bCs/>
          <w:sz w:val="24"/>
        </w:rPr>
        <w:fldChar w:fldCharType="end"/>
      </w:r>
    </w:p>
    <w:p w14:paraId="434ACB86">
      <w:pPr>
        <w:autoSpaceDN w:val="0"/>
        <w:jc w:val="center"/>
        <w:rPr>
          <w:rFonts w:ascii="宋体" w:hAnsi="宋体" w:eastAsia="宋体" w:cs="宋体"/>
          <w:b/>
          <w:bCs/>
          <w:sz w:val="36"/>
          <w:szCs w:val="36"/>
        </w:rPr>
      </w:pPr>
    </w:p>
    <w:p w14:paraId="4A43D219">
      <w:pPr>
        <w:rPr>
          <w:rFonts w:hint="eastAsia" w:eastAsia="黑体"/>
          <w:lang w:eastAsia="zh-CN"/>
        </w:rPr>
      </w:pPr>
    </w:p>
    <w:p w14:paraId="2D72420B">
      <w:pPr>
        <w:sectPr>
          <w:footerReference r:id="rId4" w:type="default"/>
          <w:pgSz w:w="11906" w:h="16838"/>
          <w:pgMar w:top="1440" w:right="1800" w:bottom="1440" w:left="1800" w:header="851" w:footer="992" w:gutter="1"/>
          <w:pgBorders>
            <w:top w:val="none" w:sz="0" w:space="0"/>
            <w:left w:val="none" w:sz="0" w:space="0"/>
            <w:bottom w:val="none" w:sz="0" w:space="0"/>
            <w:right w:val="none" w:sz="0" w:space="0"/>
          </w:pgBorders>
          <w:cols w:space="425" w:num="1"/>
          <w:titlePg/>
          <w:docGrid w:type="lines" w:linePitch="312" w:charSpace="0"/>
        </w:sectPr>
      </w:pPr>
    </w:p>
    <w:p w14:paraId="3C1538D7">
      <w:pPr>
        <w:pStyle w:val="2"/>
        <w:autoSpaceDN w:val="0"/>
        <w:spacing w:before="0" w:after="0" w:line="360" w:lineRule="auto"/>
        <w:jc w:val="center"/>
        <w:rPr>
          <w:rFonts w:ascii="宋体" w:hAnsi="宋体" w:cs="宋体"/>
          <w:sz w:val="40"/>
          <w:szCs w:val="40"/>
        </w:rPr>
      </w:pPr>
      <w:bookmarkStart w:id="0" w:name="_Toc4465"/>
      <w:bookmarkStart w:id="1" w:name="_Toc134790385"/>
      <w:r>
        <w:rPr>
          <w:rFonts w:hint="eastAsia" w:ascii="宋体" w:hAnsi="宋体" w:cs="宋体"/>
        </w:rPr>
        <w:t>第一章</w:t>
      </w:r>
      <w:r>
        <w:rPr>
          <w:rFonts w:hint="eastAsia" w:ascii="宋体" w:hAnsi="宋体" w:cs="宋体"/>
          <w:sz w:val="40"/>
          <w:szCs w:val="40"/>
        </w:rPr>
        <w:t xml:space="preserve"> </w:t>
      </w:r>
      <w:bookmarkStart w:id="2" w:name="OLE_LINK1"/>
      <w:r>
        <w:rPr>
          <w:rFonts w:hint="eastAsia" w:ascii="宋体" w:hAnsi="宋体" w:cs="宋体"/>
          <w:sz w:val="40"/>
          <w:szCs w:val="40"/>
        </w:rPr>
        <w:t>竞争性磋商公告</w:t>
      </w:r>
      <w:bookmarkEnd w:id="0"/>
      <w:bookmarkEnd w:id="1"/>
    </w:p>
    <w:p w14:paraId="557FC458">
      <w:pPr>
        <w:pStyle w:val="24"/>
        <w:spacing w:beforeAutospacing="0" w:afterAutospacing="0" w:line="360" w:lineRule="auto"/>
        <w:ind w:firstLine="410" w:firstLineChars="171"/>
        <w:jc w:val="both"/>
        <w:rPr>
          <w:rFonts w:ascii="宋体" w:hAnsi="宋体" w:cs="宋体"/>
        </w:rPr>
      </w:pPr>
      <w:r>
        <w:rPr>
          <w:rFonts w:hint="eastAsia" w:ascii="宋体" w:hAnsi="宋体" w:cs="宋体"/>
        </w:rPr>
        <w:t>项目概况</w:t>
      </w:r>
    </w:p>
    <w:p w14:paraId="03047DEB">
      <w:pPr>
        <w:pStyle w:val="24"/>
        <w:spacing w:beforeAutospacing="0" w:afterAutospacing="0" w:line="360" w:lineRule="auto"/>
        <w:ind w:firstLine="410" w:firstLineChars="171"/>
        <w:jc w:val="both"/>
        <w:rPr>
          <w:rFonts w:ascii="宋体" w:hAnsi="宋体" w:cs="宋体"/>
          <w:color w:val="auto"/>
        </w:rPr>
      </w:pPr>
      <w:r>
        <w:rPr>
          <w:rFonts w:hint="eastAsia" w:ascii="宋体" w:hAnsi="宋体" w:cs="宋体"/>
          <w:lang w:eastAsia="zh-CN"/>
        </w:rPr>
        <w:t>吉林省阳光学校校园单体楼防水改造项目</w:t>
      </w:r>
      <w:r>
        <w:rPr>
          <w:rFonts w:hint="eastAsia" w:ascii="宋体" w:hAnsi="宋体" w:cs="宋体"/>
        </w:rPr>
        <w:t>的潜在供应商应在政采云平台（https://www.zcygov.cn）获取采购文件，</w:t>
      </w:r>
      <w:r>
        <w:rPr>
          <w:rFonts w:hint="eastAsia" w:ascii="宋体" w:hAnsi="宋体" w:cs="宋体"/>
          <w:color w:val="auto"/>
        </w:rPr>
        <w:t>并于202</w:t>
      </w:r>
      <w:r>
        <w:rPr>
          <w:rFonts w:hint="eastAsia" w:ascii="宋体" w:hAnsi="宋体" w:cs="宋体"/>
          <w:color w:val="auto"/>
          <w:lang w:val="en-US" w:eastAsia="zh-CN"/>
        </w:rPr>
        <w:t>6</w:t>
      </w:r>
      <w:r>
        <w:rPr>
          <w:rFonts w:hint="eastAsia" w:ascii="宋体" w:hAnsi="宋体" w:cs="宋体"/>
          <w:color w:val="auto"/>
        </w:rPr>
        <w:t>年</w:t>
      </w:r>
      <w:r>
        <w:rPr>
          <w:rFonts w:hint="eastAsia" w:ascii="宋体" w:hAnsi="宋体" w:cs="宋体"/>
          <w:color w:val="auto"/>
          <w:lang w:val="en-US" w:eastAsia="zh-CN"/>
        </w:rPr>
        <w:t>5</w:t>
      </w:r>
      <w:r>
        <w:rPr>
          <w:rFonts w:hint="eastAsia" w:ascii="宋体" w:hAnsi="宋体" w:cs="宋体"/>
          <w:color w:val="auto"/>
        </w:rPr>
        <w:t>月</w:t>
      </w:r>
      <w:r>
        <w:rPr>
          <w:rFonts w:hint="eastAsia" w:ascii="宋体" w:hAnsi="宋体" w:cs="宋体"/>
          <w:color w:val="auto"/>
          <w:lang w:val="en-US" w:eastAsia="zh-CN"/>
        </w:rPr>
        <w:t>20</w:t>
      </w:r>
      <w:r>
        <w:rPr>
          <w:rFonts w:hint="eastAsia" w:ascii="宋体" w:hAnsi="宋体" w:cs="宋体"/>
          <w:color w:val="auto"/>
        </w:rPr>
        <w:t>日</w:t>
      </w:r>
      <w:r>
        <w:rPr>
          <w:rFonts w:hint="eastAsia" w:ascii="宋体" w:hAnsi="宋体" w:cs="宋体"/>
          <w:color w:val="auto"/>
          <w:lang w:val="en-US" w:eastAsia="zh-CN"/>
        </w:rPr>
        <w:t>13</w:t>
      </w:r>
      <w:r>
        <w:rPr>
          <w:rFonts w:hint="eastAsia" w:ascii="宋体" w:hAnsi="宋体" w:cs="宋体"/>
          <w:color w:val="auto"/>
        </w:rPr>
        <w:t>时</w:t>
      </w:r>
      <w:r>
        <w:rPr>
          <w:rFonts w:hint="eastAsia" w:ascii="宋体" w:hAnsi="宋体" w:cs="宋体"/>
          <w:color w:val="auto"/>
          <w:lang w:val="en-US" w:eastAsia="zh-CN"/>
        </w:rPr>
        <w:t>3</w:t>
      </w:r>
      <w:r>
        <w:rPr>
          <w:rFonts w:hint="eastAsia" w:ascii="宋体" w:hAnsi="宋体" w:cs="宋体"/>
          <w:color w:val="auto"/>
        </w:rPr>
        <w:t>0分（北京时间）前提交响应文件。</w:t>
      </w:r>
    </w:p>
    <w:p w14:paraId="2F0F1104">
      <w:pPr>
        <w:pStyle w:val="3"/>
        <w:keepLines w:val="0"/>
        <w:widowControl/>
        <w:spacing w:before="0" w:after="0" w:line="360" w:lineRule="auto"/>
        <w:ind w:firstLine="410" w:firstLineChars="171"/>
        <w:rPr>
          <w:rFonts w:ascii="宋体" w:hAnsi="宋体" w:eastAsia="宋体" w:cs="宋体"/>
          <w:color w:val="auto"/>
          <w:sz w:val="24"/>
          <w:szCs w:val="24"/>
        </w:rPr>
      </w:pPr>
      <w:bookmarkStart w:id="3" w:name="_Toc35393629"/>
      <w:bookmarkEnd w:id="3"/>
      <w:bookmarkStart w:id="4" w:name="_Toc28359089"/>
      <w:bookmarkEnd w:id="4"/>
      <w:bookmarkStart w:id="5" w:name="_Toc35393798"/>
      <w:bookmarkEnd w:id="5"/>
      <w:bookmarkStart w:id="6" w:name="_Toc28359012"/>
      <w:bookmarkStart w:id="7" w:name="_Toc21734"/>
      <w:bookmarkStart w:id="8" w:name="_Toc18615"/>
      <w:r>
        <w:rPr>
          <w:rFonts w:hint="eastAsia" w:ascii="宋体" w:hAnsi="宋体" w:eastAsia="宋体" w:cs="宋体"/>
          <w:b w:val="0"/>
          <w:bCs w:val="0"/>
          <w:color w:val="auto"/>
          <w:sz w:val="24"/>
          <w:szCs w:val="24"/>
        </w:rPr>
        <w:t>一、项目基本情况</w:t>
      </w:r>
      <w:bookmarkEnd w:id="6"/>
      <w:bookmarkEnd w:id="7"/>
      <w:bookmarkEnd w:id="8"/>
    </w:p>
    <w:p w14:paraId="18DCD58D">
      <w:pPr>
        <w:widowControl/>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1.采购项目编号：采购计划-[2026]-07292号-WLGC202605-03</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p>
    <w:p w14:paraId="1BCD05A4">
      <w:pPr>
        <w:widowControl/>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2.项目名称：</w:t>
      </w:r>
      <w:r>
        <w:rPr>
          <w:rFonts w:hint="eastAsia" w:ascii="宋体" w:hAnsi="宋体" w:eastAsia="宋体" w:cs="宋体"/>
          <w:color w:val="auto"/>
          <w:sz w:val="24"/>
          <w:lang w:eastAsia="zh-CN"/>
        </w:rPr>
        <w:t>吉林省阳光学校校园单体楼防水改造项目</w:t>
      </w:r>
      <w:r>
        <w:rPr>
          <w:rFonts w:hint="eastAsia" w:ascii="宋体" w:hAnsi="宋体" w:eastAsia="宋体" w:cs="宋体"/>
          <w:color w:val="auto"/>
          <w:sz w:val="24"/>
        </w:rPr>
        <w:t>。</w:t>
      </w:r>
    </w:p>
    <w:p w14:paraId="3C1625AD">
      <w:pPr>
        <w:widowControl/>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3.采购方式：</w:t>
      </w:r>
      <w:bookmarkStart w:id="9" w:name="招标方式"/>
      <w:r>
        <w:rPr>
          <w:rFonts w:hint="eastAsia" w:ascii="宋体" w:hAnsi="宋体" w:eastAsia="宋体" w:cs="宋体"/>
          <w:color w:val="auto"/>
          <w:sz w:val="24"/>
        </w:rPr>
        <w:t>竞争性磋商</w:t>
      </w:r>
      <w:bookmarkEnd w:id="9"/>
      <w:r>
        <w:rPr>
          <w:rFonts w:hint="eastAsia" w:ascii="宋体" w:hAnsi="宋体" w:eastAsia="宋体" w:cs="宋体"/>
          <w:color w:val="auto"/>
          <w:sz w:val="24"/>
        </w:rPr>
        <w:t>，采用“双盲”评审（即评标专家“盲抽”和“盲评”）。</w:t>
      </w:r>
    </w:p>
    <w:p w14:paraId="56750CD2">
      <w:pPr>
        <w:widowControl/>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4.资金来源：</w:t>
      </w:r>
      <w:r>
        <w:rPr>
          <w:rFonts w:hint="eastAsia" w:eastAsia="宋体"/>
          <w:color w:val="auto"/>
          <w:sz w:val="24"/>
          <w:lang w:val="en-US" w:eastAsia="zh-CN"/>
        </w:rPr>
        <w:t>财政资金</w:t>
      </w:r>
      <w:r>
        <w:rPr>
          <w:rFonts w:hint="eastAsia" w:ascii="宋体" w:hAnsi="宋体" w:eastAsia="宋体" w:cs="宋体"/>
          <w:color w:val="auto"/>
          <w:sz w:val="24"/>
        </w:rPr>
        <w:t>。</w:t>
      </w:r>
    </w:p>
    <w:p w14:paraId="727B9F85">
      <w:pPr>
        <w:widowControl/>
        <w:spacing w:line="360" w:lineRule="auto"/>
        <w:ind w:firstLine="410" w:firstLineChars="171"/>
        <w:rPr>
          <w:color w:val="auto"/>
          <w:sz w:val="24"/>
        </w:rPr>
      </w:pPr>
      <w:r>
        <w:rPr>
          <w:rFonts w:hint="eastAsia" w:ascii="宋体" w:hAnsi="宋体" w:eastAsia="宋体" w:cs="宋体"/>
          <w:color w:val="auto"/>
          <w:sz w:val="24"/>
        </w:rPr>
        <w:t>5.</w:t>
      </w:r>
      <w:r>
        <w:rPr>
          <w:rFonts w:hint="eastAsia" w:ascii="宋体" w:hAnsi="宋体" w:eastAsia="宋体" w:cs="宋体"/>
          <w:bCs/>
          <w:color w:val="auto"/>
          <w:sz w:val="24"/>
        </w:rPr>
        <w:t>采购预算（最高投标限价）</w:t>
      </w:r>
      <w:r>
        <w:rPr>
          <w:rFonts w:hint="eastAsia" w:ascii="宋体" w:hAnsi="宋体" w:eastAsia="宋体" w:cs="宋体"/>
          <w:color w:val="auto"/>
          <w:sz w:val="24"/>
        </w:rPr>
        <w:t>：</w:t>
      </w:r>
      <w:r>
        <w:rPr>
          <w:rFonts w:hint="eastAsia" w:ascii="宋体" w:hAnsi="宋体" w:eastAsia="宋体" w:cs="宋体"/>
          <w:color w:val="auto"/>
          <w:sz w:val="24"/>
          <w:lang w:val="en-US" w:eastAsia="zh-CN"/>
        </w:rPr>
        <w:t>人民币5416003.00</w:t>
      </w:r>
      <w:r>
        <w:rPr>
          <w:rFonts w:hint="eastAsia"/>
          <w:color w:val="auto"/>
          <w:sz w:val="24"/>
        </w:rPr>
        <w:t>元。</w:t>
      </w:r>
    </w:p>
    <w:p w14:paraId="6C5EFD66">
      <w:pPr>
        <w:pStyle w:val="42"/>
        <w:ind w:firstLine="420" w:firstLineChars="175"/>
        <w:rPr>
          <w:rFonts w:hint="default" w:cs="宋体"/>
          <w:color w:val="auto"/>
          <w:highlight w:val="yellow"/>
        </w:rPr>
      </w:pPr>
      <w:bookmarkStart w:id="10" w:name="_Toc35393799"/>
      <w:r>
        <w:rPr>
          <w:rFonts w:hint="eastAsia" w:cs="宋体"/>
          <w:color w:val="auto"/>
          <w:lang w:val="en-US" w:eastAsia="zh-CN"/>
        </w:rPr>
        <w:t>6</w:t>
      </w:r>
      <w:r>
        <w:rPr>
          <w:rFonts w:cs="宋体"/>
          <w:color w:val="auto"/>
        </w:rPr>
        <w:t>.采购需求及范围：</w:t>
      </w:r>
      <w:bookmarkEnd w:id="10"/>
      <w:bookmarkStart w:id="11" w:name="获取委托代理协议中的采购内容"/>
      <w:bookmarkEnd w:id="11"/>
      <w:r>
        <w:rPr>
          <w:rFonts w:hint="eastAsia" w:cs="宋体"/>
          <w:color w:val="auto"/>
          <w:sz w:val="24"/>
          <w:szCs w:val="24"/>
          <w:lang w:val="en-US" w:eastAsia="zh-CN"/>
        </w:rPr>
        <w:t>图书办公楼、体育馆、校卫生所、小学、残障教学楼、食堂、小学宿舍、高中宿舍、高职宿舍、锅炉房、文艺中心等单体楼防水改造工程</w:t>
      </w:r>
      <w:r>
        <w:rPr>
          <w:rFonts w:hint="eastAsia" w:ascii="宋体" w:hAnsi="宋体" w:eastAsia="宋体" w:cs="宋体"/>
          <w:color w:val="auto"/>
          <w:sz w:val="24"/>
          <w:szCs w:val="24"/>
          <w:lang w:val="en-US" w:eastAsia="zh-CN"/>
        </w:rPr>
        <w:t>，详见</w:t>
      </w:r>
      <w:r>
        <w:rPr>
          <w:rFonts w:hint="eastAsia" w:ascii="宋体" w:hAnsi="宋体" w:eastAsia="宋体" w:cs="宋体"/>
          <w:color w:val="auto"/>
          <w:sz w:val="24"/>
          <w:szCs w:val="24"/>
        </w:rPr>
        <w:t>施工图纸及工程量清单包含的全部内容</w:t>
      </w:r>
      <w:r>
        <w:rPr>
          <w:rFonts w:cs="宋体"/>
          <w:color w:val="auto"/>
        </w:rPr>
        <w:t>。</w:t>
      </w:r>
    </w:p>
    <w:p w14:paraId="46BE7CFE">
      <w:pPr>
        <w:widowControl/>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.建设地点：</w:t>
      </w:r>
      <w:r>
        <w:rPr>
          <w:rFonts w:hint="eastAsia" w:ascii="宋体" w:hAnsi="宋体" w:eastAsia="宋体" w:cs="宋体"/>
          <w:color w:val="auto"/>
          <w:sz w:val="24"/>
          <w:szCs w:val="24"/>
        </w:rPr>
        <w:t>长春市净月开发区梧桐街1555号</w:t>
      </w:r>
      <w:r>
        <w:rPr>
          <w:rFonts w:hint="eastAsia" w:ascii="宋体" w:hAnsi="宋体" w:eastAsia="宋体" w:cs="宋体"/>
          <w:color w:val="auto"/>
          <w:sz w:val="24"/>
        </w:rPr>
        <w:t>。</w:t>
      </w:r>
    </w:p>
    <w:p w14:paraId="33DC6189">
      <w:pPr>
        <w:widowControl/>
        <w:spacing w:line="360" w:lineRule="auto"/>
        <w:ind w:firstLine="410" w:firstLineChars="171"/>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8.合同履行期限：合同签订后三个月内完成。</w:t>
      </w:r>
    </w:p>
    <w:p w14:paraId="173C7889">
      <w:pPr>
        <w:widowControl/>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.工程质量要求：符合国家现行工程施工质量验收规范</w:t>
      </w:r>
      <w:r>
        <w:rPr>
          <w:rFonts w:hint="eastAsia" w:ascii="宋体" w:hAnsi="宋体" w:eastAsia="宋体" w:cs="宋体"/>
          <w:color w:val="auto"/>
          <w:sz w:val="24"/>
          <w:lang w:eastAsia="zh-CN"/>
        </w:rPr>
        <w:t>的</w:t>
      </w:r>
      <w:r>
        <w:rPr>
          <w:rFonts w:hint="eastAsia" w:ascii="宋体" w:hAnsi="宋体" w:eastAsia="宋体" w:cs="宋体"/>
          <w:color w:val="auto"/>
          <w:sz w:val="24"/>
        </w:rPr>
        <w:t>合格标准。</w:t>
      </w:r>
    </w:p>
    <w:p w14:paraId="7696F359">
      <w:pPr>
        <w:pStyle w:val="24"/>
        <w:spacing w:beforeAutospacing="0" w:afterAutospacing="0" w:line="360" w:lineRule="auto"/>
        <w:ind w:firstLine="410" w:firstLineChars="171"/>
        <w:jc w:val="both"/>
        <w:rPr>
          <w:rFonts w:ascii="宋体" w:hAnsi="宋体" w:cs="宋体"/>
          <w:color w:val="auto"/>
        </w:rPr>
      </w:pPr>
      <w:r>
        <w:rPr>
          <w:rFonts w:hint="eastAsia" w:ascii="宋体" w:hAnsi="宋体" w:cs="宋体"/>
          <w:color w:val="auto"/>
          <w:lang w:val="en-US" w:eastAsia="zh-CN"/>
        </w:rPr>
        <w:t>10</w:t>
      </w:r>
      <w:r>
        <w:rPr>
          <w:rFonts w:hint="eastAsia" w:ascii="宋体" w:hAnsi="宋体" w:cs="宋体"/>
          <w:color w:val="auto"/>
        </w:rPr>
        <w:t>.本项目共划分一个标段。</w:t>
      </w:r>
    </w:p>
    <w:p w14:paraId="52ED35CD">
      <w:pPr>
        <w:pStyle w:val="24"/>
        <w:spacing w:beforeAutospacing="0" w:afterAutospacing="0" w:line="360" w:lineRule="auto"/>
        <w:ind w:firstLine="410" w:firstLineChars="171"/>
        <w:jc w:val="both"/>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1</w:t>
      </w:r>
      <w:r>
        <w:rPr>
          <w:rFonts w:hint="eastAsia" w:ascii="宋体" w:hAnsi="宋体" w:cs="宋体"/>
          <w:color w:val="auto"/>
        </w:rPr>
        <w:t>.本项目不接受联合体投标。</w:t>
      </w:r>
    </w:p>
    <w:p w14:paraId="6E6D5372">
      <w:pPr>
        <w:pStyle w:val="24"/>
        <w:spacing w:beforeAutospacing="0" w:afterAutospacing="0" w:line="360" w:lineRule="auto"/>
        <w:ind w:firstLine="410" w:firstLineChars="171"/>
        <w:jc w:val="both"/>
        <w:rPr>
          <w:rFonts w:ascii="宋体" w:hAnsi="宋体" w:cs="宋体"/>
          <w:color w:val="auto"/>
        </w:rPr>
      </w:pPr>
      <w:r>
        <w:rPr>
          <w:rFonts w:hint="eastAsia" w:ascii="宋体" w:hAnsi="宋体" w:cs="宋体"/>
          <w:color w:val="auto"/>
        </w:rPr>
        <w:t>二、申请人的资格要求：</w:t>
      </w:r>
    </w:p>
    <w:p w14:paraId="35AC7665">
      <w:pPr>
        <w:widowControl/>
        <w:tabs>
          <w:tab w:val="left" w:pos="0"/>
          <w:tab w:val="left" w:pos="420"/>
        </w:tabs>
        <w:autoSpaceDE w:val="0"/>
        <w:autoSpaceDN w:val="0"/>
        <w:adjustRightInd w:val="0"/>
        <w:spacing w:line="360" w:lineRule="auto"/>
        <w:ind w:firstLine="410" w:firstLineChars="171"/>
        <w:rPr>
          <w:rFonts w:ascii="宋体" w:hAnsi="宋体" w:eastAsia="宋体" w:cs="宋体"/>
          <w:color w:val="auto"/>
          <w:sz w:val="24"/>
          <w:shd w:val="clear" w:color="auto" w:fill="FFFFFF"/>
        </w:rPr>
      </w:pPr>
      <w:bookmarkStart w:id="12" w:name="_Toc28359091"/>
      <w:bookmarkEnd w:id="12"/>
      <w:bookmarkStart w:id="13" w:name="_Toc28359014"/>
      <w:bookmarkEnd w:id="13"/>
      <w:bookmarkStart w:id="14" w:name="_Toc35393631"/>
      <w:bookmarkEnd w:id="14"/>
      <w:r>
        <w:rPr>
          <w:rFonts w:hint="eastAsia" w:ascii="宋体" w:hAnsi="宋体" w:eastAsia="宋体" w:cs="宋体"/>
          <w:color w:val="auto"/>
          <w:sz w:val="24"/>
        </w:rPr>
        <w:t>1.</w:t>
      </w:r>
      <w:r>
        <w:rPr>
          <w:rFonts w:hint="eastAsia" w:ascii="宋体" w:hAnsi="宋体" w:eastAsia="宋体" w:cs="宋体"/>
          <w:color w:val="auto"/>
          <w:sz w:val="24"/>
          <w:shd w:val="clear" w:color="auto" w:fill="FFFFFF"/>
        </w:rPr>
        <w:t>满足《中华人民共和国政府采购法》第二十二条规定：</w:t>
      </w:r>
    </w:p>
    <w:p w14:paraId="00A21F2C">
      <w:pPr>
        <w:widowControl/>
        <w:tabs>
          <w:tab w:val="left" w:pos="-3675"/>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（1）具有独立承担民事责任的能力；</w:t>
      </w:r>
    </w:p>
    <w:p w14:paraId="14FD2FBF">
      <w:pPr>
        <w:widowControl/>
        <w:tabs>
          <w:tab w:val="left" w:pos="-3675"/>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5BE10389">
      <w:pPr>
        <w:widowControl/>
        <w:tabs>
          <w:tab w:val="left" w:pos="-3675"/>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5F6E51C2">
      <w:pPr>
        <w:widowControl/>
        <w:tabs>
          <w:tab w:val="left" w:pos="-3675"/>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（4）具有依法缴纳税收和社会保障资金的良好记录；</w:t>
      </w:r>
    </w:p>
    <w:p w14:paraId="66D27B55">
      <w:pPr>
        <w:widowControl/>
        <w:tabs>
          <w:tab w:val="left" w:pos="-3675"/>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68C4F459">
      <w:pPr>
        <w:widowControl/>
        <w:tabs>
          <w:tab w:val="left" w:pos="-3675"/>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（6）法律、行政法规规定的其他条件。</w:t>
      </w:r>
    </w:p>
    <w:p w14:paraId="5B47889D">
      <w:pPr>
        <w:widowControl/>
        <w:tabs>
          <w:tab w:val="left" w:pos="-3675"/>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2.落实政府采购政策需满足的资格要求（相关政策以最新文件为准）：</w:t>
      </w:r>
    </w:p>
    <w:p w14:paraId="7135FDC8">
      <w:pPr>
        <w:widowControl/>
        <w:tabs>
          <w:tab w:val="left" w:pos="-3675"/>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（1）《政府采购促进中小企业发展管理办法》（财库[2020]46号）；</w:t>
      </w:r>
    </w:p>
    <w:p w14:paraId="5A833021">
      <w:pPr>
        <w:widowControl/>
        <w:adjustRightInd w:val="0"/>
        <w:snapToGri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《关于政府采购支持监狱企业发展有关问题的通知》（财库[2014]68号）；</w:t>
      </w:r>
    </w:p>
    <w:p w14:paraId="0059070F">
      <w:pPr>
        <w:widowControl/>
        <w:adjustRightInd w:val="0"/>
        <w:snapToGri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lang w:val="zh-CN"/>
        </w:rPr>
        <w:t>（</w:t>
      </w:r>
      <w:r>
        <w:rPr>
          <w:rFonts w:hint="eastAsia" w:ascii="宋体" w:hAnsi="宋体" w:eastAsia="宋体" w:cs="宋体"/>
          <w:color w:val="auto"/>
          <w:sz w:val="24"/>
        </w:rPr>
        <w:t>3</w:t>
      </w:r>
      <w:r>
        <w:rPr>
          <w:rFonts w:hint="eastAsia" w:ascii="宋体" w:hAnsi="宋体" w:eastAsia="宋体" w:cs="宋体"/>
          <w:color w:val="auto"/>
          <w:sz w:val="24"/>
          <w:lang w:val="zh-CN"/>
        </w:rPr>
        <w:t>）</w:t>
      </w:r>
      <w:r>
        <w:rPr>
          <w:rFonts w:hint="eastAsia" w:ascii="宋体" w:hAnsi="宋体" w:eastAsia="宋体" w:cs="宋体"/>
          <w:color w:val="auto"/>
          <w:sz w:val="24"/>
        </w:rPr>
        <w:t>《关于促进残疾人就业政府采购政策的通知》（财库[2017]141号）；</w:t>
      </w:r>
    </w:p>
    <w:p w14:paraId="59BBC863">
      <w:pPr>
        <w:widowControl/>
        <w:adjustRightInd w:val="0"/>
        <w:snapToGri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w:t>
      </w:r>
      <w:r>
        <w:rPr>
          <w:rFonts w:hint="eastAsia" w:ascii="宋体" w:hAnsi="宋体" w:eastAsia="宋体" w:cs="宋体"/>
          <w:color w:val="auto"/>
          <w:sz w:val="24"/>
        </w:rPr>
        <w:t>《关于调整优化节能产品、环境标志产品政府采购执行机制的通知》（财库[2019]9号）；</w:t>
      </w:r>
    </w:p>
    <w:p w14:paraId="156BCB3D">
      <w:pPr>
        <w:widowControl/>
        <w:adjustRightInd w:val="0"/>
        <w:snapToGrid w:val="0"/>
        <w:spacing w:line="360" w:lineRule="auto"/>
        <w:ind w:firstLine="410" w:firstLineChars="171"/>
        <w:rPr>
          <w:rFonts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）本项目</w:t>
      </w:r>
      <w:r>
        <w:rPr>
          <w:rFonts w:hint="eastAsia" w:ascii="宋体" w:hAnsi="宋体" w:eastAsia="宋体" w:cs="宋体"/>
          <w:color w:val="auto"/>
          <w:sz w:val="24"/>
        </w:rPr>
        <w:t>为</w:t>
      </w:r>
      <w:r>
        <w:rPr>
          <w:rFonts w:hint="eastAsia" w:ascii="宋体" w:hAnsi="宋体" w:eastAsia="宋体" w:cs="宋体"/>
          <w:color w:val="auto"/>
          <w:sz w:val="24"/>
          <w:highlight w:val="none"/>
          <w:lang w:val="zh-CN"/>
        </w:rPr>
        <w:t>专门面向</w:t>
      </w:r>
      <w:r>
        <w:rPr>
          <w:rFonts w:hint="eastAsia" w:ascii="宋体" w:hAnsi="宋体" w:eastAsia="宋体" w:cs="宋体"/>
          <w:color w:val="auto"/>
          <w:sz w:val="24"/>
          <w:lang w:val="zh-CN"/>
        </w:rPr>
        <w:t>中小企业的项目。采购标的物所属行业为建筑业。</w:t>
      </w:r>
    </w:p>
    <w:p w14:paraId="58CD5A24">
      <w:pPr>
        <w:widowControl/>
        <w:tabs>
          <w:tab w:val="left" w:pos="-1418"/>
        </w:tabs>
        <w:autoSpaceDE w:val="0"/>
        <w:autoSpaceDN w:val="0"/>
        <w:adjustRightInd w:val="0"/>
        <w:spacing w:line="360" w:lineRule="auto"/>
        <w:ind w:firstLine="410" w:firstLineChars="171"/>
        <w:rPr>
          <w:rFonts w:ascii="宋体" w:hAnsi="宋体" w:eastAsia="宋体" w:cs="宋体"/>
          <w:color w:val="auto"/>
          <w:sz w:val="24"/>
          <w:lang w:val="zh-CN"/>
        </w:rPr>
      </w:pPr>
      <w:r>
        <w:rPr>
          <w:rFonts w:hint="eastAsia" w:ascii="宋体" w:hAnsi="宋体" w:eastAsia="宋体" w:cs="宋体"/>
          <w:color w:val="auto"/>
          <w:sz w:val="24"/>
          <w:lang w:val="zh-CN"/>
        </w:rPr>
        <w:t>3.本项目的特定资格要求：</w:t>
      </w:r>
    </w:p>
    <w:p w14:paraId="01711E05">
      <w:pPr>
        <w:widowControl/>
        <w:tabs>
          <w:tab w:val="left" w:pos="-1418"/>
        </w:tabs>
        <w:autoSpaceDE w:val="0"/>
        <w:autoSpaceDN w:val="0"/>
        <w:adjustRightInd w:val="0"/>
        <w:spacing w:line="360" w:lineRule="auto"/>
        <w:ind w:firstLine="410" w:firstLineChars="171"/>
        <w:rPr>
          <w:rFonts w:ascii="宋体" w:hAnsi="宋体" w:eastAsia="宋体" w:cs="宋体"/>
          <w:color w:val="auto"/>
          <w:sz w:val="24"/>
        </w:rPr>
      </w:pPr>
      <w:bookmarkStart w:id="15" w:name="OLE_LINK122"/>
      <w:bookmarkStart w:id="16" w:name="OLE_LINK121"/>
      <w:r>
        <w:rPr>
          <w:rFonts w:hint="eastAsia" w:ascii="宋体" w:hAnsi="宋体" w:eastAsia="宋体" w:cs="宋体"/>
          <w:color w:val="auto"/>
          <w:sz w:val="24"/>
        </w:rPr>
        <w:t>（1）供应商</w:t>
      </w:r>
      <w:r>
        <w:rPr>
          <w:rFonts w:hint="eastAsia" w:ascii="宋体" w:hAnsi="宋体" w:eastAsia="宋体" w:cs="宋体"/>
          <w:color w:val="auto"/>
          <w:sz w:val="24"/>
          <w:lang w:val="zh-CN"/>
        </w:rPr>
        <w:t>须是在中华人民共和国境内注册的法人单位或其他组织</w:t>
      </w:r>
      <w:r>
        <w:rPr>
          <w:rFonts w:hint="eastAsia" w:ascii="宋体" w:hAnsi="宋体" w:eastAsia="宋体" w:cs="宋体"/>
          <w:color w:val="auto"/>
          <w:sz w:val="24"/>
        </w:rPr>
        <w:t>，具备建设行政主管部门核发的</w:t>
      </w:r>
      <w:r>
        <w:rPr>
          <w:rFonts w:hint="eastAsia" w:ascii="宋体" w:hAnsi="宋体" w:eastAsia="宋体" w:cs="宋体"/>
          <w:color w:val="auto"/>
          <w:sz w:val="24"/>
          <w:lang w:val="en-US" w:eastAsia="zh-CN"/>
        </w:rPr>
        <w:t>建筑</w:t>
      </w:r>
      <w:r>
        <w:rPr>
          <w:rFonts w:hint="eastAsia" w:ascii="宋体" w:hAnsi="宋体" w:eastAsia="宋体" w:cs="宋体"/>
          <w:color w:val="auto"/>
          <w:sz w:val="24"/>
          <w:lang w:val="zh-CN"/>
        </w:rPr>
        <w:t>工程施工总承包三级及以上资质</w:t>
      </w:r>
      <w:r>
        <w:rPr>
          <w:rFonts w:hint="eastAsia" w:ascii="宋体" w:hAnsi="宋体" w:eastAsia="宋体" w:cs="宋体"/>
          <w:color w:val="auto"/>
          <w:sz w:val="24"/>
        </w:rPr>
        <w:t>，具</w:t>
      </w:r>
      <w:r>
        <w:rPr>
          <w:rFonts w:hint="eastAsia" w:ascii="宋体" w:hAnsi="宋体" w:eastAsia="宋体" w:cs="宋体"/>
          <w:color w:val="auto"/>
          <w:sz w:val="24"/>
          <w:lang w:val="en-US" w:eastAsia="zh-CN"/>
        </w:rPr>
        <w:t>备</w:t>
      </w:r>
      <w:r>
        <w:rPr>
          <w:rFonts w:hint="eastAsia" w:ascii="宋体" w:hAnsi="宋体" w:eastAsia="宋体" w:cs="宋体"/>
          <w:color w:val="auto"/>
          <w:sz w:val="24"/>
        </w:rPr>
        <w:t>有效的安全生产许可证，并在人员、设备、资金等方面具有相应的施工能力</w:t>
      </w:r>
      <w:bookmarkEnd w:id="15"/>
      <w:bookmarkEnd w:id="16"/>
      <w:r>
        <w:rPr>
          <w:rFonts w:hint="eastAsia" w:ascii="宋体" w:hAnsi="宋体" w:eastAsia="宋体" w:cs="宋体"/>
          <w:color w:val="auto"/>
          <w:sz w:val="24"/>
        </w:rPr>
        <w:t>。</w:t>
      </w:r>
    </w:p>
    <w:p w14:paraId="58FF7D67">
      <w:pPr>
        <w:widowControl/>
        <w:tabs>
          <w:tab w:val="left" w:pos="-1418"/>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注：1.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2.其他省（市）核发的资质涉及有效期届满有效期延续问题的，按照当地建设行政主管部门文件执行。响应文件内须提供当地住房和城乡建设部门官方网站发布的准予延期的文件截图及网址，否则不予认定。</w:t>
      </w:r>
    </w:p>
    <w:p w14:paraId="7A775C46">
      <w:pPr>
        <w:widowControl/>
        <w:tabs>
          <w:tab w:val="left" w:pos="-1418"/>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（2）拟派出的项目经理须具备建设行政主管部门核发的</w:t>
      </w:r>
      <w:r>
        <w:rPr>
          <w:rFonts w:hint="eastAsia" w:eastAsia="宋体"/>
          <w:color w:val="auto"/>
          <w:sz w:val="24"/>
          <w:lang w:val="en-US" w:eastAsia="zh-CN"/>
        </w:rPr>
        <w:t>建筑</w:t>
      </w:r>
      <w:r>
        <w:rPr>
          <w:rFonts w:hint="eastAsia"/>
          <w:color w:val="auto"/>
          <w:sz w:val="24"/>
          <w:lang w:val="zh-CN"/>
        </w:rPr>
        <w:t>工程专业二级</w:t>
      </w:r>
      <w:r>
        <w:rPr>
          <w:rFonts w:hint="eastAsia" w:ascii="宋体" w:hAnsi="宋体" w:eastAsia="宋体" w:cs="宋体"/>
          <w:color w:val="auto"/>
          <w:sz w:val="24"/>
        </w:rPr>
        <w:t>及以上注册建造师资格，且具备有效的安全生产考核合格证书B类，且未担任其他在建工程项目的项目经理；拟派出的技术负责人须具备相关专业中级及以上技术职称，拟派出的项目管理机构成员，包括但不限于施工员、质量员、安全员、材料员。项目管理机构人员须为本单位的在职人员，</w:t>
      </w:r>
      <w:r>
        <w:rPr>
          <w:rFonts w:hint="eastAsia" w:ascii="宋体" w:hAnsi="宋体" w:cs="宋体"/>
          <w:bCs/>
          <w:color w:val="auto"/>
          <w:sz w:val="24"/>
          <w:szCs w:val="24"/>
          <w:highlight w:val="none"/>
        </w:rPr>
        <w:t>提供</w:t>
      </w:r>
      <w:r>
        <w:rPr>
          <w:rFonts w:hint="eastAsia" w:ascii="宋体" w:hAnsi="宋体" w:cs="宋体"/>
          <w:bCs/>
          <w:color w:val="auto"/>
          <w:sz w:val="24"/>
          <w:szCs w:val="24"/>
          <w:highlight w:val="none"/>
          <w:lang w:val="en-US" w:eastAsia="zh-CN"/>
        </w:rPr>
        <w:t>近一年内（2025年4月至今）任意一个月的</w:t>
      </w:r>
      <w:r>
        <w:rPr>
          <w:rFonts w:hint="eastAsia" w:ascii="宋体" w:hAnsi="宋体" w:cs="宋体"/>
          <w:bCs/>
          <w:color w:val="auto"/>
          <w:sz w:val="24"/>
        </w:rPr>
        <w:t>基本养老保险缴费证明</w:t>
      </w:r>
      <w:r>
        <w:rPr>
          <w:rFonts w:hint="eastAsia" w:ascii="宋体" w:hAnsi="宋体" w:cs="宋体"/>
          <w:bCs/>
          <w:color w:val="auto"/>
          <w:sz w:val="24"/>
          <w:lang w:eastAsia="zh-CN"/>
        </w:rPr>
        <w:t>，</w:t>
      </w:r>
      <w:r>
        <w:rPr>
          <w:rFonts w:hint="eastAsia" w:ascii="宋体" w:hAnsi="宋体" w:eastAsia="宋体" w:cs="宋体"/>
          <w:color w:val="auto"/>
          <w:sz w:val="24"/>
        </w:rPr>
        <w:t>否则其投标将被否决。</w:t>
      </w:r>
    </w:p>
    <w:p w14:paraId="6D638B4C">
      <w:pPr>
        <w:widowControl/>
        <w:tabs>
          <w:tab w:val="left" w:pos="-1418"/>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3）近三年（2022年至今）财务状况。同时提供以下①②材料：①2022年、2023年、2024年经会计师事务所或审计机构审计的财务审计报告，如供应商成立日期在2022年—2024年之间的，提供从成立之日起到2024年度经会计师事务所或审计机构审计的财务审计报告；②2025年1月1日至今的财务状况良好承诺。注：如投标人在2025年1月1日后成立的，只提供成立之日至今的财务状况良好承诺即可。</w:t>
      </w:r>
    </w:p>
    <w:p w14:paraId="66CF5A7C">
      <w:pPr>
        <w:widowControl/>
        <w:tabs>
          <w:tab w:val="left" w:pos="-1418"/>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（4）企业</w:t>
      </w:r>
      <w:r>
        <w:rPr>
          <w:rFonts w:hint="eastAsia" w:ascii="宋体" w:hAnsi="宋体" w:eastAsia="宋体" w:cs="宋体"/>
          <w:bCs/>
          <w:color w:val="auto"/>
          <w:sz w:val="24"/>
        </w:rPr>
        <w:t>近</w:t>
      </w:r>
      <w:r>
        <w:rPr>
          <w:rFonts w:hint="eastAsia" w:ascii="宋体" w:hAnsi="宋体" w:eastAsia="宋体" w:cs="宋体"/>
          <w:bCs/>
          <w:color w:val="auto"/>
          <w:sz w:val="24"/>
          <w:lang w:val="en-US" w:eastAsia="zh-CN"/>
        </w:rPr>
        <w:t>一年</w:t>
      </w:r>
      <w:r>
        <w:rPr>
          <w:rFonts w:hint="eastAsia" w:ascii="宋体" w:hAnsi="宋体" w:eastAsia="宋体" w:cs="宋体"/>
          <w:bCs/>
          <w:color w:val="auto"/>
          <w:sz w:val="24"/>
        </w:rPr>
        <w:t>内</w:t>
      </w:r>
      <w:r>
        <w:rPr>
          <w:rFonts w:hint="eastAsia" w:ascii="宋体" w:hAnsi="宋体" w:cs="宋体"/>
          <w:bCs/>
          <w:color w:val="auto"/>
          <w:sz w:val="24"/>
          <w:szCs w:val="24"/>
          <w:highlight w:val="none"/>
          <w:lang w:val="en-US" w:eastAsia="zh-CN"/>
        </w:rPr>
        <w:t>（2025年4月至今）</w:t>
      </w:r>
      <w:r>
        <w:rPr>
          <w:rFonts w:hint="eastAsia" w:ascii="宋体" w:hAnsi="宋体" w:eastAsia="宋体" w:cs="宋体"/>
          <w:bCs/>
          <w:color w:val="auto"/>
          <w:sz w:val="24"/>
        </w:rPr>
        <w:t>任意一个月</w:t>
      </w:r>
      <w:r>
        <w:rPr>
          <w:rFonts w:hint="eastAsia" w:ascii="宋体" w:hAnsi="宋体" w:eastAsia="宋体" w:cs="宋体"/>
          <w:color w:val="auto"/>
          <w:sz w:val="24"/>
        </w:rPr>
        <w:t>有依法缴纳税收和社会保障资金的良好记录。</w:t>
      </w:r>
    </w:p>
    <w:p w14:paraId="74AE30BE">
      <w:pPr>
        <w:widowControl/>
        <w:tabs>
          <w:tab w:val="left" w:pos="-1418"/>
        </w:tabs>
        <w:autoSpaceDE w:val="0"/>
        <w:autoSpaceDN w:val="0"/>
        <w:adjustRightInd w:val="0"/>
        <w:spacing w:line="360" w:lineRule="auto"/>
        <w:ind w:firstLine="410" w:firstLineChars="171"/>
        <w:rPr>
          <w:rFonts w:ascii="宋体" w:hAnsi="宋体" w:eastAsia="宋体" w:cs="宋体"/>
          <w:color w:val="auto"/>
          <w:sz w:val="24"/>
          <w:lang w:val="zh-CN"/>
        </w:rPr>
      </w:pPr>
      <w:r>
        <w:rPr>
          <w:rFonts w:hint="eastAsia" w:ascii="宋体" w:hAnsi="宋体" w:eastAsia="宋体" w:cs="宋体"/>
          <w:color w:val="auto"/>
          <w:sz w:val="24"/>
        </w:rPr>
        <w:t>（5）</w:t>
      </w:r>
      <w:r>
        <w:rPr>
          <w:rFonts w:hint="eastAsia" w:ascii="宋体" w:hAnsi="宋体" w:eastAsia="宋体" w:cs="宋体"/>
          <w:color w:val="auto"/>
          <w:sz w:val="24"/>
          <w:lang w:val="zh-CN"/>
        </w:rPr>
        <w:t>具有投资参股关系的关联企业，或具有直接管理和被管理关系的母子公司，或同一母公司的子公司，或法定代表人为同一人的两个及两个以上法人不得同时对同一标段磋商，否则均按废标处理。与采购人存在利害关系可能影响磋商公正性的法人、其他组织或者个人，不得参加磋商。单位负责人为同一人或者存在控股、管理关系的不同单位，不得参加同一标段磋商或者未划分标段的同一项目磋商。违反上述规定的，相关磋商均无效（须提供经法定代表人或其委托代理人签字并加盖单位公章的承诺书）。</w:t>
      </w:r>
    </w:p>
    <w:p w14:paraId="7216AFFB">
      <w:pPr>
        <w:widowControl/>
        <w:tabs>
          <w:tab w:val="left" w:pos="-1418"/>
        </w:tabs>
        <w:autoSpaceDE w:val="0"/>
        <w:autoSpaceDN w:val="0"/>
        <w:adjustRightInd w:val="0"/>
        <w:spacing w:line="360" w:lineRule="auto"/>
        <w:ind w:firstLine="410" w:firstLineChars="171"/>
        <w:rPr>
          <w:rFonts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val="zh-CN"/>
        </w:rPr>
        <w:t>供应商未被最高人民法院在“信用中国”网站列入失信被执行人和重大税收违法案件当事人名单、未被中国政府采购网列入政府采购严重违法失信行为记录名单</w:t>
      </w:r>
      <w:r>
        <w:rPr>
          <w:rFonts w:hint="eastAsia" w:ascii="宋体" w:hAnsi="宋体" w:eastAsia="宋体" w:cs="宋体"/>
          <w:color w:val="auto"/>
          <w:sz w:val="24"/>
        </w:rPr>
        <w:t>（详见财库[2016]125号文）。</w:t>
      </w:r>
    </w:p>
    <w:p w14:paraId="54CB32DA">
      <w:pPr>
        <w:widowControl/>
        <w:tabs>
          <w:tab w:val="left" w:pos="-1418"/>
        </w:tabs>
        <w:autoSpaceDE w:val="0"/>
        <w:autoSpaceDN w:val="0"/>
        <w:adjustRightInd w:val="0"/>
        <w:spacing w:line="360" w:lineRule="auto"/>
        <w:ind w:firstLine="410" w:firstLineChars="171"/>
        <w:rPr>
          <w:rFonts w:ascii="宋体" w:hAnsi="宋体" w:eastAsia="宋体" w:cs="宋体"/>
          <w:color w:val="auto"/>
          <w:sz w:val="24"/>
          <w:lang w:val="zh-CN"/>
        </w:rPr>
      </w:pPr>
      <w:r>
        <w:rPr>
          <w:rFonts w:hint="eastAsia" w:ascii="宋体" w:hAnsi="宋体" w:eastAsia="宋体" w:cs="宋体"/>
          <w:color w:val="auto"/>
          <w:sz w:val="24"/>
        </w:rPr>
        <w:t>（7）参加政府采购活动前三年内，在经营活动中没有重大违法记录（提供由法定代表人或其委托代理人签字并加盖单位公章的承诺书）</w:t>
      </w:r>
      <w:r>
        <w:rPr>
          <w:rFonts w:hint="eastAsia" w:ascii="宋体" w:hAnsi="宋体" w:eastAsia="宋体" w:cs="宋体"/>
          <w:color w:val="auto"/>
          <w:sz w:val="24"/>
          <w:lang w:val="zh-CN"/>
        </w:rPr>
        <w:t>。</w:t>
      </w:r>
    </w:p>
    <w:p w14:paraId="1736CC8A">
      <w:pPr>
        <w:widowControl/>
        <w:tabs>
          <w:tab w:val="left" w:pos="-1418"/>
        </w:tabs>
        <w:autoSpaceDE w:val="0"/>
        <w:autoSpaceDN w:val="0"/>
        <w:adjustRightInd w:val="0"/>
        <w:spacing w:line="360" w:lineRule="auto"/>
        <w:ind w:firstLine="410" w:firstLineChars="171"/>
        <w:jc w:val="left"/>
        <w:rPr>
          <w:rFonts w:ascii="宋体" w:hAnsi="宋体" w:eastAsia="宋体" w:cs="宋体"/>
          <w:color w:val="auto"/>
          <w:sz w:val="24"/>
          <w:lang w:val="zh-CN"/>
        </w:rPr>
      </w:pPr>
      <w:r>
        <w:rPr>
          <w:rFonts w:hint="eastAsia" w:ascii="宋体" w:hAnsi="宋体" w:eastAsia="宋体" w:cs="宋体"/>
          <w:color w:val="auto"/>
          <w:sz w:val="24"/>
        </w:rPr>
        <w:t>（8）</w:t>
      </w:r>
      <w:r>
        <w:rPr>
          <w:rFonts w:hint="eastAsia" w:ascii="宋体" w:hAnsi="宋体" w:eastAsia="宋体" w:cs="宋体"/>
          <w:color w:val="auto"/>
          <w:sz w:val="24"/>
          <w:lang w:val="zh-CN"/>
        </w:rPr>
        <w:t>拒绝列入政府取消投标资格记录期间的供应商或个人参加本次磋商。</w:t>
      </w:r>
    </w:p>
    <w:p w14:paraId="750B6181">
      <w:pPr>
        <w:widowControl/>
        <w:tabs>
          <w:tab w:val="left" w:pos="-1418"/>
        </w:tabs>
        <w:autoSpaceDE w:val="0"/>
        <w:autoSpaceDN w:val="0"/>
        <w:adjustRightInd w:val="0"/>
        <w:spacing w:line="360" w:lineRule="auto"/>
        <w:ind w:firstLine="410" w:firstLineChars="171"/>
        <w:jc w:val="left"/>
        <w:rPr>
          <w:rFonts w:ascii="宋体" w:hAnsi="宋体" w:eastAsia="宋体" w:cs="宋体"/>
          <w:color w:val="auto"/>
          <w:sz w:val="24"/>
          <w:lang w:val="zh-CN"/>
        </w:rPr>
      </w:pPr>
      <w:r>
        <w:rPr>
          <w:rFonts w:hint="eastAsia" w:ascii="宋体" w:hAnsi="宋体" w:eastAsia="宋体" w:cs="宋体"/>
          <w:color w:val="auto"/>
          <w:sz w:val="24"/>
        </w:rPr>
        <w:t>（9）</w:t>
      </w:r>
      <w:r>
        <w:rPr>
          <w:rFonts w:hint="eastAsia" w:ascii="宋体" w:hAnsi="宋体" w:eastAsia="宋体" w:cs="宋体"/>
          <w:color w:val="auto"/>
          <w:sz w:val="24"/>
          <w:lang w:val="zh-CN"/>
        </w:rPr>
        <w:t>法律、行政法规规定的其他条件。</w:t>
      </w:r>
    </w:p>
    <w:p w14:paraId="6E8F3D76">
      <w:pPr>
        <w:pStyle w:val="3"/>
        <w:keepLines w:val="0"/>
        <w:widowControl/>
        <w:spacing w:before="0" w:after="0" w:line="360" w:lineRule="auto"/>
        <w:ind w:firstLine="410" w:firstLineChars="171"/>
        <w:rPr>
          <w:rFonts w:ascii="宋体" w:hAnsi="宋体" w:eastAsia="宋体" w:cs="宋体"/>
          <w:color w:val="auto"/>
          <w:sz w:val="24"/>
          <w:szCs w:val="24"/>
        </w:rPr>
      </w:pPr>
      <w:bookmarkStart w:id="17" w:name="_Toc4271"/>
      <w:bookmarkStart w:id="18" w:name="_Toc21374"/>
      <w:r>
        <w:rPr>
          <w:rFonts w:hint="eastAsia" w:ascii="宋体" w:hAnsi="宋体" w:eastAsia="宋体" w:cs="宋体"/>
          <w:b w:val="0"/>
          <w:bCs w:val="0"/>
          <w:color w:val="auto"/>
          <w:sz w:val="24"/>
          <w:szCs w:val="24"/>
        </w:rPr>
        <w:t>三、获取采购文件</w:t>
      </w:r>
      <w:bookmarkEnd w:id="17"/>
      <w:bookmarkEnd w:id="18"/>
    </w:p>
    <w:p w14:paraId="67F27403">
      <w:pPr>
        <w:pStyle w:val="24"/>
        <w:spacing w:beforeAutospacing="0" w:afterAutospacing="0" w:line="360" w:lineRule="auto"/>
        <w:ind w:firstLine="410" w:firstLineChars="171"/>
        <w:jc w:val="both"/>
        <w:rPr>
          <w:rFonts w:ascii="宋体" w:hAnsi="宋体" w:cs="宋体"/>
          <w:color w:val="auto"/>
        </w:rPr>
      </w:pPr>
      <w:r>
        <w:rPr>
          <w:rFonts w:hint="eastAsia" w:ascii="宋体" w:hAnsi="宋体" w:cs="宋体"/>
          <w:color w:val="auto"/>
        </w:rPr>
        <w:t>1.时间：202</w:t>
      </w:r>
      <w:r>
        <w:rPr>
          <w:rFonts w:hint="eastAsia" w:ascii="宋体" w:hAnsi="宋体" w:cs="宋体"/>
          <w:color w:val="auto"/>
          <w:lang w:val="en-US" w:eastAsia="zh-CN"/>
        </w:rPr>
        <w:t>6</w:t>
      </w:r>
      <w:r>
        <w:rPr>
          <w:rFonts w:hint="eastAsia" w:ascii="宋体" w:hAnsi="宋体" w:cs="宋体"/>
          <w:color w:val="auto"/>
        </w:rPr>
        <w:t>年</w:t>
      </w:r>
      <w:r>
        <w:rPr>
          <w:rFonts w:hint="eastAsia" w:ascii="宋体" w:hAnsi="宋体" w:cs="宋体"/>
          <w:color w:val="auto"/>
          <w:lang w:val="en-US" w:eastAsia="zh-CN"/>
        </w:rPr>
        <w:t>5</w:t>
      </w:r>
      <w:r>
        <w:rPr>
          <w:rFonts w:hint="eastAsia" w:ascii="宋体" w:hAnsi="宋体" w:cs="宋体"/>
          <w:color w:val="auto"/>
        </w:rPr>
        <w:t>月</w:t>
      </w:r>
      <w:r>
        <w:rPr>
          <w:rFonts w:hint="eastAsia" w:ascii="宋体" w:hAnsi="宋体" w:cs="宋体"/>
          <w:color w:val="auto"/>
          <w:lang w:val="en-US" w:eastAsia="zh-CN"/>
        </w:rPr>
        <w:t>7</w:t>
      </w:r>
      <w:r>
        <w:rPr>
          <w:rFonts w:hint="eastAsia" w:ascii="宋体" w:hAnsi="宋体" w:cs="宋体"/>
          <w:color w:val="auto"/>
        </w:rPr>
        <w:t>日至202</w:t>
      </w:r>
      <w:r>
        <w:rPr>
          <w:rFonts w:hint="eastAsia" w:ascii="宋体" w:hAnsi="宋体" w:cs="宋体"/>
          <w:color w:val="auto"/>
          <w:lang w:val="en-US" w:eastAsia="zh-CN"/>
        </w:rPr>
        <w:t>6</w:t>
      </w:r>
      <w:r>
        <w:rPr>
          <w:rFonts w:hint="eastAsia" w:ascii="宋体" w:hAnsi="宋体" w:cs="宋体"/>
          <w:color w:val="auto"/>
        </w:rPr>
        <w:t>年</w:t>
      </w:r>
      <w:r>
        <w:rPr>
          <w:rFonts w:hint="eastAsia" w:ascii="宋体" w:hAnsi="宋体" w:cs="宋体"/>
          <w:color w:val="auto"/>
          <w:lang w:val="en-US" w:eastAsia="zh-CN"/>
        </w:rPr>
        <w:t>5</w:t>
      </w:r>
      <w:r>
        <w:rPr>
          <w:rFonts w:hint="eastAsia" w:ascii="宋体" w:hAnsi="宋体" w:cs="宋体"/>
          <w:color w:val="auto"/>
        </w:rPr>
        <w:t>月</w:t>
      </w:r>
      <w:r>
        <w:rPr>
          <w:rFonts w:hint="eastAsia" w:ascii="宋体" w:hAnsi="宋体" w:cs="宋体"/>
          <w:color w:val="auto"/>
          <w:lang w:val="en-US" w:eastAsia="zh-CN"/>
        </w:rPr>
        <w:t>13</w:t>
      </w:r>
      <w:r>
        <w:rPr>
          <w:rFonts w:hint="eastAsia" w:ascii="宋体" w:hAnsi="宋体" w:cs="宋体"/>
          <w:color w:val="auto"/>
        </w:rPr>
        <w:t>日16时00分（北京时间，法定节假日除外）；</w:t>
      </w:r>
    </w:p>
    <w:p w14:paraId="3C04F9EC">
      <w:pPr>
        <w:pStyle w:val="24"/>
        <w:spacing w:beforeAutospacing="0" w:afterAutospacing="0" w:line="360" w:lineRule="auto"/>
        <w:ind w:firstLine="410" w:firstLineChars="171"/>
        <w:jc w:val="both"/>
        <w:rPr>
          <w:rFonts w:ascii="宋体" w:hAnsi="宋体" w:cs="宋体"/>
          <w:color w:val="auto"/>
        </w:rPr>
      </w:pPr>
      <w:r>
        <w:rPr>
          <w:rFonts w:hint="eastAsia" w:ascii="宋体" w:hAnsi="宋体" w:cs="宋体"/>
          <w:color w:val="auto"/>
        </w:rPr>
        <w:t>2.方式：潜在供应商自行登录政府采购云平台按要求免费下载采购文件（操作路径：登录政采云平台－项目采购－获取采购文件－找到本项目－点击“申请获取采购文件”），其他途径获取的采购文件磋商会议时一律按无效投标处理。</w:t>
      </w:r>
    </w:p>
    <w:p w14:paraId="17C9230D">
      <w:pPr>
        <w:pStyle w:val="3"/>
        <w:keepLines w:val="0"/>
        <w:widowControl/>
        <w:spacing w:before="0" w:after="0" w:line="360" w:lineRule="auto"/>
        <w:ind w:firstLine="410" w:firstLineChars="171"/>
        <w:rPr>
          <w:rFonts w:ascii="宋体" w:hAnsi="宋体" w:eastAsia="宋体" w:cs="宋体"/>
          <w:color w:val="auto"/>
          <w:sz w:val="24"/>
          <w:szCs w:val="24"/>
        </w:rPr>
      </w:pPr>
      <w:bookmarkStart w:id="19" w:name="_Toc28359015"/>
      <w:bookmarkEnd w:id="19"/>
      <w:bookmarkStart w:id="20" w:name="_Toc35393632"/>
      <w:bookmarkEnd w:id="20"/>
      <w:bookmarkStart w:id="21" w:name="_Toc35393801"/>
      <w:bookmarkEnd w:id="21"/>
      <w:bookmarkStart w:id="22" w:name="_Toc28359092"/>
      <w:bookmarkStart w:id="23" w:name="_Toc1288"/>
      <w:bookmarkStart w:id="24" w:name="_Toc24407"/>
      <w:r>
        <w:rPr>
          <w:rFonts w:hint="eastAsia" w:ascii="宋体" w:hAnsi="宋体" w:eastAsia="宋体" w:cs="宋体"/>
          <w:b w:val="0"/>
          <w:bCs w:val="0"/>
          <w:color w:val="auto"/>
          <w:sz w:val="24"/>
          <w:szCs w:val="24"/>
        </w:rPr>
        <w:t>四、响应文件提交</w:t>
      </w:r>
      <w:bookmarkEnd w:id="22"/>
      <w:r>
        <w:rPr>
          <w:rFonts w:hint="eastAsia" w:ascii="宋体" w:hAnsi="宋体" w:eastAsia="宋体" w:cs="宋体"/>
          <w:b w:val="0"/>
          <w:bCs w:val="0"/>
          <w:color w:val="auto"/>
          <w:sz w:val="24"/>
          <w:szCs w:val="24"/>
        </w:rPr>
        <w:t>及开启</w:t>
      </w:r>
      <w:bookmarkEnd w:id="23"/>
      <w:bookmarkEnd w:id="24"/>
    </w:p>
    <w:p w14:paraId="72017147">
      <w:pPr>
        <w:pStyle w:val="24"/>
        <w:spacing w:beforeAutospacing="0" w:afterAutospacing="0" w:line="360" w:lineRule="auto"/>
        <w:ind w:firstLine="410" w:firstLineChars="171"/>
        <w:jc w:val="both"/>
        <w:rPr>
          <w:rFonts w:ascii="宋体" w:hAnsi="宋体" w:cs="宋体"/>
          <w:color w:val="auto"/>
        </w:rPr>
      </w:pPr>
      <w:r>
        <w:rPr>
          <w:rFonts w:hint="eastAsia" w:ascii="宋体" w:hAnsi="宋体" w:cs="宋体"/>
          <w:color w:val="auto"/>
        </w:rPr>
        <w:t>1.提交响应文件截止时间：202</w:t>
      </w:r>
      <w:r>
        <w:rPr>
          <w:rFonts w:hint="eastAsia" w:ascii="宋体" w:hAnsi="宋体" w:cs="宋体"/>
          <w:color w:val="auto"/>
          <w:lang w:val="en-US" w:eastAsia="zh-CN"/>
        </w:rPr>
        <w:t>6</w:t>
      </w:r>
      <w:r>
        <w:rPr>
          <w:rFonts w:hint="eastAsia" w:ascii="宋体" w:hAnsi="宋体" w:cs="宋体"/>
          <w:color w:val="auto"/>
        </w:rPr>
        <w:t>年</w:t>
      </w:r>
      <w:r>
        <w:rPr>
          <w:rFonts w:hint="eastAsia" w:ascii="宋体" w:hAnsi="宋体" w:cs="宋体"/>
          <w:color w:val="auto"/>
          <w:lang w:val="en-US" w:eastAsia="zh-CN"/>
        </w:rPr>
        <w:t>5</w:t>
      </w:r>
      <w:r>
        <w:rPr>
          <w:rFonts w:hint="eastAsia" w:ascii="宋体" w:hAnsi="宋体" w:cs="宋体"/>
          <w:color w:val="auto"/>
        </w:rPr>
        <w:t>月</w:t>
      </w:r>
      <w:r>
        <w:rPr>
          <w:rFonts w:hint="eastAsia" w:ascii="宋体" w:hAnsi="宋体" w:cs="宋体"/>
          <w:color w:val="auto"/>
          <w:lang w:val="en-US" w:eastAsia="zh-CN"/>
        </w:rPr>
        <w:t>20</w:t>
      </w:r>
      <w:r>
        <w:rPr>
          <w:rFonts w:hint="eastAsia" w:ascii="宋体" w:hAnsi="宋体" w:cs="宋体"/>
          <w:color w:val="auto"/>
        </w:rPr>
        <w:t>日</w:t>
      </w:r>
      <w:r>
        <w:rPr>
          <w:rFonts w:hint="eastAsia" w:ascii="宋体" w:hAnsi="宋体" w:cs="宋体"/>
          <w:color w:val="auto"/>
          <w:lang w:val="en-US" w:eastAsia="zh-CN"/>
        </w:rPr>
        <w:t>13</w:t>
      </w:r>
      <w:r>
        <w:rPr>
          <w:rFonts w:hint="eastAsia" w:ascii="宋体" w:hAnsi="宋体" w:cs="宋体"/>
          <w:color w:val="auto"/>
        </w:rPr>
        <w:t>时</w:t>
      </w:r>
      <w:r>
        <w:rPr>
          <w:rFonts w:hint="eastAsia" w:ascii="宋体" w:hAnsi="宋体" w:cs="宋体"/>
          <w:color w:val="auto"/>
          <w:lang w:val="en-US" w:eastAsia="zh-CN"/>
        </w:rPr>
        <w:t>3</w:t>
      </w:r>
      <w:r>
        <w:rPr>
          <w:rFonts w:hint="eastAsia" w:ascii="宋体" w:hAnsi="宋体" w:cs="宋体"/>
          <w:color w:val="auto"/>
        </w:rPr>
        <w:t>0分（北京时间）</w:t>
      </w:r>
    </w:p>
    <w:p w14:paraId="0A68DC6B">
      <w:pPr>
        <w:pStyle w:val="24"/>
        <w:spacing w:beforeAutospacing="0" w:afterAutospacing="0" w:line="360" w:lineRule="auto"/>
        <w:ind w:firstLine="410" w:firstLineChars="171"/>
        <w:jc w:val="both"/>
        <w:rPr>
          <w:rFonts w:ascii="宋体" w:hAnsi="宋体" w:cs="宋体"/>
          <w:color w:val="auto"/>
        </w:rPr>
      </w:pPr>
      <w:r>
        <w:rPr>
          <w:rFonts w:hint="eastAsia" w:ascii="宋体" w:hAnsi="宋体" w:cs="宋体"/>
          <w:color w:val="auto"/>
        </w:rPr>
        <w:t>提交响应文件地点：政采云平台，逾期未上传电子响应文件，采购人或采购代理机构不予受理。有效供应商不足法定个数时，采购人另行组织采购。</w:t>
      </w:r>
    </w:p>
    <w:p w14:paraId="0DE18BB1">
      <w:pPr>
        <w:pStyle w:val="24"/>
        <w:spacing w:beforeAutospacing="0" w:afterAutospacing="0" w:line="360" w:lineRule="auto"/>
        <w:ind w:firstLine="410" w:firstLineChars="171"/>
        <w:jc w:val="both"/>
        <w:rPr>
          <w:rFonts w:ascii="宋体" w:hAnsi="宋体" w:cs="宋体"/>
          <w:color w:val="auto"/>
        </w:rPr>
      </w:pPr>
      <w:r>
        <w:rPr>
          <w:rFonts w:hint="eastAsia" w:ascii="宋体" w:hAnsi="宋体" w:cs="宋体"/>
          <w:color w:val="auto"/>
        </w:rPr>
        <w:t>2.开启时间：202</w:t>
      </w:r>
      <w:r>
        <w:rPr>
          <w:rFonts w:hint="eastAsia" w:ascii="宋体" w:hAnsi="宋体" w:cs="宋体"/>
          <w:color w:val="auto"/>
          <w:lang w:val="en-US" w:eastAsia="zh-CN"/>
        </w:rPr>
        <w:t>6</w:t>
      </w:r>
      <w:r>
        <w:rPr>
          <w:rFonts w:hint="eastAsia" w:ascii="宋体" w:hAnsi="宋体" w:cs="宋体"/>
          <w:color w:val="auto"/>
        </w:rPr>
        <w:t>年</w:t>
      </w:r>
      <w:r>
        <w:rPr>
          <w:rFonts w:hint="eastAsia" w:ascii="宋体" w:hAnsi="宋体" w:cs="宋体"/>
          <w:color w:val="auto"/>
          <w:lang w:val="en-US" w:eastAsia="zh-CN"/>
        </w:rPr>
        <w:t>5</w:t>
      </w:r>
      <w:r>
        <w:rPr>
          <w:rFonts w:hint="eastAsia" w:ascii="宋体" w:hAnsi="宋体" w:cs="宋体"/>
          <w:color w:val="auto"/>
        </w:rPr>
        <w:t>月</w:t>
      </w:r>
      <w:r>
        <w:rPr>
          <w:rFonts w:hint="eastAsia" w:ascii="宋体" w:hAnsi="宋体" w:cs="宋体"/>
          <w:color w:val="auto"/>
          <w:lang w:val="en-US" w:eastAsia="zh-CN"/>
        </w:rPr>
        <w:t>20</w:t>
      </w:r>
      <w:r>
        <w:rPr>
          <w:rFonts w:hint="eastAsia" w:ascii="宋体" w:hAnsi="宋体" w:cs="宋体"/>
          <w:color w:val="auto"/>
        </w:rPr>
        <w:t>日</w:t>
      </w:r>
      <w:r>
        <w:rPr>
          <w:rFonts w:hint="eastAsia" w:ascii="宋体" w:hAnsi="宋体" w:cs="宋体"/>
          <w:color w:val="auto"/>
          <w:lang w:val="en-US" w:eastAsia="zh-CN"/>
        </w:rPr>
        <w:t>13</w:t>
      </w:r>
      <w:r>
        <w:rPr>
          <w:rFonts w:hint="eastAsia" w:ascii="宋体" w:hAnsi="宋体" w:cs="宋体"/>
          <w:color w:val="auto"/>
        </w:rPr>
        <w:t>时</w:t>
      </w:r>
      <w:r>
        <w:rPr>
          <w:rFonts w:hint="eastAsia" w:ascii="宋体" w:hAnsi="宋体" w:cs="宋体"/>
          <w:color w:val="auto"/>
          <w:lang w:val="en-US" w:eastAsia="zh-CN"/>
        </w:rPr>
        <w:t>3</w:t>
      </w:r>
      <w:r>
        <w:rPr>
          <w:rFonts w:hint="eastAsia" w:ascii="宋体" w:hAnsi="宋体" w:cs="宋体"/>
          <w:color w:val="auto"/>
        </w:rPr>
        <w:t>0分（北京时间）</w:t>
      </w:r>
    </w:p>
    <w:p w14:paraId="7CAE8C7F">
      <w:pPr>
        <w:pStyle w:val="24"/>
        <w:spacing w:beforeAutospacing="0" w:afterAutospacing="0" w:line="360" w:lineRule="auto"/>
        <w:ind w:firstLine="410" w:firstLineChars="171"/>
        <w:jc w:val="both"/>
        <w:rPr>
          <w:rFonts w:ascii="宋体" w:hAnsi="宋体" w:cs="宋体"/>
        </w:rPr>
      </w:pPr>
      <w:r>
        <w:rPr>
          <w:rFonts w:hint="eastAsia" w:ascii="宋体" w:hAnsi="宋体" w:cs="宋体"/>
        </w:rPr>
        <w:t>开启地点：长春市二道区洋浦大街6999号凯利中心AB栋101</w:t>
      </w:r>
      <w:r>
        <w:rPr>
          <w:rFonts w:hint="eastAsia" w:ascii="宋体" w:hAnsi="宋体" w:cs="宋体"/>
          <w:color w:val="auto"/>
        </w:rPr>
        <w:t>开标室。</w:t>
      </w:r>
      <w:r>
        <w:rPr>
          <w:rFonts w:hint="eastAsia" w:ascii="宋体" w:hAnsi="宋体" w:cs="宋体"/>
        </w:rPr>
        <w:t>本项目远程开启文件，供应商不需要到达开启现场。</w:t>
      </w:r>
    </w:p>
    <w:p w14:paraId="363CF1F4">
      <w:pPr>
        <w:pStyle w:val="24"/>
        <w:spacing w:beforeAutospacing="0" w:afterAutospacing="0" w:line="360" w:lineRule="auto"/>
        <w:ind w:firstLine="410" w:firstLineChars="171"/>
        <w:jc w:val="both"/>
        <w:rPr>
          <w:rFonts w:ascii="宋体" w:hAnsi="宋体" w:cs="宋体"/>
        </w:rPr>
      </w:pPr>
      <w:r>
        <w:rPr>
          <w:rFonts w:hint="eastAsia" w:ascii="宋体" w:hAnsi="宋体" w:cs="宋体"/>
        </w:rPr>
        <w:t>3.响应文件提交方式：本项目为全流程电子化项目，通过政采云平台实行在线电子投标，供应商应先安装“政采云投标客户端”（请自行前往“政采云”平台进行下载），并按照本项目采购文件和政采云平台的要求编制，加密后的响应文件须在提交截止时间前通过政采云平台上传，供应商在政采云平台提交响应文件时，请填写参加采购活动经办人和联系方式。</w:t>
      </w:r>
    </w:p>
    <w:p w14:paraId="3AF888E2">
      <w:pPr>
        <w:pStyle w:val="24"/>
        <w:spacing w:beforeAutospacing="0" w:afterAutospacing="0" w:line="360" w:lineRule="auto"/>
        <w:ind w:firstLine="410" w:firstLineChars="171"/>
        <w:jc w:val="both"/>
        <w:rPr>
          <w:rFonts w:ascii="宋体" w:hAnsi="宋体" w:cs="宋体"/>
        </w:rPr>
      </w:pPr>
      <w:r>
        <w:rPr>
          <w:rFonts w:hint="eastAsia" w:ascii="宋体" w:hAnsi="宋体" w:cs="宋体"/>
        </w:rPr>
        <w:t>4.电子响应文件解密期限及方式：开启时间后30分钟内，由供应商持制作该电子响应文件的同一数字证书（CA锁）及电脑进行远程解密，具体解密时间在政采云磋商会议时由采购代理机构工作人员进行通知，各供应商在此时间前不可提前进行远程解密。</w:t>
      </w:r>
    </w:p>
    <w:p w14:paraId="210AC167">
      <w:pPr>
        <w:pStyle w:val="24"/>
        <w:spacing w:beforeAutospacing="0" w:afterAutospacing="0" w:line="360" w:lineRule="auto"/>
        <w:ind w:firstLine="410" w:firstLineChars="171"/>
        <w:jc w:val="both"/>
        <w:rPr>
          <w:rFonts w:ascii="宋体" w:hAnsi="宋体" w:cs="宋体"/>
        </w:rPr>
      </w:pPr>
      <w:r>
        <w:rPr>
          <w:rFonts w:hint="eastAsia" w:ascii="宋体" w:hAnsi="宋体" w:cs="宋体"/>
        </w:rPr>
        <w:t>5.投标操作流程：供应商在政府采购云平台注册入库成为正式供应商后，在平台上按《政府采购项目电子交易管理操作指南－供应商》进行投标操作。供应商须办理投标工具方可参加投标。供应商须自行考虑投标工具办理时限，由于供应商自身原因在磋商会议前无法完成办理，后果自负。若对项目采购电子交易系统操作有疑问，可登录政采云平台点击右侧咨询小采，获取采小蜜智能服务管家帮助，或拨打政采云服务热线95763获取热线服务帮助。</w:t>
      </w:r>
    </w:p>
    <w:p w14:paraId="649A8D52">
      <w:pPr>
        <w:pStyle w:val="3"/>
        <w:keepLines w:val="0"/>
        <w:widowControl/>
        <w:spacing w:before="0" w:after="0" w:line="360" w:lineRule="auto"/>
        <w:ind w:firstLine="410" w:firstLineChars="171"/>
        <w:rPr>
          <w:rFonts w:ascii="宋体" w:hAnsi="宋体" w:eastAsia="宋体" w:cs="宋体"/>
          <w:sz w:val="24"/>
          <w:szCs w:val="24"/>
        </w:rPr>
      </w:pPr>
      <w:bookmarkStart w:id="25" w:name="_Toc35393633"/>
      <w:bookmarkEnd w:id="25"/>
      <w:bookmarkStart w:id="26" w:name="_Toc28359094"/>
      <w:bookmarkEnd w:id="26"/>
      <w:bookmarkStart w:id="27" w:name="_Toc28359017"/>
      <w:bookmarkEnd w:id="27"/>
      <w:bookmarkStart w:id="28" w:name="_Toc35393802"/>
      <w:bookmarkEnd w:id="28"/>
      <w:bookmarkStart w:id="29" w:name="_Toc35393634"/>
      <w:bookmarkEnd w:id="29"/>
      <w:bookmarkStart w:id="30" w:name="_Toc28359093"/>
      <w:bookmarkEnd w:id="30"/>
      <w:bookmarkStart w:id="31" w:name="_Toc21164"/>
      <w:bookmarkStart w:id="32" w:name="_Toc35393803"/>
      <w:bookmarkStart w:id="33" w:name="_Toc16975"/>
      <w:r>
        <w:rPr>
          <w:rFonts w:hint="eastAsia" w:ascii="宋体" w:hAnsi="宋体" w:eastAsia="宋体" w:cs="宋体"/>
          <w:b w:val="0"/>
          <w:bCs w:val="0"/>
          <w:sz w:val="24"/>
          <w:szCs w:val="24"/>
        </w:rPr>
        <w:t>五、公告期限</w:t>
      </w:r>
      <w:bookmarkEnd w:id="31"/>
      <w:bookmarkEnd w:id="32"/>
      <w:bookmarkEnd w:id="33"/>
    </w:p>
    <w:p w14:paraId="4809A016">
      <w:pPr>
        <w:pStyle w:val="24"/>
        <w:spacing w:beforeAutospacing="0" w:afterAutospacing="0" w:line="360" w:lineRule="auto"/>
        <w:ind w:firstLine="410" w:firstLineChars="171"/>
        <w:jc w:val="both"/>
        <w:rPr>
          <w:rFonts w:ascii="宋体" w:hAnsi="宋体" w:cs="宋体"/>
        </w:rPr>
      </w:pPr>
      <w:r>
        <w:rPr>
          <w:rFonts w:hint="eastAsia" w:ascii="宋体" w:hAnsi="宋体" w:cs="宋体"/>
        </w:rPr>
        <w:t>自本公告发布之日起5个工作日。</w:t>
      </w:r>
    </w:p>
    <w:p w14:paraId="319AB565">
      <w:pPr>
        <w:pStyle w:val="3"/>
        <w:keepLines w:val="0"/>
        <w:widowControl/>
        <w:spacing w:before="0" w:after="0" w:line="360" w:lineRule="auto"/>
        <w:ind w:firstLine="410" w:firstLineChars="171"/>
        <w:rPr>
          <w:rFonts w:ascii="宋体" w:hAnsi="宋体" w:eastAsia="宋体" w:cs="宋体"/>
          <w:sz w:val="24"/>
          <w:szCs w:val="24"/>
        </w:rPr>
      </w:pPr>
      <w:bookmarkStart w:id="34" w:name="_Toc35393635"/>
      <w:bookmarkEnd w:id="34"/>
      <w:bookmarkStart w:id="35" w:name="_Toc18236"/>
      <w:bookmarkStart w:id="36" w:name="_Toc35393804"/>
      <w:bookmarkStart w:id="37" w:name="_Toc8639"/>
      <w:r>
        <w:rPr>
          <w:rFonts w:hint="eastAsia" w:ascii="宋体" w:hAnsi="宋体" w:eastAsia="宋体" w:cs="宋体"/>
          <w:b w:val="0"/>
          <w:bCs w:val="0"/>
          <w:sz w:val="24"/>
          <w:szCs w:val="24"/>
        </w:rPr>
        <w:t>六、其他补充事宜</w:t>
      </w:r>
      <w:bookmarkEnd w:id="35"/>
      <w:bookmarkEnd w:id="36"/>
      <w:bookmarkEnd w:id="37"/>
    </w:p>
    <w:p w14:paraId="6EC4458A">
      <w:pPr>
        <w:pStyle w:val="24"/>
        <w:spacing w:beforeAutospacing="0" w:afterAutospacing="0" w:line="360" w:lineRule="auto"/>
        <w:ind w:firstLine="410" w:firstLineChars="171"/>
        <w:jc w:val="both"/>
        <w:rPr>
          <w:rFonts w:ascii="宋体" w:hAnsi="宋体" w:cs="宋体"/>
        </w:rPr>
      </w:pPr>
      <w:r>
        <w:rPr>
          <w:rFonts w:hint="eastAsia" w:ascii="宋体" w:hAnsi="宋体" w:cs="宋体"/>
        </w:rPr>
        <w:t>1.本次竞争性磋商公告同时在</w:t>
      </w:r>
      <w:r>
        <w:rPr>
          <w:rFonts w:hint="eastAsia" w:ascii="宋体" w:hAnsi="宋体" w:eastAsia="宋体" w:cs="宋体"/>
          <w:sz w:val="24"/>
          <w:szCs w:val="24"/>
        </w:rPr>
        <w:t>“政采云”平台（http:// www.zcygov.cn）</w:t>
      </w:r>
      <w:r>
        <w:rPr>
          <w:rFonts w:hint="eastAsia" w:ascii="宋体" w:hAnsi="宋体" w:cs="宋体"/>
        </w:rPr>
        <w:t>发布，并同步推送到中国政府采购网</w:t>
      </w:r>
      <w:r>
        <w:rPr>
          <w:rFonts w:hint="eastAsia" w:ascii="宋体" w:hAnsi="宋体" w:cs="宋体"/>
          <w:lang w:eastAsia="zh-CN"/>
        </w:rPr>
        <w:t>、</w:t>
      </w:r>
      <w:r>
        <w:rPr>
          <w:rFonts w:hint="eastAsia" w:ascii="宋体" w:hAnsi="宋体" w:cs="宋体"/>
          <w:lang w:val="en-US" w:eastAsia="zh-CN"/>
        </w:rPr>
        <w:t>吉林省政府采购网</w:t>
      </w:r>
      <w:r>
        <w:rPr>
          <w:rFonts w:hint="eastAsia" w:ascii="宋体" w:hAnsi="宋体" w:cs="宋体"/>
        </w:rPr>
        <w:t>，经第三方转载后无论内容是否一致，均与本公司无关。</w:t>
      </w:r>
    </w:p>
    <w:p w14:paraId="551058CB">
      <w:pPr>
        <w:pStyle w:val="24"/>
        <w:spacing w:beforeAutospacing="0" w:afterAutospacing="0" w:line="360" w:lineRule="auto"/>
        <w:ind w:firstLine="410" w:firstLineChars="171"/>
        <w:jc w:val="both"/>
        <w:rPr>
          <w:rFonts w:ascii="宋体" w:hAnsi="宋体" w:cs="宋体"/>
        </w:rPr>
      </w:pPr>
      <w:r>
        <w:rPr>
          <w:rFonts w:hint="eastAsia" w:ascii="宋体" w:hAnsi="宋体" w:cs="宋体"/>
        </w:rPr>
        <w:t>2.供应商请注意：</w:t>
      </w:r>
      <w:r>
        <w:rPr>
          <w:rFonts w:hint="eastAsia" w:ascii="宋体" w:hAnsi="宋体" w:cs="宋体"/>
          <w:lang w:eastAsia="zh-CN"/>
        </w:rPr>
        <w:t>请潜在供应商在参与本项目活动期间持续关注网站信息。有投标意向的供应商有义务自行在上述网站查询相关内容，无需进行书面回复。</w:t>
      </w:r>
      <w:r>
        <w:rPr>
          <w:rFonts w:hint="eastAsia" w:ascii="宋体" w:hAnsi="宋体" w:cs="宋体"/>
        </w:rPr>
        <w:t>采购文件、澄清、修改、变更、延期等文件一经发布即视为已告知所有已获取采购文件的供应商，因供应商自身原因没有及时查看、下载文件导致的一切后果由供应商自行负责。</w:t>
      </w:r>
    </w:p>
    <w:p w14:paraId="482BC98C">
      <w:pPr>
        <w:pStyle w:val="3"/>
        <w:keepLines w:val="0"/>
        <w:widowControl/>
        <w:spacing w:before="0" w:after="0" w:line="360" w:lineRule="auto"/>
        <w:ind w:firstLine="410" w:firstLineChars="171"/>
        <w:rPr>
          <w:rFonts w:ascii="宋体" w:hAnsi="宋体" w:eastAsia="宋体" w:cs="宋体"/>
          <w:sz w:val="24"/>
          <w:szCs w:val="24"/>
        </w:rPr>
      </w:pPr>
      <w:bookmarkStart w:id="38" w:name="_Toc28359095"/>
      <w:bookmarkEnd w:id="38"/>
      <w:bookmarkStart w:id="39" w:name="_Toc35393636"/>
      <w:bookmarkEnd w:id="39"/>
      <w:bookmarkStart w:id="40" w:name="_Toc28359018"/>
      <w:bookmarkEnd w:id="40"/>
      <w:bookmarkStart w:id="41" w:name="_Toc35393805"/>
      <w:bookmarkStart w:id="42" w:name="_Toc7964"/>
      <w:bookmarkStart w:id="43" w:name="_Toc12355"/>
      <w:r>
        <w:rPr>
          <w:rFonts w:hint="eastAsia" w:ascii="宋体" w:hAnsi="宋体" w:eastAsia="宋体" w:cs="宋体"/>
          <w:b w:val="0"/>
          <w:bCs w:val="0"/>
          <w:sz w:val="24"/>
          <w:szCs w:val="24"/>
        </w:rPr>
        <w:t>七、凡对本次采购提出询问，请按以下方式联系。</w:t>
      </w:r>
      <w:bookmarkEnd w:id="41"/>
      <w:bookmarkEnd w:id="42"/>
      <w:bookmarkEnd w:id="43"/>
    </w:p>
    <w:p w14:paraId="284FE48D">
      <w:pPr>
        <w:pStyle w:val="24"/>
        <w:spacing w:beforeAutospacing="0" w:afterAutospacing="0" w:line="360" w:lineRule="auto"/>
        <w:ind w:firstLine="410" w:firstLineChars="171"/>
        <w:rPr>
          <w:rFonts w:ascii="宋体" w:hAnsi="宋体" w:cs="宋体"/>
        </w:rPr>
      </w:pPr>
      <w:r>
        <w:rPr>
          <w:rFonts w:hint="eastAsia" w:ascii="宋体" w:hAnsi="宋体" w:cs="宋体"/>
        </w:rPr>
        <w:t>1.采购人信息</w:t>
      </w:r>
    </w:p>
    <w:p w14:paraId="74DEFAC1">
      <w:pPr>
        <w:pStyle w:val="24"/>
        <w:spacing w:beforeAutospacing="0" w:afterAutospacing="0" w:line="360" w:lineRule="auto"/>
        <w:ind w:firstLine="410" w:firstLineChars="171"/>
        <w:rPr>
          <w:rFonts w:hint="eastAsia" w:ascii="宋体" w:hAnsi="宋体" w:eastAsia="宋体" w:cs="宋体"/>
          <w:lang w:eastAsia="zh-CN"/>
        </w:rPr>
      </w:pPr>
      <w:bookmarkStart w:id="44" w:name="_Toc28359009"/>
      <w:bookmarkEnd w:id="44"/>
      <w:bookmarkStart w:id="45" w:name="_Toc28359086"/>
      <w:bookmarkEnd w:id="45"/>
      <w:r>
        <w:rPr>
          <w:rFonts w:hint="eastAsia" w:ascii="宋体" w:hAnsi="宋体" w:cs="宋体"/>
        </w:rPr>
        <w:t>名称：</w:t>
      </w:r>
      <w:r>
        <w:rPr>
          <w:rFonts w:hint="eastAsia" w:ascii="宋体" w:hAnsi="宋体" w:cs="宋体"/>
          <w:lang w:eastAsia="zh-CN"/>
        </w:rPr>
        <w:t>吉林省阳光学校</w:t>
      </w:r>
    </w:p>
    <w:p w14:paraId="14015241">
      <w:pPr>
        <w:pStyle w:val="24"/>
        <w:spacing w:beforeAutospacing="0" w:afterAutospacing="0" w:line="360" w:lineRule="auto"/>
        <w:ind w:firstLine="410" w:firstLineChars="171"/>
        <w:rPr>
          <w:rFonts w:ascii="宋体" w:hAnsi="宋体" w:cs="宋体"/>
        </w:rPr>
      </w:pPr>
      <w:r>
        <w:rPr>
          <w:rFonts w:hint="eastAsia" w:ascii="宋体" w:hAnsi="宋体" w:cs="宋体"/>
        </w:rPr>
        <w:t>地址：</w:t>
      </w:r>
      <w:r>
        <w:rPr>
          <w:rFonts w:hint="eastAsia" w:ascii="宋体" w:hAnsi="宋体" w:eastAsia="宋体" w:cs="宋体"/>
          <w:sz w:val="24"/>
          <w:szCs w:val="24"/>
        </w:rPr>
        <w:t>长春市净月开发区梧桐街1555号</w:t>
      </w:r>
    </w:p>
    <w:p w14:paraId="0981A393">
      <w:pPr>
        <w:pStyle w:val="24"/>
        <w:spacing w:beforeAutospacing="0" w:afterAutospacing="0" w:line="360" w:lineRule="auto"/>
        <w:ind w:firstLine="410" w:firstLineChars="171"/>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val="en-US" w:eastAsia="zh-CN"/>
        </w:rPr>
        <w:t xml:space="preserve">杨滢 </w:t>
      </w:r>
    </w:p>
    <w:p w14:paraId="4A4E140C">
      <w:pPr>
        <w:pStyle w:val="24"/>
        <w:spacing w:beforeAutospacing="0" w:afterAutospacing="0" w:line="360" w:lineRule="auto"/>
        <w:ind w:firstLine="410" w:firstLineChars="171"/>
        <w:rPr>
          <w:rFonts w:hint="eastAsia" w:ascii="宋体" w:hAnsi="宋体" w:eastAsia="宋体" w:cs="宋体"/>
          <w:color w:val="auto"/>
          <w:lang w:eastAsia="zh-CN"/>
        </w:rPr>
      </w:pPr>
      <w:r>
        <w:rPr>
          <w:rFonts w:hint="eastAsia" w:ascii="宋体" w:hAnsi="宋体" w:cs="宋体"/>
          <w:color w:val="auto"/>
        </w:rPr>
        <w:t>联系方式：0431-85031087</w:t>
      </w:r>
      <w:r>
        <w:rPr>
          <w:rFonts w:hint="eastAsia" w:ascii="宋体" w:hAnsi="宋体" w:cs="宋体"/>
          <w:color w:val="auto"/>
          <w:lang w:val="en-US" w:eastAsia="zh-CN"/>
        </w:rPr>
        <w:t xml:space="preserve"> </w:t>
      </w:r>
    </w:p>
    <w:p w14:paraId="4356325C">
      <w:pPr>
        <w:pStyle w:val="24"/>
        <w:spacing w:beforeAutospacing="0" w:afterAutospacing="0" w:line="360" w:lineRule="auto"/>
        <w:ind w:firstLine="410" w:firstLineChars="171"/>
        <w:rPr>
          <w:rFonts w:ascii="宋体" w:hAnsi="宋体" w:cs="宋体"/>
        </w:rPr>
      </w:pPr>
      <w:r>
        <w:rPr>
          <w:rFonts w:hint="eastAsia" w:ascii="宋体" w:hAnsi="宋体" w:cs="宋体"/>
        </w:rPr>
        <w:t>2.采购代理机构信息</w:t>
      </w:r>
    </w:p>
    <w:p w14:paraId="48E646DE">
      <w:pPr>
        <w:pStyle w:val="24"/>
        <w:spacing w:beforeAutospacing="0" w:afterAutospacing="0" w:line="360" w:lineRule="auto"/>
        <w:ind w:firstLine="410" w:firstLineChars="171"/>
        <w:jc w:val="both"/>
        <w:rPr>
          <w:rFonts w:ascii="宋体" w:hAnsi="宋体" w:cs="宋体"/>
        </w:rPr>
      </w:pPr>
      <w:bookmarkStart w:id="46" w:name="_Toc28359010"/>
      <w:bookmarkEnd w:id="46"/>
      <w:bookmarkStart w:id="47" w:name="_Toc28359087"/>
      <w:r>
        <w:rPr>
          <w:rFonts w:hint="eastAsia" w:ascii="宋体" w:hAnsi="宋体" w:cs="宋体"/>
        </w:rPr>
        <w:t>名称：</w:t>
      </w:r>
      <w:bookmarkEnd w:id="47"/>
      <w:bookmarkStart w:id="48" w:name="获取采购代理名称"/>
      <w:r>
        <w:rPr>
          <w:rFonts w:hint="eastAsia" w:ascii="宋体" w:hAnsi="宋体" w:cs="宋体"/>
        </w:rPr>
        <w:t>长春市万力工程咨询有限公司</w:t>
      </w:r>
      <w:bookmarkEnd w:id="48"/>
    </w:p>
    <w:p w14:paraId="11078924">
      <w:pPr>
        <w:pStyle w:val="24"/>
        <w:spacing w:beforeAutospacing="0" w:afterAutospacing="0" w:line="360" w:lineRule="auto"/>
        <w:ind w:firstLine="410" w:firstLineChars="171"/>
        <w:jc w:val="both"/>
        <w:rPr>
          <w:rFonts w:ascii="宋体" w:hAnsi="宋体" w:cs="宋体"/>
        </w:rPr>
      </w:pPr>
      <w:r>
        <w:rPr>
          <w:rFonts w:hint="eastAsia" w:ascii="宋体" w:hAnsi="宋体" w:cs="宋体"/>
        </w:rPr>
        <w:t>地址：</w:t>
      </w:r>
      <w:bookmarkStart w:id="49" w:name="获取采购代理地址"/>
      <w:r>
        <w:rPr>
          <w:rFonts w:hint="eastAsia" w:ascii="宋体" w:hAnsi="宋体" w:cs="宋体"/>
        </w:rPr>
        <w:t>长春经开区中海紫御华府22栋</w:t>
      </w:r>
      <w:r>
        <w:rPr>
          <w:rFonts w:hint="eastAsia" w:ascii="宋体" w:hAnsi="宋体" w:cs="宋体"/>
          <w:lang w:val="en-US" w:eastAsia="zh-CN"/>
        </w:rPr>
        <w:t>2</w:t>
      </w:r>
      <w:r>
        <w:rPr>
          <w:rFonts w:hint="eastAsia" w:ascii="宋体" w:hAnsi="宋体" w:cs="宋体"/>
        </w:rPr>
        <w:t>单元</w:t>
      </w:r>
      <w:r>
        <w:rPr>
          <w:rFonts w:hint="eastAsia" w:ascii="宋体" w:hAnsi="宋体" w:cs="宋体"/>
          <w:lang w:val="en-US" w:eastAsia="zh-CN"/>
        </w:rPr>
        <w:t>5</w:t>
      </w:r>
      <w:r>
        <w:rPr>
          <w:rFonts w:hint="eastAsia" w:ascii="宋体" w:hAnsi="宋体" w:cs="宋体"/>
        </w:rPr>
        <w:t>楼</w:t>
      </w:r>
      <w:bookmarkEnd w:id="49"/>
    </w:p>
    <w:p w14:paraId="25DB8F41">
      <w:pPr>
        <w:pStyle w:val="24"/>
        <w:spacing w:beforeAutospacing="0" w:afterAutospacing="0" w:line="360" w:lineRule="auto"/>
        <w:ind w:firstLine="410" w:firstLineChars="171"/>
        <w:jc w:val="both"/>
        <w:rPr>
          <w:rFonts w:ascii="宋体" w:hAnsi="宋体" w:cs="宋体"/>
        </w:rPr>
      </w:pPr>
      <w:r>
        <w:rPr>
          <w:rFonts w:hint="eastAsia" w:ascii="宋体" w:hAnsi="宋体" w:cs="宋体"/>
        </w:rPr>
        <w:t>联系人：石堃</w:t>
      </w:r>
    </w:p>
    <w:p w14:paraId="6775EA29">
      <w:pPr>
        <w:pStyle w:val="24"/>
        <w:spacing w:beforeAutospacing="0" w:afterAutospacing="0" w:line="360" w:lineRule="auto"/>
        <w:ind w:firstLine="410" w:firstLineChars="171"/>
        <w:jc w:val="both"/>
        <w:rPr>
          <w:rFonts w:ascii="宋体" w:hAnsi="宋体" w:cs="宋体"/>
        </w:rPr>
      </w:pPr>
      <w:r>
        <w:rPr>
          <w:rFonts w:hint="eastAsia" w:ascii="宋体" w:hAnsi="宋体" w:cs="宋体"/>
        </w:rPr>
        <w:t>联系方式：17519703188（办公电话）</w:t>
      </w:r>
    </w:p>
    <w:p w14:paraId="433B6652">
      <w:pPr>
        <w:pStyle w:val="24"/>
        <w:spacing w:beforeAutospacing="0" w:afterAutospacing="0" w:line="360" w:lineRule="auto"/>
        <w:ind w:firstLine="410" w:firstLineChars="171"/>
        <w:jc w:val="both"/>
        <w:rPr>
          <w:rFonts w:ascii="宋体" w:hAnsi="宋体" w:cs="宋体"/>
        </w:rPr>
      </w:pPr>
      <w:r>
        <w:rPr>
          <w:rFonts w:hint="eastAsia" w:ascii="宋体" w:hAnsi="宋体" w:cs="宋体"/>
        </w:rPr>
        <w:t>3.项目联系方式</w:t>
      </w:r>
    </w:p>
    <w:p w14:paraId="08C10B34">
      <w:pPr>
        <w:pStyle w:val="24"/>
        <w:spacing w:beforeAutospacing="0" w:afterAutospacing="0" w:line="360" w:lineRule="auto"/>
        <w:ind w:firstLine="410" w:firstLineChars="171"/>
        <w:jc w:val="both"/>
        <w:rPr>
          <w:rFonts w:ascii="宋体" w:hAnsi="宋体" w:cs="宋体"/>
        </w:rPr>
      </w:pPr>
      <w:r>
        <w:rPr>
          <w:rFonts w:hint="eastAsia" w:ascii="宋体" w:hAnsi="宋体" w:cs="宋体"/>
        </w:rPr>
        <w:t>项目联系人：石堃</w:t>
      </w:r>
    </w:p>
    <w:p w14:paraId="7B57AE7A">
      <w:pPr>
        <w:pStyle w:val="24"/>
        <w:spacing w:beforeAutospacing="0" w:afterAutospacing="0" w:line="360" w:lineRule="auto"/>
        <w:ind w:firstLine="410" w:firstLineChars="171"/>
        <w:jc w:val="both"/>
        <w:rPr>
          <w:rFonts w:ascii="宋体" w:hAnsi="宋体" w:cs="宋体"/>
        </w:rPr>
      </w:pPr>
      <w:r>
        <w:rPr>
          <w:rFonts w:hint="eastAsia" w:ascii="宋体" w:hAnsi="宋体" w:cs="宋体"/>
        </w:rPr>
        <w:t>电话：17519703188（办公电话）</w:t>
      </w:r>
    </w:p>
    <w:p w14:paraId="7D3E57DA">
      <w:pPr>
        <w:pStyle w:val="24"/>
        <w:spacing w:beforeAutospacing="0" w:afterAutospacing="0" w:line="360" w:lineRule="auto"/>
        <w:ind w:firstLine="424" w:firstLineChars="177"/>
        <w:rPr>
          <w:rFonts w:ascii="宋体" w:hAnsi="宋体" w:cs="宋体"/>
          <w:lang w:val="zh-CN"/>
        </w:rPr>
      </w:pPr>
      <w:r>
        <w:rPr>
          <w:rFonts w:hint="eastAsia" w:ascii="宋体" w:hAnsi="宋体" w:cs="宋体"/>
          <w:lang w:val="zh-CN"/>
        </w:rPr>
        <w:t>来源：长春市万力工程咨询有限公司</w:t>
      </w:r>
    </w:p>
    <w:p w14:paraId="25E9812A">
      <w:pPr>
        <w:pStyle w:val="24"/>
        <w:spacing w:beforeAutospacing="0" w:afterAutospacing="0" w:line="360" w:lineRule="auto"/>
        <w:ind w:firstLine="424" w:firstLineChars="177"/>
        <w:rPr>
          <w:rFonts w:ascii="宋体" w:hAnsi="宋体" w:cs="宋体"/>
        </w:rPr>
      </w:pPr>
      <w:r>
        <w:rPr>
          <w:rFonts w:hint="eastAsia" w:ascii="宋体" w:hAnsi="宋体" w:cs="宋体"/>
          <w:lang w:val="zh-CN"/>
        </w:rPr>
        <w:t>初审：</w:t>
      </w:r>
      <w:r>
        <w:rPr>
          <w:rFonts w:hint="eastAsia" w:ascii="宋体" w:hAnsi="宋体" w:cs="宋体"/>
        </w:rPr>
        <w:t>石堃</w:t>
      </w:r>
    </w:p>
    <w:p w14:paraId="3FF4368B">
      <w:pPr>
        <w:pStyle w:val="24"/>
        <w:spacing w:beforeAutospacing="0" w:afterAutospacing="0" w:line="360" w:lineRule="auto"/>
        <w:ind w:firstLine="424" w:firstLineChars="177"/>
        <w:rPr>
          <w:rFonts w:ascii="宋体" w:hAnsi="宋体" w:cs="宋体"/>
        </w:rPr>
      </w:pPr>
      <w:r>
        <w:rPr>
          <w:rFonts w:hint="eastAsia" w:ascii="宋体" w:hAnsi="宋体" w:cs="宋体"/>
          <w:lang w:val="zh-CN"/>
        </w:rPr>
        <w:t>复审：</w:t>
      </w:r>
      <w:r>
        <w:rPr>
          <w:rFonts w:hint="eastAsia" w:ascii="宋体" w:hAnsi="宋体" w:cs="宋体"/>
        </w:rPr>
        <w:t>张强</w:t>
      </w:r>
    </w:p>
    <w:p w14:paraId="5F169B9F">
      <w:pPr>
        <w:pStyle w:val="24"/>
        <w:spacing w:beforeAutospacing="0" w:afterAutospacing="0" w:line="360" w:lineRule="auto"/>
        <w:ind w:firstLine="424" w:firstLineChars="177"/>
        <w:rPr>
          <w:rFonts w:ascii="宋体" w:hAnsi="宋体" w:cs="宋体"/>
          <w:lang w:val="zh-CN"/>
        </w:rPr>
      </w:pPr>
      <w:r>
        <w:rPr>
          <w:rFonts w:hint="eastAsia" w:ascii="宋体" w:hAnsi="宋体" w:cs="宋体"/>
          <w:lang w:val="zh-CN"/>
        </w:rPr>
        <w:t>终审：</w:t>
      </w:r>
      <w:r>
        <w:rPr>
          <w:rFonts w:hint="eastAsia" w:ascii="宋体" w:hAnsi="宋体" w:cs="宋体"/>
        </w:rPr>
        <w:t>王茜</w:t>
      </w:r>
    </w:p>
    <w:p w14:paraId="254DF257">
      <w:pPr>
        <w:autoSpaceDN w:val="0"/>
        <w:spacing w:line="420" w:lineRule="exact"/>
        <w:ind w:firstLine="480" w:firstLineChars="200"/>
        <w:jc w:val="left"/>
        <w:rPr>
          <w:rFonts w:ascii="宋体" w:hAnsi="宋体" w:eastAsia="宋体" w:cs="宋体"/>
          <w:sz w:val="24"/>
        </w:rPr>
      </w:pPr>
    </w:p>
    <w:p w14:paraId="3C0AC5B8">
      <w:pPr>
        <w:autoSpaceDN w:val="0"/>
        <w:spacing w:line="420" w:lineRule="exact"/>
        <w:ind w:firstLine="480" w:firstLineChars="200"/>
        <w:jc w:val="left"/>
        <w:rPr>
          <w:rFonts w:ascii="宋体" w:hAnsi="宋体" w:eastAsia="宋体" w:cs="宋体"/>
          <w:sz w:val="24"/>
        </w:rPr>
      </w:pPr>
    </w:p>
    <w:p w14:paraId="44CCE32D">
      <w:pPr>
        <w:autoSpaceDN w:val="0"/>
        <w:spacing w:line="420" w:lineRule="exact"/>
        <w:ind w:firstLine="480" w:firstLineChars="200"/>
        <w:jc w:val="left"/>
        <w:rPr>
          <w:rFonts w:ascii="宋体" w:hAnsi="宋体" w:eastAsia="宋体" w:cs="宋体"/>
          <w:sz w:val="24"/>
        </w:rPr>
      </w:pPr>
    </w:p>
    <w:p w14:paraId="56D606C2">
      <w:pPr>
        <w:autoSpaceDN w:val="0"/>
        <w:spacing w:line="420" w:lineRule="exact"/>
        <w:ind w:firstLine="480" w:firstLineChars="200"/>
        <w:jc w:val="left"/>
        <w:rPr>
          <w:rFonts w:ascii="宋体" w:hAnsi="宋体" w:eastAsia="宋体" w:cs="宋体"/>
          <w:sz w:val="24"/>
        </w:rPr>
      </w:pPr>
    </w:p>
    <w:bookmarkEnd w:id="2"/>
    <w:p w14:paraId="6D850D97">
      <w:pPr>
        <w:pStyle w:val="24"/>
        <w:widowControl w:val="0"/>
        <w:autoSpaceDN w:val="0"/>
        <w:spacing w:line="420" w:lineRule="exact"/>
        <w:jc w:val="both"/>
        <w:rPr>
          <w:rFonts w:ascii="宋体" w:hAnsi="宋体" w:cs="宋体"/>
          <w:b/>
          <w:bCs/>
          <w:kern w:val="2"/>
        </w:rPr>
      </w:pPr>
    </w:p>
    <w:p w14:paraId="38525C72">
      <w:pPr>
        <w:autoSpaceDN w:val="0"/>
        <w:jc w:val="center"/>
        <w:outlineLvl w:val="0"/>
        <w:rPr>
          <w:rFonts w:ascii="宋体" w:hAnsi="宋体" w:eastAsia="宋体" w:cs="宋体"/>
          <w:b/>
          <w:bCs/>
          <w:kern w:val="44"/>
          <w:sz w:val="44"/>
          <w:szCs w:val="44"/>
        </w:rPr>
      </w:pPr>
      <w:r>
        <w:rPr>
          <w:rFonts w:hint="eastAsia" w:ascii="宋体" w:hAnsi="宋体" w:eastAsia="宋体" w:cs="宋体"/>
          <w:b/>
          <w:bCs/>
          <w:kern w:val="44"/>
          <w:sz w:val="44"/>
          <w:szCs w:val="44"/>
        </w:rPr>
        <w:br w:type="page"/>
      </w:r>
      <w:bookmarkStart w:id="50" w:name="_Toc134790386"/>
    </w:p>
    <w:p w14:paraId="1B977F24">
      <w:pPr>
        <w:pStyle w:val="2"/>
        <w:jc w:val="center"/>
        <w:rPr>
          <w:rFonts w:ascii="宋体" w:hAnsi="宋体" w:cs="宋体"/>
          <w:bCs w:val="0"/>
        </w:rPr>
      </w:pPr>
      <w:bookmarkStart w:id="51" w:name="_Toc19635"/>
      <w:r>
        <w:rPr>
          <w:rFonts w:hint="eastAsia" w:ascii="宋体" w:hAnsi="宋体" w:cs="宋体"/>
          <w:bCs w:val="0"/>
        </w:rPr>
        <w:t xml:space="preserve">第二章 </w:t>
      </w:r>
      <w:r>
        <w:rPr>
          <w:rFonts w:hint="eastAsia" w:ascii="宋体" w:hAnsi="宋体" w:cs="宋体"/>
        </w:rPr>
        <w:t>供应商须知</w:t>
      </w:r>
      <w:bookmarkEnd w:id="50"/>
      <w:bookmarkEnd w:id="51"/>
    </w:p>
    <w:p w14:paraId="6FCA57E1">
      <w:pPr>
        <w:rPr>
          <w:rFonts w:ascii="宋体" w:hAnsi="宋体" w:eastAsia="宋体" w:cs="宋体"/>
          <w:kern w:val="0"/>
          <w:sz w:val="24"/>
        </w:rPr>
      </w:pPr>
      <w:bookmarkStart w:id="52" w:name="_Toc134790387"/>
      <w:r>
        <w:rPr>
          <w:rFonts w:hint="eastAsia" w:ascii="宋体" w:hAnsi="宋体" w:eastAsia="宋体" w:cs="宋体"/>
          <w:b/>
          <w:bCs/>
          <w:kern w:val="0"/>
          <w:sz w:val="30"/>
          <w:szCs w:val="30"/>
        </w:rPr>
        <w:t>供应商须知前附表</w:t>
      </w:r>
      <w:bookmarkEnd w:id="52"/>
    </w:p>
    <w:tbl>
      <w:tblPr>
        <w:tblStyle w:val="29"/>
        <w:tblW w:w="1013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048"/>
        <w:gridCol w:w="2574"/>
        <w:gridCol w:w="6517"/>
      </w:tblGrid>
      <w:tr w14:paraId="1EBA4F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332"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F91DC43">
            <w:pPr>
              <w:widowControl/>
              <w:autoSpaceDN w:val="0"/>
              <w:spacing w:line="400" w:lineRule="exact"/>
              <w:jc w:val="center"/>
              <w:textAlignment w:val="center"/>
              <w:rPr>
                <w:rFonts w:ascii="宋体" w:hAnsi="宋体" w:eastAsia="宋体" w:cs="宋体"/>
                <w:b/>
                <w:bCs/>
                <w:sz w:val="24"/>
              </w:rPr>
            </w:pPr>
            <w:r>
              <w:rPr>
                <w:rFonts w:hint="eastAsia" w:ascii="宋体" w:hAnsi="宋体" w:eastAsia="宋体" w:cs="宋体"/>
                <w:b/>
                <w:bCs/>
                <w:sz w:val="24"/>
              </w:rPr>
              <w:t>条款号</w:t>
            </w:r>
          </w:p>
        </w:tc>
        <w:tc>
          <w:tcPr>
            <w:tcW w:w="2574" w:type="dxa"/>
            <w:tcBorders>
              <w:top w:val="single" w:color="auto" w:sz="4" w:space="0"/>
              <w:left w:val="nil"/>
              <w:bottom w:val="single" w:color="auto" w:sz="4" w:space="0"/>
              <w:right w:val="single" w:color="auto" w:sz="4" w:space="0"/>
            </w:tcBorders>
            <w:shd w:val="clear" w:color="auto" w:fill="auto"/>
            <w:vAlign w:val="center"/>
          </w:tcPr>
          <w:p w14:paraId="1F79CB33">
            <w:pPr>
              <w:widowControl/>
              <w:autoSpaceDE w:val="0"/>
              <w:autoSpaceDN w:val="0"/>
              <w:adjustRightInd w:val="0"/>
              <w:spacing w:line="400" w:lineRule="exact"/>
              <w:jc w:val="center"/>
              <w:rPr>
                <w:rFonts w:ascii="宋体" w:hAnsi="宋体" w:eastAsia="宋体" w:cs="宋体"/>
                <w:b/>
                <w:bCs/>
                <w:sz w:val="24"/>
              </w:rPr>
            </w:pPr>
            <w:r>
              <w:rPr>
                <w:rFonts w:hint="eastAsia" w:ascii="宋体" w:hAnsi="宋体" w:eastAsia="宋体" w:cs="宋体"/>
                <w:b/>
                <w:bCs/>
                <w:sz w:val="24"/>
              </w:rPr>
              <w:t>条款名称</w:t>
            </w:r>
          </w:p>
        </w:tc>
        <w:tc>
          <w:tcPr>
            <w:tcW w:w="6517" w:type="dxa"/>
            <w:tcBorders>
              <w:top w:val="single" w:color="auto" w:sz="4" w:space="0"/>
              <w:left w:val="nil"/>
              <w:bottom w:val="single" w:color="auto" w:sz="4" w:space="0"/>
              <w:right w:val="single" w:color="auto" w:sz="4" w:space="0"/>
            </w:tcBorders>
            <w:shd w:val="clear" w:color="auto" w:fill="auto"/>
            <w:vAlign w:val="center"/>
          </w:tcPr>
          <w:p w14:paraId="06B25072">
            <w:pPr>
              <w:widowControl/>
              <w:autoSpaceDE w:val="0"/>
              <w:autoSpaceDN w:val="0"/>
              <w:adjustRightInd w:val="0"/>
              <w:spacing w:line="400" w:lineRule="exact"/>
              <w:jc w:val="center"/>
              <w:rPr>
                <w:rFonts w:ascii="宋体" w:hAnsi="宋体" w:eastAsia="宋体" w:cs="宋体"/>
                <w:b/>
                <w:bCs/>
                <w:sz w:val="24"/>
              </w:rPr>
            </w:pPr>
            <w:r>
              <w:rPr>
                <w:rFonts w:hint="eastAsia" w:ascii="宋体" w:hAnsi="宋体" w:eastAsia="宋体" w:cs="宋体"/>
                <w:b/>
                <w:bCs/>
                <w:sz w:val="24"/>
              </w:rPr>
              <w:t>编列内容</w:t>
            </w:r>
          </w:p>
        </w:tc>
      </w:tr>
      <w:tr w14:paraId="6B2886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4C4A74C">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w:t>
            </w:r>
          </w:p>
        </w:tc>
        <w:tc>
          <w:tcPr>
            <w:tcW w:w="2574" w:type="dxa"/>
            <w:tcBorders>
              <w:top w:val="single" w:color="auto" w:sz="4" w:space="0"/>
              <w:left w:val="nil"/>
              <w:bottom w:val="single" w:color="auto" w:sz="4" w:space="0"/>
              <w:right w:val="single" w:color="auto" w:sz="4" w:space="0"/>
            </w:tcBorders>
            <w:shd w:val="clear" w:color="auto" w:fill="auto"/>
            <w:vAlign w:val="center"/>
          </w:tcPr>
          <w:p w14:paraId="5CE8E841">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采购人</w:t>
            </w:r>
          </w:p>
        </w:tc>
        <w:tc>
          <w:tcPr>
            <w:tcW w:w="6517" w:type="dxa"/>
            <w:tcBorders>
              <w:top w:val="single" w:color="auto" w:sz="4" w:space="0"/>
              <w:left w:val="nil"/>
              <w:bottom w:val="single" w:color="auto" w:sz="4" w:space="0"/>
              <w:right w:val="single" w:color="auto" w:sz="4" w:space="0"/>
            </w:tcBorders>
            <w:shd w:val="clear" w:color="auto" w:fill="auto"/>
            <w:vAlign w:val="center"/>
          </w:tcPr>
          <w:p w14:paraId="56765DC7">
            <w:pPr>
              <w:widowControl/>
              <w:autoSpaceDE w:val="0"/>
              <w:autoSpaceDN w:val="0"/>
              <w:adjustRightInd w:val="0"/>
              <w:spacing w:line="400" w:lineRule="exact"/>
              <w:rPr>
                <w:rFonts w:hint="eastAsia" w:ascii="宋体" w:hAnsi="宋体" w:eastAsia="宋体" w:cs="宋体"/>
                <w:bCs/>
                <w:sz w:val="24"/>
                <w:lang w:eastAsia="zh-CN"/>
              </w:rPr>
            </w:pPr>
            <w:r>
              <w:rPr>
                <w:rFonts w:hint="eastAsia" w:ascii="宋体" w:hAnsi="宋体" w:eastAsia="宋体" w:cs="宋体"/>
                <w:bCs/>
                <w:sz w:val="24"/>
              </w:rPr>
              <w:t>名称：</w:t>
            </w:r>
            <w:r>
              <w:rPr>
                <w:rFonts w:hint="eastAsia" w:ascii="宋体" w:hAnsi="宋体" w:eastAsia="宋体" w:cs="宋体"/>
                <w:bCs/>
                <w:sz w:val="24"/>
                <w:lang w:eastAsia="zh-CN"/>
              </w:rPr>
              <w:t>吉林省阳光学校</w:t>
            </w:r>
          </w:p>
          <w:p w14:paraId="2E553632">
            <w:pPr>
              <w:widowControl/>
              <w:autoSpaceDE w:val="0"/>
              <w:autoSpaceDN w:val="0"/>
              <w:adjustRightInd w:val="0"/>
              <w:spacing w:line="400" w:lineRule="exact"/>
              <w:rPr>
                <w:rFonts w:ascii="宋体" w:hAnsi="宋体" w:eastAsia="宋体" w:cs="宋体"/>
                <w:bCs/>
                <w:sz w:val="24"/>
              </w:rPr>
            </w:pPr>
            <w:r>
              <w:rPr>
                <w:rFonts w:hint="eastAsia" w:ascii="宋体" w:hAnsi="宋体" w:eastAsia="宋体" w:cs="宋体"/>
                <w:bCs/>
                <w:sz w:val="24"/>
              </w:rPr>
              <w:t>地址：</w:t>
            </w:r>
            <w:r>
              <w:rPr>
                <w:rFonts w:hint="eastAsia" w:ascii="宋体" w:hAnsi="宋体" w:eastAsia="宋体" w:cs="宋体"/>
                <w:sz w:val="24"/>
                <w:szCs w:val="24"/>
              </w:rPr>
              <w:t>长春市净月开发区梧桐街1555号</w:t>
            </w:r>
          </w:p>
          <w:p w14:paraId="4F8F8C34">
            <w:pPr>
              <w:widowControl/>
              <w:autoSpaceDE w:val="0"/>
              <w:autoSpaceDN w:val="0"/>
              <w:adjustRightInd w:val="0"/>
              <w:spacing w:line="400" w:lineRule="exact"/>
              <w:rPr>
                <w:rFonts w:hint="default" w:ascii="宋体" w:hAnsi="宋体" w:eastAsia="宋体" w:cs="宋体"/>
                <w:bCs/>
                <w:color w:val="auto"/>
                <w:sz w:val="24"/>
                <w:lang w:val="en-US"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杨滢</w:t>
            </w:r>
          </w:p>
          <w:p w14:paraId="5BD492BA">
            <w:pPr>
              <w:widowControl/>
              <w:autoSpaceDE w:val="0"/>
              <w:autoSpaceDN w:val="0"/>
              <w:adjustRightInd w:val="0"/>
              <w:spacing w:line="400" w:lineRule="exact"/>
              <w:rPr>
                <w:rFonts w:ascii="宋体" w:hAnsi="宋体" w:eastAsia="宋体" w:cs="宋体"/>
                <w:bCs/>
                <w:sz w:val="24"/>
              </w:rPr>
            </w:pPr>
            <w:r>
              <w:rPr>
                <w:rFonts w:hint="eastAsia" w:ascii="宋体" w:hAnsi="宋体" w:eastAsia="宋体" w:cs="宋体"/>
                <w:bCs/>
                <w:color w:val="auto"/>
                <w:sz w:val="24"/>
              </w:rPr>
              <w:t>联系方式：0431-85031087</w:t>
            </w:r>
          </w:p>
        </w:tc>
      </w:tr>
      <w:tr w14:paraId="217E81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96DDFF2">
            <w:pPr>
              <w:widowControl/>
              <w:autoSpaceDN w:val="0"/>
              <w:spacing w:line="40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2574" w:type="dxa"/>
            <w:tcBorders>
              <w:top w:val="single" w:color="auto" w:sz="4" w:space="0"/>
              <w:left w:val="nil"/>
              <w:bottom w:val="single" w:color="auto" w:sz="4" w:space="0"/>
              <w:right w:val="single" w:color="auto" w:sz="4" w:space="0"/>
            </w:tcBorders>
            <w:shd w:val="clear" w:color="auto" w:fill="auto"/>
            <w:vAlign w:val="center"/>
          </w:tcPr>
          <w:p w14:paraId="5EE50C05">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采购代理机构</w:t>
            </w:r>
          </w:p>
        </w:tc>
        <w:tc>
          <w:tcPr>
            <w:tcW w:w="6517" w:type="dxa"/>
            <w:tcBorders>
              <w:top w:val="single" w:color="auto" w:sz="4" w:space="0"/>
              <w:left w:val="nil"/>
              <w:bottom w:val="single" w:color="auto" w:sz="4" w:space="0"/>
              <w:right w:val="single" w:color="auto" w:sz="4" w:space="0"/>
            </w:tcBorders>
            <w:shd w:val="clear" w:color="auto" w:fill="auto"/>
            <w:vAlign w:val="center"/>
          </w:tcPr>
          <w:p w14:paraId="53BA0622">
            <w:pPr>
              <w:widowControl/>
              <w:autoSpaceDE w:val="0"/>
              <w:autoSpaceDN w:val="0"/>
              <w:adjustRightInd w:val="0"/>
              <w:spacing w:line="400" w:lineRule="exact"/>
              <w:rPr>
                <w:rFonts w:ascii="宋体" w:hAnsi="宋体" w:eastAsia="宋体" w:cs="宋体"/>
                <w:bCs/>
                <w:sz w:val="24"/>
              </w:rPr>
            </w:pPr>
            <w:r>
              <w:rPr>
                <w:rFonts w:ascii="宋体" w:hAnsi="宋体" w:eastAsia="宋体" w:cs="宋体"/>
                <w:bCs/>
                <w:sz w:val="24"/>
              </w:rPr>
              <w:t>名称：长春市万力工程咨询有限公司</w:t>
            </w:r>
          </w:p>
          <w:p w14:paraId="2D8D48AA">
            <w:pPr>
              <w:widowControl/>
              <w:autoSpaceDE w:val="0"/>
              <w:autoSpaceDN w:val="0"/>
              <w:adjustRightInd w:val="0"/>
              <w:spacing w:line="400" w:lineRule="exact"/>
              <w:rPr>
                <w:rFonts w:ascii="宋体" w:hAnsi="宋体" w:eastAsia="宋体" w:cs="宋体"/>
                <w:bCs/>
                <w:sz w:val="24"/>
              </w:rPr>
            </w:pPr>
            <w:r>
              <w:rPr>
                <w:rFonts w:ascii="宋体" w:hAnsi="宋体" w:eastAsia="宋体" w:cs="宋体"/>
                <w:bCs/>
                <w:sz w:val="24"/>
              </w:rPr>
              <w:t>地址：长春经开区中海紫御华府22栋</w:t>
            </w:r>
            <w:r>
              <w:rPr>
                <w:rFonts w:hint="eastAsia" w:ascii="宋体" w:hAnsi="宋体" w:eastAsia="宋体" w:cs="宋体"/>
                <w:bCs/>
                <w:sz w:val="24"/>
                <w:lang w:val="en-US" w:eastAsia="zh-CN"/>
              </w:rPr>
              <w:t>2</w:t>
            </w:r>
            <w:r>
              <w:rPr>
                <w:rFonts w:ascii="宋体" w:hAnsi="宋体" w:eastAsia="宋体" w:cs="宋体"/>
                <w:bCs/>
                <w:sz w:val="24"/>
              </w:rPr>
              <w:t>单元</w:t>
            </w:r>
            <w:r>
              <w:rPr>
                <w:rFonts w:hint="eastAsia" w:ascii="宋体" w:hAnsi="宋体" w:eastAsia="宋体" w:cs="宋体"/>
                <w:bCs/>
                <w:sz w:val="24"/>
                <w:lang w:val="en-US" w:eastAsia="zh-CN"/>
              </w:rPr>
              <w:t>5</w:t>
            </w:r>
            <w:r>
              <w:rPr>
                <w:rFonts w:ascii="宋体" w:hAnsi="宋体" w:eastAsia="宋体" w:cs="宋体"/>
                <w:bCs/>
                <w:sz w:val="24"/>
              </w:rPr>
              <w:t>楼</w:t>
            </w:r>
          </w:p>
          <w:p w14:paraId="2F075387">
            <w:pPr>
              <w:widowControl/>
              <w:autoSpaceDE w:val="0"/>
              <w:autoSpaceDN w:val="0"/>
              <w:adjustRightInd w:val="0"/>
              <w:spacing w:line="400" w:lineRule="exact"/>
              <w:rPr>
                <w:rFonts w:ascii="宋体" w:hAnsi="宋体" w:eastAsia="宋体" w:cs="宋体"/>
                <w:bCs/>
                <w:sz w:val="24"/>
              </w:rPr>
            </w:pPr>
            <w:r>
              <w:rPr>
                <w:rFonts w:ascii="宋体" w:hAnsi="宋体" w:eastAsia="宋体" w:cs="宋体"/>
                <w:bCs/>
                <w:sz w:val="24"/>
              </w:rPr>
              <w:t>联系人：石堃</w:t>
            </w:r>
          </w:p>
          <w:p w14:paraId="370E2E02">
            <w:pPr>
              <w:widowControl/>
              <w:autoSpaceDE w:val="0"/>
              <w:autoSpaceDN w:val="0"/>
              <w:adjustRightInd w:val="0"/>
              <w:spacing w:line="400" w:lineRule="exact"/>
              <w:rPr>
                <w:rFonts w:ascii="宋体" w:hAnsi="宋体" w:eastAsia="宋体" w:cs="宋体"/>
                <w:bCs/>
                <w:sz w:val="24"/>
              </w:rPr>
            </w:pPr>
            <w:r>
              <w:rPr>
                <w:rFonts w:ascii="宋体" w:hAnsi="宋体" w:eastAsia="宋体" w:cs="宋体"/>
                <w:bCs/>
                <w:sz w:val="24"/>
              </w:rPr>
              <w:t>联系方式：</w:t>
            </w:r>
            <w:r>
              <w:rPr>
                <w:rFonts w:hint="eastAsia" w:ascii="宋体" w:hAnsi="宋体" w:eastAsia="宋体" w:cs="宋体"/>
                <w:bCs/>
                <w:sz w:val="24"/>
              </w:rPr>
              <w:t>17519703188（</w:t>
            </w:r>
            <w:r>
              <w:rPr>
                <w:rFonts w:ascii="宋体" w:hAnsi="宋体" w:eastAsia="宋体" w:cs="宋体"/>
                <w:bCs/>
                <w:sz w:val="24"/>
              </w:rPr>
              <w:t>办公电话</w:t>
            </w:r>
            <w:r>
              <w:rPr>
                <w:rFonts w:hint="eastAsia" w:ascii="宋体" w:hAnsi="宋体" w:eastAsia="宋体" w:cs="宋体"/>
                <w:bCs/>
                <w:sz w:val="24"/>
              </w:rPr>
              <w:t>）</w:t>
            </w:r>
          </w:p>
          <w:p w14:paraId="232D71BE">
            <w:pPr>
              <w:widowControl/>
              <w:autoSpaceDE w:val="0"/>
              <w:autoSpaceDN w:val="0"/>
              <w:adjustRightInd w:val="0"/>
              <w:spacing w:line="400" w:lineRule="exact"/>
              <w:rPr>
                <w:rFonts w:ascii="宋体" w:hAnsi="宋体" w:eastAsia="宋体" w:cs="宋体"/>
                <w:bCs/>
                <w:sz w:val="24"/>
              </w:rPr>
            </w:pPr>
            <w:r>
              <w:rPr>
                <w:rFonts w:ascii="宋体" w:hAnsi="宋体" w:eastAsia="宋体" w:cs="宋体"/>
                <w:bCs/>
                <w:sz w:val="24"/>
              </w:rPr>
              <w:t>电子邮箱：ccwlzx2001@vip.163.com</w:t>
            </w:r>
          </w:p>
        </w:tc>
      </w:tr>
      <w:tr w14:paraId="64B5ED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72324FC">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3</w:t>
            </w:r>
          </w:p>
        </w:tc>
        <w:tc>
          <w:tcPr>
            <w:tcW w:w="2574" w:type="dxa"/>
            <w:tcBorders>
              <w:top w:val="single" w:color="auto" w:sz="4" w:space="0"/>
              <w:left w:val="nil"/>
              <w:bottom w:val="single" w:color="auto" w:sz="4" w:space="0"/>
              <w:right w:val="single" w:color="auto" w:sz="4" w:space="0"/>
            </w:tcBorders>
            <w:shd w:val="clear" w:color="auto" w:fill="auto"/>
            <w:vAlign w:val="center"/>
          </w:tcPr>
          <w:p w14:paraId="0F0785AE">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项目名称</w:t>
            </w:r>
          </w:p>
        </w:tc>
        <w:tc>
          <w:tcPr>
            <w:tcW w:w="6517" w:type="dxa"/>
            <w:tcBorders>
              <w:top w:val="single" w:color="auto" w:sz="4" w:space="0"/>
              <w:left w:val="nil"/>
              <w:bottom w:val="single" w:color="auto" w:sz="4" w:space="0"/>
              <w:right w:val="single" w:color="auto" w:sz="4" w:space="0"/>
            </w:tcBorders>
            <w:shd w:val="clear" w:color="auto" w:fill="auto"/>
            <w:vAlign w:val="center"/>
          </w:tcPr>
          <w:p w14:paraId="07A38991">
            <w:pPr>
              <w:widowControl/>
              <w:autoSpaceDE w:val="0"/>
              <w:autoSpaceDN w:val="0"/>
              <w:adjustRightInd w:val="0"/>
              <w:spacing w:line="400" w:lineRule="exact"/>
              <w:jc w:val="left"/>
              <w:rPr>
                <w:rFonts w:hint="eastAsia" w:ascii="宋体" w:hAnsi="宋体" w:eastAsia="宋体" w:cs="宋体"/>
                <w:bCs/>
                <w:sz w:val="24"/>
                <w:lang w:eastAsia="zh-CN"/>
              </w:rPr>
            </w:pPr>
            <w:r>
              <w:rPr>
                <w:rFonts w:hint="eastAsia" w:ascii="宋体" w:hAnsi="宋体" w:eastAsia="宋体" w:cs="宋体"/>
                <w:color w:val="auto"/>
                <w:sz w:val="24"/>
                <w:lang w:eastAsia="zh-CN"/>
              </w:rPr>
              <w:t>吉林省阳光学校校园单体楼防水改造项目</w:t>
            </w:r>
          </w:p>
        </w:tc>
      </w:tr>
      <w:tr w14:paraId="1EC279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531950A">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4</w:t>
            </w:r>
          </w:p>
        </w:tc>
        <w:tc>
          <w:tcPr>
            <w:tcW w:w="2574" w:type="dxa"/>
            <w:tcBorders>
              <w:top w:val="single" w:color="auto" w:sz="4" w:space="0"/>
              <w:left w:val="nil"/>
              <w:bottom w:val="single" w:color="auto" w:sz="4" w:space="0"/>
              <w:right w:val="single" w:color="auto" w:sz="4" w:space="0"/>
            </w:tcBorders>
            <w:shd w:val="clear" w:color="auto" w:fill="auto"/>
            <w:vAlign w:val="center"/>
          </w:tcPr>
          <w:p w14:paraId="2CE5ACF8">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建设地点</w:t>
            </w:r>
          </w:p>
        </w:tc>
        <w:tc>
          <w:tcPr>
            <w:tcW w:w="6517" w:type="dxa"/>
            <w:tcBorders>
              <w:top w:val="single" w:color="auto" w:sz="4" w:space="0"/>
              <w:left w:val="nil"/>
              <w:bottom w:val="single" w:color="auto" w:sz="4" w:space="0"/>
              <w:right w:val="single" w:color="auto" w:sz="4" w:space="0"/>
            </w:tcBorders>
            <w:shd w:val="clear" w:color="auto" w:fill="auto"/>
            <w:vAlign w:val="center"/>
          </w:tcPr>
          <w:p w14:paraId="4C19D97B">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sz w:val="24"/>
                <w:szCs w:val="24"/>
              </w:rPr>
              <w:t>长春市净月开发区梧桐街1555号</w:t>
            </w:r>
          </w:p>
        </w:tc>
      </w:tr>
      <w:tr w14:paraId="590F83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3678646">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5</w:t>
            </w:r>
          </w:p>
        </w:tc>
        <w:tc>
          <w:tcPr>
            <w:tcW w:w="2574" w:type="dxa"/>
            <w:tcBorders>
              <w:top w:val="single" w:color="auto" w:sz="4" w:space="0"/>
              <w:left w:val="nil"/>
              <w:bottom w:val="single" w:color="auto" w:sz="4" w:space="0"/>
              <w:right w:val="single" w:color="auto" w:sz="4" w:space="0"/>
            </w:tcBorders>
            <w:shd w:val="clear" w:color="auto" w:fill="auto"/>
            <w:vAlign w:val="center"/>
          </w:tcPr>
          <w:p w14:paraId="04857F1A">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sz w:val="24"/>
              </w:rPr>
              <w:t>采购需求及范围</w:t>
            </w:r>
          </w:p>
        </w:tc>
        <w:tc>
          <w:tcPr>
            <w:tcW w:w="6517" w:type="dxa"/>
            <w:tcBorders>
              <w:top w:val="single" w:color="auto" w:sz="4" w:space="0"/>
              <w:left w:val="nil"/>
              <w:bottom w:val="single" w:color="auto" w:sz="4" w:space="0"/>
              <w:right w:val="single" w:color="auto" w:sz="4" w:space="0"/>
            </w:tcBorders>
            <w:shd w:val="clear" w:color="auto" w:fill="auto"/>
            <w:vAlign w:val="center"/>
          </w:tcPr>
          <w:p w14:paraId="72EBB0EC">
            <w:pPr>
              <w:widowControl/>
              <w:autoSpaceDE w:val="0"/>
              <w:autoSpaceDN w:val="0"/>
              <w:adjustRightInd w:val="0"/>
              <w:spacing w:line="400" w:lineRule="exact"/>
              <w:jc w:val="left"/>
              <w:rPr>
                <w:rFonts w:ascii="宋体" w:hAnsi="宋体" w:eastAsia="宋体" w:cs="宋体"/>
                <w:bCs/>
                <w:color w:val="auto"/>
                <w:sz w:val="24"/>
              </w:rPr>
            </w:pPr>
            <w:r>
              <w:rPr>
                <w:rFonts w:hint="eastAsia" w:cs="宋体"/>
                <w:color w:val="auto"/>
                <w:sz w:val="24"/>
                <w:szCs w:val="24"/>
                <w:lang w:val="en-US" w:eastAsia="zh-CN"/>
              </w:rPr>
              <w:t>图书办公楼、体育馆、校卫生所、小学、残障教学楼、食堂、小学宿舍、高中宿舍、高职宿舍、锅炉房、文艺中心等单体楼防水改造工程</w:t>
            </w:r>
            <w:r>
              <w:rPr>
                <w:rFonts w:hint="eastAsia" w:ascii="宋体" w:hAnsi="宋体" w:eastAsia="宋体" w:cs="宋体"/>
                <w:color w:val="auto"/>
                <w:sz w:val="24"/>
                <w:szCs w:val="24"/>
                <w:lang w:val="en-US" w:eastAsia="zh-CN"/>
              </w:rPr>
              <w:t>，详见</w:t>
            </w:r>
            <w:r>
              <w:rPr>
                <w:rFonts w:hint="eastAsia" w:ascii="宋体" w:hAnsi="宋体" w:eastAsia="宋体" w:cs="宋体"/>
                <w:color w:val="auto"/>
                <w:sz w:val="24"/>
                <w:szCs w:val="24"/>
              </w:rPr>
              <w:t>施工图纸及工程量清单包含的全部内容</w:t>
            </w:r>
            <w:r>
              <w:rPr>
                <w:rFonts w:cs="宋体"/>
                <w:color w:val="auto"/>
              </w:rPr>
              <w:t>。</w:t>
            </w:r>
          </w:p>
        </w:tc>
      </w:tr>
      <w:tr w14:paraId="28C1DD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C47994E">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6</w:t>
            </w:r>
          </w:p>
        </w:tc>
        <w:tc>
          <w:tcPr>
            <w:tcW w:w="2574" w:type="dxa"/>
            <w:tcBorders>
              <w:top w:val="single" w:color="auto" w:sz="4" w:space="0"/>
              <w:left w:val="nil"/>
              <w:bottom w:val="single" w:color="auto" w:sz="4" w:space="0"/>
              <w:right w:val="single" w:color="auto" w:sz="4" w:space="0"/>
            </w:tcBorders>
            <w:shd w:val="clear" w:color="auto" w:fill="auto"/>
            <w:vAlign w:val="center"/>
          </w:tcPr>
          <w:p w14:paraId="6661142B">
            <w:pPr>
              <w:autoSpaceDE w:val="0"/>
              <w:autoSpaceDN w:val="0"/>
              <w:adjustRightInd w:val="0"/>
              <w:snapToGrid w:val="0"/>
              <w:jc w:val="center"/>
              <w:rPr>
                <w:rFonts w:ascii="宋体" w:hAnsi="宋体" w:eastAsia="宋体" w:cs="宋体"/>
                <w:bCs/>
                <w:sz w:val="24"/>
              </w:rPr>
            </w:pPr>
            <w:r>
              <w:rPr>
                <w:rFonts w:hint="eastAsia" w:ascii="宋体" w:hAnsi="宋体" w:eastAsia="宋体" w:cs="宋体"/>
                <w:sz w:val="24"/>
              </w:rPr>
              <w:t>合同履行期限</w:t>
            </w:r>
          </w:p>
        </w:tc>
        <w:tc>
          <w:tcPr>
            <w:tcW w:w="6517" w:type="dxa"/>
            <w:tcBorders>
              <w:top w:val="single" w:color="auto" w:sz="4" w:space="0"/>
              <w:left w:val="nil"/>
              <w:bottom w:val="single" w:color="auto" w:sz="4" w:space="0"/>
              <w:right w:val="single" w:color="auto" w:sz="4" w:space="0"/>
            </w:tcBorders>
            <w:shd w:val="clear" w:color="auto" w:fill="auto"/>
            <w:vAlign w:val="center"/>
          </w:tcPr>
          <w:p w14:paraId="3D8B7EE2">
            <w:pPr>
              <w:rPr>
                <w:rFonts w:ascii="宋体" w:hAnsi="宋体" w:eastAsia="宋体" w:cs="宋体"/>
                <w:bCs/>
                <w:color w:val="auto"/>
                <w:sz w:val="24"/>
              </w:rPr>
            </w:pPr>
            <w:r>
              <w:rPr>
                <w:rFonts w:hint="eastAsia" w:ascii="宋体" w:hAnsi="宋体" w:eastAsia="宋体" w:cs="宋体"/>
                <w:bCs/>
                <w:color w:val="auto"/>
                <w:sz w:val="24"/>
                <w:lang w:val="en-US" w:eastAsia="zh-CN"/>
              </w:rPr>
              <w:t>合同签订后三个月内完成。</w:t>
            </w:r>
          </w:p>
        </w:tc>
      </w:tr>
      <w:tr w14:paraId="07B8CA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7"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40B0A62">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7</w:t>
            </w:r>
          </w:p>
        </w:tc>
        <w:tc>
          <w:tcPr>
            <w:tcW w:w="2574" w:type="dxa"/>
            <w:tcBorders>
              <w:top w:val="single" w:color="auto" w:sz="4" w:space="0"/>
              <w:left w:val="nil"/>
              <w:bottom w:val="single" w:color="auto" w:sz="4" w:space="0"/>
              <w:right w:val="single" w:color="auto" w:sz="4" w:space="0"/>
            </w:tcBorders>
            <w:shd w:val="clear" w:color="auto" w:fill="auto"/>
            <w:vAlign w:val="center"/>
          </w:tcPr>
          <w:p w14:paraId="63011416">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资金来源</w:t>
            </w:r>
          </w:p>
        </w:tc>
        <w:tc>
          <w:tcPr>
            <w:tcW w:w="6517" w:type="dxa"/>
            <w:tcBorders>
              <w:top w:val="single" w:color="auto" w:sz="4" w:space="0"/>
              <w:left w:val="nil"/>
              <w:bottom w:val="single" w:color="auto" w:sz="4" w:space="0"/>
              <w:right w:val="single" w:color="auto" w:sz="4" w:space="0"/>
            </w:tcBorders>
            <w:shd w:val="clear" w:color="auto" w:fill="auto"/>
            <w:vAlign w:val="center"/>
          </w:tcPr>
          <w:p w14:paraId="573DA955">
            <w:pPr>
              <w:widowControl/>
              <w:autoSpaceDE w:val="0"/>
              <w:autoSpaceDN w:val="0"/>
              <w:adjustRightInd w:val="0"/>
              <w:spacing w:line="400" w:lineRule="exact"/>
              <w:jc w:val="left"/>
              <w:rPr>
                <w:rFonts w:ascii="宋体" w:hAnsi="宋体" w:eastAsia="宋体" w:cs="宋体"/>
                <w:bCs/>
                <w:color w:val="auto"/>
                <w:sz w:val="24"/>
              </w:rPr>
            </w:pPr>
            <w:r>
              <w:rPr>
                <w:rFonts w:hint="eastAsia"/>
                <w:color w:val="auto"/>
                <w:sz w:val="24"/>
                <w:lang w:val="en-US" w:eastAsia="zh-CN"/>
              </w:rPr>
              <w:t>财政</w:t>
            </w:r>
            <w:r>
              <w:rPr>
                <w:rFonts w:hint="eastAsia"/>
                <w:color w:val="auto"/>
                <w:sz w:val="24"/>
              </w:rPr>
              <w:t>资金</w:t>
            </w:r>
            <w:r>
              <w:rPr>
                <w:rFonts w:hint="eastAsia" w:ascii="宋体" w:hAnsi="宋体" w:eastAsia="宋体" w:cs="宋体"/>
                <w:color w:val="auto"/>
                <w:sz w:val="24"/>
              </w:rPr>
              <w:t>。</w:t>
            </w:r>
          </w:p>
        </w:tc>
      </w:tr>
      <w:tr w14:paraId="16EFCA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E176E65">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8</w:t>
            </w:r>
          </w:p>
        </w:tc>
        <w:tc>
          <w:tcPr>
            <w:tcW w:w="2574" w:type="dxa"/>
            <w:tcBorders>
              <w:top w:val="single" w:color="auto" w:sz="4" w:space="0"/>
              <w:left w:val="nil"/>
              <w:bottom w:val="single" w:color="auto" w:sz="4" w:space="0"/>
              <w:right w:val="single" w:color="auto" w:sz="4" w:space="0"/>
            </w:tcBorders>
            <w:shd w:val="clear" w:color="auto" w:fill="auto"/>
            <w:vAlign w:val="center"/>
          </w:tcPr>
          <w:p w14:paraId="72B5A0B2">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采购预算</w:t>
            </w:r>
          </w:p>
        </w:tc>
        <w:tc>
          <w:tcPr>
            <w:tcW w:w="6517" w:type="dxa"/>
            <w:tcBorders>
              <w:top w:val="single" w:color="auto" w:sz="4" w:space="0"/>
              <w:left w:val="nil"/>
              <w:bottom w:val="single" w:color="auto" w:sz="4" w:space="0"/>
              <w:right w:val="single" w:color="auto" w:sz="4" w:space="0"/>
            </w:tcBorders>
            <w:shd w:val="clear" w:color="auto" w:fill="auto"/>
            <w:vAlign w:val="center"/>
          </w:tcPr>
          <w:p w14:paraId="2F130248">
            <w:pPr>
              <w:widowControl/>
              <w:autoSpaceDE w:val="0"/>
              <w:autoSpaceDN w:val="0"/>
              <w:adjustRightInd w:val="0"/>
              <w:spacing w:line="400" w:lineRule="exact"/>
              <w:jc w:val="left"/>
              <w:rPr>
                <w:rFonts w:ascii="宋体" w:hAnsi="宋体" w:eastAsia="宋体" w:cs="宋体"/>
                <w:bCs/>
                <w:color w:val="auto"/>
                <w:sz w:val="24"/>
              </w:rPr>
            </w:pPr>
            <w:r>
              <w:rPr>
                <w:rFonts w:hint="eastAsia"/>
                <w:color w:val="auto"/>
                <w:sz w:val="24"/>
              </w:rPr>
              <w:t>5416003</w:t>
            </w:r>
            <w:r>
              <w:rPr>
                <w:rFonts w:hint="eastAsia"/>
                <w:color w:val="auto"/>
                <w:sz w:val="24"/>
                <w:lang w:val="en-US" w:eastAsia="zh-CN"/>
              </w:rPr>
              <w:t>.00</w:t>
            </w:r>
            <w:r>
              <w:rPr>
                <w:rFonts w:hint="eastAsia"/>
                <w:color w:val="auto"/>
                <w:sz w:val="24"/>
              </w:rPr>
              <w:t>元。</w:t>
            </w:r>
          </w:p>
        </w:tc>
      </w:tr>
      <w:tr w14:paraId="6A39A1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9"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BBE39B0">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9</w:t>
            </w:r>
          </w:p>
        </w:tc>
        <w:tc>
          <w:tcPr>
            <w:tcW w:w="2574" w:type="dxa"/>
            <w:tcBorders>
              <w:top w:val="single" w:color="auto" w:sz="4" w:space="0"/>
              <w:left w:val="nil"/>
              <w:bottom w:val="single" w:color="auto" w:sz="4" w:space="0"/>
              <w:right w:val="single" w:color="auto" w:sz="4" w:space="0"/>
            </w:tcBorders>
            <w:shd w:val="clear" w:color="auto" w:fill="auto"/>
            <w:vAlign w:val="center"/>
          </w:tcPr>
          <w:p w14:paraId="3992CB42">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服务质量标准</w:t>
            </w:r>
          </w:p>
        </w:tc>
        <w:tc>
          <w:tcPr>
            <w:tcW w:w="6517" w:type="dxa"/>
            <w:tcBorders>
              <w:top w:val="single" w:color="auto" w:sz="4" w:space="0"/>
              <w:left w:val="nil"/>
              <w:bottom w:val="single" w:color="auto" w:sz="4" w:space="0"/>
              <w:right w:val="single" w:color="auto" w:sz="4" w:space="0"/>
            </w:tcBorders>
            <w:shd w:val="clear" w:color="auto" w:fill="auto"/>
            <w:vAlign w:val="center"/>
          </w:tcPr>
          <w:p w14:paraId="2BF7D01A">
            <w:pPr>
              <w:widowControl/>
              <w:autoSpaceDE w:val="0"/>
              <w:autoSpaceDN w:val="0"/>
              <w:adjustRightInd w:val="0"/>
              <w:spacing w:line="400" w:lineRule="exact"/>
              <w:rPr>
                <w:rFonts w:ascii="宋体" w:hAnsi="宋体" w:eastAsia="宋体" w:cs="宋体"/>
                <w:bCs/>
                <w:sz w:val="24"/>
              </w:rPr>
            </w:pPr>
            <w:r>
              <w:rPr>
                <w:rFonts w:hint="eastAsia" w:ascii="宋体" w:hAnsi="宋体" w:eastAsia="宋体" w:cs="宋体"/>
                <w:bCs/>
                <w:sz w:val="24"/>
              </w:rPr>
              <w:t>符合国家现行工程施工质量验收规范</w:t>
            </w:r>
            <w:r>
              <w:rPr>
                <w:rFonts w:hint="eastAsia" w:ascii="宋体" w:hAnsi="宋体" w:eastAsia="宋体" w:cs="宋体"/>
                <w:bCs/>
                <w:sz w:val="24"/>
                <w:lang w:eastAsia="zh-CN"/>
              </w:rPr>
              <w:t>的</w:t>
            </w:r>
            <w:r>
              <w:rPr>
                <w:rFonts w:hint="eastAsia" w:ascii="宋体" w:hAnsi="宋体" w:eastAsia="宋体" w:cs="宋体"/>
                <w:bCs/>
                <w:sz w:val="24"/>
              </w:rPr>
              <w:t>合格标准。</w:t>
            </w:r>
          </w:p>
        </w:tc>
      </w:tr>
      <w:tr w14:paraId="52A8E5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2E6B41B">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10</w:t>
            </w:r>
          </w:p>
        </w:tc>
        <w:tc>
          <w:tcPr>
            <w:tcW w:w="2574" w:type="dxa"/>
            <w:tcBorders>
              <w:top w:val="single" w:color="auto" w:sz="4" w:space="0"/>
              <w:left w:val="nil"/>
              <w:bottom w:val="single" w:color="auto" w:sz="4" w:space="0"/>
              <w:right w:val="single" w:color="auto" w:sz="4" w:space="0"/>
            </w:tcBorders>
            <w:shd w:val="clear" w:color="auto" w:fill="auto"/>
            <w:vAlign w:val="center"/>
          </w:tcPr>
          <w:p w14:paraId="596B134D">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供应商资质条件、能力和信誉</w:t>
            </w:r>
          </w:p>
        </w:tc>
        <w:tc>
          <w:tcPr>
            <w:tcW w:w="6517" w:type="dxa"/>
            <w:tcBorders>
              <w:top w:val="single" w:color="auto" w:sz="4" w:space="0"/>
              <w:left w:val="nil"/>
              <w:bottom w:val="single" w:color="auto" w:sz="4" w:space="0"/>
              <w:right w:val="single" w:color="auto" w:sz="4" w:space="0"/>
            </w:tcBorders>
            <w:shd w:val="clear" w:color="auto" w:fill="auto"/>
            <w:vAlign w:val="center"/>
          </w:tcPr>
          <w:p w14:paraId="3C0352F3">
            <w:pPr>
              <w:widowControl/>
              <w:autoSpaceDN w:val="0"/>
              <w:spacing w:line="400" w:lineRule="exact"/>
              <w:jc w:val="left"/>
              <w:rPr>
                <w:rFonts w:ascii="宋体" w:hAnsi="宋体" w:eastAsia="宋体" w:cs="宋体"/>
                <w:b/>
                <w:bCs/>
                <w:sz w:val="24"/>
              </w:rPr>
            </w:pPr>
            <w:r>
              <w:rPr>
                <w:rFonts w:hint="eastAsia" w:ascii="宋体" w:hAnsi="宋体" w:eastAsia="宋体" w:cs="宋体"/>
                <w:b/>
                <w:bCs/>
                <w:sz w:val="24"/>
              </w:rPr>
              <w:t>资质条件：</w:t>
            </w:r>
          </w:p>
          <w:p w14:paraId="1F9161D4">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1.满足《中华人民共和国政府采购法》第二十二条规定：</w:t>
            </w:r>
          </w:p>
          <w:p w14:paraId="0DB5EBE3">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（1）具有独立承担民事责任的能力；</w:t>
            </w:r>
          </w:p>
          <w:p w14:paraId="0A99DBFC">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（2）具有良好的商业信誉和健全的财务会计制度；</w:t>
            </w:r>
          </w:p>
          <w:p w14:paraId="0F3BEDC9">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（3）具有履行合同所必需的设备和专业技术能力；</w:t>
            </w:r>
          </w:p>
          <w:p w14:paraId="7C518790">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（4）具有依法缴纳税收和社会保障资金的良好记录；</w:t>
            </w:r>
          </w:p>
          <w:p w14:paraId="3E00FCC8">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（5）参加政府采购活动前三年内，在经营活动中没有重大违法记录；</w:t>
            </w:r>
          </w:p>
          <w:p w14:paraId="06D9FAC1">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（6）法律、行政法规规定的其他条件。</w:t>
            </w:r>
          </w:p>
          <w:p w14:paraId="422F188D">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2.落实政府采购政策需满足的资格要求（相关政策以最新文件为准）：</w:t>
            </w:r>
          </w:p>
          <w:p w14:paraId="10FF3F63">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（1）《政府采购促进中小企业发展管理办法》（财库[2020]46号）；</w:t>
            </w:r>
          </w:p>
          <w:p w14:paraId="4915EF84">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（2）《关于政府采购支持监狱企业发展有关问题的通知》（财库[2014]68号）；</w:t>
            </w:r>
          </w:p>
          <w:p w14:paraId="6EF83A8D">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（3）《关于促进残疾人就业政府采购政策的通知》（财库[2017]141号）；</w:t>
            </w:r>
          </w:p>
          <w:p w14:paraId="75B5F872">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）《关于调整优化节能产品、环境标志产品政府采购执行机制的通知》（财库[2019]9号）；</w:t>
            </w:r>
          </w:p>
          <w:p w14:paraId="550EB722">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w:t>
            </w:r>
            <w:r>
              <w:rPr>
                <w:rFonts w:hint="eastAsia" w:ascii="宋体" w:hAnsi="宋体" w:eastAsia="宋体" w:cs="宋体"/>
                <w:color w:val="auto"/>
                <w:sz w:val="24"/>
                <w:szCs w:val="24"/>
                <w:lang w:val="zh-CN"/>
              </w:rPr>
              <w:t>本项目</w:t>
            </w:r>
            <w:r>
              <w:rPr>
                <w:rFonts w:hint="eastAsia" w:ascii="宋体" w:hAnsi="宋体" w:eastAsia="宋体" w:cs="宋体"/>
                <w:color w:val="auto"/>
                <w:sz w:val="24"/>
                <w:szCs w:val="24"/>
                <w:highlight w:val="none"/>
                <w:lang w:val="zh-CN"/>
              </w:rPr>
              <w:t>为专门面向</w:t>
            </w:r>
            <w:r>
              <w:rPr>
                <w:rFonts w:hint="eastAsia" w:ascii="宋体" w:hAnsi="宋体" w:eastAsia="宋体" w:cs="宋体"/>
                <w:color w:val="auto"/>
                <w:sz w:val="24"/>
                <w:szCs w:val="24"/>
                <w:lang w:val="zh-CN"/>
              </w:rPr>
              <w:t>中小企业的项目。</w:t>
            </w:r>
            <w:r>
              <w:rPr>
                <w:rFonts w:hint="eastAsia" w:ascii="宋体" w:hAnsi="宋体" w:eastAsia="宋体" w:cs="宋体"/>
                <w:sz w:val="24"/>
                <w:szCs w:val="24"/>
                <w:lang w:val="zh-CN"/>
              </w:rPr>
              <w:t>采购标的物所属行业为建筑业。</w:t>
            </w:r>
          </w:p>
          <w:p w14:paraId="7131179A">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3.本项目的特定资格要求：</w:t>
            </w:r>
          </w:p>
          <w:p w14:paraId="41C77F11">
            <w:pPr>
              <w:widowControl/>
              <w:autoSpaceDE w:val="0"/>
              <w:autoSpaceDN w:val="0"/>
              <w:adjustRightInd w:val="0"/>
              <w:spacing w:line="400" w:lineRule="exact"/>
              <w:jc w:val="left"/>
              <w:rPr>
                <w:rFonts w:ascii="宋体" w:hAnsi="宋体" w:eastAsia="宋体" w:cs="宋体"/>
                <w:bCs/>
                <w:color w:val="FF0000"/>
                <w:sz w:val="24"/>
              </w:rPr>
            </w:pPr>
            <w:r>
              <w:rPr>
                <w:rFonts w:hint="eastAsia" w:ascii="宋体" w:hAnsi="宋体" w:eastAsia="宋体" w:cs="宋体"/>
                <w:bCs/>
                <w:sz w:val="24"/>
              </w:rPr>
              <w:t>（1）</w:t>
            </w:r>
            <w:r>
              <w:rPr>
                <w:rFonts w:hint="eastAsia" w:ascii="宋体" w:hAnsi="宋体" w:eastAsia="宋体" w:cs="宋体"/>
                <w:sz w:val="24"/>
              </w:rPr>
              <w:t>供应商</w:t>
            </w:r>
            <w:r>
              <w:rPr>
                <w:rFonts w:hint="eastAsia" w:ascii="宋体" w:hAnsi="宋体" w:eastAsia="宋体" w:cs="宋体"/>
                <w:sz w:val="24"/>
                <w:lang w:val="zh-CN"/>
              </w:rPr>
              <w:t>须是在中华人民共和国境内注册的法人单位或其他组织</w:t>
            </w:r>
            <w:r>
              <w:rPr>
                <w:rFonts w:hint="eastAsia" w:ascii="宋体" w:hAnsi="宋体" w:eastAsia="宋体" w:cs="宋体"/>
                <w:sz w:val="24"/>
              </w:rPr>
              <w:t>，具备建设行政主</w:t>
            </w:r>
            <w:r>
              <w:rPr>
                <w:rFonts w:hint="eastAsia" w:ascii="宋体" w:hAnsi="宋体" w:eastAsia="宋体" w:cs="宋体"/>
                <w:color w:val="auto"/>
                <w:sz w:val="24"/>
              </w:rPr>
              <w:t>管部门核发的</w:t>
            </w:r>
            <w:r>
              <w:rPr>
                <w:rFonts w:hint="eastAsia" w:ascii="宋体" w:hAnsi="宋体" w:eastAsia="宋体" w:cs="宋体"/>
                <w:color w:val="auto"/>
                <w:sz w:val="24"/>
                <w:lang w:val="en-US" w:eastAsia="zh-CN"/>
              </w:rPr>
              <w:t>建筑</w:t>
            </w:r>
            <w:r>
              <w:rPr>
                <w:rFonts w:hint="eastAsia" w:ascii="宋体" w:hAnsi="宋体" w:eastAsia="宋体" w:cs="宋体"/>
                <w:color w:val="auto"/>
                <w:sz w:val="24"/>
                <w:lang w:val="zh-CN"/>
              </w:rPr>
              <w:t>工程施工总承包三级及以上资质</w:t>
            </w:r>
            <w:r>
              <w:rPr>
                <w:rFonts w:hint="eastAsia" w:ascii="宋体" w:hAnsi="宋体" w:eastAsia="宋体" w:cs="宋体"/>
                <w:color w:val="auto"/>
                <w:sz w:val="24"/>
              </w:rPr>
              <w:t>，</w:t>
            </w:r>
            <w:r>
              <w:rPr>
                <w:rFonts w:hint="eastAsia" w:ascii="宋体" w:hAnsi="宋体" w:eastAsia="宋体" w:cs="宋体"/>
                <w:color w:val="auto"/>
                <w:sz w:val="24"/>
                <w:lang w:val="en-US" w:eastAsia="zh-CN"/>
              </w:rPr>
              <w:t>具备</w:t>
            </w:r>
            <w:r>
              <w:rPr>
                <w:rFonts w:hint="eastAsia" w:ascii="宋体" w:hAnsi="宋体" w:eastAsia="宋体" w:cs="宋体"/>
                <w:color w:val="auto"/>
                <w:sz w:val="24"/>
              </w:rPr>
              <w:t>有效的安全生产许可证，并在人员、设备、资金等方面具有相应的施工能</w:t>
            </w:r>
            <w:r>
              <w:rPr>
                <w:rFonts w:hint="eastAsia" w:ascii="宋体" w:hAnsi="宋体" w:eastAsia="宋体" w:cs="宋体"/>
                <w:sz w:val="24"/>
              </w:rPr>
              <w:t>力。</w:t>
            </w:r>
          </w:p>
          <w:p w14:paraId="1AF409E7">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注：1.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2.其他省（市）核发的资质涉及有效期届满有效期延续问题的，按照当地建设行政主管部门文件执行。投标文件内须提供当地住房和城乡建设部门官方网站发布的准予延期的文件截图及网址，否则不予认定。</w:t>
            </w:r>
          </w:p>
          <w:p w14:paraId="7C0F0901">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（2）拟派出的项目经理须具备建设行政主管部门核发的</w:t>
            </w:r>
            <w:r>
              <w:rPr>
                <w:rFonts w:hint="eastAsia" w:ascii="宋体" w:hAnsi="宋体" w:eastAsia="宋体" w:cs="宋体"/>
                <w:bCs/>
                <w:sz w:val="24"/>
                <w:lang w:val="en-US" w:eastAsia="zh-CN"/>
              </w:rPr>
              <w:t>建筑</w:t>
            </w:r>
            <w:r>
              <w:rPr>
                <w:rFonts w:hint="eastAsia" w:ascii="宋体" w:hAnsi="宋体" w:eastAsia="宋体" w:cs="宋体"/>
                <w:sz w:val="24"/>
              </w:rPr>
              <w:t>工程专业二级及以上注册建造师资格</w:t>
            </w:r>
            <w:r>
              <w:rPr>
                <w:rFonts w:hint="eastAsia" w:ascii="宋体" w:hAnsi="宋体" w:eastAsia="宋体" w:cs="宋体"/>
                <w:bCs/>
                <w:sz w:val="24"/>
              </w:rPr>
              <w:t>，且具备有效的安全生产考核合格证书B类（或可查询的电子证书），且未担任其他在建工程项目的项目经理；拟派出的技术负责人须具备相关专业中级及以上技术职称，拟派出的项目管理机构成员，包括但不限于施工员、质量员、安全员、材料员。</w:t>
            </w:r>
            <w:r>
              <w:rPr>
                <w:rFonts w:hint="eastAsia" w:ascii="宋体" w:hAnsi="宋体" w:eastAsia="宋体" w:cs="宋体"/>
                <w:sz w:val="24"/>
              </w:rPr>
              <w:t>项目管理机构人员须为本单位的在职人员，</w:t>
            </w:r>
            <w:r>
              <w:rPr>
                <w:rFonts w:hint="eastAsia" w:ascii="宋体" w:hAnsi="宋体" w:cs="宋体"/>
                <w:bCs/>
                <w:sz w:val="24"/>
                <w:szCs w:val="24"/>
                <w:highlight w:val="none"/>
              </w:rPr>
              <w:t>提</w:t>
            </w:r>
            <w:r>
              <w:rPr>
                <w:rFonts w:hint="eastAsia" w:ascii="宋体" w:hAnsi="宋体" w:cs="宋体"/>
                <w:bCs/>
                <w:color w:val="auto"/>
                <w:sz w:val="24"/>
                <w:szCs w:val="24"/>
                <w:highlight w:val="none"/>
              </w:rPr>
              <w:t>供</w:t>
            </w:r>
            <w:r>
              <w:rPr>
                <w:rFonts w:hint="eastAsia" w:ascii="宋体" w:hAnsi="宋体" w:cs="宋体"/>
                <w:bCs/>
                <w:color w:val="auto"/>
                <w:sz w:val="24"/>
                <w:szCs w:val="24"/>
                <w:highlight w:val="none"/>
                <w:lang w:val="en-US" w:eastAsia="zh-CN"/>
              </w:rPr>
              <w:t>近一年内（2025年4月至今）任意一个月的</w:t>
            </w:r>
            <w:r>
              <w:rPr>
                <w:rFonts w:hint="eastAsia" w:ascii="宋体" w:hAnsi="宋体" w:eastAsia="宋体" w:cs="宋体"/>
                <w:color w:val="auto"/>
                <w:sz w:val="24"/>
              </w:rPr>
              <w:t>基</w:t>
            </w:r>
            <w:r>
              <w:rPr>
                <w:rFonts w:hint="eastAsia" w:ascii="宋体" w:hAnsi="宋体" w:eastAsia="宋体" w:cs="宋体"/>
                <w:sz w:val="24"/>
              </w:rPr>
              <w:t>本养老保险缴费证明，否则其投标将被否决。</w:t>
            </w:r>
            <w:bookmarkStart w:id="766" w:name="_GoBack"/>
            <w:bookmarkEnd w:id="766"/>
          </w:p>
          <w:p w14:paraId="563BB7A7">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（3）</w:t>
            </w:r>
            <w:r>
              <w:rPr>
                <w:rFonts w:hint="eastAsia" w:ascii="宋体" w:hAnsi="宋体" w:eastAsia="宋体" w:cs="宋体"/>
                <w:sz w:val="24"/>
              </w:rPr>
              <w:t>近三年（2022年至今）财务状况。同时提供以下①②材料：①2022年、2023年、2024年经会计师事务所或审计机构审计的财务审计报告，如供应商成立日期在2022年—2024年之间的，提供从成立之日起到2024年度经会计师事务所或审计机构审计的财务审计报告；②2025年1月1日至今的财务状况良好承诺。注：如投标人在2025年1月1日后成立的，只提供成立之日至今的财务状况良好承诺即可。</w:t>
            </w:r>
          </w:p>
          <w:p w14:paraId="0F0DD2A2">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color w:val="auto"/>
                <w:sz w:val="24"/>
              </w:rPr>
              <w:t>（4）企业近</w:t>
            </w:r>
            <w:r>
              <w:rPr>
                <w:rFonts w:hint="eastAsia" w:ascii="宋体" w:hAnsi="宋体" w:eastAsia="宋体" w:cs="宋体"/>
                <w:bCs/>
                <w:color w:val="auto"/>
                <w:sz w:val="24"/>
                <w:lang w:val="en-US" w:eastAsia="zh-CN"/>
              </w:rPr>
              <w:t>一年</w:t>
            </w:r>
            <w:r>
              <w:rPr>
                <w:rFonts w:hint="eastAsia" w:ascii="宋体" w:hAnsi="宋体" w:eastAsia="宋体" w:cs="宋体"/>
                <w:bCs/>
                <w:color w:val="auto"/>
                <w:sz w:val="24"/>
              </w:rPr>
              <w:t>内</w:t>
            </w:r>
            <w:r>
              <w:rPr>
                <w:rFonts w:hint="eastAsia" w:ascii="宋体" w:hAnsi="宋体" w:cs="宋体"/>
                <w:bCs/>
                <w:color w:val="auto"/>
                <w:sz w:val="24"/>
                <w:szCs w:val="24"/>
                <w:highlight w:val="none"/>
                <w:lang w:val="en-US" w:eastAsia="zh-CN"/>
              </w:rPr>
              <w:t>（2025年4月至今）</w:t>
            </w:r>
            <w:r>
              <w:rPr>
                <w:rFonts w:hint="eastAsia" w:ascii="宋体" w:hAnsi="宋体" w:eastAsia="宋体" w:cs="宋体"/>
                <w:bCs/>
                <w:color w:val="auto"/>
                <w:sz w:val="24"/>
              </w:rPr>
              <w:t>任意一个月有依法缴纳税收和社会</w:t>
            </w:r>
            <w:r>
              <w:rPr>
                <w:rFonts w:hint="eastAsia" w:ascii="宋体" w:hAnsi="宋体" w:eastAsia="宋体" w:cs="宋体"/>
                <w:bCs/>
                <w:sz w:val="24"/>
              </w:rPr>
              <w:t>保障资金的良好记录。</w:t>
            </w:r>
          </w:p>
          <w:p w14:paraId="403DF967">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5）具有投资参股关系的关联企业，或具有直接管理和被管理关系的母子公司，或同一母公司的子公司，或法定代表人为同一人的两个及两个以上法人不得同时对同一标段磋商，否则均按废标处理。与采购人存在利害关系可能影响磋商公正性的法人、其他组织或者个人，不得参加磋商。单位负责人为同一人或者存在控股、管理关系的不同单位，不得参加同一标段磋商或者未划分标段的同一项目磋商。违反上述规定的，相关磋商均无效（须提供经法定代表人或其委托代理人签字并加盖单位公章的承诺书）。</w:t>
            </w:r>
          </w:p>
          <w:p w14:paraId="7A16A9E3">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（6）供应商未被最高人民法院在“信用中国”网站列入失信被执行人和重大税收违法案件当事人名单、未被中国政府采购网列入政府采购严重违法失信行为记录名单（详见财库[2016]125号文）。</w:t>
            </w:r>
          </w:p>
          <w:p w14:paraId="17A4392D">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（7）参加政府采购活动前三年内，在经营活动中没有重大违法记录（提供由法定代表人或其委托代理人签字并加盖单位公章的承诺书）。</w:t>
            </w:r>
          </w:p>
          <w:p w14:paraId="7C4D7FFD">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（8）拒绝列入政府取消投标资格记录期间的供应商或个人参加本次磋商。</w:t>
            </w:r>
          </w:p>
          <w:p w14:paraId="319ACF36">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（9）法律、行政法规规定的其他条件。</w:t>
            </w:r>
          </w:p>
        </w:tc>
      </w:tr>
      <w:tr w14:paraId="1A58E2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92908CB">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11</w:t>
            </w:r>
          </w:p>
        </w:tc>
        <w:tc>
          <w:tcPr>
            <w:tcW w:w="2574" w:type="dxa"/>
            <w:tcBorders>
              <w:top w:val="single" w:color="auto" w:sz="4" w:space="0"/>
              <w:left w:val="nil"/>
              <w:bottom w:val="single" w:color="auto" w:sz="4" w:space="0"/>
              <w:right w:val="single" w:color="auto" w:sz="4" w:space="0"/>
            </w:tcBorders>
            <w:shd w:val="clear" w:color="auto" w:fill="auto"/>
            <w:vAlign w:val="center"/>
          </w:tcPr>
          <w:p w14:paraId="1728809A">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是否接受联合体投标</w:t>
            </w:r>
          </w:p>
        </w:tc>
        <w:tc>
          <w:tcPr>
            <w:tcW w:w="6517" w:type="dxa"/>
            <w:tcBorders>
              <w:top w:val="single" w:color="auto" w:sz="4" w:space="0"/>
              <w:left w:val="nil"/>
              <w:bottom w:val="single" w:color="auto" w:sz="4" w:space="0"/>
              <w:right w:val="single" w:color="auto" w:sz="4" w:space="0"/>
            </w:tcBorders>
            <w:shd w:val="clear" w:color="auto" w:fill="auto"/>
          </w:tcPr>
          <w:p w14:paraId="73D6AD84">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本项目不接受联合体投标。</w:t>
            </w:r>
          </w:p>
        </w:tc>
      </w:tr>
      <w:tr w14:paraId="6CF269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B4C0E10">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12</w:t>
            </w:r>
          </w:p>
        </w:tc>
        <w:tc>
          <w:tcPr>
            <w:tcW w:w="2574" w:type="dxa"/>
            <w:tcBorders>
              <w:top w:val="single" w:color="auto" w:sz="4" w:space="0"/>
              <w:left w:val="nil"/>
              <w:bottom w:val="single" w:color="auto" w:sz="4" w:space="0"/>
              <w:right w:val="single" w:color="auto" w:sz="4" w:space="0"/>
            </w:tcBorders>
            <w:shd w:val="clear" w:color="auto" w:fill="auto"/>
            <w:vAlign w:val="center"/>
          </w:tcPr>
          <w:p w14:paraId="328D3183">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现场踏勘</w:t>
            </w:r>
          </w:p>
        </w:tc>
        <w:tc>
          <w:tcPr>
            <w:tcW w:w="6517" w:type="dxa"/>
            <w:tcBorders>
              <w:top w:val="single" w:color="auto" w:sz="4" w:space="0"/>
              <w:left w:val="nil"/>
              <w:bottom w:val="single" w:color="auto" w:sz="4" w:space="0"/>
              <w:right w:val="single" w:color="auto" w:sz="4" w:space="0"/>
            </w:tcBorders>
            <w:shd w:val="clear" w:color="auto" w:fill="auto"/>
          </w:tcPr>
          <w:p w14:paraId="1D80D7C4">
            <w:pPr>
              <w:spacing w:line="360" w:lineRule="auto"/>
              <w:rPr>
                <w:rFonts w:ascii="宋体" w:hAnsi="宋体" w:eastAsia="宋体" w:cs="宋体"/>
                <w:bCs/>
                <w:sz w:val="24"/>
              </w:rPr>
            </w:pPr>
            <w:r>
              <w:rPr>
                <w:rFonts w:hint="eastAsia" w:ascii="宋体" w:hAnsi="宋体"/>
                <w:sz w:val="24"/>
                <w:lang w:val="en-US" w:eastAsia="zh-CN"/>
              </w:rPr>
              <w:t>不</w:t>
            </w:r>
            <w:r>
              <w:rPr>
                <w:rFonts w:hint="eastAsia" w:ascii="宋体" w:hAnsi="宋体"/>
                <w:sz w:val="24"/>
              </w:rPr>
              <w:t>组织</w:t>
            </w:r>
          </w:p>
        </w:tc>
      </w:tr>
      <w:tr w14:paraId="75378B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047CDB7">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13</w:t>
            </w:r>
          </w:p>
        </w:tc>
        <w:tc>
          <w:tcPr>
            <w:tcW w:w="2574" w:type="dxa"/>
            <w:tcBorders>
              <w:top w:val="single" w:color="auto" w:sz="4" w:space="0"/>
              <w:left w:val="nil"/>
              <w:bottom w:val="single" w:color="auto" w:sz="4" w:space="0"/>
              <w:right w:val="single" w:color="auto" w:sz="4" w:space="0"/>
            </w:tcBorders>
            <w:shd w:val="clear" w:color="auto" w:fill="auto"/>
            <w:vAlign w:val="center"/>
          </w:tcPr>
          <w:p w14:paraId="2F80E4FD">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供应商提出问题的截止时间</w:t>
            </w:r>
          </w:p>
        </w:tc>
        <w:tc>
          <w:tcPr>
            <w:tcW w:w="6517" w:type="dxa"/>
            <w:tcBorders>
              <w:top w:val="single" w:color="auto" w:sz="4" w:space="0"/>
              <w:left w:val="nil"/>
              <w:bottom w:val="single" w:color="auto" w:sz="4" w:space="0"/>
              <w:right w:val="single" w:color="auto" w:sz="4" w:space="0"/>
            </w:tcBorders>
            <w:shd w:val="clear" w:color="auto" w:fill="auto"/>
            <w:vAlign w:val="center"/>
          </w:tcPr>
          <w:p w14:paraId="243EE14B">
            <w:pPr>
              <w:adjustRightInd w:val="0"/>
              <w:snapToGrid w:val="0"/>
              <w:spacing w:line="400" w:lineRule="exact"/>
              <w:rPr>
                <w:rFonts w:ascii="宋体" w:hAnsi="宋体" w:eastAsia="宋体" w:cs="宋体"/>
                <w:bCs/>
                <w:sz w:val="24"/>
              </w:rPr>
            </w:pPr>
            <w:r>
              <w:rPr>
                <w:rFonts w:hint="eastAsia" w:ascii="宋体" w:hAnsi="宋体" w:eastAsia="宋体" w:cs="宋体"/>
                <w:bCs/>
                <w:sz w:val="24"/>
              </w:rPr>
              <w:t>时间：提交响应文件截止时间前5天，逾期有权不再解答，若供应商未提出疑问，则视为其无疑问。</w:t>
            </w:r>
          </w:p>
          <w:p w14:paraId="73CE2CD9">
            <w:pPr>
              <w:spacing w:line="460" w:lineRule="exact"/>
              <w:jc w:val="left"/>
              <w:rPr>
                <w:rFonts w:ascii="宋体" w:hAnsi="宋体"/>
                <w:sz w:val="24"/>
                <w:szCs w:val="22"/>
              </w:rPr>
            </w:pPr>
            <w:r>
              <w:rPr>
                <w:rFonts w:hint="eastAsia" w:ascii="宋体" w:hAnsi="宋体" w:eastAsia="宋体" w:cs="宋体"/>
                <w:bCs/>
                <w:sz w:val="24"/>
              </w:rPr>
              <w:t>提交形式：</w:t>
            </w:r>
            <w:r>
              <w:rPr>
                <w:rFonts w:hint="eastAsia" w:ascii="宋体" w:hAnsi="宋体"/>
                <w:sz w:val="24"/>
                <w:szCs w:val="22"/>
              </w:rPr>
              <w:t>投标疑问发送至招标代理机构邮箱ccwlzx2001@vip.163.com，并电话通知代理机构联系人，若供应商未按规定提出，则视为其无疑问。投标人在法定期限内一次性提出针对同一采购程序环节的疑问。</w:t>
            </w:r>
          </w:p>
          <w:p w14:paraId="42E416CC">
            <w:pPr>
              <w:adjustRightInd w:val="0"/>
              <w:snapToGrid w:val="0"/>
              <w:spacing w:line="400" w:lineRule="exact"/>
              <w:rPr>
                <w:rFonts w:ascii="宋体" w:hAnsi="宋体" w:eastAsia="宋体" w:cs="宋体"/>
                <w:bCs/>
                <w:sz w:val="24"/>
              </w:rPr>
            </w:pPr>
            <w:r>
              <w:rPr>
                <w:rFonts w:hint="eastAsia" w:ascii="宋体" w:hAnsi="宋体"/>
                <w:sz w:val="24"/>
                <w:szCs w:val="22"/>
              </w:rPr>
              <w:t>项目联系人：石堃      联系电话：</w:t>
            </w:r>
            <w:r>
              <w:rPr>
                <w:rFonts w:hint="eastAsia" w:ascii="宋体" w:hAnsi="宋体" w:eastAsia="宋体" w:cs="宋体"/>
                <w:bCs/>
                <w:sz w:val="24"/>
              </w:rPr>
              <w:t>17519703188</w:t>
            </w:r>
          </w:p>
        </w:tc>
      </w:tr>
      <w:tr w14:paraId="2E853A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E82480F">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14</w:t>
            </w:r>
          </w:p>
        </w:tc>
        <w:tc>
          <w:tcPr>
            <w:tcW w:w="2574" w:type="dxa"/>
            <w:tcBorders>
              <w:top w:val="single" w:color="auto" w:sz="4" w:space="0"/>
              <w:left w:val="nil"/>
              <w:bottom w:val="single" w:color="auto" w:sz="4" w:space="0"/>
              <w:right w:val="single" w:color="auto" w:sz="4" w:space="0"/>
            </w:tcBorders>
            <w:shd w:val="clear" w:color="auto" w:fill="auto"/>
            <w:vAlign w:val="center"/>
          </w:tcPr>
          <w:p w14:paraId="2605BEDE">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采购人书面澄清的时间</w:t>
            </w:r>
          </w:p>
        </w:tc>
        <w:tc>
          <w:tcPr>
            <w:tcW w:w="6517" w:type="dxa"/>
            <w:tcBorders>
              <w:top w:val="single" w:color="auto" w:sz="4" w:space="0"/>
              <w:left w:val="nil"/>
              <w:bottom w:val="single" w:color="auto" w:sz="4" w:space="0"/>
              <w:right w:val="single" w:color="auto" w:sz="4" w:space="0"/>
            </w:tcBorders>
            <w:shd w:val="clear" w:color="auto" w:fill="auto"/>
            <w:vAlign w:val="center"/>
          </w:tcPr>
          <w:p w14:paraId="5CFF5505">
            <w:pPr>
              <w:widowControl/>
              <w:autoSpaceDE w:val="0"/>
              <w:autoSpaceDN w:val="0"/>
              <w:adjustRightInd w:val="0"/>
              <w:spacing w:line="400" w:lineRule="exact"/>
              <w:rPr>
                <w:rFonts w:ascii="宋体" w:hAnsi="宋体" w:eastAsia="宋体" w:cs="宋体"/>
                <w:bCs/>
                <w:sz w:val="24"/>
              </w:rPr>
            </w:pPr>
            <w:r>
              <w:rPr>
                <w:rFonts w:hint="eastAsia" w:ascii="宋体" w:hAnsi="宋体" w:eastAsia="宋体" w:cs="宋体"/>
                <w:bCs/>
                <w:sz w:val="24"/>
              </w:rPr>
              <w:t>时间：提交响应文件截止时间前5天。</w:t>
            </w:r>
          </w:p>
          <w:p w14:paraId="27C105D4">
            <w:pPr>
              <w:widowControl/>
              <w:autoSpaceDE w:val="0"/>
              <w:autoSpaceDN w:val="0"/>
              <w:adjustRightInd w:val="0"/>
              <w:spacing w:line="400" w:lineRule="exact"/>
              <w:rPr>
                <w:rFonts w:ascii="宋体" w:hAnsi="宋体" w:cs="宋体"/>
                <w:sz w:val="24"/>
              </w:rPr>
            </w:pPr>
            <w:r>
              <w:rPr>
                <w:rFonts w:hint="eastAsia" w:ascii="宋体" w:hAnsi="宋体" w:cs="宋体"/>
                <w:sz w:val="24"/>
              </w:rPr>
              <w:t>形式：</w:t>
            </w:r>
            <w:r>
              <w:rPr>
                <w:rFonts w:hint="eastAsia" w:ascii="宋体" w:hAnsi="宋体" w:eastAsia="宋体" w:cs="宋体"/>
                <w:bCs/>
                <w:sz w:val="24"/>
              </w:rPr>
              <w:t>通过政采云平台发布</w:t>
            </w:r>
            <w:r>
              <w:rPr>
                <w:rFonts w:hint="eastAsia" w:ascii="宋体" w:hAnsi="宋体" w:cs="宋体"/>
                <w:sz w:val="24"/>
              </w:rPr>
              <w:t>。</w:t>
            </w:r>
          </w:p>
          <w:p w14:paraId="7BF8510D">
            <w:pPr>
              <w:widowControl/>
              <w:autoSpaceDE w:val="0"/>
              <w:autoSpaceDN w:val="0"/>
              <w:adjustRightInd w:val="0"/>
              <w:spacing w:line="400" w:lineRule="exact"/>
              <w:rPr>
                <w:rFonts w:ascii="宋体" w:hAnsi="宋体" w:cs="宋体"/>
                <w:bCs/>
                <w:sz w:val="24"/>
              </w:rPr>
            </w:pPr>
            <w:r>
              <w:rPr>
                <w:rFonts w:hint="eastAsia" w:ascii="宋体" w:hAnsi="宋体" w:eastAsia="宋体" w:cs="宋体"/>
                <w:sz w:val="24"/>
                <w:lang w:val="zh-CN"/>
              </w:rPr>
              <w:t>请潜在</w:t>
            </w:r>
            <w:r>
              <w:rPr>
                <w:rFonts w:hint="eastAsia" w:ascii="宋体" w:hAnsi="宋体" w:eastAsia="宋体" w:cs="宋体"/>
                <w:sz w:val="24"/>
              </w:rPr>
              <w:t>供应商</w:t>
            </w:r>
            <w:r>
              <w:rPr>
                <w:rFonts w:hint="eastAsia" w:ascii="宋体" w:hAnsi="宋体" w:eastAsia="宋体" w:cs="宋体"/>
                <w:sz w:val="24"/>
                <w:lang w:val="zh-CN"/>
              </w:rPr>
              <w:t>在参与本项目活动期间关注网站信息，</w:t>
            </w:r>
            <w:r>
              <w:rPr>
                <w:rFonts w:hint="eastAsia" w:ascii="宋体" w:hAnsi="宋体" w:eastAsia="宋体" w:cs="宋体"/>
                <w:sz w:val="24"/>
                <w:lang w:val="zh-CN" w:eastAsia="zh-CN"/>
              </w:rPr>
              <w:t>有投标意向的供应商有义务自行在上述网站查询相关内容，无需进行书面回复。</w:t>
            </w:r>
            <w:r>
              <w:rPr>
                <w:rFonts w:hint="eastAsia" w:ascii="宋体" w:hAnsi="宋体" w:cs="宋体"/>
                <w:sz w:val="24"/>
              </w:rPr>
              <w:t xml:space="preserve"> </w:t>
            </w:r>
          </w:p>
        </w:tc>
      </w:tr>
      <w:tr w14:paraId="7F7090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6BEBAAE">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15</w:t>
            </w:r>
          </w:p>
        </w:tc>
        <w:tc>
          <w:tcPr>
            <w:tcW w:w="2574" w:type="dxa"/>
            <w:tcBorders>
              <w:top w:val="single" w:color="auto" w:sz="4" w:space="0"/>
              <w:left w:val="nil"/>
              <w:bottom w:val="single" w:color="auto" w:sz="4" w:space="0"/>
              <w:right w:val="single" w:color="auto" w:sz="4" w:space="0"/>
            </w:tcBorders>
            <w:shd w:val="clear" w:color="auto" w:fill="auto"/>
            <w:vAlign w:val="center"/>
          </w:tcPr>
          <w:p w14:paraId="787DDB92">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分包</w:t>
            </w:r>
          </w:p>
        </w:tc>
        <w:tc>
          <w:tcPr>
            <w:tcW w:w="6517" w:type="dxa"/>
            <w:tcBorders>
              <w:top w:val="single" w:color="auto" w:sz="4" w:space="0"/>
              <w:left w:val="nil"/>
              <w:bottom w:val="single" w:color="auto" w:sz="4" w:space="0"/>
              <w:right w:val="single" w:color="auto" w:sz="4" w:space="0"/>
            </w:tcBorders>
            <w:shd w:val="clear" w:color="auto" w:fill="auto"/>
          </w:tcPr>
          <w:p w14:paraId="7BF35B2E">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本项目不允许违法分包，未经招标人同意不允许分包。</w:t>
            </w:r>
          </w:p>
        </w:tc>
      </w:tr>
      <w:tr w14:paraId="2AA430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6AAE1FD">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16</w:t>
            </w:r>
          </w:p>
        </w:tc>
        <w:tc>
          <w:tcPr>
            <w:tcW w:w="2574" w:type="dxa"/>
            <w:tcBorders>
              <w:top w:val="single" w:color="auto" w:sz="4" w:space="0"/>
              <w:left w:val="nil"/>
              <w:bottom w:val="single" w:color="auto" w:sz="4" w:space="0"/>
              <w:right w:val="single" w:color="auto" w:sz="4" w:space="0"/>
            </w:tcBorders>
            <w:shd w:val="clear" w:color="auto" w:fill="auto"/>
            <w:vAlign w:val="center"/>
          </w:tcPr>
          <w:p w14:paraId="3227CD33">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偏离</w:t>
            </w:r>
          </w:p>
        </w:tc>
        <w:tc>
          <w:tcPr>
            <w:tcW w:w="6517" w:type="dxa"/>
            <w:tcBorders>
              <w:top w:val="single" w:color="auto" w:sz="4" w:space="0"/>
              <w:left w:val="nil"/>
              <w:bottom w:val="single" w:color="auto" w:sz="4" w:space="0"/>
              <w:right w:val="single" w:color="auto" w:sz="4" w:space="0"/>
            </w:tcBorders>
            <w:shd w:val="clear" w:color="auto" w:fill="auto"/>
          </w:tcPr>
          <w:p w14:paraId="4A86F802">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不允许</w:t>
            </w:r>
          </w:p>
        </w:tc>
      </w:tr>
      <w:tr w14:paraId="469D84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2C516F8">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17</w:t>
            </w:r>
          </w:p>
        </w:tc>
        <w:tc>
          <w:tcPr>
            <w:tcW w:w="2574" w:type="dxa"/>
            <w:tcBorders>
              <w:top w:val="single" w:color="auto" w:sz="4" w:space="0"/>
              <w:left w:val="nil"/>
              <w:bottom w:val="single" w:color="auto" w:sz="4" w:space="0"/>
              <w:right w:val="single" w:color="auto" w:sz="4" w:space="0"/>
            </w:tcBorders>
            <w:shd w:val="clear" w:color="auto" w:fill="auto"/>
            <w:vAlign w:val="center"/>
          </w:tcPr>
          <w:p w14:paraId="79C73247">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构成竞争性磋商文件的其他材料</w:t>
            </w:r>
          </w:p>
        </w:tc>
        <w:tc>
          <w:tcPr>
            <w:tcW w:w="6517" w:type="dxa"/>
            <w:tcBorders>
              <w:top w:val="single" w:color="auto" w:sz="4" w:space="0"/>
              <w:left w:val="nil"/>
              <w:bottom w:val="single" w:color="auto" w:sz="4" w:space="0"/>
              <w:right w:val="single" w:color="auto" w:sz="4" w:space="0"/>
            </w:tcBorders>
            <w:shd w:val="clear" w:color="auto" w:fill="auto"/>
            <w:vAlign w:val="center"/>
          </w:tcPr>
          <w:p w14:paraId="5F8262AC">
            <w:pPr>
              <w:widowControl/>
              <w:autoSpaceDE w:val="0"/>
              <w:autoSpaceDN w:val="0"/>
              <w:adjustRightInd w:val="0"/>
              <w:spacing w:line="400" w:lineRule="exact"/>
              <w:rPr>
                <w:rFonts w:ascii="宋体" w:hAnsi="宋体" w:eastAsia="宋体" w:cs="宋体"/>
                <w:bCs/>
                <w:sz w:val="24"/>
              </w:rPr>
            </w:pPr>
            <w:r>
              <w:rPr>
                <w:rFonts w:hint="eastAsia" w:ascii="宋体" w:hAnsi="宋体" w:eastAsia="宋体" w:cs="宋体"/>
                <w:bCs/>
                <w:sz w:val="24"/>
              </w:rPr>
              <w:t>工程量清单、</w:t>
            </w:r>
            <w:r>
              <w:rPr>
                <w:rFonts w:hint="eastAsia" w:ascii="宋体" w:hAnsi="宋体" w:eastAsia="宋体" w:cs="宋体"/>
                <w:bCs/>
                <w:sz w:val="24"/>
                <w:lang w:val="en-US" w:eastAsia="zh-CN"/>
              </w:rPr>
              <w:t>施工图纸、</w:t>
            </w:r>
            <w:r>
              <w:rPr>
                <w:rFonts w:hint="eastAsia" w:ascii="宋体" w:hAnsi="宋体" w:eastAsia="宋体" w:cs="宋体"/>
                <w:bCs/>
                <w:sz w:val="24"/>
              </w:rPr>
              <w:t>澄清、修改等文件。</w:t>
            </w:r>
          </w:p>
        </w:tc>
      </w:tr>
      <w:tr w14:paraId="7B0AEF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1"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31C17B3">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18</w:t>
            </w:r>
          </w:p>
        </w:tc>
        <w:tc>
          <w:tcPr>
            <w:tcW w:w="2574" w:type="dxa"/>
            <w:tcBorders>
              <w:top w:val="single" w:color="auto" w:sz="4" w:space="0"/>
              <w:left w:val="nil"/>
              <w:bottom w:val="single" w:color="auto" w:sz="4" w:space="0"/>
              <w:right w:val="single" w:color="auto" w:sz="4" w:space="0"/>
            </w:tcBorders>
            <w:shd w:val="clear" w:color="auto" w:fill="auto"/>
            <w:vAlign w:val="center"/>
          </w:tcPr>
          <w:p w14:paraId="4A20D11C">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供应商要求澄清</w:t>
            </w:r>
          </w:p>
          <w:p w14:paraId="4F350477">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竞争性磋商文件的截止时间</w:t>
            </w:r>
          </w:p>
        </w:tc>
        <w:tc>
          <w:tcPr>
            <w:tcW w:w="6517" w:type="dxa"/>
            <w:tcBorders>
              <w:top w:val="single" w:color="auto" w:sz="4" w:space="0"/>
              <w:left w:val="nil"/>
              <w:bottom w:val="single" w:color="auto" w:sz="4" w:space="0"/>
              <w:right w:val="single" w:color="auto" w:sz="4" w:space="0"/>
            </w:tcBorders>
            <w:shd w:val="clear" w:color="auto" w:fill="auto"/>
            <w:vAlign w:val="center"/>
          </w:tcPr>
          <w:p w14:paraId="3ACA582F">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提交响应文件截止时间前5天，方式同供应商须知前附表13项。</w:t>
            </w:r>
          </w:p>
        </w:tc>
      </w:tr>
      <w:tr w14:paraId="6A9F16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C7357C3">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19</w:t>
            </w:r>
          </w:p>
        </w:tc>
        <w:tc>
          <w:tcPr>
            <w:tcW w:w="2574" w:type="dxa"/>
            <w:tcBorders>
              <w:top w:val="single" w:color="auto" w:sz="4" w:space="0"/>
              <w:left w:val="nil"/>
              <w:bottom w:val="single" w:color="auto" w:sz="4" w:space="0"/>
              <w:right w:val="single" w:color="auto" w:sz="4" w:space="0"/>
            </w:tcBorders>
            <w:shd w:val="clear" w:color="auto" w:fill="auto"/>
            <w:vAlign w:val="center"/>
          </w:tcPr>
          <w:p w14:paraId="2EBB21AC">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提交响应文件截止时间</w:t>
            </w:r>
          </w:p>
        </w:tc>
        <w:tc>
          <w:tcPr>
            <w:tcW w:w="6517" w:type="dxa"/>
            <w:tcBorders>
              <w:top w:val="single" w:color="auto" w:sz="4" w:space="0"/>
              <w:left w:val="nil"/>
              <w:bottom w:val="single" w:color="auto" w:sz="4" w:space="0"/>
              <w:right w:val="single" w:color="auto" w:sz="4" w:space="0"/>
            </w:tcBorders>
            <w:shd w:val="clear" w:color="auto" w:fill="auto"/>
          </w:tcPr>
          <w:p w14:paraId="7CDFB45D">
            <w:pPr>
              <w:widowControl/>
              <w:autoSpaceDE w:val="0"/>
              <w:autoSpaceDN w:val="0"/>
              <w:adjustRightInd w:val="0"/>
              <w:spacing w:line="400" w:lineRule="exact"/>
              <w:jc w:val="left"/>
              <w:rPr>
                <w:rFonts w:ascii="宋体" w:hAnsi="宋体" w:eastAsia="宋体" w:cs="宋体"/>
                <w:bCs/>
                <w:color w:val="auto"/>
                <w:sz w:val="24"/>
              </w:rPr>
            </w:pPr>
            <w:r>
              <w:rPr>
                <w:rFonts w:hint="eastAsia" w:ascii="宋体" w:hAnsi="宋体" w:eastAsia="宋体" w:cs="宋体"/>
                <w:bCs/>
                <w:color w:val="auto"/>
                <w:sz w:val="24"/>
              </w:rPr>
              <w:t>2026年5月20日13时30分（北京时间）</w:t>
            </w:r>
          </w:p>
        </w:tc>
      </w:tr>
      <w:tr w14:paraId="07EB9F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734C51B">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20</w:t>
            </w:r>
          </w:p>
        </w:tc>
        <w:tc>
          <w:tcPr>
            <w:tcW w:w="2574" w:type="dxa"/>
            <w:tcBorders>
              <w:top w:val="single" w:color="auto" w:sz="4" w:space="0"/>
              <w:left w:val="nil"/>
              <w:bottom w:val="single" w:color="auto" w:sz="4" w:space="0"/>
              <w:right w:val="single" w:color="auto" w:sz="4" w:space="0"/>
            </w:tcBorders>
            <w:shd w:val="clear" w:color="auto" w:fill="auto"/>
            <w:vAlign w:val="center"/>
          </w:tcPr>
          <w:p w14:paraId="44A3561D">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供应商确认收到</w:t>
            </w:r>
          </w:p>
          <w:p w14:paraId="7A24C441">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竞争性磋商文件澄清的时间</w:t>
            </w:r>
          </w:p>
        </w:tc>
        <w:tc>
          <w:tcPr>
            <w:tcW w:w="6517" w:type="dxa"/>
            <w:tcBorders>
              <w:top w:val="single" w:color="auto" w:sz="4" w:space="0"/>
              <w:left w:val="nil"/>
              <w:bottom w:val="single" w:color="auto" w:sz="4" w:space="0"/>
              <w:right w:val="single" w:color="auto" w:sz="4" w:space="0"/>
            </w:tcBorders>
            <w:shd w:val="clear" w:color="auto" w:fill="auto"/>
            <w:vAlign w:val="center"/>
          </w:tcPr>
          <w:p w14:paraId="7C0A52D0">
            <w:pPr>
              <w:widowControl/>
              <w:autoSpaceDE w:val="0"/>
              <w:autoSpaceDN w:val="0"/>
              <w:adjustRightInd w:val="0"/>
              <w:spacing w:line="400" w:lineRule="exact"/>
              <w:rPr>
                <w:rFonts w:ascii="宋体" w:hAnsi="宋体" w:eastAsia="宋体" w:cs="宋体"/>
                <w:bCs/>
                <w:sz w:val="24"/>
              </w:rPr>
            </w:pPr>
            <w:r>
              <w:rPr>
                <w:rFonts w:hint="eastAsia" w:ascii="宋体" w:hAnsi="宋体" w:eastAsia="宋体" w:cs="宋体"/>
                <w:bCs/>
                <w:sz w:val="24"/>
              </w:rPr>
              <w:t>24小时以内</w:t>
            </w:r>
          </w:p>
        </w:tc>
      </w:tr>
      <w:tr w14:paraId="1C882B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9"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D31085B">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21</w:t>
            </w:r>
          </w:p>
        </w:tc>
        <w:tc>
          <w:tcPr>
            <w:tcW w:w="2574" w:type="dxa"/>
            <w:tcBorders>
              <w:top w:val="single" w:color="auto" w:sz="4" w:space="0"/>
              <w:left w:val="nil"/>
              <w:bottom w:val="single" w:color="auto" w:sz="4" w:space="0"/>
              <w:right w:val="single" w:color="auto" w:sz="4" w:space="0"/>
            </w:tcBorders>
            <w:shd w:val="clear" w:color="auto" w:fill="auto"/>
            <w:vAlign w:val="center"/>
          </w:tcPr>
          <w:p w14:paraId="3A64AC9A">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供应商确认收到</w:t>
            </w:r>
          </w:p>
          <w:p w14:paraId="205D5B92">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竞争性磋商文件修改的时间</w:t>
            </w:r>
          </w:p>
        </w:tc>
        <w:tc>
          <w:tcPr>
            <w:tcW w:w="6517" w:type="dxa"/>
            <w:tcBorders>
              <w:top w:val="single" w:color="auto" w:sz="4" w:space="0"/>
              <w:left w:val="nil"/>
              <w:bottom w:val="single" w:color="auto" w:sz="4" w:space="0"/>
              <w:right w:val="single" w:color="auto" w:sz="4" w:space="0"/>
            </w:tcBorders>
            <w:shd w:val="clear" w:color="auto" w:fill="auto"/>
            <w:vAlign w:val="center"/>
          </w:tcPr>
          <w:p w14:paraId="4BA15A14">
            <w:pPr>
              <w:widowControl/>
              <w:autoSpaceDE w:val="0"/>
              <w:autoSpaceDN w:val="0"/>
              <w:adjustRightInd w:val="0"/>
              <w:spacing w:line="400" w:lineRule="exact"/>
              <w:rPr>
                <w:rFonts w:ascii="宋体" w:hAnsi="宋体" w:eastAsia="宋体" w:cs="宋体"/>
                <w:bCs/>
                <w:sz w:val="24"/>
              </w:rPr>
            </w:pPr>
            <w:r>
              <w:rPr>
                <w:rFonts w:hint="eastAsia" w:ascii="宋体" w:hAnsi="宋体" w:eastAsia="宋体" w:cs="宋体"/>
                <w:bCs/>
                <w:sz w:val="24"/>
              </w:rPr>
              <w:t>24小时以内</w:t>
            </w:r>
          </w:p>
        </w:tc>
      </w:tr>
      <w:tr w14:paraId="1282DF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9217106">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22</w:t>
            </w:r>
          </w:p>
        </w:tc>
        <w:tc>
          <w:tcPr>
            <w:tcW w:w="2574" w:type="dxa"/>
            <w:tcBorders>
              <w:top w:val="single" w:color="auto" w:sz="4" w:space="0"/>
              <w:left w:val="nil"/>
              <w:bottom w:val="single" w:color="auto" w:sz="4" w:space="0"/>
              <w:right w:val="single" w:color="auto" w:sz="4" w:space="0"/>
            </w:tcBorders>
            <w:shd w:val="clear" w:color="auto" w:fill="auto"/>
            <w:vAlign w:val="center"/>
          </w:tcPr>
          <w:p w14:paraId="5CDE3D59">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构成响应文件的</w:t>
            </w:r>
          </w:p>
          <w:p w14:paraId="1431244C">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其他材料</w:t>
            </w:r>
          </w:p>
        </w:tc>
        <w:tc>
          <w:tcPr>
            <w:tcW w:w="6517" w:type="dxa"/>
            <w:tcBorders>
              <w:top w:val="single" w:color="auto" w:sz="4" w:space="0"/>
              <w:left w:val="nil"/>
              <w:bottom w:val="single" w:color="auto" w:sz="4" w:space="0"/>
              <w:right w:val="single" w:color="auto" w:sz="4" w:space="0"/>
            </w:tcBorders>
            <w:shd w:val="clear" w:color="auto" w:fill="auto"/>
            <w:vAlign w:val="center"/>
          </w:tcPr>
          <w:p w14:paraId="5BC9AFB6">
            <w:pPr>
              <w:widowControl/>
              <w:autoSpaceDE w:val="0"/>
              <w:autoSpaceDN w:val="0"/>
              <w:adjustRightInd w:val="0"/>
              <w:spacing w:line="400" w:lineRule="exact"/>
              <w:rPr>
                <w:rFonts w:ascii="宋体" w:hAnsi="宋体" w:eastAsia="宋体" w:cs="宋体"/>
                <w:sz w:val="24"/>
              </w:rPr>
            </w:pPr>
            <w:r>
              <w:rPr>
                <w:rFonts w:hint="eastAsia" w:ascii="宋体" w:hAnsi="宋体" w:eastAsia="宋体" w:cs="宋体"/>
                <w:sz w:val="24"/>
              </w:rPr>
              <w:t>无</w:t>
            </w:r>
          </w:p>
        </w:tc>
      </w:tr>
      <w:tr w14:paraId="139C51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D577A86">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23</w:t>
            </w:r>
          </w:p>
        </w:tc>
        <w:tc>
          <w:tcPr>
            <w:tcW w:w="2574" w:type="dxa"/>
            <w:tcBorders>
              <w:top w:val="single" w:color="auto" w:sz="4" w:space="0"/>
              <w:left w:val="nil"/>
              <w:bottom w:val="single" w:color="auto" w:sz="4" w:space="0"/>
              <w:right w:val="single" w:color="auto" w:sz="4" w:space="0"/>
            </w:tcBorders>
            <w:shd w:val="clear" w:color="auto" w:fill="auto"/>
            <w:vAlign w:val="center"/>
          </w:tcPr>
          <w:p w14:paraId="3FE565FD">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磋商有效期</w:t>
            </w:r>
          </w:p>
        </w:tc>
        <w:tc>
          <w:tcPr>
            <w:tcW w:w="6517" w:type="dxa"/>
            <w:tcBorders>
              <w:top w:val="single" w:color="auto" w:sz="4" w:space="0"/>
              <w:left w:val="nil"/>
              <w:bottom w:val="single" w:color="auto" w:sz="4" w:space="0"/>
              <w:right w:val="single" w:color="auto" w:sz="4" w:space="0"/>
            </w:tcBorders>
            <w:shd w:val="clear" w:color="auto" w:fill="auto"/>
          </w:tcPr>
          <w:p w14:paraId="5A071657">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自供应商提交磋商响应性文件截止之日起计算 90日历天。</w:t>
            </w:r>
          </w:p>
        </w:tc>
      </w:tr>
      <w:tr w14:paraId="4A658F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2FF94CC">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24</w:t>
            </w:r>
          </w:p>
        </w:tc>
        <w:tc>
          <w:tcPr>
            <w:tcW w:w="2574" w:type="dxa"/>
            <w:tcBorders>
              <w:top w:val="single" w:color="auto" w:sz="4" w:space="0"/>
              <w:left w:val="nil"/>
              <w:bottom w:val="single" w:color="auto" w:sz="4" w:space="0"/>
              <w:right w:val="single" w:color="auto" w:sz="4" w:space="0"/>
            </w:tcBorders>
            <w:shd w:val="clear" w:color="auto" w:fill="auto"/>
            <w:vAlign w:val="center"/>
          </w:tcPr>
          <w:p w14:paraId="2578444A">
            <w:pPr>
              <w:widowControl/>
              <w:autoSpaceDE w:val="0"/>
              <w:autoSpaceDN w:val="0"/>
              <w:adjustRightInd w:val="0"/>
              <w:spacing w:line="400" w:lineRule="exact"/>
              <w:jc w:val="center"/>
              <w:rPr>
                <w:rFonts w:ascii="宋体" w:hAnsi="宋体" w:eastAsia="宋体" w:cs="宋体"/>
                <w:szCs w:val="21"/>
              </w:rPr>
            </w:pPr>
            <w:r>
              <w:rPr>
                <w:rFonts w:hint="eastAsia" w:ascii="宋体" w:hAnsi="宋体" w:eastAsia="宋体" w:cs="宋体"/>
                <w:bCs/>
                <w:sz w:val="24"/>
              </w:rPr>
              <w:t>磋商保证金</w:t>
            </w:r>
          </w:p>
        </w:tc>
        <w:tc>
          <w:tcPr>
            <w:tcW w:w="6517" w:type="dxa"/>
            <w:tcBorders>
              <w:top w:val="single" w:color="auto" w:sz="4" w:space="0"/>
              <w:left w:val="nil"/>
              <w:bottom w:val="single" w:color="auto" w:sz="4" w:space="0"/>
              <w:right w:val="single" w:color="auto" w:sz="4" w:space="0"/>
            </w:tcBorders>
            <w:shd w:val="clear" w:color="auto" w:fill="auto"/>
          </w:tcPr>
          <w:p w14:paraId="1A46ED08">
            <w:pPr>
              <w:autoSpaceDE w:val="0"/>
              <w:autoSpaceDN w:val="0"/>
              <w:adjustRightInd w:val="0"/>
              <w:spacing w:line="400" w:lineRule="exact"/>
              <w:rPr>
                <w:rFonts w:ascii="宋体" w:hAnsi="宋体"/>
                <w:b/>
                <w:sz w:val="24"/>
              </w:rPr>
            </w:pPr>
            <w:r>
              <w:rPr>
                <w:rFonts w:hint="eastAsia" w:ascii="宋体" w:hAnsi="宋体"/>
                <w:sz w:val="24"/>
              </w:rPr>
              <w:t>磋商响应保证金的金额：</w:t>
            </w:r>
            <w:r>
              <w:rPr>
                <w:rFonts w:hint="eastAsia" w:ascii="宋体" w:hAnsi="宋体"/>
                <w:b/>
                <w:bCs/>
                <w:sz w:val="24"/>
                <w:lang w:val="en-US" w:eastAsia="zh-CN"/>
              </w:rPr>
              <w:t>50</w:t>
            </w:r>
            <w:r>
              <w:rPr>
                <w:rFonts w:hint="eastAsia" w:ascii="宋体" w:hAnsi="宋体"/>
                <w:b/>
                <w:sz w:val="24"/>
              </w:rPr>
              <w:t>000.00元</w:t>
            </w:r>
          </w:p>
          <w:p w14:paraId="0CEE59F9">
            <w:pPr>
              <w:spacing w:line="400" w:lineRule="exact"/>
              <w:rPr>
                <w:rFonts w:ascii="宋体" w:hAnsi="宋体" w:eastAsia="宋体"/>
                <w:sz w:val="24"/>
              </w:rPr>
            </w:pPr>
            <w:r>
              <w:rPr>
                <w:rFonts w:hint="eastAsia" w:ascii="宋体" w:hAnsi="宋体"/>
                <w:sz w:val="24"/>
              </w:rPr>
              <w:t>磋商响应保证金的形式：应当采用支票、汇票、本票、网上银行支付或者金融机构、担保机构出具的保函等非现金形式交纳，保函受益人：</w:t>
            </w:r>
            <w:r>
              <w:rPr>
                <w:rFonts w:hint="eastAsia" w:ascii="宋体" w:hAnsi="宋体"/>
                <w:sz w:val="24"/>
                <w:lang w:eastAsia="zh-CN"/>
              </w:rPr>
              <w:t>吉林省阳光学校</w:t>
            </w:r>
            <w:r>
              <w:rPr>
                <w:rFonts w:hint="eastAsia" w:ascii="宋体" w:hAnsi="宋体"/>
                <w:sz w:val="24"/>
              </w:rPr>
              <w:t>。</w:t>
            </w:r>
          </w:p>
          <w:p w14:paraId="002167B8">
            <w:pPr>
              <w:spacing w:line="400" w:lineRule="exact"/>
              <w:rPr>
                <w:rFonts w:ascii="宋体" w:hAnsi="宋体"/>
                <w:b/>
                <w:bCs/>
                <w:kern w:val="0"/>
                <w:sz w:val="24"/>
              </w:rPr>
            </w:pPr>
            <w:r>
              <w:rPr>
                <w:rFonts w:hint="eastAsia" w:ascii="宋体" w:hAnsi="宋体"/>
                <w:sz w:val="24"/>
              </w:rPr>
              <w:t>磋商响应保证金的递交时间：</w:t>
            </w:r>
            <w:r>
              <w:rPr>
                <w:rFonts w:hint="eastAsia" w:ascii="宋体" w:hAnsi="宋体"/>
                <w:b/>
                <w:bCs/>
                <w:kern w:val="0"/>
                <w:sz w:val="24"/>
              </w:rPr>
              <w:t>提交响应文件截止日前</w:t>
            </w:r>
          </w:p>
          <w:p w14:paraId="2FBF40F5">
            <w:pPr>
              <w:spacing w:line="400" w:lineRule="exact"/>
              <w:rPr>
                <w:rFonts w:ascii="宋体" w:hAnsi="宋体" w:cs="宋体"/>
                <w:sz w:val="24"/>
              </w:rPr>
            </w:pPr>
            <w:r>
              <w:rPr>
                <w:rFonts w:hint="eastAsia" w:ascii="宋体" w:hAnsi="宋体"/>
                <w:b/>
                <w:bCs/>
                <w:kern w:val="0"/>
                <w:sz w:val="24"/>
              </w:rPr>
              <w:t>1.</w:t>
            </w:r>
            <w:r>
              <w:rPr>
                <w:rFonts w:hint="eastAsia" w:ascii="宋体" w:hAnsi="宋体"/>
                <w:sz w:val="24"/>
              </w:rPr>
              <w:t>以转账、电汇形式提交的磋商响应保证金应当从</w:t>
            </w:r>
            <w:r>
              <w:rPr>
                <w:rFonts w:hint="eastAsia" w:ascii="宋体" w:hAnsi="宋体" w:cs="宋体"/>
                <w:sz w:val="24"/>
              </w:rPr>
              <w:t>供应商基本账户划拨到长春市万力工程咨询有限公司的基本账户，或提供银行、工程担保机构出具的保函。</w:t>
            </w:r>
          </w:p>
          <w:p w14:paraId="7722A0B1">
            <w:pPr>
              <w:spacing w:line="400" w:lineRule="exact"/>
              <w:jc w:val="left"/>
              <w:rPr>
                <w:rFonts w:ascii="宋体" w:hAnsi="宋体"/>
                <w:sz w:val="24"/>
              </w:rPr>
            </w:pPr>
            <w:r>
              <w:rPr>
                <w:rFonts w:hint="eastAsia" w:ascii="宋体" w:hAnsi="宋体" w:cs="宋体"/>
                <w:sz w:val="24"/>
              </w:rPr>
              <w:t>2.</w:t>
            </w:r>
            <w:r>
              <w:fldChar w:fldCharType="begin"/>
            </w:r>
            <w:r>
              <w:instrText xml:space="preserve"> HYPERLINK "mailto:供应商须于递交响应文件截止日前将蹉商保证金转款凭证或提供保兑支票、银行汇票、提供银行、工程担保机构出具的保函扫描件发至吉林建宇工程咨询有限公司保证金信箱（jljybzj@163.com），递交蹉商响应性文件时将保兑支票、银行汇票、银行、工程担保机构出具的保函原件（或蹉商保证金转款凭证）及已将扫描件发至上" </w:instrText>
            </w:r>
            <w:r>
              <w:fldChar w:fldCharType="separate"/>
            </w:r>
            <w:r>
              <w:rPr>
                <w:rStyle w:val="35"/>
                <w:rFonts w:hint="eastAsia" w:ascii="宋体" w:hAnsi="宋体" w:eastAsia="宋体" w:cs="宋体"/>
                <w:color w:val="auto"/>
                <w:sz w:val="24"/>
                <w:u w:val="none"/>
              </w:rPr>
              <w:t>供应商须于</w:t>
            </w:r>
            <w:r>
              <w:rPr>
                <w:rStyle w:val="35"/>
                <w:rFonts w:hint="eastAsia" w:ascii="宋体" w:hAnsi="宋体" w:eastAsia="宋体" w:cs="宋体"/>
                <w:b/>
                <w:bCs/>
                <w:color w:val="auto"/>
                <w:kern w:val="0"/>
                <w:sz w:val="24"/>
                <w:u w:val="none"/>
              </w:rPr>
              <w:t>提交响应文件截止日前</w:t>
            </w:r>
            <w:r>
              <w:rPr>
                <w:rStyle w:val="35"/>
                <w:rFonts w:hint="eastAsia" w:ascii="宋体" w:hAnsi="宋体" w:eastAsia="宋体" w:cs="宋体"/>
                <w:color w:val="auto"/>
                <w:sz w:val="24"/>
                <w:u w:val="none"/>
              </w:rPr>
              <w:t>将磋商响应保证金</w:t>
            </w:r>
            <w:r>
              <w:rPr>
                <w:rStyle w:val="35"/>
                <w:rFonts w:hint="eastAsia" w:ascii="宋体" w:hAnsi="宋体" w:eastAsia="宋体" w:cs="宋体"/>
                <w:b/>
                <w:bCs/>
                <w:color w:val="auto"/>
                <w:sz w:val="24"/>
                <w:u w:val="none"/>
              </w:rPr>
              <w:t>转款凭证或保函扫描件</w:t>
            </w:r>
            <w:r>
              <w:rPr>
                <w:rStyle w:val="35"/>
                <w:rFonts w:hint="eastAsia" w:ascii="宋体" w:hAnsi="宋体" w:eastAsia="宋体" w:cs="宋体"/>
                <w:color w:val="auto"/>
                <w:sz w:val="24"/>
                <w:u w:val="none"/>
              </w:rPr>
              <w:t>发送至</w:t>
            </w:r>
            <w:r>
              <w:rPr>
                <w:rFonts w:hint="eastAsia" w:ascii="宋体" w:hAnsi="宋体" w:cs="宋体"/>
                <w:sz w:val="24"/>
              </w:rPr>
              <w:t>长春市万力工程咨询有限公司</w:t>
            </w:r>
            <w:r>
              <w:rPr>
                <w:rStyle w:val="35"/>
                <w:rFonts w:hint="eastAsia" w:ascii="宋体" w:hAnsi="宋体" w:eastAsia="宋体" w:cs="宋体"/>
                <w:color w:val="auto"/>
                <w:sz w:val="24"/>
                <w:u w:val="none"/>
              </w:rPr>
              <w:t>保证金邮箱ccwlzx2001@vip.163.com。</w:t>
            </w:r>
            <w:r>
              <w:rPr>
                <w:rStyle w:val="35"/>
                <w:rFonts w:hint="eastAsia" w:ascii="宋体" w:hAnsi="宋体" w:eastAsia="宋体" w:cs="宋体"/>
                <w:color w:val="auto"/>
                <w:sz w:val="24"/>
                <w:u w:val="none"/>
              </w:rPr>
              <w:fldChar w:fldCharType="end"/>
            </w:r>
          </w:p>
          <w:p w14:paraId="49E4232B">
            <w:pPr>
              <w:spacing w:line="400" w:lineRule="exact"/>
              <w:rPr>
                <w:rFonts w:ascii="宋体" w:hAnsi="宋体" w:cs="宋体"/>
                <w:b/>
                <w:bCs/>
                <w:sz w:val="24"/>
              </w:rPr>
            </w:pPr>
            <w:r>
              <w:rPr>
                <w:rFonts w:hint="eastAsia" w:ascii="宋体" w:hAnsi="宋体" w:cs="宋体"/>
                <w:b/>
                <w:bCs/>
                <w:sz w:val="24"/>
              </w:rPr>
              <w:t>3.磋商响应保证金退还时退至供应商划拨保证金的基本账户。</w:t>
            </w:r>
          </w:p>
          <w:p w14:paraId="4B39CACF">
            <w:pPr>
              <w:spacing w:line="400" w:lineRule="exact"/>
              <w:rPr>
                <w:rFonts w:ascii="宋体" w:hAnsi="宋体" w:cs="宋体"/>
                <w:sz w:val="24"/>
              </w:rPr>
            </w:pPr>
            <w:r>
              <w:rPr>
                <w:rFonts w:hint="eastAsia" w:ascii="宋体" w:hAnsi="宋体" w:cs="宋体"/>
                <w:sz w:val="24"/>
              </w:rPr>
              <w:t>长春市万力工程咨询有限公司</w:t>
            </w:r>
            <w:r>
              <w:rPr>
                <w:rFonts w:hint="eastAsia"/>
                <w:sz w:val="24"/>
              </w:rPr>
              <w:t>基本</w:t>
            </w:r>
            <w:r>
              <w:rPr>
                <w:rFonts w:hint="eastAsia" w:ascii="宋体" w:hAnsi="宋体" w:cs="宋体"/>
                <w:sz w:val="24"/>
              </w:rPr>
              <w:t>账户如下：</w:t>
            </w:r>
          </w:p>
          <w:p w14:paraId="2C0F292F">
            <w:pPr>
              <w:spacing w:line="400" w:lineRule="exact"/>
              <w:rPr>
                <w:rFonts w:ascii="宋体" w:hAnsi="宋体" w:cs="宋体"/>
                <w:sz w:val="24"/>
              </w:rPr>
            </w:pPr>
            <w:r>
              <w:rPr>
                <w:rFonts w:hint="eastAsia" w:ascii="宋体" w:hAnsi="宋体" w:cs="宋体"/>
                <w:sz w:val="24"/>
              </w:rPr>
              <w:t>开户名称：长春市万力工程咨询有限公司</w:t>
            </w:r>
          </w:p>
          <w:p w14:paraId="4CA994B4">
            <w:pPr>
              <w:spacing w:line="400" w:lineRule="exact"/>
              <w:rPr>
                <w:rFonts w:ascii="宋体" w:hAnsi="宋体" w:cs="宋体"/>
                <w:sz w:val="24"/>
              </w:rPr>
            </w:pPr>
            <w:r>
              <w:rPr>
                <w:rFonts w:hint="eastAsia" w:ascii="宋体" w:hAnsi="宋体" w:cs="宋体"/>
                <w:sz w:val="24"/>
              </w:rPr>
              <w:t>开户银行：吉林银行长春永安支行</w:t>
            </w:r>
          </w:p>
          <w:p w14:paraId="60A4CAC9">
            <w:pPr>
              <w:spacing w:line="400" w:lineRule="exact"/>
              <w:rPr>
                <w:rFonts w:ascii="宋体" w:hAnsi="宋体" w:cs="宋体"/>
                <w:sz w:val="24"/>
              </w:rPr>
            </w:pPr>
            <w:r>
              <w:rPr>
                <w:rFonts w:hint="eastAsia" w:ascii="宋体" w:hAnsi="宋体" w:cs="宋体"/>
                <w:sz w:val="24"/>
              </w:rPr>
              <w:t>账    号：735 0320 109 0000 11</w:t>
            </w:r>
          </w:p>
          <w:p w14:paraId="4D9E02A9">
            <w:pPr>
              <w:spacing w:line="400" w:lineRule="exact"/>
              <w:rPr>
                <w:rFonts w:ascii="宋体" w:hAnsi="宋体" w:cs="宋体"/>
                <w:sz w:val="24"/>
              </w:rPr>
            </w:pPr>
            <w:r>
              <w:rPr>
                <w:rFonts w:hint="eastAsia" w:ascii="宋体" w:hAnsi="宋体" w:cs="宋体"/>
                <w:sz w:val="24"/>
              </w:rPr>
              <w:t>财务联系电话：</w:t>
            </w:r>
            <w:r>
              <w:rPr>
                <w:rFonts w:hint="eastAsia" w:ascii="宋体" w:hAnsi="宋体" w:eastAsia="宋体" w:cs="宋体"/>
                <w:bCs/>
                <w:sz w:val="24"/>
              </w:rPr>
              <w:t>17519703</w:t>
            </w:r>
            <w:r>
              <w:rPr>
                <w:rFonts w:hint="eastAsia" w:ascii="宋体" w:hAnsi="宋体" w:eastAsia="宋体" w:cs="宋体"/>
                <w:bCs/>
                <w:sz w:val="24"/>
                <w:lang w:val="en-US" w:eastAsia="zh-CN"/>
              </w:rPr>
              <w:t>2</w:t>
            </w:r>
            <w:r>
              <w:rPr>
                <w:rFonts w:hint="eastAsia" w:ascii="宋体" w:hAnsi="宋体" w:eastAsia="宋体" w:cs="宋体"/>
                <w:bCs/>
                <w:sz w:val="24"/>
              </w:rPr>
              <w:t>88</w:t>
            </w:r>
          </w:p>
          <w:p w14:paraId="05AF86D5">
            <w:pPr>
              <w:widowControl/>
              <w:autoSpaceDE w:val="0"/>
              <w:autoSpaceDN w:val="0"/>
              <w:adjustRightInd w:val="0"/>
              <w:spacing w:line="400" w:lineRule="exact"/>
              <w:jc w:val="left"/>
              <w:rPr>
                <w:rFonts w:ascii="宋体" w:hAnsi="宋体" w:cs="宋体"/>
                <w:b/>
                <w:bCs/>
                <w:sz w:val="24"/>
              </w:rPr>
            </w:pPr>
            <w:r>
              <w:rPr>
                <w:rFonts w:hint="eastAsia" w:ascii="宋体" w:hAnsi="宋体" w:cs="宋体"/>
                <w:b/>
                <w:bCs/>
                <w:sz w:val="24"/>
              </w:rPr>
              <w:t>注：填写转款凭证时须注明投标项目名称、标段号（如有）。</w:t>
            </w:r>
          </w:p>
          <w:p w14:paraId="49923A4F">
            <w:pPr>
              <w:widowControl/>
              <w:autoSpaceDE w:val="0"/>
              <w:autoSpaceDN w:val="0"/>
              <w:adjustRightInd w:val="0"/>
              <w:spacing w:line="400" w:lineRule="exact"/>
              <w:jc w:val="left"/>
              <w:rPr>
                <w:rFonts w:ascii="宋体" w:hAnsi="宋体" w:cs="宋体"/>
                <w:bCs/>
                <w:sz w:val="24"/>
              </w:rPr>
            </w:pPr>
            <w:r>
              <w:rPr>
                <w:rFonts w:hint="eastAsia" w:ascii="宋体" w:hAnsi="宋体" w:cs="仿宋_GB2312"/>
                <w:kern w:val="0"/>
                <w:sz w:val="24"/>
                <w:shd w:val="clear" w:color="auto" w:fill="FFFFFF"/>
                <w:lang w:bidi="ar"/>
              </w:rPr>
              <w:t>4.银行保函、担保机构出具的保函，格式按照出具单位格式。</w:t>
            </w:r>
          </w:p>
        </w:tc>
      </w:tr>
      <w:tr w14:paraId="026728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7"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556D83F">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25</w:t>
            </w:r>
          </w:p>
        </w:tc>
        <w:tc>
          <w:tcPr>
            <w:tcW w:w="2574" w:type="dxa"/>
            <w:tcBorders>
              <w:top w:val="single" w:color="auto" w:sz="4" w:space="0"/>
              <w:left w:val="nil"/>
              <w:bottom w:val="single" w:color="auto" w:sz="4" w:space="0"/>
              <w:right w:val="single" w:color="auto" w:sz="4" w:space="0"/>
            </w:tcBorders>
            <w:shd w:val="clear" w:color="auto" w:fill="auto"/>
            <w:vAlign w:val="center"/>
          </w:tcPr>
          <w:p w14:paraId="16635664">
            <w:pPr>
              <w:widowControl/>
              <w:autoSpaceDE w:val="0"/>
              <w:autoSpaceDN w:val="0"/>
              <w:adjustRightInd w:val="0"/>
              <w:spacing w:line="400" w:lineRule="exact"/>
              <w:jc w:val="both"/>
              <w:rPr>
                <w:rFonts w:ascii="宋体" w:hAnsi="宋体" w:eastAsia="宋体" w:cs="宋体"/>
                <w:bCs/>
                <w:sz w:val="24"/>
              </w:rPr>
            </w:pPr>
            <w:r>
              <w:rPr>
                <w:rFonts w:hint="eastAsia" w:ascii="宋体" w:hAnsi="宋体" w:eastAsia="宋体" w:cs="宋体"/>
                <w:bCs/>
                <w:sz w:val="24"/>
              </w:rPr>
              <w:t>近年完成的类似项目</w:t>
            </w:r>
            <w:r>
              <w:rPr>
                <w:rFonts w:hint="eastAsia" w:ascii="宋体" w:hAnsi="宋体" w:eastAsia="宋体" w:cs="宋体"/>
                <w:bCs/>
                <w:sz w:val="24"/>
                <w:lang w:val="en-US" w:eastAsia="zh-CN"/>
              </w:rPr>
              <w:t>业绩</w:t>
            </w:r>
            <w:r>
              <w:rPr>
                <w:rFonts w:hint="eastAsia" w:ascii="宋体" w:hAnsi="宋体" w:eastAsia="宋体" w:cs="宋体"/>
                <w:bCs/>
                <w:sz w:val="24"/>
              </w:rPr>
              <w:t>的年份</w:t>
            </w:r>
            <w:r>
              <w:rPr>
                <w:rFonts w:hint="eastAsia" w:ascii="宋体" w:hAnsi="宋体" w:eastAsia="宋体" w:cs="宋体"/>
                <w:bCs/>
                <w:sz w:val="24"/>
                <w:lang w:val="en-US" w:eastAsia="zh-CN"/>
              </w:rPr>
              <w:t>及业绩认定</w:t>
            </w:r>
            <w:r>
              <w:rPr>
                <w:rFonts w:hint="eastAsia" w:ascii="宋体" w:hAnsi="宋体" w:eastAsia="宋体" w:cs="宋体"/>
                <w:bCs/>
                <w:sz w:val="24"/>
              </w:rPr>
              <w:t>要求</w:t>
            </w:r>
          </w:p>
        </w:tc>
        <w:tc>
          <w:tcPr>
            <w:tcW w:w="6517" w:type="dxa"/>
            <w:tcBorders>
              <w:top w:val="single" w:color="auto" w:sz="4" w:space="0"/>
              <w:left w:val="nil"/>
              <w:bottom w:val="single" w:color="auto" w:sz="4" w:space="0"/>
              <w:right w:val="single" w:color="auto" w:sz="4" w:space="0"/>
            </w:tcBorders>
            <w:shd w:val="clear" w:color="auto" w:fill="auto"/>
            <w:vAlign w:val="center"/>
          </w:tcPr>
          <w:p w14:paraId="4A4E9359">
            <w:pPr>
              <w:pStyle w:val="7"/>
              <w:rPr>
                <w:rFonts w:ascii="宋体" w:hAnsi="宋体" w:eastAsia="宋体" w:cs="宋体"/>
                <w:bCs/>
                <w:color w:val="FF0000"/>
                <w:sz w:val="24"/>
              </w:rPr>
            </w:pPr>
            <w:r>
              <w:rPr>
                <w:rFonts w:hint="eastAsia" w:ascii="宋体" w:hAnsi="宋体" w:eastAsia="宋体" w:cs="宋体"/>
                <w:bCs/>
                <w:color w:val="auto"/>
                <w:sz w:val="24"/>
              </w:rPr>
              <w:t>竣工日期在202</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年</w:t>
            </w: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月1日至今。</w:t>
            </w:r>
            <w:r>
              <w:rPr>
                <w:rFonts w:hint="eastAsia" w:ascii="宋体" w:hAnsi="宋体" w:cs="宋体"/>
                <w:bCs/>
                <w:color w:val="auto"/>
                <w:szCs w:val="21"/>
                <w:lang w:eastAsia="zh-CN"/>
              </w:rPr>
              <w:t>通过互联网且不需任何权限即可在工程所在地的省级</w:t>
            </w:r>
            <w:r>
              <w:rPr>
                <w:rFonts w:hint="eastAsia" w:ascii="宋体" w:hAnsi="宋体" w:cs="宋体"/>
                <w:bCs/>
                <w:color w:val="auto"/>
                <w:szCs w:val="21"/>
                <w:lang w:val="en-US" w:eastAsia="zh-CN"/>
              </w:rPr>
              <w:t>或国家</w:t>
            </w:r>
            <w:r>
              <w:rPr>
                <w:rFonts w:hint="eastAsia" w:ascii="宋体" w:hAnsi="宋体" w:cs="宋体"/>
                <w:bCs/>
                <w:color w:val="auto"/>
                <w:szCs w:val="21"/>
                <w:lang w:eastAsia="zh-CN"/>
              </w:rPr>
              <w:t>建筑市场监管一体化工作平台查询得到，其它网站查询的业绩不予认定。投标人应在投标文件中附有关业绩的查询网址及查询网页截图，否则不予以认定。</w:t>
            </w:r>
            <w:r>
              <w:rPr>
                <w:rFonts w:hint="eastAsia" w:ascii="宋体" w:hAnsi="宋体" w:cs="宋体"/>
                <w:bCs/>
                <w:color w:val="auto"/>
                <w:szCs w:val="21"/>
              </w:rPr>
              <w:t>关于涉密工程招标评标业绩执行吉建招[2017]12号文件《吉林省住房和城乡建设厅关于涉密工程招标评标业绩认定的补充通知》的规定。</w:t>
            </w:r>
          </w:p>
        </w:tc>
      </w:tr>
      <w:tr w14:paraId="130798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AA34E6A">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26</w:t>
            </w:r>
          </w:p>
        </w:tc>
        <w:tc>
          <w:tcPr>
            <w:tcW w:w="2574" w:type="dxa"/>
            <w:tcBorders>
              <w:top w:val="single" w:color="auto" w:sz="4" w:space="0"/>
              <w:left w:val="nil"/>
              <w:bottom w:val="single" w:color="auto" w:sz="4" w:space="0"/>
              <w:right w:val="single" w:color="auto" w:sz="4" w:space="0"/>
            </w:tcBorders>
            <w:shd w:val="clear" w:color="auto" w:fill="auto"/>
            <w:vAlign w:val="center"/>
          </w:tcPr>
          <w:p w14:paraId="1D7C7291">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近年财务状况的年份要求</w:t>
            </w:r>
          </w:p>
        </w:tc>
        <w:tc>
          <w:tcPr>
            <w:tcW w:w="6517" w:type="dxa"/>
            <w:tcBorders>
              <w:top w:val="single" w:color="auto" w:sz="4" w:space="0"/>
              <w:left w:val="nil"/>
              <w:bottom w:val="single" w:color="auto" w:sz="4" w:space="0"/>
              <w:right w:val="single" w:color="auto" w:sz="4" w:space="0"/>
            </w:tcBorders>
            <w:shd w:val="clear" w:color="auto" w:fill="auto"/>
            <w:vAlign w:val="center"/>
          </w:tcPr>
          <w:p w14:paraId="566C242B">
            <w:pPr>
              <w:widowControl/>
              <w:autoSpaceDE w:val="0"/>
              <w:autoSpaceDN w:val="0"/>
              <w:adjustRightInd w:val="0"/>
              <w:spacing w:line="400" w:lineRule="exact"/>
              <w:rPr>
                <w:rFonts w:ascii="宋体" w:hAnsi="宋体" w:eastAsia="宋体" w:cs="宋体"/>
                <w:bCs/>
                <w:sz w:val="24"/>
              </w:rPr>
            </w:pPr>
            <w:r>
              <w:rPr>
                <w:rFonts w:hint="eastAsia" w:ascii="宋体" w:hAnsi="宋体" w:eastAsia="宋体" w:cs="宋体"/>
                <w:bCs/>
                <w:sz w:val="24"/>
              </w:rPr>
              <w:t>2022年至今</w:t>
            </w:r>
          </w:p>
        </w:tc>
      </w:tr>
      <w:tr w14:paraId="0E3E45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2"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0893E47">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27</w:t>
            </w:r>
          </w:p>
        </w:tc>
        <w:tc>
          <w:tcPr>
            <w:tcW w:w="2574" w:type="dxa"/>
            <w:tcBorders>
              <w:top w:val="single" w:color="auto" w:sz="4" w:space="0"/>
              <w:left w:val="nil"/>
              <w:bottom w:val="single" w:color="auto" w:sz="4" w:space="0"/>
              <w:right w:val="single" w:color="auto" w:sz="4" w:space="0"/>
            </w:tcBorders>
            <w:shd w:val="clear" w:color="auto" w:fill="auto"/>
            <w:vAlign w:val="center"/>
          </w:tcPr>
          <w:p w14:paraId="14EE3D74">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是否允许递交备选投标方案</w:t>
            </w:r>
          </w:p>
        </w:tc>
        <w:tc>
          <w:tcPr>
            <w:tcW w:w="6517" w:type="dxa"/>
            <w:tcBorders>
              <w:top w:val="single" w:color="auto" w:sz="4" w:space="0"/>
              <w:left w:val="nil"/>
              <w:bottom w:val="single" w:color="auto" w:sz="4" w:space="0"/>
              <w:right w:val="single" w:color="auto" w:sz="4" w:space="0"/>
            </w:tcBorders>
            <w:shd w:val="clear" w:color="auto" w:fill="auto"/>
          </w:tcPr>
          <w:p w14:paraId="10CEDBC5">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不允许</w:t>
            </w:r>
          </w:p>
        </w:tc>
      </w:tr>
      <w:tr w14:paraId="7133D6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1E8E27C">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28</w:t>
            </w:r>
          </w:p>
        </w:tc>
        <w:tc>
          <w:tcPr>
            <w:tcW w:w="2574" w:type="dxa"/>
            <w:tcBorders>
              <w:top w:val="single" w:color="auto" w:sz="4" w:space="0"/>
              <w:left w:val="nil"/>
              <w:bottom w:val="single" w:color="auto" w:sz="4" w:space="0"/>
              <w:right w:val="single" w:color="auto" w:sz="4" w:space="0"/>
            </w:tcBorders>
            <w:shd w:val="clear" w:color="auto" w:fill="auto"/>
            <w:vAlign w:val="center"/>
          </w:tcPr>
          <w:p w14:paraId="35736635">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签字或盖章要求</w:t>
            </w:r>
          </w:p>
        </w:tc>
        <w:tc>
          <w:tcPr>
            <w:tcW w:w="6517" w:type="dxa"/>
            <w:tcBorders>
              <w:top w:val="single" w:color="auto" w:sz="4" w:space="0"/>
              <w:left w:val="nil"/>
              <w:bottom w:val="single" w:color="auto" w:sz="4" w:space="0"/>
              <w:right w:val="single" w:color="auto" w:sz="4" w:space="0"/>
            </w:tcBorders>
            <w:shd w:val="clear" w:color="auto" w:fill="auto"/>
          </w:tcPr>
          <w:p w14:paraId="3AD7A14C">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响应文件封面、投标函及需要签字盖章处均应加盖供应商印章并经法定代表人或其委托代理人签字或盖章。</w:t>
            </w:r>
          </w:p>
        </w:tc>
      </w:tr>
      <w:tr w14:paraId="35A0FE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3"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25FE785">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29</w:t>
            </w:r>
          </w:p>
        </w:tc>
        <w:tc>
          <w:tcPr>
            <w:tcW w:w="2574" w:type="dxa"/>
            <w:tcBorders>
              <w:top w:val="single" w:color="auto" w:sz="4" w:space="0"/>
              <w:left w:val="nil"/>
              <w:bottom w:val="single" w:color="auto" w:sz="4" w:space="0"/>
              <w:right w:val="single" w:color="auto" w:sz="4" w:space="0"/>
            </w:tcBorders>
            <w:shd w:val="clear" w:color="auto" w:fill="auto"/>
            <w:vAlign w:val="center"/>
          </w:tcPr>
          <w:p w14:paraId="7BB3EA7C">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响应文件份数</w:t>
            </w:r>
          </w:p>
        </w:tc>
        <w:tc>
          <w:tcPr>
            <w:tcW w:w="6517" w:type="dxa"/>
            <w:tcBorders>
              <w:top w:val="single" w:color="auto" w:sz="4" w:space="0"/>
              <w:left w:val="nil"/>
              <w:bottom w:val="single" w:color="auto" w:sz="4" w:space="0"/>
              <w:right w:val="single" w:color="auto" w:sz="4" w:space="0"/>
            </w:tcBorders>
            <w:shd w:val="clear" w:color="auto" w:fill="auto"/>
          </w:tcPr>
          <w:p w14:paraId="4117BECD">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响应文件分为商务部分（明标）和技术部分（暗标），请供应商于投标截止时间前在政采云平台（http://www.zcygov.cn），上传电子响应文件，逾期未上传电子响应文件，将不予受理。</w:t>
            </w:r>
          </w:p>
        </w:tc>
      </w:tr>
      <w:tr w14:paraId="23005E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3"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0078833">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30</w:t>
            </w:r>
          </w:p>
        </w:tc>
        <w:tc>
          <w:tcPr>
            <w:tcW w:w="2574" w:type="dxa"/>
            <w:tcBorders>
              <w:top w:val="single" w:color="auto" w:sz="4" w:space="0"/>
              <w:left w:val="nil"/>
              <w:bottom w:val="single" w:color="auto" w:sz="4" w:space="0"/>
              <w:right w:val="single" w:color="auto" w:sz="4" w:space="0"/>
            </w:tcBorders>
            <w:shd w:val="clear" w:color="auto" w:fill="auto"/>
            <w:vAlign w:val="center"/>
          </w:tcPr>
          <w:p w14:paraId="2DC8F17A">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报价次数</w:t>
            </w:r>
          </w:p>
        </w:tc>
        <w:tc>
          <w:tcPr>
            <w:tcW w:w="6517" w:type="dxa"/>
            <w:tcBorders>
              <w:top w:val="single" w:color="auto" w:sz="4" w:space="0"/>
              <w:left w:val="nil"/>
              <w:bottom w:val="single" w:color="auto" w:sz="4" w:space="0"/>
              <w:right w:val="single" w:color="auto" w:sz="4" w:space="0"/>
            </w:tcBorders>
            <w:shd w:val="clear" w:color="auto" w:fill="auto"/>
            <w:vAlign w:val="center"/>
          </w:tcPr>
          <w:p w14:paraId="5B980905">
            <w:pPr>
              <w:widowControl/>
              <w:autoSpaceDE w:val="0"/>
              <w:autoSpaceDN w:val="0"/>
              <w:adjustRightInd w:val="0"/>
              <w:spacing w:line="400" w:lineRule="exact"/>
              <w:rPr>
                <w:rFonts w:ascii="宋体" w:hAnsi="宋体" w:eastAsia="宋体" w:cs="宋体"/>
                <w:bCs/>
                <w:sz w:val="24"/>
              </w:rPr>
            </w:pPr>
            <w:r>
              <w:rPr>
                <w:rFonts w:hint="eastAsia" w:ascii="宋体" w:hAnsi="宋体" w:eastAsia="宋体" w:cs="宋体"/>
                <w:bCs/>
                <w:sz w:val="24"/>
              </w:rPr>
              <w:t>2次，</w:t>
            </w:r>
            <w:r>
              <w:rPr>
                <w:rFonts w:hint="eastAsia" w:ascii="宋体" w:hAnsi="宋体" w:cs="宋体"/>
                <w:sz w:val="24"/>
              </w:rPr>
              <w:t>供应商最终报价不得高于其首轮报价。</w:t>
            </w:r>
          </w:p>
        </w:tc>
      </w:tr>
      <w:tr w14:paraId="5F3388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3"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019EA31">
            <w:pPr>
              <w:widowControl/>
              <w:autoSpaceDN w:val="0"/>
              <w:spacing w:line="400" w:lineRule="exact"/>
              <w:jc w:val="center"/>
              <w:textAlignment w:val="center"/>
              <w:rPr>
                <w:rFonts w:ascii="宋体" w:hAnsi="宋体" w:eastAsia="宋体" w:cs="宋体"/>
                <w:kern w:val="0"/>
                <w:sz w:val="24"/>
              </w:rPr>
            </w:pPr>
            <w:r>
              <w:rPr>
                <w:rFonts w:hint="eastAsia" w:ascii="宋体" w:hAnsi="宋体" w:eastAsia="宋体" w:cs="宋体"/>
                <w:kern w:val="0"/>
                <w:sz w:val="24"/>
              </w:rPr>
              <w:t>31</w:t>
            </w:r>
          </w:p>
        </w:tc>
        <w:tc>
          <w:tcPr>
            <w:tcW w:w="2574" w:type="dxa"/>
            <w:tcBorders>
              <w:top w:val="single" w:color="auto" w:sz="4" w:space="0"/>
              <w:left w:val="nil"/>
              <w:bottom w:val="single" w:color="auto" w:sz="4" w:space="0"/>
              <w:right w:val="single" w:color="auto" w:sz="4" w:space="0"/>
            </w:tcBorders>
            <w:shd w:val="clear" w:color="auto" w:fill="auto"/>
            <w:vAlign w:val="center"/>
          </w:tcPr>
          <w:p w14:paraId="73FB59ED">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电子响应文件的编制</w:t>
            </w:r>
          </w:p>
        </w:tc>
        <w:tc>
          <w:tcPr>
            <w:tcW w:w="6517" w:type="dxa"/>
            <w:tcBorders>
              <w:top w:val="single" w:color="auto" w:sz="4" w:space="0"/>
              <w:left w:val="nil"/>
              <w:bottom w:val="single" w:color="auto" w:sz="4" w:space="0"/>
              <w:right w:val="single" w:color="auto" w:sz="4" w:space="0"/>
            </w:tcBorders>
            <w:shd w:val="clear" w:color="auto" w:fill="auto"/>
            <w:vAlign w:val="center"/>
          </w:tcPr>
          <w:p w14:paraId="2AA5F473">
            <w:pPr>
              <w:widowControl/>
              <w:autoSpaceDE w:val="0"/>
              <w:autoSpaceDN w:val="0"/>
              <w:adjustRightInd w:val="0"/>
              <w:spacing w:line="400" w:lineRule="exact"/>
              <w:rPr>
                <w:rFonts w:ascii="宋体" w:hAnsi="宋体" w:eastAsia="宋体" w:cs="宋体"/>
                <w:bCs/>
                <w:sz w:val="24"/>
                <w:lang w:val="zh-CN"/>
              </w:rPr>
            </w:pPr>
            <w:r>
              <w:rPr>
                <w:rFonts w:hint="eastAsia" w:ascii="宋体" w:hAnsi="宋体" w:eastAsia="宋体" w:cs="宋体"/>
                <w:bCs/>
                <w:sz w:val="24"/>
              </w:rPr>
              <w:t>电子</w:t>
            </w:r>
            <w:r>
              <w:rPr>
                <w:rFonts w:hint="eastAsia" w:ascii="宋体" w:hAnsi="宋体" w:eastAsia="宋体" w:cs="宋体"/>
                <w:bCs/>
                <w:sz w:val="24"/>
                <w:lang w:val="zh-CN"/>
              </w:rPr>
              <w:t>响应文件应按竞争性磋商响应文件格式分别编制并使用下载的政采云投标客户端制作并上传。</w:t>
            </w:r>
          </w:p>
          <w:p w14:paraId="2112E8A3">
            <w:pPr>
              <w:widowControl/>
              <w:autoSpaceDE w:val="0"/>
              <w:autoSpaceDN w:val="0"/>
              <w:adjustRightInd w:val="0"/>
              <w:spacing w:line="400" w:lineRule="exact"/>
              <w:rPr>
                <w:rFonts w:ascii="宋体" w:hAnsi="宋体" w:eastAsia="宋体" w:cs="宋体"/>
                <w:bCs/>
                <w:sz w:val="24"/>
                <w:lang w:val="zh-CN"/>
              </w:rPr>
            </w:pPr>
            <w:r>
              <w:rPr>
                <w:rFonts w:hint="eastAsia" w:ascii="宋体" w:hAnsi="宋体" w:eastAsia="宋体" w:cs="宋体"/>
                <w:bCs/>
                <w:sz w:val="24"/>
                <w:lang w:val="zh-CN"/>
              </w:rPr>
              <w:t>1.电子响应文件中须加盖供应商公章部分均采用 CA 签章，并根据“政府采购项目电子交易管理操作指南－供应商（政采云）”及本征集文件规定的格式和顺序编制电子响应文件并进行关联定位，以便评审小组在评审时，点击评分项可直接定位到该评分项内容。如对征集文件的某项要求，供应商的电子响应文件未能关联定位提供相应的内容与其对应，则评审小组在评审时如做出对供应商不利的评审由供应商自行承担。电子响应文件如内容不完整、编排混乱导致响应文件被误读、漏读，或者在按征集文件规定的部位查找不到相关内容的，由供应商自行承担产生的后果。</w:t>
            </w:r>
          </w:p>
          <w:p w14:paraId="57F8040A">
            <w:pPr>
              <w:widowControl/>
              <w:autoSpaceDE w:val="0"/>
              <w:autoSpaceDN w:val="0"/>
              <w:adjustRightInd w:val="0"/>
              <w:spacing w:line="400" w:lineRule="exact"/>
              <w:rPr>
                <w:rFonts w:ascii="宋体" w:hAnsi="宋体" w:eastAsia="宋体" w:cs="宋体"/>
                <w:bCs/>
                <w:sz w:val="24"/>
                <w:lang w:val="zh-CN"/>
              </w:rPr>
            </w:pPr>
            <w:r>
              <w:rPr>
                <w:rFonts w:hint="eastAsia" w:ascii="宋体" w:hAnsi="宋体" w:eastAsia="宋体" w:cs="宋体"/>
                <w:bCs/>
                <w:sz w:val="24"/>
                <w:lang w:val="zh-CN"/>
              </w:rPr>
              <w:t xml:space="preserve">2.供应商法人（负责人）或授权代表持有政采云个人CA签章的，应在响应文件中涉及签字的位置使用个人CA签章，没有办理政采云个人CA签章的可在响应文件中涉及签字的位置手写签字后扫描或者拍照做成 PDF 的格式上传即可。 </w:t>
            </w:r>
          </w:p>
          <w:p w14:paraId="4FE47182">
            <w:pPr>
              <w:widowControl/>
              <w:autoSpaceDE w:val="0"/>
              <w:autoSpaceDN w:val="0"/>
              <w:adjustRightInd w:val="0"/>
              <w:spacing w:line="400" w:lineRule="exact"/>
              <w:rPr>
                <w:rFonts w:ascii="宋体" w:hAnsi="宋体" w:eastAsia="宋体" w:cs="宋体"/>
                <w:bCs/>
                <w:sz w:val="24"/>
                <w:lang w:val="zh-CN"/>
              </w:rPr>
            </w:pPr>
            <w:r>
              <w:rPr>
                <w:rFonts w:hint="eastAsia" w:ascii="宋体" w:hAnsi="宋体" w:eastAsia="宋体" w:cs="宋体"/>
                <w:bCs/>
                <w:sz w:val="24"/>
                <w:lang w:val="zh-CN"/>
              </w:rPr>
              <w:t>3.响应文件不得涂改，若有修改错漏处，须法定代表人（负责人）或授权委托人签字（或个人CA签章）。文件加盖CA签章时，请勿遮挡文件中关键信息。响应文件因字迹潦草或表达不清所引起的后果由供应商负责。</w:t>
            </w:r>
          </w:p>
          <w:p w14:paraId="53E044C1">
            <w:pPr>
              <w:widowControl/>
              <w:autoSpaceDE w:val="0"/>
              <w:autoSpaceDN w:val="0"/>
              <w:adjustRightInd w:val="0"/>
              <w:spacing w:line="400" w:lineRule="exact"/>
              <w:rPr>
                <w:rFonts w:ascii="宋体" w:hAnsi="宋体" w:eastAsia="宋体" w:cs="宋体"/>
                <w:bCs/>
                <w:sz w:val="24"/>
                <w:lang w:val="zh-CN"/>
              </w:rPr>
            </w:pPr>
            <w:r>
              <w:rPr>
                <w:rFonts w:hint="eastAsia" w:ascii="宋体" w:hAnsi="宋体" w:eastAsia="宋体" w:cs="宋体"/>
                <w:bCs/>
                <w:sz w:val="24"/>
                <w:lang w:val="zh-CN"/>
              </w:rPr>
              <w:t xml:space="preserve">4.评审前准备 </w:t>
            </w:r>
          </w:p>
          <w:p w14:paraId="1E9ECAE3">
            <w:pPr>
              <w:widowControl/>
              <w:autoSpaceDE w:val="0"/>
              <w:autoSpaceDN w:val="0"/>
              <w:adjustRightInd w:val="0"/>
              <w:spacing w:line="400" w:lineRule="exact"/>
              <w:rPr>
                <w:rFonts w:ascii="宋体" w:hAnsi="宋体" w:eastAsia="宋体" w:cs="宋体"/>
                <w:bCs/>
                <w:sz w:val="24"/>
                <w:lang w:val="zh-CN"/>
              </w:rPr>
            </w:pPr>
            <w:r>
              <w:rPr>
                <w:rFonts w:hint="eastAsia" w:ascii="宋体" w:hAnsi="宋体" w:eastAsia="宋体" w:cs="宋体"/>
                <w:bCs/>
                <w:sz w:val="24"/>
                <w:lang w:val="zh-CN"/>
              </w:rPr>
              <w:t xml:space="preserve">4.1本项目实行网上评审，采用电子响应文件；若供应商参与投标，自行承担投标一切费用。 </w:t>
            </w:r>
          </w:p>
          <w:p w14:paraId="2FA5A92D">
            <w:pPr>
              <w:widowControl/>
              <w:autoSpaceDE w:val="0"/>
              <w:autoSpaceDN w:val="0"/>
              <w:adjustRightInd w:val="0"/>
              <w:spacing w:line="400" w:lineRule="exact"/>
              <w:rPr>
                <w:rFonts w:ascii="宋体" w:hAnsi="宋体" w:eastAsia="宋体" w:cs="宋体"/>
                <w:bCs/>
                <w:sz w:val="24"/>
                <w:lang w:val="zh-CN"/>
              </w:rPr>
            </w:pPr>
            <w:r>
              <w:rPr>
                <w:rFonts w:hint="eastAsia" w:ascii="宋体" w:hAnsi="宋体" w:eastAsia="宋体" w:cs="宋体"/>
                <w:bCs/>
                <w:sz w:val="24"/>
                <w:lang w:val="zh-CN"/>
              </w:rPr>
              <w:t xml:space="preserve">4.2各供应商在投标截止前应确保成为政采云平台正式注册入库供应商，并完成 CA 数字证书申领。因未注册入库、未办理 CA 数字证书等原因造成无法投标或投标失败等后果由供应商自行承担。 </w:t>
            </w:r>
          </w:p>
          <w:p w14:paraId="59387054">
            <w:pPr>
              <w:widowControl/>
              <w:autoSpaceDE w:val="0"/>
              <w:autoSpaceDN w:val="0"/>
              <w:adjustRightInd w:val="0"/>
              <w:spacing w:line="400" w:lineRule="exact"/>
              <w:rPr>
                <w:rFonts w:ascii="宋体" w:hAnsi="宋体" w:eastAsia="宋体" w:cs="宋体"/>
                <w:bCs/>
                <w:sz w:val="24"/>
              </w:rPr>
            </w:pPr>
            <w:r>
              <w:rPr>
                <w:rFonts w:hint="eastAsia" w:ascii="宋体" w:hAnsi="宋体" w:eastAsia="宋体" w:cs="宋体"/>
                <w:bCs/>
                <w:sz w:val="24"/>
                <w:lang w:val="zh-CN"/>
              </w:rPr>
              <w:t>4.3供应商将政采云电子交易客户端下载、安装完成后，可通过账号密码或 CA 登录客户端进行响应文件制作。客户端请至网站下载专区查看，如有问题可拨打政采云客户服务热线 400-881-7190 进行咨询。</w:t>
            </w:r>
          </w:p>
        </w:tc>
      </w:tr>
      <w:tr w14:paraId="4894583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40C38FF">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32</w:t>
            </w:r>
          </w:p>
        </w:tc>
        <w:tc>
          <w:tcPr>
            <w:tcW w:w="2574" w:type="dxa"/>
            <w:tcBorders>
              <w:top w:val="single" w:color="auto" w:sz="4" w:space="0"/>
              <w:left w:val="nil"/>
              <w:bottom w:val="single" w:color="auto" w:sz="4" w:space="0"/>
              <w:right w:val="single" w:color="auto" w:sz="4" w:space="0"/>
            </w:tcBorders>
            <w:shd w:val="clear" w:color="auto" w:fill="auto"/>
            <w:vAlign w:val="center"/>
          </w:tcPr>
          <w:p w14:paraId="22685D2F">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远程解密</w:t>
            </w:r>
          </w:p>
        </w:tc>
        <w:tc>
          <w:tcPr>
            <w:tcW w:w="6517" w:type="dxa"/>
            <w:tcBorders>
              <w:top w:val="single" w:color="auto" w:sz="4" w:space="0"/>
              <w:left w:val="nil"/>
              <w:bottom w:val="single" w:color="auto" w:sz="4" w:space="0"/>
              <w:right w:val="single" w:color="auto" w:sz="4" w:space="0"/>
            </w:tcBorders>
            <w:shd w:val="clear" w:color="auto" w:fill="auto"/>
            <w:vAlign w:val="center"/>
          </w:tcPr>
          <w:p w14:paraId="227CFFBF">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sz w:val="24"/>
              </w:rPr>
              <w:t>供应商应在响应文件递交截止时间后30分钟内通过政府采购云平台完成响应文件远程解密。</w:t>
            </w:r>
          </w:p>
        </w:tc>
      </w:tr>
      <w:tr w14:paraId="18D12B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16CD5F7">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33</w:t>
            </w:r>
          </w:p>
        </w:tc>
        <w:tc>
          <w:tcPr>
            <w:tcW w:w="2574" w:type="dxa"/>
            <w:tcBorders>
              <w:top w:val="single" w:color="auto" w:sz="4" w:space="0"/>
              <w:left w:val="nil"/>
              <w:bottom w:val="single" w:color="auto" w:sz="4" w:space="0"/>
              <w:right w:val="single" w:color="auto" w:sz="4" w:space="0"/>
            </w:tcBorders>
            <w:shd w:val="clear" w:color="auto" w:fill="auto"/>
            <w:vAlign w:val="center"/>
          </w:tcPr>
          <w:p w14:paraId="7DA11F07">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是否退还响应文件</w:t>
            </w:r>
          </w:p>
        </w:tc>
        <w:tc>
          <w:tcPr>
            <w:tcW w:w="6517" w:type="dxa"/>
            <w:tcBorders>
              <w:top w:val="single" w:color="auto" w:sz="4" w:space="0"/>
              <w:left w:val="nil"/>
              <w:bottom w:val="single" w:color="auto" w:sz="4" w:space="0"/>
              <w:right w:val="single" w:color="auto" w:sz="4" w:space="0"/>
            </w:tcBorders>
            <w:shd w:val="clear" w:color="auto" w:fill="auto"/>
          </w:tcPr>
          <w:p w14:paraId="0B96E15C">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sz w:val="24"/>
              </w:rPr>
              <w:t>不退还</w:t>
            </w:r>
          </w:p>
        </w:tc>
      </w:tr>
      <w:tr w14:paraId="7AF4A6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7FD5227">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34</w:t>
            </w:r>
          </w:p>
        </w:tc>
        <w:tc>
          <w:tcPr>
            <w:tcW w:w="2574" w:type="dxa"/>
            <w:tcBorders>
              <w:top w:val="single" w:color="auto" w:sz="4" w:space="0"/>
              <w:left w:val="nil"/>
              <w:bottom w:val="single" w:color="auto" w:sz="4" w:space="0"/>
              <w:right w:val="single" w:color="auto" w:sz="4" w:space="0"/>
            </w:tcBorders>
            <w:shd w:val="clear" w:color="auto" w:fill="auto"/>
            <w:vAlign w:val="center"/>
          </w:tcPr>
          <w:p w14:paraId="04E69C4F">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开启时间和地点</w:t>
            </w:r>
          </w:p>
        </w:tc>
        <w:tc>
          <w:tcPr>
            <w:tcW w:w="6517" w:type="dxa"/>
            <w:tcBorders>
              <w:top w:val="single" w:color="auto" w:sz="4" w:space="0"/>
              <w:left w:val="nil"/>
              <w:bottom w:val="single" w:color="auto" w:sz="4" w:space="0"/>
              <w:right w:val="single" w:color="auto" w:sz="4" w:space="0"/>
            </w:tcBorders>
            <w:shd w:val="clear" w:color="auto" w:fill="auto"/>
          </w:tcPr>
          <w:p w14:paraId="31EE2948">
            <w:pPr>
              <w:widowControl/>
              <w:autoSpaceDE w:val="0"/>
              <w:autoSpaceDN w:val="0"/>
              <w:adjustRightInd w:val="0"/>
              <w:spacing w:line="400" w:lineRule="exact"/>
              <w:jc w:val="left"/>
              <w:rPr>
                <w:rFonts w:hint="eastAsia" w:ascii="宋体" w:hAnsi="宋体" w:eastAsia="宋体" w:cs="宋体"/>
                <w:bCs/>
                <w:color w:val="auto"/>
                <w:sz w:val="24"/>
                <w:lang w:eastAsia="zh-CN"/>
              </w:rPr>
            </w:pPr>
            <w:r>
              <w:rPr>
                <w:rFonts w:hint="eastAsia" w:ascii="宋体" w:hAnsi="宋体" w:eastAsia="宋体" w:cs="宋体"/>
                <w:bCs/>
                <w:sz w:val="24"/>
              </w:rPr>
              <w:t>开启时间：2026年5月20日13时30分</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北京时间</w:t>
            </w:r>
            <w:r>
              <w:rPr>
                <w:rFonts w:hint="eastAsia" w:ascii="宋体" w:hAnsi="宋体" w:eastAsia="宋体" w:cs="宋体"/>
                <w:bCs/>
                <w:color w:val="auto"/>
                <w:sz w:val="24"/>
                <w:lang w:eastAsia="zh-CN"/>
              </w:rPr>
              <w:t>）</w:t>
            </w:r>
          </w:p>
          <w:p w14:paraId="23274254">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bCs/>
                <w:color w:val="auto"/>
                <w:sz w:val="24"/>
              </w:rPr>
              <w:t>开启地点：</w:t>
            </w:r>
            <w:r>
              <w:rPr>
                <w:rFonts w:hint="eastAsia" w:ascii="宋体" w:hAnsi="宋体" w:eastAsia="宋体" w:cs="宋体"/>
                <w:color w:val="auto"/>
                <w:sz w:val="24"/>
              </w:rPr>
              <w:t>长春市二道区洋浦大街6999号凯</w:t>
            </w:r>
            <w:r>
              <w:rPr>
                <w:rFonts w:hint="eastAsia" w:ascii="宋体" w:hAnsi="宋体" w:eastAsia="宋体" w:cs="宋体"/>
                <w:sz w:val="24"/>
              </w:rPr>
              <w:t>利中心AB</w:t>
            </w:r>
            <w:r>
              <w:rPr>
                <w:rFonts w:hint="eastAsia" w:ascii="宋体" w:hAnsi="宋体" w:eastAsia="宋体" w:cs="宋体"/>
                <w:color w:val="auto"/>
                <w:sz w:val="24"/>
              </w:rPr>
              <w:t>栋101开标室。本项目远程开启文件，</w:t>
            </w:r>
            <w:r>
              <w:rPr>
                <w:rFonts w:hint="eastAsia" w:eastAsia="宋体" w:cs="宋体"/>
                <w:color w:val="auto"/>
                <w:sz w:val="24"/>
              </w:rPr>
              <w:t>供应商</w:t>
            </w:r>
            <w:r>
              <w:rPr>
                <w:rFonts w:hint="eastAsia" w:ascii="宋体" w:hAnsi="宋体" w:eastAsia="宋体" w:cs="宋体"/>
                <w:color w:val="auto"/>
                <w:sz w:val="24"/>
              </w:rPr>
              <w:t>不需要到达开启现</w:t>
            </w:r>
            <w:r>
              <w:rPr>
                <w:rFonts w:hint="eastAsia" w:ascii="宋体" w:hAnsi="宋体" w:eastAsia="宋体" w:cs="宋体"/>
                <w:sz w:val="24"/>
              </w:rPr>
              <w:t>场</w:t>
            </w:r>
            <w:r>
              <w:rPr>
                <w:rFonts w:hint="eastAsia" w:eastAsia="宋体" w:cs="宋体"/>
                <w:sz w:val="24"/>
              </w:rPr>
              <w:t>。</w:t>
            </w:r>
          </w:p>
        </w:tc>
      </w:tr>
      <w:tr w14:paraId="19B7A5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3C0F768">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35</w:t>
            </w:r>
          </w:p>
        </w:tc>
        <w:tc>
          <w:tcPr>
            <w:tcW w:w="2574" w:type="dxa"/>
            <w:tcBorders>
              <w:top w:val="single" w:color="auto" w:sz="4" w:space="0"/>
              <w:left w:val="nil"/>
              <w:bottom w:val="single" w:color="auto" w:sz="4" w:space="0"/>
              <w:right w:val="single" w:color="auto" w:sz="4" w:space="0"/>
            </w:tcBorders>
            <w:shd w:val="clear" w:color="auto" w:fill="auto"/>
            <w:vAlign w:val="center"/>
          </w:tcPr>
          <w:p w14:paraId="652D4D6B">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sz w:val="24"/>
              </w:rPr>
              <w:t>磋商会议</w:t>
            </w:r>
            <w:r>
              <w:rPr>
                <w:rFonts w:hint="eastAsia" w:ascii="宋体" w:hAnsi="宋体" w:eastAsia="宋体" w:cs="宋体"/>
                <w:bCs/>
                <w:sz w:val="24"/>
              </w:rPr>
              <w:t>程序</w:t>
            </w:r>
          </w:p>
        </w:tc>
        <w:tc>
          <w:tcPr>
            <w:tcW w:w="6517" w:type="dxa"/>
            <w:tcBorders>
              <w:top w:val="single" w:color="auto" w:sz="4" w:space="0"/>
              <w:left w:val="nil"/>
              <w:bottom w:val="single" w:color="auto" w:sz="4" w:space="0"/>
              <w:right w:val="single" w:color="auto" w:sz="4" w:space="0"/>
            </w:tcBorders>
            <w:shd w:val="clear" w:color="auto" w:fill="auto"/>
          </w:tcPr>
          <w:p w14:paraId="3472E488">
            <w:pPr>
              <w:widowControl/>
              <w:autoSpaceDE w:val="0"/>
              <w:autoSpaceDN w:val="0"/>
              <w:adjustRightInd w:val="0"/>
              <w:spacing w:line="400" w:lineRule="exact"/>
              <w:jc w:val="left"/>
              <w:rPr>
                <w:rFonts w:ascii="宋体" w:hAnsi="宋体" w:eastAsia="宋体" w:cs="宋体"/>
                <w:bCs/>
                <w:sz w:val="24"/>
              </w:rPr>
            </w:pPr>
            <w:r>
              <w:rPr>
                <w:rFonts w:hint="eastAsia" w:ascii="宋体" w:hAnsi="宋体" w:eastAsia="宋体" w:cs="宋体"/>
                <w:sz w:val="24"/>
              </w:rPr>
              <w:t>磋商会议</w:t>
            </w:r>
            <w:r>
              <w:rPr>
                <w:rFonts w:hint="eastAsia" w:ascii="宋体" w:hAnsi="宋体" w:eastAsia="宋体" w:cs="宋体"/>
                <w:bCs/>
                <w:sz w:val="24"/>
              </w:rPr>
              <w:t>方式为全流程电子化远程进行。参加磋商会议人员应为供应商法定代表人或被授权人。供应商在线参加远程磋商会议，如未进入或离开远程会议室，后果自负，视为认同远程会议全过程。供应商对</w:t>
            </w:r>
            <w:r>
              <w:rPr>
                <w:rFonts w:hint="eastAsia" w:ascii="宋体" w:hAnsi="宋体" w:eastAsia="宋体" w:cs="宋体"/>
                <w:sz w:val="24"/>
              </w:rPr>
              <w:t>磋商会议现场</w:t>
            </w:r>
            <w:r>
              <w:rPr>
                <w:rFonts w:hint="eastAsia" w:ascii="宋体" w:hAnsi="宋体" w:eastAsia="宋体" w:cs="宋体"/>
                <w:bCs/>
                <w:sz w:val="24"/>
              </w:rPr>
              <w:t>有异议的，应当通过远程视频会议当场提出，非</w:t>
            </w:r>
            <w:r>
              <w:rPr>
                <w:rFonts w:hint="eastAsia" w:ascii="宋体" w:hAnsi="宋体" w:eastAsia="宋体" w:cs="宋体"/>
                <w:sz w:val="24"/>
              </w:rPr>
              <w:t>磋商会议</w:t>
            </w:r>
            <w:r>
              <w:rPr>
                <w:rFonts w:hint="eastAsia" w:ascii="宋体" w:hAnsi="宋体" w:eastAsia="宋体" w:cs="宋体"/>
                <w:bCs/>
                <w:sz w:val="24"/>
              </w:rPr>
              <w:t>现场提出的异议，采购人和行政监督部门不予受理。</w:t>
            </w:r>
          </w:p>
        </w:tc>
      </w:tr>
      <w:tr w14:paraId="2B3644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4583BD8">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36</w:t>
            </w:r>
          </w:p>
        </w:tc>
        <w:tc>
          <w:tcPr>
            <w:tcW w:w="2574" w:type="dxa"/>
            <w:tcBorders>
              <w:top w:val="single" w:color="auto" w:sz="4" w:space="0"/>
              <w:left w:val="nil"/>
              <w:bottom w:val="single" w:color="auto" w:sz="4" w:space="0"/>
              <w:right w:val="single" w:color="auto" w:sz="4" w:space="0"/>
            </w:tcBorders>
            <w:shd w:val="clear" w:color="auto" w:fill="auto"/>
            <w:vAlign w:val="center"/>
          </w:tcPr>
          <w:p w14:paraId="090CF454">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评标委员会的组建</w:t>
            </w:r>
          </w:p>
        </w:tc>
        <w:tc>
          <w:tcPr>
            <w:tcW w:w="6517" w:type="dxa"/>
            <w:tcBorders>
              <w:top w:val="single" w:color="auto" w:sz="4" w:space="0"/>
              <w:left w:val="nil"/>
              <w:bottom w:val="single" w:color="auto" w:sz="4" w:space="0"/>
              <w:right w:val="single" w:color="auto" w:sz="4" w:space="0"/>
            </w:tcBorders>
            <w:shd w:val="clear" w:color="auto" w:fill="auto"/>
            <w:vAlign w:val="center"/>
          </w:tcPr>
          <w:p w14:paraId="65FC3C24">
            <w:pPr>
              <w:widowControl/>
              <w:autoSpaceDN w:val="0"/>
              <w:spacing w:line="400" w:lineRule="exact"/>
              <w:jc w:val="left"/>
              <w:rPr>
                <w:rFonts w:ascii="宋体" w:hAnsi="宋体" w:eastAsia="宋体" w:cs="宋体"/>
                <w:bCs/>
                <w:sz w:val="24"/>
              </w:rPr>
            </w:pPr>
            <w:r>
              <w:rPr>
                <w:rFonts w:hint="eastAsia" w:ascii="宋体" w:hAnsi="宋体" w:eastAsia="宋体" w:cs="宋体"/>
                <w:bCs/>
                <w:color w:val="auto"/>
                <w:sz w:val="24"/>
              </w:rPr>
              <w:t>评标委员会构成：</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人，</w:t>
            </w:r>
            <w:r>
              <w:rPr>
                <w:rFonts w:hint="eastAsia" w:ascii="宋体" w:hAnsi="宋体" w:eastAsia="宋体" w:cs="宋体"/>
                <w:bCs/>
                <w:sz w:val="24"/>
              </w:rPr>
              <w:t>由采购人代表1人，相关专业经济、技术社会专家</w:t>
            </w:r>
            <w:r>
              <w:rPr>
                <w:rFonts w:hint="eastAsia" w:ascii="宋体" w:hAnsi="宋体" w:eastAsia="宋体" w:cs="宋体"/>
                <w:bCs/>
                <w:sz w:val="24"/>
                <w:lang w:val="en-US" w:eastAsia="zh-CN"/>
              </w:rPr>
              <w:t>4</w:t>
            </w:r>
            <w:r>
              <w:rPr>
                <w:rFonts w:hint="eastAsia" w:ascii="宋体" w:hAnsi="宋体" w:eastAsia="宋体" w:cs="宋体"/>
                <w:bCs/>
                <w:sz w:val="24"/>
              </w:rPr>
              <w:t>人组成；</w:t>
            </w:r>
          </w:p>
          <w:p w14:paraId="2F230BE5">
            <w:pPr>
              <w:widowControl/>
              <w:autoSpaceDN w:val="0"/>
              <w:spacing w:line="400" w:lineRule="exact"/>
              <w:rPr>
                <w:rFonts w:ascii="宋体" w:hAnsi="宋体" w:eastAsia="宋体" w:cs="宋体"/>
                <w:bCs/>
                <w:sz w:val="24"/>
              </w:rPr>
            </w:pPr>
            <w:r>
              <w:rPr>
                <w:rFonts w:hint="eastAsia" w:ascii="宋体" w:hAnsi="宋体" w:eastAsia="宋体" w:cs="宋体"/>
                <w:bCs/>
                <w:sz w:val="24"/>
              </w:rPr>
              <w:t>评标专家确定方式：从政府采购评审专家库中随机抽取产生。</w:t>
            </w:r>
          </w:p>
        </w:tc>
      </w:tr>
      <w:tr w14:paraId="4F11DA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7"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9AB3CEB">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37</w:t>
            </w:r>
          </w:p>
        </w:tc>
        <w:tc>
          <w:tcPr>
            <w:tcW w:w="2574" w:type="dxa"/>
            <w:tcBorders>
              <w:top w:val="single" w:color="auto" w:sz="4" w:space="0"/>
              <w:left w:val="nil"/>
              <w:bottom w:val="single" w:color="auto" w:sz="4" w:space="0"/>
              <w:right w:val="single" w:color="auto" w:sz="4" w:space="0"/>
            </w:tcBorders>
            <w:shd w:val="clear" w:color="auto" w:fill="auto"/>
            <w:vAlign w:val="center"/>
          </w:tcPr>
          <w:p w14:paraId="564EFA18">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是否授权评标委员会确定中标人</w:t>
            </w:r>
          </w:p>
        </w:tc>
        <w:tc>
          <w:tcPr>
            <w:tcW w:w="6517" w:type="dxa"/>
            <w:tcBorders>
              <w:top w:val="single" w:color="auto" w:sz="4" w:space="0"/>
              <w:left w:val="nil"/>
              <w:bottom w:val="single" w:color="auto" w:sz="4" w:space="0"/>
              <w:right w:val="single" w:color="auto" w:sz="4" w:space="0"/>
            </w:tcBorders>
            <w:shd w:val="clear" w:color="auto" w:fill="auto"/>
            <w:vAlign w:val="center"/>
          </w:tcPr>
          <w:p w14:paraId="539E83E4">
            <w:pPr>
              <w:widowControl/>
              <w:autoSpaceDN w:val="0"/>
              <w:spacing w:line="400" w:lineRule="exact"/>
              <w:rPr>
                <w:rFonts w:ascii="宋体" w:hAnsi="宋体" w:eastAsia="宋体" w:cs="宋体"/>
                <w:bCs/>
                <w:kern w:val="15"/>
                <w:sz w:val="24"/>
              </w:rPr>
            </w:pPr>
            <w:r>
              <w:rPr>
                <w:rFonts w:hint="eastAsia" w:ascii="宋体" w:hAnsi="宋体" w:eastAsia="宋体" w:cs="宋体"/>
                <w:bCs/>
                <w:sz w:val="24"/>
              </w:rPr>
              <w:t>评标委员会根据综合评分由高到低确定1名中标人。</w:t>
            </w:r>
          </w:p>
        </w:tc>
      </w:tr>
      <w:tr w14:paraId="51FC7D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7"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C9C779F">
            <w:pPr>
              <w:widowControl/>
              <w:autoSpaceDN w:val="0"/>
              <w:spacing w:line="400" w:lineRule="exact"/>
              <w:jc w:val="center"/>
              <w:textAlignment w:val="center"/>
              <w:rPr>
                <w:rFonts w:ascii="宋体" w:hAnsi="宋体" w:eastAsia="宋体" w:cs="宋体"/>
                <w:kern w:val="0"/>
                <w:sz w:val="24"/>
              </w:rPr>
            </w:pPr>
            <w:r>
              <w:rPr>
                <w:rFonts w:hint="eastAsia" w:ascii="宋体" w:hAnsi="宋体" w:eastAsia="宋体" w:cs="宋体"/>
                <w:kern w:val="0"/>
                <w:sz w:val="24"/>
              </w:rPr>
              <w:t>38</w:t>
            </w:r>
          </w:p>
        </w:tc>
        <w:tc>
          <w:tcPr>
            <w:tcW w:w="2574" w:type="dxa"/>
            <w:tcBorders>
              <w:top w:val="single" w:color="auto" w:sz="4" w:space="0"/>
              <w:left w:val="nil"/>
              <w:bottom w:val="single" w:color="auto" w:sz="4" w:space="0"/>
              <w:right w:val="single" w:color="auto" w:sz="4" w:space="0"/>
            </w:tcBorders>
            <w:shd w:val="clear" w:color="auto" w:fill="auto"/>
            <w:vAlign w:val="center"/>
          </w:tcPr>
          <w:p w14:paraId="19BAA308">
            <w:pPr>
              <w:widowControl/>
              <w:autoSpaceDN w:val="0"/>
              <w:spacing w:line="400" w:lineRule="exact"/>
              <w:jc w:val="center"/>
              <w:rPr>
                <w:rFonts w:ascii="宋体" w:hAnsi="宋体" w:eastAsia="宋体" w:cs="宋体"/>
                <w:bCs/>
                <w:kern w:val="15"/>
                <w:sz w:val="24"/>
              </w:rPr>
            </w:pPr>
            <w:r>
              <w:rPr>
                <w:rFonts w:hint="eastAsia" w:ascii="宋体" w:hAnsi="宋体" w:eastAsia="宋体" w:cs="宋体"/>
                <w:bCs/>
                <w:kern w:val="15"/>
                <w:sz w:val="24"/>
              </w:rPr>
              <w:t>评审办法</w:t>
            </w:r>
          </w:p>
        </w:tc>
        <w:tc>
          <w:tcPr>
            <w:tcW w:w="6517" w:type="dxa"/>
            <w:tcBorders>
              <w:top w:val="single" w:color="auto" w:sz="4" w:space="0"/>
              <w:left w:val="nil"/>
              <w:bottom w:val="single" w:color="auto" w:sz="4" w:space="0"/>
              <w:right w:val="single" w:color="auto" w:sz="4" w:space="0"/>
            </w:tcBorders>
            <w:shd w:val="clear" w:color="auto" w:fill="auto"/>
          </w:tcPr>
          <w:p w14:paraId="42DD19F5">
            <w:pPr>
              <w:widowControl/>
              <w:autoSpaceDN w:val="0"/>
              <w:spacing w:line="400" w:lineRule="exact"/>
              <w:jc w:val="left"/>
              <w:rPr>
                <w:rFonts w:ascii="宋体" w:hAnsi="宋体" w:eastAsia="宋体" w:cs="宋体"/>
                <w:b/>
                <w:bCs/>
                <w:sz w:val="24"/>
              </w:rPr>
            </w:pPr>
            <w:r>
              <w:rPr>
                <w:rFonts w:hint="eastAsia" w:ascii="宋体" w:hAnsi="宋体" w:eastAsia="宋体" w:cs="宋体"/>
                <w:sz w:val="24"/>
              </w:rPr>
              <w:t>综合评分法（竞争性磋商），采用“双盲”评审（即评标专家“盲抽”和“盲评”）。</w:t>
            </w:r>
          </w:p>
        </w:tc>
      </w:tr>
      <w:tr w14:paraId="79B27F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7070692">
            <w:pPr>
              <w:widowControl/>
              <w:autoSpaceDN w:val="0"/>
              <w:spacing w:line="400" w:lineRule="exact"/>
              <w:jc w:val="center"/>
              <w:textAlignment w:val="center"/>
              <w:rPr>
                <w:rFonts w:ascii="宋体" w:hAnsi="宋体" w:eastAsia="宋体" w:cs="宋体"/>
                <w:bCs/>
                <w:sz w:val="24"/>
              </w:rPr>
            </w:pPr>
            <w:r>
              <w:rPr>
                <w:rFonts w:hint="eastAsia" w:ascii="宋体" w:hAnsi="宋体" w:eastAsia="宋体" w:cs="宋体"/>
                <w:kern w:val="0"/>
                <w:sz w:val="24"/>
              </w:rPr>
              <w:t>39</w:t>
            </w:r>
          </w:p>
        </w:tc>
        <w:tc>
          <w:tcPr>
            <w:tcW w:w="2574" w:type="dxa"/>
            <w:tcBorders>
              <w:top w:val="single" w:color="auto" w:sz="4" w:space="0"/>
              <w:left w:val="nil"/>
              <w:bottom w:val="single" w:color="auto" w:sz="4" w:space="0"/>
              <w:right w:val="single" w:color="auto" w:sz="4" w:space="0"/>
            </w:tcBorders>
            <w:shd w:val="clear" w:color="auto" w:fill="auto"/>
            <w:vAlign w:val="center"/>
          </w:tcPr>
          <w:p w14:paraId="034EF3E5">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履约担保</w:t>
            </w:r>
          </w:p>
        </w:tc>
        <w:tc>
          <w:tcPr>
            <w:tcW w:w="6517" w:type="dxa"/>
            <w:tcBorders>
              <w:top w:val="single" w:color="auto" w:sz="4" w:space="0"/>
              <w:left w:val="nil"/>
              <w:bottom w:val="single" w:color="auto" w:sz="4" w:space="0"/>
              <w:right w:val="single" w:color="auto" w:sz="4" w:space="0"/>
            </w:tcBorders>
            <w:shd w:val="clear" w:color="auto" w:fill="auto"/>
            <w:vAlign w:val="center"/>
          </w:tcPr>
          <w:p w14:paraId="3A7BC5A6">
            <w:pPr>
              <w:widowControl/>
              <w:autoSpaceDN w:val="0"/>
              <w:spacing w:line="400" w:lineRule="exact"/>
              <w:rPr>
                <w:rFonts w:hint="eastAsia" w:ascii="宋体" w:hAnsi="宋体" w:eastAsia="宋体" w:cs="宋体"/>
                <w:bCs/>
                <w:color w:val="auto"/>
                <w:sz w:val="24"/>
              </w:rPr>
            </w:pPr>
            <w:r>
              <w:rPr>
                <w:rFonts w:hint="eastAsia" w:ascii="宋体" w:hAnsi="宋体" w:eastAsia="宋体" w:cs="宋体"/>
                <w:bCs/>
                <w:color w:val="auto"/>
                <w:sz w:val="24"/>
              </w:rPr>
              <w:t>1.履约担保的金额：中标价格的5%；</w:t>
            </w:r>
          </w:p>
          <w:p w14:paraId="6412A4CB">
            <w:pPr>
              <w:widowControl/>
              <w:autoSpaceDN w:val="0"/>
              <w:spacing w:line="400" w:lineRule="exact"/>
              <w:rPr>
                <w:rFonts w:hint="eastAsia" w:ascii="宋体" w:hAnsi="宋体" w:eastAsia="宋体" w:cs="宋体"/>
                <w:bCs/>
                <w:color w:val="auto"/>
                <w:sz w:val="24"/>
              </w:rPr>
            </w:pPr>
            <w:r>
              <w:rPr>
                <w:rFonts w:hint="eastAsia" w:ascii="宋体" w:hAnsi="宋体" w:eastAsia="宋体" w:cs="宋体"/>
                <w:bCs/>
                <w:color w:val="auto"/>
                <w:sz w:val="24"/>
              </w:rPr>
              <w:t>2.履约担保缴纳（提交）时间：下发中标通知书之日起7日内提交。</w:t>
            </w:r>
          </w:p>
          <w:p w14:paraId="22C86884">
            <w:pPr>
              <w:widowControl/>
              <w:autoSpaceDN w:val="0"/>
              <w:spacing w:line="400" w:lineRule="exact"/>
              <w:rPr>
                <w:rFonts w:hint="eastAsia" w:ascii="宋体" w:hAnsi="宋体" w:eastAsia="宋体" w:cs="宋体"/>
                <w:bCs/>
                <w:color w:val="auto"/>
                <w:sz w:val="24"/>
              </w:rPr>
            </w:pPr>
            <w:r>
              <w:rPr>
                <w:rFonts w:hint="eastAsia" w:ascii="宋体" w:hAnsi="宋体" w:eastAsia="宋体" w:cs="宋体"/>
                <w:bCs/>
                <w:color w:val="auto"/>
                <w:sz w:val="24"/>
              </w:rPr>
              <w:t>3.履约保证金交纳后持中标通知书与采购人签订中标合同。</w:t>
            </w:r>
          </w:p>
          <w:p w14:paraId="3FEE4A6C">
            <w:pPr>
              <w:widowControl/>
              <w:autoSpaceDN w:val="0"/>
              <w:spacing w:line="400" w:lineRule="exact"/>
              <w:rPr>
                <w:rFonts w:hint="eastAsia" w:ascii="宋体" w:hAnsi="宋体" w:eastAsia="宋体" w:cs="宋体"/>
                <w:bCs/>
                <w:color w:val="auto"/>
                <w:sz w:val="24"/>
              </w:rPr>
            </w:pPr>
            <w:r>
              <w:rPr>
                <w:rFonts w:hint="eastAsia" w:ascii="宋体" w:hAnsi="宋体" w:eastAsia="宋体" w:cs="宋体"/>
                <w:bCs/>
                <w:color w:val="auto"/>
                <w:sz w:val="24"/>
              </w:rPr>
              <w:t>4.履约保证金退还：由采购人根据采购合同约定，待供应商履行完合同约定权利义务事项后退还。</w:t>
            </w:r>
          </w:p>
          <w:p w14:paraId="0E8038B9">
            <w:pPr>
              <w:widowControl/>
              <w:autoSpaceDN w:val="0"/>
              <w:spacing w:line="400" w:lineRule="exact"/>
              <w:rPr>
                <w:rFonts w:ascii="宋体" w:hAnsi="宋体" w:eastAsia="宋体" w:cs="宋体"/>
                <w:bCs/>
                <w:color w:val="FF0000"/>
                <w:sz w:val="24"/>
              </w:rPr>
            </w:pPr>
            <w:r>
              <w:rPr>
                <w:rFonts w:hint="eastAsia" w:ascii="宋体" w:hAnsi="宋体" w:eastAsia="宋体" w:cs="宋体"/>
                <w:bCs/>
                <w:color w:val="auto"/>
                <w:sz w:val="24"/>
              </w:rPr>
              <w:t>5.担保形式：保函形式或从投标单位基本存款账户转出或汇出。</w:t>
            </w:r>
          </w:p>
        </w:tc>
      </w:tr>
      <w:tr w14:paraId="506A08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BB43536">
            <w:pPr>
              <w:widowControl/>
              <w:autoSpaceDN w:val="0"/>
              <w:spacing w:line="400" w:lineRule="exact"/>
              <w:jc w:val="center"/>
              <w:textAlignment w:val="center"/>
              <w:rPr>
                <w:rFonts w:ascii="宋体" w:hAnsi="宋体" w:eastAsia="宋体" w:cs="宋体"/>
                <w:kern w:val="0"/>
                <w:sz w:val="24"/>
              </w:rPr>
            </w:pPr>
            <w:r>
              <w:rPr>
                <w:rFonts w:hint="eastAsia" w:ascii="宋体" w:hAnsi="宋体" w:eastAsia="宋体" w:cs="宋体"/>
                <w:kern w:val="0"/>
                <w:sz w:val="24"/>
              </w:rPr>
              <w:t>40</w:t>
            </w:r>
          </w:p>
        </w:tc>
        <w:tc>
          <w:tcPr>
            <w:tcW w:w="2574" w:type="dxa"/>
            <w:tcBorders>
              <w:top w:val="single" w:color="auto" w:sz="4" w:space="0"/>
              <w:left w:val="nil"/>
              <w:bottom w:val="single" w:color="auto" w:sz="4" w:space="0"/>
              <w:right w:val="single" w:color="auto" w:sz="4" w:space="0"/>
            </w:tcBorders>
            <w:shd w:val="clear" w:color="auto" w:fill="auto"/>
            <w:vAlign w:val="center"/>
          </w:tcPr>
          <w:p w14:paraId="10A72B49">
            <w:pPr>
              <w:autoSpaceDE w:val="0"/>
              <w:autoSpaceDN w:val="0"/>
              <w:adjustRightInd w:val="0"/>
              <w:spacing w:before="135" w:beforeLines="50" w:after="135" w:afterLines="50" w:line="240" w:lineRule="exact"/>
              <w:rPr>
                <w:rFonts w:hint="eastAsia" w:ascii="宋体" w:hAnsi="宋体" w:eastAsiaTheme="minorEastAsia"/>
                <w:sz w:val="24"/>
                <w:lang w:eastAsia="zh-CN"/>
              </w:rPr>
            </w:pPr>
            <w:r>
              <w:rPr>
                <w:rFonts w:hint="eastAsia" w:ascii="宋体" w:hAnsi="宋体"/>
                <w:sz w:val="24"/>
              </w:rPr>
              <w:t>采购预算</w:t>
            </w:r>
            <w:r>
              <w:rPr>
                <w:rFonts w:hint="eastAsia" w:ascii="宋体" w:hAnsi="宋体"/>
                <w:sz w:val="24"/>
                <w:lang w:eastAsia="zh-CN"/>
              </w:rPr>
              <w:t>（</w:t>
            </w:r>
            <w:r>
              <w:rPr>
                <w:rFonts w:hint="eastAsia" w:ascii="宋体" w:hAnsi="宋体"/>
                <w:sz w:val="24"/>
              </w:rPr>
              <w:t>最高投标限价</w:t>
            </w:r>
            <w:r>
              <w:rPr>
                <w:rFonts w:hint="eastAsia" w:ascii="宋体" w:hAnsi="宋体"/>
                <w:sz w:val="24"/>
                <w:lang w:eastAsia="zh-CN"/>
              </w:rPr>
              <w:t>）</w:t>
            </w:r>
          </w:p>
          <w:p w14:paraId="129CE0D0">
            <w:pPr>
              <w:autoSpaceDE w:val="0"/>
              <w:autoSpaceDN w:val="0"/>
              <w:adjustRightInd w:val="0"/>
              <w:spacing w:before="135" w:beforeLines="50" w:after="135" w:afterLines="50" w:line="240" w:lineRule="exact"/>
              <w:rPr>
                <w:rFonts w:ascii="宋体" w:hAnsi="宋体" w:eastAsia="宋体" w:cs="宋体"/>
                <w:b/>
                <w:bCs/>
                <w:sz w:val="24"/>
              </w:rPr>
            </w:pPr>
          </w:p>
        </w:tc>
        <w:tc>
          <w:tcPr>
            <w:tcW w:w="6517" w:type="dxa"/>
            <w:tcBorders>
              <w:top w:val="single" w:color="auto" w:sz="4" w:space="0"/>
              <w:left w:val="nil"/>
              <w:bottom w:val="single" w:color="auto" w:sz="4" w:space="0"/>
              <w:right w:val="single" w:color="auto" w:sz="4" w:space="0"/>
            </w:tcBorders>
            <w:shd w:val="clear" w:color="auto" w:fill="auto"/>
            <w:vAlign w:val="center"/>
          </w:tcPr>
          <w:p w14:paraId="0ED8D991">
            <w:pPr>
              <w:widowControl/>
              <w:autoSpaceDN w:val="0"/>
              <w:spacing w:line="400" w:lineRule="exact"/>
              <w:rPr>
                <w:rFonts w:hint="eastAsia" w:ascii="宋体" w:hAnsi="宋体" w:eastAsia="宋体" w:cs="宋体"/>
                <w:bCs/>
                <w:color w:val="auto"/>
                <w:sz w:val="24"/>
              </w:rPr>
            </w:pPr>
            <w:r>
              <w:rPr>
                <w:rFonts w:hint="eastAsia" w:ascii="宋体" w:hAnsi="宋体" w:eastAsia="宋体" w:cs="宋体"/>
                <w:bCs/>
                <w:color w:val="auto"/>
                <w:sz w:val="24"/>
              </w:rPr>
              <w:t>采购预算（最高投标限价）：人民币</w:t>
            </w:r>
            <w:r>
              <w:rPr>
                <w:rFonts w:hint="eastAsia" w:ascii="宋体" w:hAnsi="宋体" w:eastAsia="宋体" w:cs="宋体"/>
                <w:bCs/>
                <w:color w:val="auto"/>
                <w:sz w:val="24"/>
                <w:lang w:val="en-US" w:eastAsia="zh-CN"/>
              </w:rPr>
              <w:t>5416003.00</w:t>
            </w:r>
            <w:r>
              <w:rPr>
                <w:rFonts w:hint="eastAsia" w:ascii="宋体" w:hAnsi="宋体" w:eastAsia="宋体" w:cs="宋体"/>
                <w:bCs/>
                <w:color w:val="auto"/>
                <w:sz w:val="24"/>
              </w:rPr>
              <w:t>元。</w:t>
            </w:r>
          </w:p>
          <w:p w14:paraId="1ACD4E5E">
            <w:pPr>
              <w:widowControl/>
              <w:autoSpaceDN w:val="0"/>
              <w:spacing w:line="400" w:lineRule="exact"/>
              <w:rPr>
                <w:rFonts w:ascii="宋体" w:hAnsi="宋体" w:eastAsia="宋体" w:cs="宋体"/>
                <w:bCs/>
                <w:color w:val="auto"/>
                <w:sz w:val="24"/>
              </w:rPr>
            </w:pPr>
            <w:r>
              <w:rPr>
                <w:rFonts w:hint="eastAsia" w:ascii="宋体" w:hAnsi="宋体" w:eastAsia="宋体" w:cs="宋体"/>
                <w:bCs/>
                <w:color w:val="auto"/>
                <w:sz w:val="24"/>
              </w:rPr>
              <w:t>供应商首次报价不得超过采购预算（最高投标限价），超过采购预算（最高投标限价）的报价将被否决。</w:t>
            </w:r>
          </w:p>
        </w:tc>
      </w:tr>
      <w:tr w14:paraId="146269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045E147">
            <w:pPr>
              <w:widowControl/>
              <w:autoSpaceDN w:val="0"/>
              <w:spacing w:line="400" w:lineRule="exact"/>
              <w:jc w:val="center"/>
              <w:textAlignment w:val="center"/>
              <w:rPr>
                <w:rFonts w:ascii="宋体" w:hAnsi="宋体" w:eastAsia="宋体" w:cs="宋体"/>
                <w:kern w:val="0"/>
                <w:sz w:val="24"/>
              </w:rPr>
            </w:pPr>
            <w:r>
              <w:rPr>
                <w:rFonts w:hint="eastAsia" w:ascii="宋体" w:hAnsi="宋体" w:eastAsia="宋体" w:cs="宋体"/>
                <w:kern w:val="0"/>
                <w:sz w:val="24"/>
              </w:rPr>
              <w:t>41</w:t>
            </w:r>
          </w:p>
        </w:tc>
        <w:tc>
          <w:tcPr>
            <w:tcW w:w="2574" w:type="dxa"/>
            <w:tcBorders>
              <w:top w:val="single" w:color="auto" w:sz="4" w:space="0"/>
              <w:left w:val="nil"/>
              <w:bottom w:val="single" w:color="auto" w:sz="4" w:space="0"/>
              <w:right w:val="single" w:color="auto" w:sz="4" w:space="0"/>
            </w:tcBorders>
            <w:shd w:val="clear" w:color="auto" w:fill="auto"/>
            <w:vAlign w:val="center"/>
          </w:tcPr>
          <w:p w14:paraId="39DDF7BF">
            <w:pPr>
              <w:autoSpaceDE w:val="0"/>
              <w:autoSpaceDN w:val="0"/>
              <w:adjustRightInd w:val="0"/>
              <w:spacing w:before="135" w:beforeLines="50" w:after="135" w:afterLines="50" w:line="240" w:lineRule="exact"/>
              <w:jc w:val="center"/>
              <w:rPr>
                <w:rFonts w:ascii="宋体" w:hAnsi="宋体"/>
                <w:sz w:val="24"/>
              </w:rPr>
            </w:pPr>
            <w:r>
              <w:rPr>
                <w:rFonts w:hint="eastAsia" w:ascii="宋体" w:hAnsi="宋体" w:eastAsia="宋体" w:cs="宋体"/>
                <w:color w:val="000000"/>
                <w:sz w:val="24"/>
                <w:szCs w:val="24"/>
                <w:highlight w:val="none"/>
                <w:u w:val="none"/>
              </w:rPr>
              <w:t>计价方式和合同</w:t>
            </w:r>
            <w:r>
              <w:rPr>
                <w:rFonts w:hint="eastAsia" w:ascii="宋体" w:hAnsi="宋体" w:eastAsia="宋体" w:cs="宋体"/>
                <w:color w:val="000000"/>
                <w:sz w:val="24"/>
                <w:szCs w:val="24"/>
                <w:highlight w:val="none"/>
                <w:u w:val="none"/>
                <w:lang w:eastAsia="zh-CN"/>
              </w:rPr>
              <w:t>形</w:t>
            </w:r>
            <w:r>
              <w:rPr>
                <w:rFonts w:hint="eastAsia" w:ascii="宋体" w:hAnsi="宋体" w:eastAsia="宋体" w:cs="宋体"/>
                <w:color w:val="000000"/>
                <w:sz w:val="24"/>
                <w:szCs w:val="24"/>
                <w:highlight w:val="none"/>
                <w:u w:val="none"/>
              </w:rPr>
              <w:t>式</w:t>
            </w:r>
          </w:p>
        </w:tc>
        <w:tc>
          <w:tcPr>
            <w:tcW w:w="6517" w:type="dxa"/>
            <w:tcBorders>
              <w:top w:val="single" w:color="auto" w:sz="4" w:space="0"/>
              <w:left w:val="nil"/>
              <w:bottom w:val="single" w:color="auto" w:sz="4" w:space="0"/>
              <w:right w:val="single" w:color="auto" w:sz="4" w:space="0"/>
            </w:tcBorders>
            <w:shd w:val="clear" w:color="auto" w:fill="auto"/>
            <w:vAlign w:val="center"/>
          </w:tcPr>
          <w:p w14:paraId="785CFB72">
            <w:pPr>
              <w:widowControl/>
              <w:autoSpaceDN w:val="0"/>
              <w:spacing w:line="400" w:lineRule="exact"/>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计价方式：工程量清单计价。</w:t>
            </w:r>
          </w:p>
          <w:p w14:paraId="471EF9AA">
            <w:pPr>
              <w:widowControl/>
              <w:autoSpaceDN w:val="0"/>
              <w:spacing w:line="400" w:lineRule="exact"/>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合同形式：固定单价合同。</w:t>
            </w:r>
          </w:p>
        </w:tc>
      </w:tr>
      <w:tr w14:paraId="11B2B59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0"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C651BD0">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42</w:t>
            </w:r>
          </w:p>
        </w:tc>
        <w:tc>
          <w:tcPr>
            <w:tcW w:w="2574" w:type="dxa"/>
            <w:tcBorders>
              <w:top w:val="single" w:color="auto" w:sz="4" w:space="0"/>
              <w:left w:val="nil"/>
              <w:bottom w:val="single" w:color="auto" w:sz="4" w:space="0"/>
              <w:right w:val="single" w:color="auto" w:sz="4" w:space="0"/>
            </w:tcBorders>
            <w:shd w:val="clear" w:color="auto" w:fill="auto"/>
            <w:vAlign w:val="center"/>
          </w:tcPr>
          <w:p w14:paraId="1C5C4B32">
            <w:pPr>
              <w:autoSpaceDE w:val="0"/>
              <w:autoSpaceDN w:val="0"/>
              <w:adjustRightInd w:val="0"/>
              <w:spacing w:before="135" w:beforeLines="50" w:after="135" w:afterLines="50" w:line="240" w:lineRule="exact"/>
              <w:jc w:val="center"/>
              <w:rPr>
                <w:rFonts w:ascii="宋体" w:hAnsi="宋体"/>
                <w:sz w:val="24"/>
              </w:rPr>
            </w:pPr>
            <w:r>
              <w:rPr>
                <w:rFonts w:hint="eastAsia" w:ascii="宋体" w:hAnsi="宋体"/>
                <w:sz w:val="24"/>
              </w:rPr>
              <w:t>付款方式</w:t>
            </w:r>
          </w:p>
        </w:tc>
        <w:tc>
          <w:tcPr>
            <w:tcW w:w="6517" w:type="dxa"/>
            <w:tcBorders>
              <w:top w:val="single" w:color="auto" w:sz="4" w:space="0"/>
              <w:left w:val="nil"/>
              <w:bottom w:val="single" w:color="auto" w:sz="4" w:space="0"/>
              <w:right w:val="single" w:color="auto" w:sz="4" w:space="0"/>
            </w:tcBorders>
            <w:shd w:val="clear" w:color="auto" w:fill="auto"/>
            <w:vAlign w:val="center"/>
          </w:tcPr>
          <w:p w14:paraId="058E2DED">
            <w:pPr>
              <w:pStyle w:val="22"/>
              <w:rPr>
                <w:color w:val="auto"/>
                <w:sz w:val="24"/>
                <w:szCs w:val="24"/>
              </w:rPr>
            </w:pPr>
            <w:r>
              <w:rPr>
                <w:rFonts w:hint="eastAsia" w:ascii="宋体" w:hAnsi="宋体" w:eastAsia="宋体" w:cs="宋体"/>
                <w:color w:val="auto"/>
                <w:sz w:val="24"/>
                <w:szCs w:val="24"/>
                <w:highlight w:val="none"/>
                <w:u w:val="none"/>
                <w:lang w:val="en-US" w:eastAsia="zh-CN"/>
              </w:rPr>
              <w:t>按合同约定执行。</w:t>
            </w:r>
          </w:p>
        </w:tc>
      </w:tr>
      <w:tr w14:paraId="3B87F2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0"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B0977B0">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43</w:t>
            </w:r>
          </w:p>
        </w:tc>
        <w:tc>
          <w:tcPr>
            <w:tcW w:w="2574" w:type="dxa"/>
            <w:tcBorders>
              <w:top w:val="single" w:color="auto" w:sz="4" w:space="0"/>
              <w:left w:val="nil"/>
              <w:bottom w:val="single" w:color="auto" w:sz="4" w:space="0"/>
              <w:right w:val="single" w:color="auto" w:sz="4" w:space="0"/>
            </w:tcBorders>
            <w:shd w:val="clear" w:color="auto" w:fill="auto"/>
            <w:vAlign w:val="center"/>
          </w:tcPr>
          <w:p w14:paraId="2B007930">
            <w:pPr>
              <w:autoSpaceDE w:val="0"/>
              <w:autoSpaceDN w:val="0"/>
              <w:adjustRightInd w:val="0"/>
              <w:spacing w:before="135" w:beforeLines="50" w:after="135" w:afterLines="50" w:line="240" w:lineRule="exact"/>
              <w:jc w:val="center"/>
              <w:rPr>
                <w:rFonts w:hint="default" w:ascii="宋体" w:hAnsi="宋体" w:eastAsiaTheme="minorEastAsia"/>
                <w:sz w:val="24"/>
                <w:lang w:val="en-US" w:eastAsia="zh-CN"/>
              </w:rPr>
            </w:pPr>
            <w:r>
              <w:rPr>
                <w:rFonts w:hint="eastAsia"/>
                <w:sz w:val="24"/>
              </w:rPr>
              <w:t>质保期</w:t>
            </w:r>
          </w:p>
        </w:tc>
        <w:tc>
          <w:tcPr>
            <w:tcW w:w="6517" w:type="dxa"/>
            <w:tcBorders>
              <w:top w:val="single" w:color="auto" w:sz="4" w:space="0"/>
              <w:left w:val="nil"/>
              <w:bottom w:val="single" w:color="auto" w:sz="4" w:space="0"/>
              <w:right w:val="single" w:color="auto" w:sz="4" w:space="0"/>
            </w:tcBorders>
            <w:shd w:val="clear" w:color="auto" w:fill="auto"/>
            <w:vAlign w:val="center"/>
          </w:tcPr>
          <w:p w14:paraId="36ABE0B6">
            <w:pPr>
              <w:widowControl/>
              <w:autoSpaceDN w:val="0"/>
              <w:spacing w:line="400" w:lineRule="exact"/>
              <w:rPr>
                <w:rFonts w:ascii="宋体" w:hAnsi="宋体" w:eastAsia="宋体" w:cs="宋体"/>
                <w:bCs/>
                <w:color w:val="auto"/>
                <w:sz w:val="24"/>
              </w:rPr>
            </w:pPr>
            <w:r>
              <w:rPr>
                <w:rFonts w:hint="eastAsia" w:ascii="宋体" w:hAnsi="宋体" w:eastAsia="宋体" w:cs="宋体"/>
                <w:bCs/>
                <w:color w:val="auto"/>
                <w:sz w:val="24"/>
              </w:rPr>
              <w:t>质保期</w:t>
            </w:r>
            <w:r>
              <w:rPr>
                <w:rFonts w:hint="eastAsia" w:ascii="宋体" w:hAnsi="宋体" w:eastAsia="宋体" w:cs="宋体"/>
                <w:bCs/>
                <w:color w:val="auto"/>
                <w:sz w:val="24"/>
                <w:lang w:eastAsia="zh-CN"/>
              </w:rPr>
              <w:t>：</w:t>
            </w:r>
            <w:r>
              <w:rPr>
                <w:rFonts w:ascii="宋体" w:hAnsi="宋体" w:eastAsia="宋体" w:cs="宋体"/>
                <w:color w:val="auto"/>
                <w:sz w:val="24"/>
                <w:szCs w:val="24"/>
              </w:rPr>
              <w:t>自竣工验收合格之日</w:t>
            </w:r>
            <w:r>
              <w:rPr>
                <w:rFonts w:hint="eastAsia" w:ascii="宋体" w:hAnsi="宋体" w:eastAsia="宋体" w:cs="宋体"/>
                <w:bCs/>
                <w:color w:val="auto"/>
                <w:sz w:val="24"/>
                <w:lang w:eastAsia="zh-CN"/>
              </w:rPr>
              <w:t>起</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年</w:t>
            </w:r>
            <w:r>
              <w:rPr>
                <w:rFonts w:hint="eastAsia" w:ascii="宋体" w:hAnsi="宋体" w:eastAsia="宋体" w:cs="宋体"/>
                <w:bCs/>
                <w:color w:val="auto"/>
                <w:sz w:val="24"/>
                <w:lang w:eastAsia="zh-CN"/>
              </w:rPr>
              <w:t>。</w:t>
            </w:r>
          </w:p>
        </w:tc>
      </w:tr>
      <w:tr w14:paraId="300AFB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0"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E445BF3">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44</w:t>
            </w:r>
          </w:p>
        </w:tc>
        <w:tc>
          <w:tcPr>
            <w:tcW w:w="2574" w:type="dxa"/>
            <w:tcBorders>
              <w:top w:val="single" w:color="auto" w:sz="4" w:space="0"/>
              <w:left w:val="nil"/>
              <w:bottom w:val="single" w:color="auto" w:sz="4" w:space="0"/>
              <w:right w:val="single" w:color="auto" w:sz="4" w:space="0"/>
            </w:tcBorders>
            <w:shd w:val="clear" w:color="auto" w:fill="auto"/>
            <w:vAlign w:val="center"/>
          </w:tcPr>
          <w:p w14:paraId="247C999D">
            <w:pPr>
              <w:widowControl/>
              <w:autoSpaceDN w:val="0"/>
              <w:spacing w:line="400" w:lineRule="exact"/>
              <w:jc w:val="center"/>
              <w:rPr>
                <w:rFonts w:ascii="宋体" w:hAnsi="宋体" w:eastAsia="宋体" w:cs="宋体"/>
                <w:bCs/>
                <w:kern w:val="15"/>
                <w:sz w:val="24"/>
              </w:rPr>
            </w:pPr>
            <w:r>
              <w:rPr>
                <w:rFonts w:hint="eastAsia" w:ascii="宋体" w:hAnsi="宋体" w:eastAsia="宋体" w:cs="宋体"/>
                <w:bCs/>
                <w:kern w:val="15"/>
                <w:sz w:val="24"/>
              </w:rPr>
              <w:t>采购代理服务费</w:t>
            </w:r>
          </w:p>
        </w:tc>
        <w:tc>
          <w:tcPr>
            <w:tcW w:w="6517" w:type="dxa"/>
            <w:tcBorders>
              <w:top w:val="single" w:color="auto" w:sz="4" w:space="0"/>
              <w:left w:val="nil"/>
              <w:bottom w:val="single" w:color="auto" w:sz="4" w:space="0"/>
              <w:right w:val="single" w:color="auto" w:sz="4" w:space="0"/>
            </w:tcBorders>
            <w:shd w:val="clear" w:color="auto" w:fill="auto"/>
          </w:tcPr>
          <w:p w14:paraId="6A6A2143">
            <w:pPr>
              <w:widowControl/>
              <w:autoSpaceDN w:val="0"/>
              <w:spacing w:line="400" w:lineRule="exact"/>
              <w:rPr>
                <w:rFonts w:ascii="宋体" w:hAnsi="宋体" w:eastAsia="宋体" w:cs="宋体"/>
                <w:bCs/>
                <w:sz w:val="24"/>
              </w:rPr>
            </w:pPr>
            <w:r>
              <w:rPr>
                <w:rFonts w:hint="eastAsia" w:ascii="宋体" w:hAnsi="宋体" w:eastAsia="宋体" w:cs="宋体"/>
                <w:bCs/>
                <w:sz w:val="24"/>
              </w:rPr>
              <w:t>由采购代理机构向成交供应商收取。成交供应商应在成交通知书发出时将本项目采购代理服务费一次性支付给采购代理机构。本项目采购代理服务费参照国家发展改革委发改价格[2015]299号文件</w:t>
            </w:r>
            <w:r>
              <w:rPr>
                <w:rFonts w:hint="eastAsia" w:ascii="宋体" w:hAnsi="宋体" w:eastAsia="宋体" w:cs="宋体"/>
                <w:bCs/>
                <w:sz w:val="24"/>
                <w:lang w:val="en-US" w:eastAsia="zh-CN"/>
              </w:rPr>
              <w:t>及采购代理合同收费标准</w:t>
            </w:r>
            <w:r>
              <w:rPr>
                <w:rFonts w:hint="eastAsia" w:ascii="宋体" w:hAnsi="宋体" w:eastAsia="宋体" w:cs="宋体"/>
                <w:bCs/>
                <w:sz w:val="24"/>
              </w:rPr>
              <w:t>收取。</w:t>
            </w:r>
          </w:p>
        </w:tc>
      </w:tr>
      <w:tr w14:paraId="51A334A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5C02303">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45</w:t>
            </w:r>
          </w:p>
        </w:tc>
        <w:tc>
          <w:tcPr>
            <w:tcW w:w="2574" w:type="dxa"/>
            <w:tcBorders>
              <w:top w:val="single" w:color="auto" w:sz="4" w:space="0"/>
              <w:left w:val="nil"/>
              <w:bottom w:val="single" w:color="auto" w:sz="4" w:space="0"/>
              <w:right w:val="single" w:color="auto" w:sz="4" w:space="0"/>
            </w:tcBorders>
            <w:shd w:val="clear" w:color="auto" w:fill="auto"/>
            <w:vAlign w:val="center"/>
          </w:tcPr>
          <w:p w14:paraId="7BB134A8">
            <w:pPr>
              <w:autoSpaceDE w:val="0"/>
              <w:autoSpaceDN w:val="0"/>
              <w:adjustRightInd w:val="0"/>
              <w:spacing w:before="135" w:beforeLines="50" w:after="135" w:afterLines="50" w:line="240" w:lineRule="exact"/>
              <w:jc w:val="center"/>
              <w:rPr>
                <w:sz w:val="24"/>
              </w:rPr>
            </w:pPr>
            <w:r>
              <w:rPr>
                <w:rFonts w:hint="eastAsia"/>
                <w:sz w:val="24"/>
              </w:rPr>
              <w:t>供应商注意事项</w:t>
            </w:r>
          </w:p>
        </w:tc>
        <w:tc>
          <w:tcPr>
            <w:tcW w:w="6517" w:type="dxa"/>
            <w:tcBorders>
              <w:top w:val="single" w:color="auto" w:sz="4" w:space="0"/>
              <w:left w:val="nil"/>
              <w:bottom w:val="single" w:color="auto" w:sz="4" w:space="0"/>
              <w:right w:val="single" w:color="auto" w:sz="4" w:space="0"/>
            </w:tcBorders>
            <w:shd w:val="clear" w:color="auto" w:fill="auto"/>
            <w:vAlign w:val="center"/>
          </w:tcPr>
          <w:p w14:paraId="3D8ECF26">
            <w:pPr>
              <w:autoSpaceDE w:val="0"/>
              <w:snapToGrid w:val="0"/>
              <w:spacing w:line="400" w:lineRule="exact"/>
              <w:rPr>
                <w:rFonts w:hint="eastAsia" w:ascii="宋体" w:hAnsi="宋体" w:eastAsia="宋体" w:cs="宋体"/>
                <w:bCs/>
                <w:sz w:val="24"/>
              </w:rPr>
            </w:pPr>
            <w:r>
              <w:rPr>
                <w:rFonts w:hint="eastAsia" w:ascii="宋体" w:hAnsi="宋体" w:eastAsia="宋体" w:cs="宋体"/>
                <w:bCs/>
                <w:sz w:val="24"/>
              </w:rPr>
              <w:t>本项目必须由成交人进行施工，</w:t>
            </w:r>
            <w:r>
              <w:rPr>
                <w:rFonts w:hint="eastAsia" w:ascii="宋体" w:hAnsi="宋体" w:eastAsia="宋体" w:cs="宋体"/>
                <w:bCs/>
                <w:sz w:val="24"/>
                <w:lang w:val="en-US" w:eastAsia="zh-CN"/>
              </w:rPr>
              <w:t>严禁转包、违法分包及挂靠等违法行为。转包、违法分包及挂靠认定标准依据住房和城乡建设部关于印发《建筑工程施工转包违法分包等违法行为认定查处管理办法（试行）》的通知规定的标准执行。现场施工拟派的项目管理机构人员要求为本单位在职人员，项目管理机构人员要求人证与标书中相符，持证上岗；若发现存在出借资质、资质造假、挂靠等违法行为，将依法严肃追究责任，并取消中标资格，同时校方将联合住房和城乡建设厅对成交单位采取以下措施：（1）中标单位列入工程建设领域失信“黑名单”，（2）撤销现有资质等级和安全生产许可证。</w:t>
            </w:r>
          </w:p>
          <w:p w14:paraId="3A0FEA93">
            <w:pPr>
              <w:widowControl/>
              <w:autoSpaceDN w:val="0"/>
              <w:spacing w:line="400" w:lineRule="exact"/>
              <w:rPr>
                <w:rFonts w:ascii="宋体" w:hAnsi="宋体" w:eastAsia="宋体" w:cs="宋体"/>
                <w:bCs/>
                <w:sz w:val="24"/>
              </w:rPr>
            </w:pPr>
            <w:r>
              <w:rPr>
                <w:rFonts w:hint="eastAsia" w:ascii="宋体" w:hAnsi="宋体" w:eastAsia="宋体" w:cs="宋体"/>
                <w:bCs/>
                <w:sz w:val="24"/>
              </w:rPr>
              <w:t>本项目将综合评分排名前三位的供应商推荐为中标候选人，按排名顺序确定中标人。若第一中标候选人出现放弃中标、无法履行合同、不按要求提交履约保证金或存在违法行为等情形，采购人可按照评审报告推荐的中标候选人名单排序，确定下一候选人为中标人，也可以重新开展政府采购活动。</w:t>
            </w:r>
          </w:p>
          <w:p w14:paraId="09FF6361">
            <w:pPr>
              <w:widowControl/>
              <w:autoSpaceDN w:val="0"/>
              <w:spacing w:line="400" w:lineRule="exact"/>
              <w:rPr>
                <w:rFonts w:ascii="宋体" w:hAnsi="宋体" w:eastAsia="宋体" w:cs="宋体"/>
                <w:bCs/>
                <w:sz w:val="24"/>
              </w:rPr>
            </w:pPr>
            <w:r>
              <w:rPr>
                <w:rFonts w:hint="eastAsia" w:ascii="宋体" w:hAnsi="宋体" w:eastAsia="宋体" w:cs="宋体"/>
                <w:bCs/>
                <w:sz w:val="24"/>
              </w:rPr>
              <w:t>响应文件对竞争性磋商文件所需服务要求必须全部满足，不允许有缺项或者负偏离，如果不满足将导致废标。</w:t>
            </w:r>
          </w:p>
        </w:tc>
      </w:tr>
      <w:tr w14:paraId="3F3F32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jc w:val="cent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200CC3A">
            <w:pPr>
              <w:widowControl/>
              <w:autoSpaceDE w:val="0"/>
              <w:autoSpaceDN w:val="0"/>
              <w:adjustRightInd w:val="0"/>
              <w:spacing w:line="400" w:lineRule="exact"/>
              <w:jc w:val="center"/>
              <w:rPr>
                <w:rFonts w:ascii="宋体" w:hAnsi="宋体" w:eastAsia="宋体" w:cs="宋体"/>
                <w:bCs/>
                <w:sz w:val="24"/>
              </w:rPr>
            </w:pPr>
            <w:r>
              <w:rPr>
                <w:rFonts w:hint="eastAsia" w:ascii="宋体" w:hAnsi="宋体" w:eastAsia="宋体" w:cs="宋体"/>
                <w:bCs/>
                <w:sz w:val="24"/>
              </w:rPr>
              <w:t>46</w:t>
            </w:r>
          </w:p>
        </w:tc>
        <w:tc>
          <w:tcPr>
            <w:tcW w:w="2574" w:type="dxa"/>
            <w:tcBorders>
              <w:top w:val="single" w:color="auto" w:sz="4" w:space="0"/>
              <w:left w:val="nil"/>
              <w:bottom w:val="single" w:color="auto" w:sz="4" w:space="0"/>
              <w:right w:val="single" w:color="auto" w:sz="4" w:space="0"/>
            </w:tcBorders>
            <w:shd w:val="clear" w:color="auto" w:fill="auto"/>
            <w:vAlign w:val="center"/>
          </w:tcPr>
          <w:p w14:paraId="42EE04F1">
            <w:pPr>
              <w:autoSpaceDE w:val="0"/>
              <w:autoSpaceDN w:val="0"/>
              <w:adjustRightInd w:val="0"/>
              <w:spacing w:before="135" w:beforeLines="50" w:after="135" w:afterLines="50" w:line="240" w:lineRule="exact"/>
              <w:jc w:val="center"/>
              <w:rPr>
                <w:sz w:val="24"/>
              </w:rPr>
            </w:pPr>
            <w:r>
              <w:rPr>
                <w:rFonts w:hint="eastAsia"/>
                <w:sz w:val="24"/>
              </w:rPr>
              <w:t>“双盲”评审</w:t>
            </w:r>
          </w:p>
        </w:tc>
        <w:tc>
          <w:tcPr>
            <w:tcW w:w="6517" w:type="dxa"/>
            <w:tcBorders>
              <w:top w:val="single" w:color="auto" w:sz="4" w:space="0"/>
              <w:left w:val="nil"/>
              <w:bottom w:val="single" w:color="auto" w:sz="4" w:space="0"/>
              <w:right w:val="single" w:color="auto" w:sz="4" w:space="0"/>
            </w:tcBorders>
            <w:shd w:val="clear" w:color="auto" w:fill="auto"/>
            <w:vAlign w:val="center"/>
          </w:tcPr>
          <w:p w14:paraId="75D35ADC">
            <w:pPr>
              <w:widowControl/>
              <w:autoSpaceDN w:val="0"/>
              <w:spacing w:line="400" w:lineRule="exact"/>
              <w:rPr>
                <w:sz w:val="24"/>
              </w:rPr>
            </w:pPr>
            <w:r>
              <w:rPr>
                <w:rFonts w:hint="eastAsia" w:ascii="宋体" w:hAnsi="宋体" w:eastAsia="宋体" w:cs="宋体"/>
                <w:bCs/>
                <w:sz w:val="24"/>
                <w:lang w:val="zh-CN"/>
              </w:rPr>
              <w:t>本项目采用“双盲”评审，即评标专家“盲抽”和“盲评”，</w:t>
            </w:r>
            <w:r>
              <w:rPr>
                <w:rFonts w:hint="eastAsia" w:ascii="宋体" w:hAnsi="宋体" w:eastAsia="宋体" w:cs="宋体"/>
                <w:bCs/>
                <w:sz w:val="24"/>
              </w:rPr>
              <w:t>响应</w:t>
            </w:r>
            <w:r>
              <w:rPr>
                <w:rFonts w:hint="eastAsia" w:ascii="宋体" w:hAnsi="宋体" w:eastAsia="宋体" w:cs="宋体"/>
                <w:bCs/>
                <w:sz w:val="24"/>
                <w:lang w:val="zh-CN"/>
              </w:rPr>
              <w:t>文件的</w:t>
            </w:r>
            <w:r>
              <w:rPr>
                <w:rFonts w:hint="eastAsia" w:ascii="宋体" w:hAnsi="宋体" w:eastAsia="宋体" w:cs="宋体"/>
                <w:bCs/>
                <w:sz w:val="24"/>
              </w:rPr>
              <w:t>施工组织设计（</w:t>
            </w:r>
            <w:r>
              <w:rPr>
                <w:rFonts w:hint="eastAsia" w:ascii="宋体" w:hAnsi="宋体" w:eastAsia="宋体" w:cs="宋体"/>
                <w:bCs/>
                <w:sz w:val="24"/>
                <w:lang w:val="zh-CN"/>
              </w:rPr>
              <w:t>技术标部分</w:t>
            </w:r>
            <w:r>
              <w:rPr>
                <w:rFonts w:hint="eastAsia" w:ascii="宋体" w:hAnsi="宋体" w:eastAsia="宋体" w:cs="宋体"/>
                <w:bCs/>
                <w:sz w:val="24"/>
              </w:rPr>
              <w:t>）</w:t>
            </w:r>
            <w:r>
              <w:rPr>
                <w:rFonts w:hint="eastAsia" w:ascii="宋体" w:hAnsi="宋体" w:eastAsia="宋体" w:cs="宋体"/>
                <w:bCs/>
                <w:sz w:val="24"/>
                <w:lang w:val="zh-CN"/>
              </w:rPr>
              <w:t>采用“暗标”形式，</w:t>
            </w:r>
            <w:r>
              <w:rPr>
                <w:rFonts w:hint="eastAsia" w:ascii="宋体" w:hAnsi="宋体" w:eastAsia="宋体" w:cs="宋体"/>
                <w:bCs/>
                <w:sz w:val="24"/>
              </w:rPr>
              <w:t>供应商</w:t>
            </w:r>
            <w:r>
              <w:rPr>
                <w:rFonts w:hint="eastAsia" w:ascii="宋体" w:hAnsi="宋体" w:eastAsia="宋体" w:cs="宋体"/>
                <w:bCs/>
                <w:sz w:val="24"/>
                <w:lang w:val="zh-CN"/>
              </w:rPr>
              <w:t>应严格按照详见“第六章响应文件格式”中技术部分关于施工组织设计（暗标）部分编制要求。技术标</w:t>
            </w:r>
            <w:r>
              <w:rPr>
                <w:rFonts w:hint="eastAsia" w:ascii="宋体" w:hAnsi="宋体" w:eastAsia="宋体" w:cs="宋体"/>
                <w:bCs/>
                <w:sz w:val="24"/>
              </w:rPr>
              <w:t>如</w:t>
            </w:r>
            <w:r>
              <w:rPr>
                <w:rFonts w:hint="eastAsia" w:ascii="宋体" w:hAnsi="宋体" w:eastAsia="宋体" w:cs="宋体"/>
                <w:bCs/>
                <w:sz w:val="24"/>
                <w:lang w:val="zh-CN"/>
              </w:rPr>
              <w:t>出现</w:t>
            </w:r>
            <w:r>
              <w:rPr>
                <w:rFonts w:hint="eastAsia" w:ascii="宋体" w:hAnsi="宋体" w:eastAsia="宋体" w:cs="宋体"/>
                <w:bCs/>
                <w:sz w:val="24"/>
              </w:rPr>
              <w:t>不符合上述编制要求的</w:t>
            </w:r>
            <w:r>
              <w:rPr>
                <w:rFonts w:hint="eastAsia" w:ascii="宋体" w:hAnsi="宋体" w:eastAsia="宋体" w:cs="宋体"/>
                <w:bCs/>
                <w:sz w:val="24"/>
                <w:lang w:val="zh-CN"/>
              </w:rPr>
              <w:t>，经评标委员会确定后，</w:t>
            </w:r>
            <w:r>
              <w:rPr>
                <w:rFonts w:hint="eastAsia" w:ascii="宋体" w:hAnsi="宋体" w:eastAsia="宋体" w:cs="宋体"/>
                <w:bCs/>
                <w:sz w:val="24"/>
              </w:rPr>
              <w:t>其</w:t>
            </w:r>
            <w:r>
              <w:rPr>
                <w:rFonts w:hint="eastAsia" w:ascii="宋体" w:hAnsi="宋体" w:eastAsia="宋体" w:cs="宋体"/>
                <w:bCs/>
                <w:sz w:val="24"/>
                <w:lang w:val="zh-CN"/>
              </w:rPr>
              <w:t>投标将</w:t>
            </w:r>
            <w:r>
              <w:rPr>
                <w:rFonts w:hint="eastAsia" w:ascii="宋体" w:hAnsi="宋体" w:eastAsia="宋体" w:cs="宋体"/>
                <w:bCs/>
                <w:sz w:val="24"/>
              </w:rPr>
              <w:t>被</w:t>
            </w:r>
            <w:r>
              <w:rPr>
                <w:rFonts w:hint="eastAsia" w:ascii="宋体" w:hAnsi="宋体" w:eastAsia="宋体" w:cs="宋体"/>
                <w:bCs/>
                <w:sz w:val="24"/>
                <w:lang w:val="zh-CN"/>
              </w:rPr>
              <w:t>否决。</w:t>
            </w:r>
          </w:p>
        </w:tc>
      </w:tr>
    </w:tbl>
    <w:p w14:paraId="1D93F02E">
      <w:pPr>
        <w:spacing w:before="135" w:beforeLines="50" w:after="135" w:afterLines="50"/>
        <w:rPr>
          <w:rFonts w:ascii="宋体" w:hAnsi="宋体"/>
          <w:szCs w:val="21"/>
        </w:rPr>
      </w:pPr>
      <w:r>
        <w:rPr>
          <w:rFonts w:hint="eastAsia" w:ascii="宋体" w:hAnsi="宋体"/>
          <w:b/>
          <w:szCs w:val="21"/>
        </w:rPr>
        <w:t>注：竞争性磋商公告与竞争性磋商文件不符之处以本竞争性磋商文件为准。</w:t>
      </w:r>
    </w:p>
    <w:p w14:paraId="45AAD604">
      <w:pPr>
        <w:rPr>
          <w:rFonts w:ascii="宋体" w:hAnsi="宋体" w:eastAsia="宋体" w:cs="宋体"/>
          <w:b/>
          <w:bCs/>
          <w:sz w:val="36"/>
          <w:szCs w:val="36"/>
        </w:rPr>
      </w:pPr>
      <w:r>
        <w:rPr>
          <w:rFonts w:hint="eastAsia" w:ascii="宋体" w:hAnsi="宋体" w:eastAsia="宋体" w:cs="宋体"/>
          <w:b/>
          <w:bCs/>
          <w:sz w:val="36"/>
          <w:szCs w:val="36"/>
        </w:rPr>
        <w:br w:type="page"/>
      </w:r>
    </w:p>
    <w:p w14:paraId="759BBAD9">
      <w:pPr>
        <w:autoSpaceDE w:val="0"/>
        <w:autoSpaceDN w:val="0"/>
        <w:adjustRightInd w:val="0"/>
        <w:spacing w:line="520" w:lineRule="exact"/>
        <w:jc w:val="center"/>
        <w:rPr>
          <w:rFonts w:ascii="宋体" w:hAnsi="宋体" w:eastAsia="宋体" w:cs="宋体"/>
          <w:b/>
          <w:bCs/>
          <w:sz w:val="36"/>
          <w:szCs w:val="36"/>
        </w:rPr>
      </w:pPr>
      <w:r>
        <w:rPr>
          <w:rFonts w:hint="eastAsia" w:ascii="宋体" w:hAnsi="宋体" w:eastAsia="宋体" w:cs="宋体"/>
          <w:b/>
          <w:bCs/>
          <w:sz w:val="36"/>
          <w:szCs w:val="36"/>
        </w:rPr>
        <w:t>供应商须知</w:t>
      </w:r>
    </w:p>
    <w:p w14:paraId="26C208E9">
      <w:pPr>
        <w:autoSpaceDN w:val="0"/>
        <w:spacing w:line="360" w:lineRule="auto"/>
        <w:ind w:firstLine="480" w:firstLineChars="200"/>
        <w:rPr>
          <w:rFonts w:ascii="宋体" w:hAnsi="宋体" w:eastAsia="宋体" w:cs="宋体"/>
          <w:sz w:val="24"/>
        </w:rPr>
      </w:pPr>
      <w:r>
        <w:rPr>
          <w:rFonts w:hint="eastAsia" w:ascii="宋体" w:hAnsi="宋体" w:eastAsia="宋体" w:cs="宋体"/>
          <w:sz w:val="24"/>
        </w:rPr>
        <w:t>本项目招标依据为《中华人民共和国政府采购法》《中华人民共和国政府采购法实施条例》《政府采购货物和服务招标投标管理办法》和国家发展计划委员会等七部委《评标委员会和评标方法暂行规定》等有关法律法规及规定。</w:t>
      </w:r>
    </w:p>
    <w:p w14:paraId="463D326E">
      <w:pPr>
        <w:spacing w:line="360" w:lineRule="auto"/>
        <w:ind w:firstLine="482" w:firstLineChars="200"/>
        <w:rPr>
          <w:rFonts w:ascii="宋体" w:hAnsi="宋体" w:cs="宋体"/>
          <w:b/>
          <w:sz w:val="24"/>
        </w:rPr>
      </w:pPr>
      <w:bookmarkStart w:id="53" w:name="_Toc134790388"/>
      <w:r>
        <w:rPr>
          <w:rFonts w:hint="eastAsia" w:ascii="宋体" w:hAnsi="宋体" w:cs="宋体"/>
          <w:b/>
          <w:sz w:val="24"/>
        </w:rPr>
        <w:t>A 说明</w:t>
      </w:r>
      <w:bookmarkEnd w:id="53"/>
    </w:p>
    <w:p w14:paraId="42975AE1">
      <w:pPr>
        <w:spacing w:line="360" w:lineRule="auto"/>
        <w:ind w:firstLine="480" w:firstLineChars="200"/>
        <w:rPr>
          <w:rFonts w:ascii="宋体" w:hAnsi="宋体" w:eastAsia="宋体" w:cs="宋体"/>
          <w:b/>
          <w:bCs/>
          <w:spacing w:val="6"/>
          <w:sz w:val="24"/>
        </w:rPr>
      </w:pPr>
      <w:r>
        <w:rPr>
          <w:rFonts w:hint="eastAsia" w:ascii="宋体" w:hAnsi="宋体" w:eastAsia="宋体" w:cs="宋体"/>
          <w:sz w:val="24"/>
        </w:rPr>
        <w:t>1.适用范围</w:t>
      </w:r>
    </w:p>
    <w:p w14:paraId="7818054B">
      <w:pPr>
        <w:spacing w:line="360" w:lineRule="auto"/>
        <w:ind w:firstLine="480" w:firstLineChars="200"/>
        <w:rPr>
          <w:rFonts w:ascii="宋体" w:hAnsi="宋体" w:eastAsia="宋体" w:cs="宋体"/>
          <w:sz w:val="24"/>
        </w:rPr>
      </w:pPr>
      <w:r>
        <w:rPr>
          <w:rFonts w:hint="eastAsia" w:ascii="宋体" w:hAnsi="宋体" w:eastAsia="宋体" w:cs="宋体"/>
          <w:sz w:val="24"/>
        </w:rPr>
        <w:t>本文件是受</w:t>
      </w:r>
      <w:r>
        <w:rPr>
          <w:rFonts w:hint="eastAsia" w:ascii="宋体" w:hAnsi="宋体" w:eastAsia="宋体" w:cs="宋体"/>
          <w:spacing w:val="6"/>
          <w:sz w:val="24"/>
        </w:rPr>
        <w:t>采购人</w:t>
      </w:r>
      <w:r>
        <w:rPr>
          <w:rFonts w:hint="eastAsia" w:ascii="宋体" w:hAnsi="宋体" w:eastAsia="宋体" w:cs="宋体"/>
          <w:sz w:val="24"/>
        </w:rPr>
        <w:t>委托</w:t>
      </w:r>
      <w:r>
        <w:rPr>
          <w:rFonts w:hint="eastAsia" w:ascii="宋体" w:hAnsi="宋体" w:eastAsia="宋体" w:cs="宋体"/>
          <w:spacing w:val="6"/>
          <w:sz w:val="24"/>
        </w:rPr>
        <w:t>，对采购人</w:t>
      </w:r>
      <w:r>
        <w:rPr>
          <w:rFonts w:hint="eastAsia" w:ascii="宋体" w:hAnsi="宋体" w:eastAsia="宋体" w:cs="宋体"/>
          <w:sz w:val="24"/>
        </w:rPr>
        <w:t>委托</w:t>
      </w:r>
      <w:r>
        <w:rPr>
          <w:rFonts w:hint="eastAsia" w:ascii="宋体" w:hAnsi="宋体" w:eastAsia="宋体" w:cs="宋体"/>
          <w:bCs/>
          <w:sz w:val="24"/>
        </w:rPr>
        <w:t>采购项目</w:t>
      </w:r>
      <w:r>
        <w:rPr>
          <w:rFonts w:hint="eastAsia" w:ascii="宋体" w:hAnsi="宋体" w:eastAsia="宋体" w:cs="宋体"/>
          <w:spacing w:val="6"/>
          <w:sz w:val="24"/>
        </w:rPr>
        <w:t>的规范性竞争性磋商文件</w:t>
      </w:r>
      <w:r>
        <w:rPr>
          <w:rFonts w:hint="eastAsia" w:ascii="宋体" w:hAnsi="宋体" w:eastAsia="宋体" w:cs="宋体"/>
          <w:sz w:val="24"/>
        </w:rPr>
        <w:t>，适用于本项目竞争性磋商公告所述的标的采购及服务，是供应商编制响应文件的依据。</w:t>
      </w:r>
    </w:p>
    <w:p w14:paraId="05D26DE3">
      <w:pPr>
        <w:spacing w:line="360" w:lineRule="auto"/>
        <w:ind w:firstLine="480" w:firstLineChars="200"/>
        <w:rPr>
          <w:rFonts w:ascii="宋体" w:hAnsi="宋体" w:eastAsia="宋体" w:cs="宋体"/>
          <w:sz w:val="24"/>
        </w:rPr>
      </w:pPr>
      <w:r>
        <w:rPr>
          <w:rFonts w:hint="eastAsia" w:ascii="宋体" w:hAnsi="宋体" w:eastAsia="宋体" w:cs="宋体"/>
          <w:sz w:val="24"/>
        </w:rPr>
        <w:t>2.法律适用</w:t>
      </w:r>
    </w:p>
    <w:p w14:paraId="183137F9">
      <w:pPr>
        <w:spacing w:line="360" w:lineRule="auto"/>
        <w:ind w:firstLine="480" w:firstLineChars="200"/>
        <w:rPr>
          <w:rFonts w:ascii="宋体" w:hAnsi="宋体" w:eastAsia="宋体" w:cs="宋体"/>
          <w:sz w:val="24"/>
        </w:rPr>
      </w:pPr>
      <w:r>
        <w:rPr>
          <w:rFonts w:hint="eastAsia" w:ascii="宋体" w:hAnsi="宋体" w:eastAsia="宋体" w:cs="宋体"/>
          <w:sz w:val="24"/>
        </w:rPr>
        <w:t>本竞争性磋商文件及由本次招标产生的合同适用中华人民共和国法律。</w:t>
      </w:r>
    </w:p>
    <w:p w14:paraId="5948C387">
      <w:pPr>
        <w:spacing w:line="360" w:lineRule="auto"/>
        <w:ind w:firstLine="480" w:firstLineChars="200"/>
        <w:rPr>
          <w:rFonts w:ascii="宋体" w:hAnsi="宋体" w:eastAsia="宋体" w:cs="宋体"/>
          <w:sz w:val="24"/>
        </w:rPr>
      </w:pPr>
      <w:r>
        <w:rPr>
          <w:rFonts w:hint="eastAsia" w:ascii="宋体" w:hAnsi="宋体" w:eastAsia="宋体" w:cs="宋体"/>
          <w:sz w:val="24"/>
        </w:rPr>
        <w:t>3.定义</w:t>
      </w:r>
    </w:p>
    <w:p w14:paraId="28273355">
      <w:pPr>
        <w:spacing w:line="360" w:lineRule="auto"/>
        <w:ind w:firstLine="480" w:firstLineChars="200"/>
        <w:rPr>
          <w:rFonts w:ascii="宋体" w:hAnsi="宋体" w:eastAsia="宋体" w:cs="宋体"/>
          <w:sz w:val="24"/>
        </w:rPr>
      </w:pPr>
      <w:r>
        <w:rPr>
          <w:rFonts w:hint="eastAsia" w:ascii="宋体" w:hAnsi="宋体" w:eastAsia="宋体" w:cs="宋体"/>
          <w:sz w:val="24"/>
        </w:rPr>
        <w:t>“采购代理机构”系指组织本次招标的采购代理机构；</w:t>
      </w:r>
    </w:p>
    <w:p w14:paraId="5B93105E">
      <w:pPr>
        <w:spacing w:line="360" w:lineRule="auto"/>
        <w:ind w:firstLine="480" w:firstLineChars="200"/>
        <w:rPr>
          <w:rFonts w:ascii="宋体" w:hAnsi="宋体" w:eastAsia="宋体" w:cs="宋体"/>
          <w:sz w:val="24"/>
        </w:rPr>
      </w:pPr>
      <w:r>
        <w:rPr>
          <w:rFonts w:hint="eastAsia" w:ascii="宋体" w:hAnsi="宋体" w:eastAsia="宋体" w:cs="宋体"/>
          <w:sz w:val="24"/>
        </w:rPr>
        <w:t>“供应商/投标人”系指向采购代理机构提交响应文件的投标商；</w:t>
      </w:r>
    </w:p>
    <w:p w14:paraId="58D3A274">
      <w:pPr>
        <w:spacing w:line="360" w:lineRule="auto"/>
        <w:ind w:firstLine="480" w:firstLineChars="200"/>
        <w:rPr>
          <w:rFonts w:ascii="宋体" w:hAnsi="宋体" w:eastAsia="宋体" w:cs="宋体"/>
          <w:sz w:val="24"/>
        </w:rPr>
      </w:pPr>
      <w:r>
        <w:rPr>
          <w:rFonts w:hint="eastAsia" w:ascii="宋体" w:hAnsi="宋体" w:eastAsia="宋体" w:cs="宋体"/>
          <w:sz w:val="24"/>
        </w:rPr>
        <w:t>“买方”系指采购单位，合同一方当事人；</w:t>
      </w:r>
    </w:p>
    <w:p w14:paraId="3B3D733F">
      <w:pPr>
        <w:spacing w:line="360" w:lineRule="auto"/>
        <w:ind w:firstLine="480" w:firstLineChars="200"/>
        <w:rPr>
          <w:rFonts w:ascii="宋体" w:hAnsi="宋体" w:eastAsia="宋体" w:cs="宋体"/>
          <w:sz w:val="24"/>
        </w:rPr>
      </w:pPr>
      <w:r>
        <w:rPr>
          <w:rFonts w:hint="eastAsia" w:ascii="宋体" w:hAnsi="宋体" w:eastAsia="宋体" w:cs="宋体"/>
          <w:sz w:val="24"/>
        </w:rPr>
        <w:t>“货物”系指竞争性磋商文件规定须交付的货物和其他的类似义务；</w:t>
      </w:r>
    </w:p>
    <w:p w14:paraId="575A59B5">
      <w:pPr>
        <w:spacing w:line="360" w:lineRule="auto"/>
        <w:ind w:firstLine="480" w:firstLineChars="200"/>
        <w:rPr>
          <w:rFonts w:ascii="宋体" w:hAnsi="宋体" w:eastAsia="宋体" w:cs="宋体"/>
          <w:sz w:val="24"/>
        </w:rPr>
      </w:pPr>
      <w:r>
        <w:rPr>
          <w:rFonts w:hint="eastAsia" w:ascii="宋体" w:hAnsi="宋体" w:eastAsia="宋体" w:cs="宋体"/>
          <w:sz w:val="24"/>
        </w:rPr>
        <w:t>“日”“天”系指日历日；</w:t>
      </w:r>
    </w:p>
    <w:p w14:paraId="29334EEE">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合同”是买方与中标人共同以竞争性磋商文件、响应文件为依据，经过协商签订的具备法律效力的文件。竞争性磋商文件、响应文件及其共同确定的补充文件是合同的有效组成部分，与合同具备同等的法律效力。</w:t>
      </w:r>
    </w:p>
    <w:p w14:paraId="0C57EFF8">
      <w:pPr>
        <w:spacing w:line="360" w:lineRule="auto"/>
        <w:ind w:firstLine="480" w:firstLineChars="200"/>
        <w:rPr>
          <w:rFonts w:ascii="宋体" w:hAnsi="宋体" w:eastAsia="宋体" w:cs="宋体"/>
          <w:sz w:val="24"/>
        </w:rPr>
      </w:pPr>
      <w:r>
        <w:rPr>
          <w:rFonts w:hint="eastAsia" w:ascii="宋体" w:hAnsi="宋体" w:eastAsia="宋体" w:cs="宋体"/>
          <w:sz w:val="24"/>
        </w:rPr>
        <w:t>4.合格的供应商</w:t>
      </w:r>
    </w:p>
    <w:p w14:paraId="49A6C573">
      <w:pPr>
        <w:spacing w:line="360" w:lineRule="auto"/>
        <w:ind w:firstLine="480" w:firstLineChars="200"/>
        <w:rPr>
          <w:rFonts w:ascii="宋体" w:hAnsi="宋体" w:eastAsia="宋体" w:cs="宋体"/>
          <w:sz w:val="24"/>
        </w:rPr>
      </w:pPr>
      <w:r>
        <w:rPr>
          <w:rFonts w:hint="eastAsia" w:ascii="宋体" w:hAnsi="宋体" w:eastAsia="宋体" w:cs="宋体"/>
          <w:sz w:val="24"/>
        </w:rPr>
        <w:t>4.1合格供应商必须符合供应商须知前附表第10项下各项要求，并在投标时提供证明文件，若有遗漏或不符合要求均为资格审查不合格；</w:t>
      </w:r>
    </w:p>
    <w:p w14:paraId="2A65B043">
      <w:pPr>
        <w:spacing w:line="360" w:lineRule="auto"/>
        <w:ind w:firstLine="480" w:firstLineChars="200"/>
        <w:rPr>
          <w:rFonts w:ascii="宋体" w:hAnsi="宋体" w:eastAsia="宋体" w:cs="宋体"/>
          <w:sz w:val="24"/>
        </w:rPr>
      </w:pPr>
      <w:r>
        <w:rPr>
          <w:rFonts w:hint="eastAsia" w:ascii="宋体" w:hAnsi="宋体" w:eastAsia="宋体" w:cs="宋体"/>
          <w:sz w:val="24"/>
        </w:rPr>
        <w:t>4.2供应商应仔细阅读竞争性磋商文件的所有内容，按竞争性磋商文件的要求提供响应文件，并保证所提供的全部资料的真实性，使其投标对竞争性磋商文件做出实质性响应，否则，其投标将被拒绝。采购代理机构保留进一步要求供应商补充提供有关材料的权利，拒绝补充材料或提供材料不真实，将被视为自动放弃投标资格。</w:t>
      </w:r>
    </w:p>
    <w:p w14:paraId="688BF337">
      <w:pPr>
        <w:spacing w:line="360" w:lineRule="auto"/>
        <w:ind w:firstLine="480" w:firstLineChars="200"/>
        <w:rPr>
          <w:rFonts w:ascii="宋体" w:hAnsi="宋体" w:eastAsia="宋体" w:cs="宋体"/>
          <w:sz w:val="24"/>
        </w:rPr>
      </w:pPr>
      <w:r>
        <w:rPr>
          <w:rFonts w:hint="eastAsia" w:ascii="宋体" w:hAnsi="宋体" w:eastAsia="宋体" w:cs="宋体"/>
          <w:sz w:val="24"/>
        </w:rPr>
        <w:t>4.3供应商（包括联合体各成员）不得与本标段相关单位存在下列关联关系：</w:t>
      </w:r>
    </w:p>
    <w:p w14:paraId="3170AFEE">
      <w:pPr>
        <w:spacing w:line="360" w:lineRule="auto"/>
        <w:ind w:firstLine="480" w:firstLineChars="200"/>
        <w:rPr>
          <w:rFonts w:ascii="宋体" w:hAnsi="宋体" w:eastAsia="宋体" w:cs="宋体"/>
          <w:sz w:val="24"/>
        </w:rPr>
      </w:pPr>
      <w:r>
        <w:rPr>
          <w:rFonts w:hint="eastAsia" w:ascii="宋体" w:hAnsi="宋体" w:eastAsia="宋体" w:cs="宋体"/>
          <w:sz w:val="24"/>
        </w:rPr>
        <w:t>（1）为采购人不具有独立法人资格的附属机构（单位）；</w:t>
      </w:r>
    </w:p>
    <w:p w14:paraId="03D7C179">
      <w:pPr>
        <w:spacing w:line="360" w:lineRule="auto"/>
        <w:ind w:firstLine="480" w:firstLineChars="200"/>
        <w:rPr>
          <w:rFonts w:ascii="宋体" w:hAnsi="宋体" w:eastAsia="宋体" w:cs="宋体"/>
          <w:sz w:val="24"/>
        </w:rPr>
      </w:pPr>
      <w:r>
        <w:rPr>
          <w:rFonts w:hint="eastAsia" w:ascii="宋体" w:hAnsi="宋体" w:eastAsia="宋体" w:cs="宋体"/>
          <w:sz w:val="24"/>
        </w:rPr>
        <w:t>（2）与采购人存在利害关系且可能影响磋商公正性；</w:t>
      </w:r>
    </w:p>
    <w:p w14:paraId="6EE24DBD">
      <w:pPr>
        <w:spacing w:line="360" w:lineRule="auto"/>
        <w:ind w:firstLine="480" w:firstLineChars="200"/>
        <w:rPr>
          <w:rFonts w:ascii="宋体" w:hAnsi="宋体" w:eastAsia="宋体" w:cs="宋体"/>
          <w:sz w:val="24"/>
        </w:rPr>
      </w:pPr>
      <w:r>
        <w:rPr>
          <w:rFonts w:hint="eastAsia" w:ascii="宋体" w:hAnsi="宋体" w:eastAsia="宋体" w:cs="宋体"/>
          <w:sz w:val="24"/>
        </w:rPr>
        <w:t>（3）与本标段的其他供应商同为一个单位负责人；</w:t>
      </w:r>
    </w:p>
    <w:p w14:paraId="657D80DB">
      <w:pPr>
        <w:spacing w:line="360" w:lineRule="auto"/>
        <w:ind w:firstLine="480" w:firstLineChars="200"/>
        <w:rPr>
          <w:rFonts w:ascii="宋体" w:hAnsi="宋体" w:eastAsia="宋体" w:cs="宋体"/>
          <w:sz w:val="24"/>
        </w:rPr>
      </w:pPr>
      <w:r>
        <w:rPr>
          <w:rFonts w:hint="eastAsia" w:ascii="宋体" w:hAnsi="宋体" w:eastAsia="宋体" w:cs="宋体"/>
          <w:sz w:val="24"/>
        </w:rPr>
        <w:t>（4）与本标段的其他供应商存在控股、管理关系；</w:t>
      </w:r>
    </w:p>
    <w:p w14:paraId="4A27454A">
      <w:pPr>
        <w:spacing w:line="360" w:lineRule="auto"/>
        <w:ind w:firstLine="480" w:firstLineChars="200"/>
        <w:rPr>
          <w:rFonts w:ascii="宋体" w:hAnsi="宋体" w:eastAsia="宋体" w:cs="宋体"/>
          <w:sz w:val="24"/>
        </w:rPr>
      </w:pPr>
      <w:r>
        <w:rPr>
          <w:rFonts w:hint="eastAsia" w:ascii="宋体" w:hAnsi="宋体" w:eastAsia="宋体" w:cs="宋体"/>
          <w:sz w:val="24"/>
        </w:rPr>
        <w:t>（5）为本标段前期准备提供设计或咨询服务的法人或其任何附属机构（单位）；</w:t>
      </w:r>
    </w:p>
    <w:p w14:paraId="7137EC4E">
      <w:pPr>
        <w:spacing w:line="360" w:lineRule="auto"/>
        <w:ind w:firstLine="480" w:firstLineChars="200"/>
        <w:rPr>
          <w:rFonts w:ascii="宋体" w:hAnsi="宋体" w:eastAsia="宋体" w:cs="宋体"/>
          <w:sz w:val="24"/>
        </w:rPr>
      </w:pPr>
      <w:r>
        <w:rPr>
          <w:rFonts w:hint="eastAsia" w:ascii="宋体" w:hAnsi="宋体" w:eastAsia="宋体" w:cs="宋体"/>
          <w:sz w:val="24"/>
        </w:rPr>
        <w:t>（6）为本标段的监理人；</w:t>
      </w:r>
    </w:p>
    <w:p w14:paraId="4DFB3048">
      <w:pPr>
        <w:spacing w:line="360" w:lineRule="auto"/>
        <w:ind w:firstLine="480" w:firstLineChars="200"/>
        <w:rPr>
          <w:rFonts w:ascii="宋体" w:hAnsi="宋体" w:eastAsia="宋体" w:cs="宋体"/>
          <w:sz w:val="24"/>
        </w:rPr>
      </w:pPr>
      <w:r>
        <w:rPr>
          <w:rFonts w:hint="eastAsia" w:ascii="宋体" w:hAnsi="宋体" w:eastAsia="宋体" w:cs="宋体"/>
          <w:sz w:val="24"/>
        </w:rPr>
        <w:t>（7）为本标段的代建人；</w:t>
      </w:r>
    </w:p>
    <w:p w14:paraId="2FFDE4BC">
      <w:pPr>
        <w:spacing w:line="360" w:lineRule="auto"/>
        <w:ind w:firstLine="480" w:firstLineChars="200"/>
        <w:rPr>
          <w:rFonts w:ascii="宋体" w:hAnsi="宋体" w:eastAsia="宋体" w:cs="宋体"/>
          <w:sz w:val="24"/>
        </w:rPr>
      </w:pPr>
      <w:r>
        <w:rPr>
          <w:rFonts w:hint="eastAsia" w:ascii="宋体" w:hAnsi="宋体" w:eastAsia="宋体" w:cs="宋体"/>
          <w:sz w:val="24"/>
        </w:rPr>
        <w:t>（8）为本标段的磋商代理机构；</w:t>
      </w:r>
    </w:p>
    <w:p w14:paraId="2F4EFFDA">
      <w:pPr>
        <w:spacing w:line="360" w:lineRule="auto"/>
        <w:ind w:firstLine="480" w:firstLineChars="200"/>
        <w:rPr>
          <w:rFonts w:ascii="宋体" w:hAnsi="宋体" w:eastAsia="宋体" w:cs="宋体"/>
          <w:sz w:val="24"/>
        </w:rPr>
      </w:pPr>
      <w:r>
        <w:rPr>
          <w:rFonts w:hint="eastAsia" w:ascii="宋体" w:hAnsi="宋体" w:eastAsia="宋体" w:cs="宋体"/>
          <w:sz w:val="24"/>
        </w:rPr>
        <w:t>（9）与本标段的监理人或代建人或磋商代理机构同为一个法定代表人；</w:t>
      </w:r>
    </w:p>
    <w:p w14:paraId="05619A4F">
      <w:pPr>
        <w:spacing w:line="360" w:lineRule="auto"/>
        <w:ind w:firstLine="480" w:firstLineChars="200"/>
        <w:rPr>
          <w:rFonts w:ascii="宋体" w:hAnsi="宋体" w:eastAsia="宋体" w:cs="宋体"/>
          <w:sz w:val="24"/>
        </w:rPr>
      </w:pPr>
      <w:r>
        <w:rPr>
          <w:rFonts w:hint="eastAsia" w:ascii="宋体" w:hAnsi="宋体" w:eastAsia="宋体" w:cs="宋体"/>
          <w:sz w:val="24"/>
        </w:rPr>
        <w:t>（10）与本标段的监理人或代建人或磋商代理机构存在控股或参股关系；</w:t>
      </w:r>
    </w:p>
    <w:p w14:paraId="0D074F57">
      <w:pPr>
        <w:spacing w:line="360" w:lineRule="auto"/>
        <w:ind w:firstLine="480" w:firstLineChars="200"/>
        <w:rPr>
          <w:rFonts w:ascii="宋体" w:hAnsi="宋体" w:eastAsia="宋体" w:cs="宋体"/>
          <w:sz w:val="24"/>
        </w:rPr>
      </w:pPr>
      <w:r>
        <w:rPr>
          <w:rFonts w:hint="eastAsia" w:ascii="宋体" w:hAnsi="宋体" w:eastAsia="宋体" w:cs="宋体"/>
          <w:sz w:val="24"/>
        </w:rPr>
        <w:t>（11）法律法规或供应商须知前附表规定的其他情形。</w:t>
      </w:r>
    </w:p>
    <w:p w14:paraId="1602A077">
      <w:pPr>
        <w:spacing w:line="360" w:lineRule="auto"/>
        <w:ind w:firstLine="480" w:firstLineChars="200"/>
        <w:rPr>
          <w:rFonts w:ascii="宋体" w:hAnsi="宋体" w:eastAsia="宋体" w:cs="宋体"/>
          <w:sz w:val="24"/>
        </w:rPr>
      </w:pPr>
      <w:r>
        <w:rPr>
          <w:rFonts w:hint="eastAsia" w:ascii="宋体" w:hAnsi="宋体" w:eastAsia="宋体" w:cs="宋体"/>
          <w:sz w:val="24"/>
        </w:rPr>
        <w:t>4.4 供应商（包括联合体各成员）不得存在下列不良状况或不良信用记录：</w:t>
      </w:r>
    </w:p>
    <w:p w14:paraId="50AD69BC">
      <w:pPr>
        <w:spacing w:line="360" w:lineRule="auto"/>
        <w:ind w:firstLine="480" w:firstLineChars="200"/>
        <w:rPr>
          <w:rFonts w:ascii="宋体" w:hAnsi="宋体" w:eastAsia="宋体" w:cs="宋体"/>
          <w:sz w:val="24"/>
        </w:rPr>
      </w:pPr>
      <w:r>
        <w:rPr>
          <w:rFonts w:hint="eastAsia" w:ascii="宋体" w:hAnsi="宋体" w:eastAsia="宋体" w:cs="宋体"/>
          <w:sz w:val="24"/>
        </w:rPr>
        <w:t>（1）被省级主管部门取消磋商项目所在地的投标资格且处于有效期内；</w:t>
      </w:r>
    </w:p>
    <w:p w14:paraId="0A8D75ED">
      <w:pPr>
        <w:spacing w:line="360" w:lineRule="auto"/>
        <w:ind w:firstLine="480" w:firstLineChars="200"/>
        <w:rPr>
          <w:rFonts w:ascii="宋体" w:hAnsi="宋体" w:eastAsia="宋体" w:cs="宋体"/>
          <w:sz w:val="24"/>
        </w:rPr>
      </w:pPr>
      <w:r>
        <w:rPr>
          <w:rFonts w:hint="eastAsia" w:ascii="宋体" w:hAnsi="宋体" w:eastAsia="宋体" w:cs="宋体"/>
          <w:sz w:val="24"/>
        </w:rPr>
        <w:t>（2）被责令停业，暂扣或吊销执照，或吊销资质证书；</w:t>
      </w:r>
    </w:p>
    <w:p w14:paraId="7E98E463">
      <w:pPr>
        <w:spacing w:line="360" w:lineRule="auto"/>
        <w:ind w:firstLine="480" w:firstLineChars="200"/>
        <w:rPr>
          <w:rFonts w:ascii="宋体" w:hAnsi="宋体" w:eastAsia="宋体" w:cs="宋体"/>
          <w:sz w:val="24"/>
        </w:rPr>
      </w:pPr>
      <w:r>
        <w:rPr>
          <w:rFonts w:hint="eastAsia" w:ascii="宋体" w:hAnsi="宋体" w:eastAsia="宋体" w:cs="宋体"/>
          <w:sz w:val="24"/>
        </w:rPr>
        <w:t>（3）进入清算程序，或被宣告破产，或其他丧失履约能力的情形；</w:t>
      </w:r>
    </w:p>
    <w:p w14:paraId="0961410A">
      <w:pPr>
        <w:spacing w:line="360" w:lineRule="auto"/>
        <w:ind w:firstLine="480" w:firstLineChars="200"/>
        <w:rPr>
          <w:rFonts w:ascii="宋体" w:hAnsi="宋体" w:eastAsia="宋体" w:cs="宋体"/>
          <w:sz w:val="24"/>
        </w:rPr>
      </w:pPr>
      <w:r>
        <w:rPr>
          <w:rFonts w:hint="eastAsia" w:ascii="宋体" w:hAnsi="宋体" w:eastAsia="宋体" w:cs="宋体"/>
          <w:sz w:val="24"/>
        </w:rPr>
        <w:t>（4）在“信用中国” 网站（www.creditchina.gov.cn）、中国政府采购网（www.ccgp.gov.cn）中被列入失信被执行人名单；</w:t>
      </w:r>
    </w:p>
    <w:p w14:paraId="10963926">
      <w:pPr>
        <w:spacing w:line="360" w:lineRule="auto"/>
        <w:ind w:firstLine="480" w:firstLineChars="200"/>
        <w:rPr>
          <w:rFonts w:ascii="宋体" w:hAnsi="宋体" w:eastAsia="宋体" w:cs="宋体"/>
          <w:sz w:val="24"/>
        </w:rPr>
      </w:pPr>
      <w:r>
        <w:rPr>
          <w:rFonts w:hint="eastAsia" w:ascii="宋体" w:hAnsi="宋体" w:eastAsia="宋体" w:cs="宋体"/>
          <w:sz w:val="24"/>
        </w:rPr>
        <w:t>（5）法律法规或供应商须知前附表规定的其他情形。</w:t>
      </w:r>
    </w:p>
    <w:p w14:paraId="15D4C4B6">
      <w:pPr>
        <w:spacing w:line="360" w:lineRule="auto"/>
        <w:ind w:firstLine="482" w:firstLineChars="200"/>
        <w:rPr>
          <w:rFonts w:ascii="宋体" w:hAnsi="宋体" w:eastAsia="宋体" w:cs="宋体"/>
          <w:b/>
          <w:bCs/>
          <w:sz w:val="24"/>
        </w:rPr>
      </w:pPr>
      <w:r>
        <w:rPr>
          <w:rFonts w:hint="eastAsia" w:ascii="宋体" w:hAnsi="宋体" w:eastAsia="宋体" w:cs="宋体"/>
          <w:b/>
          <w:bCs/>
          <w:sz w:val="24"/>
        </w:rPr>
        <w:t>5.投标费用</w:t>
      </w:r>
    </w:p>
    <w:p w14:paraId="73A2D96E">
      <w:pPr>
        <w:spacing w:line="360" w:lineRule="auto"/>
        <w:ind w:firstLine="480" w:firstLineChars="200"/>
        <w:rPr>
          <w:rFonts w:ascii="宋体" w:hAnsi="宋体" w:eastAsia="宋体" w:cs="宋体"/>
          <w:sz w:val="24"/>
        </w:rPr>
      </w:pPr>
      <w:r>
        <w:rPr>
          <w:rFonts w:hint="eastAsia" w:ascii="宋体" w:hAnsi="宋体" w:eastAsia="宋体" w:cs="宋体"/>
          <w:sz w:val="24"/>
        </w:rPr>
        <w:t>供应商应承担其在投标准备、编制、提交响应文件和签订合同协议书的整个过程中发生的一切费用而不论其投标结果如何。</w:t>
      </w:r>
    </w:p>
    <w:p w14:paraId="2D9DFD66">
      <w:pPr>
        <w:spacing w:line="360" w:lineRule="auto"/>
        <w:ind w:firstLine="482" w:firstLineChars="200"/>
        <w:rPr>
          <w:rFonts w:ascii="宋体" w:hAnsi="宋体" w:cs="宋体"/>
          <w:b/>
          <w:sz w:val="24"/>
        </w:rPr>
      </w:pPr>
      <w:bookmarkStart w:id="54" w:name="_Toc134790389"/>
      <w:r>
        <w:rPr>
          <w:rFonts w:hint="eastAsia" w:ascii="宋体" w:hAnsi="宋体" w:cs="宋体"/>
          <w:b/>
          <w:sz w:val="24"/>
        </w:rPr>
        <w:t>B.竞争性磋商文件说明</w:t>
      </w:r>
      <w:bookmarkEnd w:id="54"/>
    </w:p>
    <w:p w14:paraId="3894BCED">
      <w:pPr>
        <w:spacing w:line="360" w:lineRule="auto"/>
        <w:ind w:firstLine="480" w:firstLineChars="200"/>
        <w:rPr>
          <w:rFonts w:ascii="宋体" w:hAnsi="宋体" w:eastAsia="宋体" w:cs="宋体"/>
          <w:sz w:val="24"/>
        </w:rPr>
      </w:pPr>
      <w:r>
        <w:rPr>
          <w:rFonts w:hint="eastAsia" w:ascii="宋体" w:hAnsi="宋体" w:eastAsia="宋体" w:cs="宋体"/>
          <w:sz w:val="24"/>
        </w:rPr>
        <w:t>6.竞争性磋商文件</w:t>
      </w:r>
    </w:p>
    <w:p w14:paraId="2583FA22">
      <w:pPr>
        <w:spacing w:line="360" w:lineRule="auto"/>
        <w:ind w:firstLine="480" w:firstLineChars="200"/>
        <w:rPr>
          <w:rFonts w:ascii="宋体" w:hAnsi="宋体" w:eastAsia="宋体" w:cs="宋体"/>
          <w:sz w:val="24"/>
        </w:rPr>
      </w:pPr>
      <w:r>
        <w:rPr>
          <w:rFonts w:hint="eastAsia" w:ascii="宋体" w:hAnsi="宋体" w:eastAsia="宋体" w:cs="宋体"/>
          <w:sz w:val="24"/>
        </w:rPr>
        <w:t>竞争性磋商文件用以阐明所需货物、服务和工程招标投标程序和响应文件格式。竞争性磋商文件由以下部分组成：</w:t>
      </w:r>
    </w:p>
    <w:p w14:paraId="372A9B5C">
      <w:pPr>
        <w:spacing w:line="360" w:lineRule="auto"/>
        <w:ind w:firstLine="480" w:firstLineChars="200"/>
        <w:rPr>
          <w:rFonts w:ascii="宋体" w:hAnsi="宋体" w:eastAsia="宋体" w:cs="宋体"/>
          <w:sz w:val="24"/>
        </w:rPr>
      </w:pPr>
      <w:r>
        <w:rPr>
          <w:rFonts w:hint="eastAsia" w:ascii="宋体" w:hAnsi="宋体" w:eastAsia="宋体" w:cs="宋体"/>
          <w:sz w:val="24"/>
        </w:rPr>
        <w:t>第一章   竞争性磋商公告</w:t>
      </w:r>
    </w:p>
    <w:p w14:paraId="7929C7B8">
      <w:pPr>
        <w:spacing w:line="360" w:lineRule="auto"/>
        <w:ind w:firstLine="480" w:firstLineChars="200"/>
        <w:rPr>
          <w:rFonts w:ascii="宋体" w:hAnsi="宋体" w:eastAsia="宋体" w:cs="宋体"/>
          <w:sz w:val="24"/>
        </w:rPr>
      </w:pPr>
      <w:r>
        <w:rPr>
          <w:rFonts w:hint="eastAsia" w:ascii="宋体" w:hAnsi="宋体" w:eastAsia="宋体" w:cs="宋体"/>
          <w:sz w:val="24"/>
        </w:rPr>
        <w:t>第二章   供应商须知</w:t>
      </w:r>
    </w:p>
    <w:p w14:paraId="130931E8">
      <w:pPr>
        <w:spacing w:line="360" w:lineRule="auto"/>
        <w:ind w:firstLine="480" w:firstLineChars="200"/>
        <w:rPr>
          <w:rFonts w:ascii="宋体" w:hAnsi="宋体" w:eastAsia="宋体" w:cs="宋体"/>
          <w:sz w:val="24"/>
        </w:rPr>
      </w:pPr>
      <w:r>
        <w:rPr>
          <w:rFonts w:hint="eastAsia" w:ascii="宋体" w:hAnsi="宋体" w:eastAsia="宋体" w:cs="宋体"/>
          <w:sz w:val="24"/>
        </w:rPr>
        <w:t>第三章   磋商评审细则</w:t>
      </w:r>
    </w:p>
    <w:p w14:paraId="4FF76C35">
      <w:pPr>
        <w:spacing w:line="360" w:lineRule="auto"/>
        <w:ind w:firstLine="480" w:firstLineChars="200"/>
        <w:rPr>
          <w:rFonts w:ascii="宋体" w:hAnsi="宋体" w:eastAsia="宋体" w:cs="宋体"/>
          <w:sz w:val="24"/>
        </w:rPr>
      </w:pPr>
      <w:r>
        <w:rPr>
          <w:rFonts w:hint="eastAsia" w:ascii="宋体" w:hAnsi="宋体" w:eastAsia="宋体" w:cs="宋体"/>
          <w:sz w:val="24"/>
        </w:rPr>
        <w:t>第四章   合同条款</w:t>
      </w:r>
    </w:p>
    <w:p w14:paraId="7792AB47">
      <w:pPr>
        <w:spacing w:line="360" w:lineRule="auto"/>
        <w:ind w:firstLine="480" w:firstLineChars="200"/>
        <w:rPr>
          <w:rFonts w:ascii="宋体" w:hAnsi="宋体" w:eastAsia="宋体" w:cs="宋体"/>
          <w:sz w:val="24"/>
        </w:rPr>
      </w:pPr>
      <w:r>
        <w:rPr>
          <w:rFonts w:hint="eastAsia" w:ascii="宋体" w:hAnsi="宋体" w:eastAsia="宋体" w:cs="宋体"/>
          <w:sz w:val="24"/>
        </w:rPr>
        <w:t>第五章   采购需求</w:t>
      </w:r>
    </w:p>
    <w:p w14:paraId="7B45BD20">
      <w:pPr>
        <w:spacing w:line="360" w:lineRule="auto"/>
        <w:ind w:firstLine="480" w:firstLineChars="200"/>
        <w:rPr>
          <w:rFonts w:ascii="宋体" w:hAnsi="宋体" w:eastAsia="宋体" w:cs="宋体"/>
          <w:sz w:val="24"/>
        </w:rPr>
      </w:pPr>
      <w:r>
        <w:rPr>
          <w:rFonts w:hint="eastAsia" w:ascii="宋体" w:hAnsi="宋体" w:eastAsia="宋体" w:cs="宋体"/>
          <w:sz w:val="24"/>
        </w:rPr>
        <w:t>第六章   响应文件构成</w:t>
      </w:r>
    </w:p>
    <w:p w14:paraId="6D3C48F5">
      <w:pPr>
        <w:spacing w:line="360" w:lineRule="auto"/>
        <w:ind w:firstLine="480" w:firstLineChars="200"/>
        <w:rPr>
          <w:rFonts w:hint="default" w:ascii="宋体" w:hAnsi="宋体" w:cs="宋体" w:eastAsiaTheme="minorEastAsia"/>
          <w:sz w:val="24"/>
          <w:lang w:val="en-US" w:eastAsia="zh-CN"/>
        </w:rPr>
      </w:pPr>
      <w:r>
        <w:rPr>
          <w:rFonts w:hint="eastAsia"/>
          <w:sz w:val="24"/>
        </w:rPr>
        <w:t>第七章   工程量清单</w:t>
      </w:r>
      <w:r>
        <w:rPr>
          <w:rFonts w:hint="eastAsia"/>
          <w:sz w:val="24"/>
          <w:lang w:val="en-US" w:eastAsia="zh-CN"/>
        </w:rPr>
        <w:t>及图纸</w:t>
      </w:r>
    </w:p>
    <w:p w14:paraId="667A41A4">
      <w:pPr>
        <w:spacing w:line="360" w:lineRule="auto"/>
        <w:ind w:firstLine="480" w:firstLineChars="200"/>
        <w:rPr>
          <w:rFonts w:ascii="宋体" w:hAnsi="宋体" w:eastAsia="宋体" w:cs="宋体"/>
          <w:sz w:val="24"/>
        </w:rPr>
      </w:pPr>
      <w:r>
        <w:rPr>
          <w:rFonts w:hint="eastAsia" w:ascii="宋体" w:hAnsi="宋体" w:eastAsia="宋体" w:cs="宋体"/>
          <w:sz w:val="24"/>
        </w:rPr>
        <w:t>7.竞争性磋商文件的澄清</w:t>
      </w:r>
    </w:p>
    <w:p w14:paraId="4AC49BDE">
      <w:pPr>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供应商对本次竞争性磋商文件的内容有疑问时，可要求澄清</w:t>
      </w:r>
      <w:r>
        <w:rPr>
          <w:rFonts w:hint="eastAsia" w:ascii="宋体" w:hAnsi="宋体" w:eastAsia="宋体" w:cs="宋体"/>
          <w:kern w:val="0"/>
          <w:sz w:val="24"/>
        </w:rPr>
        <w:t>，</w:t>
      </w:r>
      <w:r>
        <w:rPr>
          <w:rFonts w:hint="eastAsia" w:ascii="宋体" w:hAnsi="宋体" w:eastAsia="宋体" w:cs="宋体"/>
          <w:sz w:val="24"/>
        </w:rPr>
        <w:t>按供应商须知规定提交投标疑问并通知采购代理机构。采购代理机构将在接到疑问后予以答复，并在其认为必要时，将不标明查询来源的书面答复发给所有获取竞争性磋商文件的每一供应商。</w:t>
      </w:r>
      <w:r>
        <w:rPr>
          <w:rFonts w:hint="eastAsia" w:ascii="宋体" w:hAnsi="宋体" w:eastAsia="宋体" w:cs="宋体"/>
          <w:sz w:val="24"/>
          <w:lang w:val="zh-CN"/>
        </w:rPr>
        <w:t>请潜在</w:t>
      </w:r>
      <w:r>
        <w:rPr>
          <w:rFonts w:hint="eastAsia" w:ascii="宋体" w:hAnsi="宋体" w:eastAsia="宋体" w:cs="宋体"/>
          <w:sz w:val="24"/>
        </w:rPr>
        <w:t>供应商</w:t>
      </w:r>
      <w:r>
        <w:rPr>
          <w:rFonts w:hint="eastAsia" w:ascii="宋体" w:hAnsi="宋体" w:eastAsia="宋体" w:cs="宋体"/>
          <w:sz w:val="24"/>
          <w:lang w:val="zh-CN"/>
        </w:rPr>
        <w:t>在参与本项目活动期间关注网站信息，</w:t>
      </w:r>
      <w:r>
        <w:rPr>
          <w:rFonts w:hint="eastAsia" w:ascii="宋体" w:hAnsi="宋体" w:eastAsia="宋体" w:cs="宋体"/>
          <w:sz w:val="24"/>
          <w:lang w:val="zh-CN" w:eastAsia="zh-CN"/>
        </w:rPr>
        <w:t>有投标意向的供应商有义务自行在上述网站查询相关内容，无需进行书面回复。</w:t>
      </w:r>
    </w:p>
    <w:p w14:paraId="1DEC337E">
      <w:pPr>
        <w:spacing w:line="360" w:lineRule="auto"/>
        <w:ind w:firstLine="480" w:firstLineChars="200"/>
        <w:rPr>
          <w:rFonts w:ascii="宋体" w:hAnsi="宋体" w:eastAsia="宋体" w:cs="宋体"/>
          <w:sz w:val="24"/>
        </w:rPr>
      </w:pPr>
      <w:r>
        <w:rPr>
          <w:rFonts w:hint="eastAsia" w:ascii="宋体" w:hAnsi="宋体" w:eastAsia="宋体" w:cs="宋体"/>
          <w:sz w:val="24"/>
        </w:rPr>
        <w:t>8.竞争性磋商文件的修改</w:t>
      </w:r>
    </w:p>
    <w:p w14:paraId="33BAA861">
      <w:pPr>
        <w:spacing w:line="360" w:lineRule="auto"/>
        <w:ind w:firstLine="480" w:firstLineChars="200"/>
        <w:rPr>
          <w:rFonts w:hint="eastAsia" w:ascii="宋体" w:hAnsi="宋体" w:eastAsia="宋体" w:cs="宋体"/>
          <w:sz w:val="24"/>
        </w:rPr>
      </w:pPr>
      <w:r>
        <w:rPr>
          <w:rFonts w:hint="eastAsia" w:ascii="宋体" w:hAnsi="宋体" w:eastAsia="宋体" w:cs="宋体"/>
          <w:sz w:val="24"/>
        </w:rPr>
        <w:t>8.1在提交响应文件截止时间前，采购代理机构可根据需要和（或）依据供应商要求澄清的问题而修改竞争性磋商文件，采购人可以以网上提交的形式修改招标文件，在政采云平台上发布。</w:t>
      </w:r>
      <w:r>
        <w:rPr>
          <w:rFonts w:hint="eastAsia" w:ascii="宋体" w:hAnsi="宋体" w:eastAsia="宋体" w:cs="宋体"/>
          <w:sz w:val="24"/>
          <w:lang w:val="zh-CN"/>
        </w:rPr>
        <w:t>请潜在</w:t>
      </w:r>
      <w:r>
        <w:rPr>
          <w:rFonts w:hint="eastAsia" w:ascii="宋体" w:hAnsi="宋体" w:eastAsia="宋体" w:cs="宋体"/>
          <w:sz w:val="24"/>
        </w:rPr>
        <w:t>供应商</w:t>
      </w:r>
      <w:r>
        <w:rPr>
          <w:rFonts w:hint="eastAsia" w:ascii="宋体" w:hAnsi="宋体" w:eastAsia="宋体" w:cs="宋体"/>
          <w:sz w:val="24"/>
          <w:lang w:val="zh-CN"/>
        </w:rPr>
        <w:t>在参与本项目活动期间关注网站信息，</w:t>
      </w:r>
      <w:r>
        <w:rPr>
          <w:rFonts w:hint="eastAsia" w:ascii="宋体" w:hAnsi="宋体" w:eastAsia="宋体" w:cs="宋体"/>
          <w:sz w:val="24"/>
          <w:lang w:eastAsia="zh-CN"/>
        </w:rPr>
        <w:t>有投标意向的供应商有义务自行在上述网站查询相关内容，无需进行书面回复。</w:t>
      </w:r>
    </w:p>
    <w:p w14:paraId="2B9ED4AC">
      <w:pPr>
        <w:spacing w:line="360" w:lineRule="auto"/>
        <w:ind w:firstLine="480" w:firstLineChars="200"/>
        <w:rPr>
          <w:rFonts w:ascii="宋体" w:hAnsi="宋体" w:eastAsia="宋体" w:cs="宋体"/>
          <w:sz w:val="24"/>
        </w:rPr>
      </w:pPr>
      <w:r>
        <w:rPr>
          <w:rFonts w:hint="eastAsia" w:ascii="宋体" w:hAnsi="宋体" w:eastAsia="宋体" w:cs="宋体"/>
          <w:sz w:val="24"/>
        </w:rPr>
        <w:t>8.2 竞争性磋商文件的修改书将构成竞争性磋商文件的一部分，对供应商具有同样的约束力。</w:t>
      </w:r>
    </w:p>
    <w:p w14:paraId="6BDEC680">
      <w:pPr>
        <w:spacing w:line="360" w:lineRule="auto"/>
        <w:ind w:firstLine="480" w:firstLineChars="200"/>
        <w:rPr>
          <w:rFonts w:ascii="宋体" w:hAnsi="宋体" w:eastAsia="宋体" w:cs="宋体"/>
          <w:sz w:val="24"/>
        </w:rPr>
      </w:pPr>
      <w:r>
        <w:rPr>
          <w:rFonts w:hint="eastAsia" w:ascii="宋体" w:hAnsi="宋体" w:eastAsia="宋体" w:cs="宋体"/>
          <w:sz w:val="24"/>
        </w:rPr>
        <w:t>8.3为使供应商有足够的时间按竞争性磋商文件的修改要求考虑修正响应文件，采购代理机构可酌情推迟提交响应文件的截止时间和开启时间，并以书面形式通知获取竞争性磋商文件的每一供应商。</w:t>
      </w:r>
    </w:p>
    <w:p w14:paraId="48EE007C">
      <w:pPr>
        <w:spacing w:line="360" w:lineRule="auto"/>
        <w:ind w:firstLine="482" w:firstLineChars="200"/>
        <w:rPr>
          <w:rFonts w:ascii="宋体" w:hAnsi="宋体" w:cs="宋体"/>
          <w:b/>
          <w:sz w:val="24"/>
        </w:rPr>
      </w:pPr>
      <w:bookmarkStart w:id="55" w:name="_Toc134790390"/>
      <w:r>
        <w:rPr>
          <w:rFonts w:hint="eastAsia" w:ascii="宋体" w:hAnsi="宋体" w:cs="宋体"/>
          <w:b/>
          <w:sz w:val="24"/>
        </w:rPr>
        <w:t>C响应文件的编写</w:t>
      </w:r>
      <w:bookmarkEnd w:id="55"/>
    </w:p>
    <w:p w14:paraId="71997B93">
      <w:pPr>
        <w:spacing w:line="360" w:lineRule="auto"/>
        <w:ind w:firstLine="480" w:firstLineChars="200"/>
        <w:rPr>
          <w:rFonts w:ascii="宋体" w:hAnsi="宋体" w:eastAsia="宋体" w:cs="宋体"/>
          <w:sz w:val="24"/>
        </w:rPr>
      </w:pPr>
      <w:r>
        <w:rPr>
          <w:rFonts w:hint="eastAsia" w:ascii="宋体" w:hAnsi="宋体" w:eastAsia="宋体" w:cs="宋体"/>
          <w:sz w:val="24"/>
        </w:rPr>
        <w:t>9.投标语言及计量单位</w:t>
      </w:r>
    </w:p>
    <w:p w14:paraId="5641CD0C">
      <w:pPr>
        <w:spacing w:line="360" w:lineRule="auto"/>
        <w:ind w:firstLine="480" w:firstLineChars="200"/>
        <w:rPr>
          <w:rFonts w:ascii="宋体" w:hAnsi="宋体" w:eastAsia="宋体" w:cs="宋体"/>
          <w:sz w:val="24"/>
        </w:rPr>
      </w:pPr>
      <w:r>
        <w:rPr>
          <w:rFonts w:hint="eastAsia" w:ascii="宋体" w:hAnsi="宋体" w:eastAsia="宋体" w:cs="宋体"/>
          <w:sz w:val="24"/>
        </w:rPr>
        <w:t>9.1响应文件及供应商和采购代理机构就投标交换的文件和来往信件，以中文书写（专有名词除外）；</w:t>
      </w:r>
    </w:p>
    <w:p w14:paraId="2921E52B">
      <w:pPr>
        <w:spacing w:line="360" w:lineRule="auto"/>
        <w:ind w:firstLine="480" w:firstLineChars="200"/>
        <w:rPr>
          <w:rFonts w:ascii="宋体" w:hAnsi="宋体" w:eastAsia="宋体" w:cs="宋体"/>
          <w:sz w:val="24"/>
        </w:rPr>
      </w:pPr>
      <w:r>
        <w:rPr>
          <w:rFonts w:hint="eastAsia" w:ascii="宋体" w:hAnsi="宋体" w:eastAsia="宋体" w:cs="宋体"/>
          <w:sz w:val="24"/>
        </w:rPr>
        <w:t>9.2除在竞争性磋商文件中另有规定外， 计量单位应使用中华人民共和国法定计量单位（国际单位制和国家选定的其他计量单位）。</w:t>
      </w:r>
    </w:p>
    <w:p w14:paraId="3C32E797">
      <w:pPr>
        <w:spacing w:line="360" w:lineRule="auto"/>
        <w:ind w:firstLine="480" w:firstLineChars="200"/>
        <w:rPr>
          <w:rFonts w:ascii="宋体" w:hAnsi="宋体" w:eastAsia="宋体" w:cs="宋体"/>
          <w:sz w:val="24"/>
        </w:rPr>
      </w:pPr>
      <w:r>
        <w:rPr>
          <w:rFonts w:hint="eastAsia" w:ascii="宋体" w:hAnsi="宋体" w:eastAsia="宋体" w:cs="宋体"/>
          <w:sz w:val="24"/>
        </w:rPr>
        <w:t>9.3响应文件的组成</w:t>
      </w:r>
    </w:p>
    <w:p w14:paraId="2F64DF36">
      <w:pPr>
        <w:spacing w:line="360" w:lineRule="auto"/>
        <w:ind w:firstLine="480" w:firstLineChars="200"/>
        <w:rPr>
          <w:rFonts w:ascii="宋体" w:hAnsi="宋体" w:eastAsia="宋体" w:cs="宋体"/>
          <w:sz w:val="24"/>
        </w:rPr>
      </w:pPr>
      <w:r>
        <w:rPr>
          <w:rFonts w:hint="eastAsia" w:ascii="宋体" w:hAnsi="宋体" w:eastAsia="宋体" w:cs="宋体"/>
          <w:sz w:val="24"/>
        </w:rPr>
        <w:t>9.3.1商务部分（明标）：</w:t>
      </w:r>
    </w:p>
    <w:p w14:paraId="4809B5B4">
      <w:pPr>
        <w:spacing w:line="360" w:lineRule="auto"/>
        <w:ind w:firstLine="480" w:firstLineChars="200"/>
        <w:rPr>
          <w:rFonts w:ascii="宋体" w:hAnsi="宋体" w:eastAsia="宋体" w:cs="宋体"/>
          <w:sz w:val="24"/>
        </w:rPr>
      </w:pPr>
      <w:r>
        <w:rPr>
          <w:rFonts w:hint="eastAsia" w:ascii="宋体" w:hAnsi="宋体" w:eastAsia="宋体" w:cs="宋体"/>
          <w:sz w:val="24"/>
        </w:rPr>
        <w:t>（1）磋商函、磋商函附录及磋商报价函</w:t>
      </w:r>
    </w:p>
    <w:p w14:paraId="65D8375B">
      <w:pPr>
        <w:spacing w:line="360" w:lineRule="auto"/>
        <w:ind w:firstLine="480" w:firstLineChars="200"/>
        <w:rPr>
          <w:rFonts w:ascii="宋体" w:hAnsi="宋体" w:eastAsia="宋体" w:cs="宋体"/>
          <w:sz w:val="24"/>
        </w:rPr>
      </w:pPr>
      <w:r>
        <w:rPr>
          <w:rFonts w:hint="eastAsia" w:ascii="宋体" w:hAnsi="宋体" w:eastAsia="宋体" w:cs="宋体"/>
          <w:sz w:val="24"/>
        </w:rPr>
        <w:t>（2）法定代表人身份证明及授权委托书</w:t>
      </w:r>
    </w:p>
    <w:p w14:paraId="4AA58B13">
      <w:pPr>
        <w:spacing w:line="360" w:lineRule="auto"/>
        <w:ind w:firstLine="480" w:firstLineChars="200"/>
        <w:rPr>
          <w:rFonts w:hint="eastAsia" w:ascii="宋体" w:hAnsi="宋体" w:eastAsia="宋体" w:cs="宋体"/>
          <w:sz w:val="24"/>
        </w:rPr>
      </w:pPr>
      <w:r>
        <w:rPr>
          <w:rFonts w:hint="eastAsia" w:ascii="宋体" w:hAnsi="宋体" w:eastAsia="宋体" w:cs="宋体"/>
          <w:sz w:val="24"/>
        </w:rPr>
        <w:t>（3）磋商响应保证金</w:t>
      </w:r>
    </w:p>
    <w:p w14:paraId="447BF064">
      <w:pPr>
        <w:spacing w:line="360" w:lineRule="auto"/>
        <w:ind w:firstLine="480" w:firstLineChars="200"/>
        <w:rPr>
          <w:rFonts w:ascii="宋体" w:hAnsi="宋体" w:eastAsia="宋体" w:cs="宋体"/>
          <w:sz w:val="24"/>
        </w:rPr>
      </w:pPr>
      <w:r>
        <w:rPr>
          <w:rFonts w:hint="eastAsia" w:ascii="宋体" w:hAnsi="宋体" w:eastAsia="宋体" w:cs="宋体"/>
          <w:color w:val="auto"/>
          <w:sz w:val="24"/>
        </w:rPr>
        <w:t>（4）已标价工程量清单</w:t>
      </w:r>
    </w:p>
    <w:p w14:paraId="376B1F59">
      <w:pPr>
        <w:spacing w:line="360" w:lineRule="auto"/>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）资格审查资料</w:t>
      </w:r>
    </w:p>
    <w:p w14:paraId="3FFC0CA6">
      <w:pPr>
        <w:spacing w:line="360" w:lineRule="auto"/>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）近年完成的类似项目情况</w:t>
      </w:r>
    </w:p>
    <w:p w14:paraId="400C2790">
      <w:pPr>
        <w:spacing w:line="360" w:lineRule="auto"/>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）其他材料</w:t>
      </w:r>
    </w:p>
    <w:p w14:paraId="72894AEE">
      <w:pPr>
        <w:spacing w:line="360" w:lineRule="auto"/>
        <w:ind w:firstLine="480" w:firstLineChars="200"/>
        <w:rPr>
          <w:rFonts w:ascii="宋体" w:hAnsi="宋体" w:eastAsia="宋体" w:cs="宋体"/>
          <w:sz w:val="24"/>
        </w:rPr>
      </w:pPr>
      <w:r>
        <w:rPr>
          <w:rFonts w:hint="eastAsia" w:ascii="宋体" w:hAnsi="宋体" w:eastAsia="宋体" w:cs="宋体"/>
          <w:sz w:val="24"/>
        </w:rPr>
        <w:t>9.3.2技术部分（暗标）</w:t>
      </w:r>
    </w:p>
    <w:p w14:paraId="648DED71">
      <w:pPr>
        <w:spacing w:line="360" w:lineRule="auto"/>
        <w:ind w:firstLine="480" w:firstLineChars="200"/>
        <w:rPr>
          <w:rFonts w:ascii="宋体" w:hAnsi="宋体" w:eastAsia="宋体" w:cs="宋体"/>
          <w:sz w:val="24"/>
        </w:rPr>
      </w:pPr>
      <w:r>
        <w:rPr>
          <w:rFonts w:hint="eastAsia" w:ascii="宋体" w:hAnsi="宋体" w:eastAsia="宋体" w:cs="宋体"/>
          <w:sz w:val="24"/>
        </w:rPr>
        <w:t>施工组织设计（暗标）：</w:t>
      </w:r>
      <w:r>
        <w:rPr>
          <w:rFonts w:hint="eastAsia" w:ascii="宋体" w:hAnsi="宋体" w:eastAsia="宋体" w:cs="宋体"/>
          <w:bCs/>
          <w:sz w:val="24"/>
        </w:rPr>
        <w:t>响应</w:t>
      </w:r>
      <w:r>
        <w:rPr>
          <w:rFonts w:hint="eastAsia" w:ascii="宋体" w:hAnsi="宋体" w:eastAsia="宋体" w:cs="宋体"/>
          <w:bCs/>
          <w:sz w:val="24"/>
          <w:lang w:val="zh-CN"/>
        </w:rPr>
        <w:t>文件的</w:t>
      </w:r>
      <w:r>
        <w:rPr>
          <w:rFonts w:hint="eastAsia" w:ascii="宋体" w:hAnsi="宋体" w:eastAsia="宋体" w:cs="宋体"/>
          <w:bCs/>
          <w:sz w:val="24"/>
        </w:rPr>
        <w:t>施工组织设计（</w:t>
      </w:r>
      <w:r>
        <w:rPr>
          <w:rFonts w:hint="eastAsia" w:ascii="宋体" w:hAnsi="宋体" w:eastAsia="宋体" w:cs="宋体"/>
          <w:bCs/>
          <w:sz w:val="24"/>
          <w:lang w:val="zh-CN"/>
        </w:rPr>
        <w:t>技术标部分</w:t>
      </w:r>
      <w:r>
        <w:rPr>
          <w:rFonts w:hint="eastAsia" w:ascii="宋体" w:hAnsi="宋体" w:eastAsia="宋体" w:cs="宋体"/>
          <w:bCs/>
          <w:sz w:val="24"/>
        </w:rPr>
        <w:t>）</w:t>
      </w:r>
      <w:r>
        <w:rPr>
          <w:rFonts w:hint="eastAsia" w:ascii="宋体" w:hAnsi="宋体" w:eastAsia="宋体" w:cs="宋体"/>
          <w:bCs/>
          <w:sz w:val="24"/>
          <w:lang w:val="zh-CN"/>
        </w:rPr>
        <w:t>采用“暗标”形式，</w:t>
      </w:r>
      <w:r>
        <w:rPr>
          <w:rFonts w:hint="eastAsia" w:ascii="宋体" w:hAnsi="宋体" w:eastAsia="宋体" w:cs="宋体"/>
          <w:bCs/>
          <w:sz w:val="24"/>
        </w:rPr>
        <w:t>供应商</w:t>
      </w:r>
      <w:r>
        <w:rPr>
          <w:rFonts w:hint="eastAsia" w:ascii="宋体" w:hAnsi="宋体" w:eastAsia="宋体" w:cs="宋体"/>
          <w:bCs/>
          <w:sz w:val="24"/>
          <w:lang w:val="zh-CN"/>
        </w:rPr>
        <w:t>应严格按照详见“第六章响应文件格式”中技术部分关于施工组织设计（暗标）部分编制要求。技术标</w:t>
      </w:r>
      <w:r>
        <w:rPr>
          <w:rFonts w:hint="eastAsia" w:ascii="宋体" w:hAnsi="宋体" w:eastAsia="宋体" w:cs="宋体"/>
          <w:bCs/>
          <w:sz w:val="24"/>
        </w:rPr>
        <w:t>如</w:t>
      </w:r>
      <w:r>
        <w:rPr>
          <w:rFonts w:hint="eastAsia" w:ascii="宋体" w:hAnsi="宋体" w:eastAsia="宋体" w:cs="宋体"/>
          <w:bCs/>
          <w:sz w:val="24"/>
          <w:lang w:val="zh-CN"/>
        </w:rPr>
        <w:t>出现</w:t>
      </w:r>
      <w:r>
        <w:rPr>
          <w:rFonts w:hint="eastAsia" w:ascii="宋体" w:hAnsi="宋体" w:eastAsia="宋体" w:cs="宋体"/>
          <w:bCs/>
          <w:sz w:val="24"/>
        </w:rPr>
        <w:t>不符合上述编制要求的</w:t>
      </w:r>
      <w:r>
        <w:rPr>
          <w:rFonts w:hint="eastAsia" w:ascii="宋体" w:hAnsi="宋体" w:eastAsia="宋体" w:cs="宋体"/>
          <w:bCs/>
          <w:sz w:val="24"/>
          <w:lang w:val="zh-CN"/>
        </w:rPr>
        <w:t>，经评标委员会确定后，</w:t>
      </w:r>
      <w:r>
        <w:rPr>
          <w:rFonts w:hint="eastAsia" w:ascii="宋体" w:hAnsi="宋体" w:eastAsia="宋体" w:cs="宋体"/>
          <w:bCs/>
          <w:sz w:val="24"/>
        </w:rPr>
        <w:t>其</w:t>
      </w:r>
      <w:r>
        <w:rPr>
          <w:rFonts w:hint="eastAsia" w:ascii="宋体" w:hAnsi="宋体" w:eastAsia="宋体" w:cs="宋体"/>
          <w:bCs/>
          <w:sz w:val="24"/>
          <w:lang w:val="zh-CN"/>
        </w:rPr>
        <w:t>投标将</w:t>
      </w:r>
      <w:r>
        <w:rPr>
          <w:rFonts w:hint="eastAsia" w:ascii="宋体" w:hAnsi="宋体" w:eastAsia="宋体" w:cs="宋体"/>
          <w:bCs/>
          <w:sz w:val="24"/>
        </w:rPr>
        <w:t>被</w:t>
      </w:r>
      <w:r>
        <w:rPr>
          <w:rFonts w:hint="eastAsia" w:ascii="宋体" w:hAnsi="宋体" w:eastAsia="宋体" w:cs="宋体"/>
          <w:bCs/>
          <w:sz w:val="24"/>
          <w:lang w:val="zh-CN"/>
        </w:rPr>
        <w:t>否决。</w:t>
      </w:r>
    </w:p>
    <w:p w14:paraId="492C86D3">
      <w:pPr>
        <w:spacing w:line="360" w:lineRule="auto"/>
        <w:ind w:firstLine="480" w:firstLineChars="200"/>
        <w:rPr>
          <w:rFonts w:ascii="宋体" w:hAnsi="宋体" w:eastAsia="宋体" w:cs="宋体"/>
          <w:sz w:val="24"/>
        </w:rPr>
      </w:pPr>
      <w:r>
        <w:rPr>
          <w:rFonts w:hint="eastAsia" w:ascii="宋体" w:hAnsi="宋体" w:eastAsia="宋体" w:cs="宋体"/>
          <w:sz w:val="24"/>
        </w:rPr>
        <w:t>11.响应文件内容填写说明</w:t>
      </w:r>
    </w:p>
    <w:p w14:paraId="15A365FC">
      <w:pPr>
        <w:spacing w:line="360" w:lineRule="auto"/>
        <w:ind w:firstLine="480" w:firstLineChars="200"/>
        <w:rPr>
          <w:rFonts w:ascii="宋体" w:hAnsi="宋体" w:eastAsia="宋体" w:cs="宋体"/>
          <w:sz w:val="24"/>
        </w:rPr>
      </w:pPr>
      <w:r>
        <w:rPr>
          <w:rFonts w:hint="eastAsia" w:ascii="宋体" w:hAnsi="宋体" w:eastAsia="宋体" w:cs="宋体"/>
          <w:sz w:val="24"/>
        </w:rPr>
        <w:t>11.1供应商应严格按竞争性磋商文件要求的内容逐项填写编制响应文件，有规定格式的按规定格式填写，无规定格式的由供应商自拟。</w:t>
      </w:r>
    </w:p>
    <w:p w14:paraId="51547DBD">
      <w:pPr>
        <w:spacing w:line="360" w:lineRule="auto"/>
        <w:ind w:firstLine="480" w:firstLineChars="200"/>
        <w:rPr>
          <w:rFonts w:ascii="宋体" w:hAnsi="宋体" w:eastAsia="宋体" w:cs="宋体"/>
          <w:sz w:val="24"/>
        </w:rPr>
      </w:pPr>
      <w:r>
        <w:rPr>
          <w:rFonts w:hint="eastAsia" w:ascii="宋体" w:hAnsi="宋体" w:eastAsia="宋体" w:cs="宋体"/>
          <w:sz w:val="24"/>
        </w:rPr>
        <w:t>11.2磋商报价函（首次）为在磋商会议上唱标的内容，要求按格式填写、统一规范，不得自行增减内容。响应文件不得漏项或虚报，否则将可能导致其投标被拒绝。</w:t>
      </w:r>
    </w:p>
    <w:p w14:paraId="6C0D3C6E">
      <w:pPr>
        <w:spacing w:line="360" w:lineRule="auto"/>
        <w:ind w:firstLine="480" w:firstLineChars="200"/>
        <w:rPr>
          <w:rFonts w:ascii="宋体" w:hAnsi="宋体" w:eastAsia="宋体" w:cs="宋体"/>
          <w:sz w:val="24"/>
        </w:rPr>
      </w:pPr>
      <w:r>
        <w:rPr>
          <w:rFonts w:hint="eastAsia" w:ascii="宋体" w:hAnsi="宋体" w:eastAsia="宋体" w:cs="宋体"/>
          <w:sz w:val="24"/>
        </w:rPr>
        <w:t>11.3 供应商应保证其所提供文件的真实性，并应对竞争性磋商文件的实质性要求作出完全响应，否则其投标可能被拒绝。</w:t>
      </w:r>
    </w:p>
    <w:p w14:paraId="6A57917C">
      <w:pPr>
        <w:spacing w:line="360" w:lineRule="auto"/>
        <w:ind w:firstLine="480" w:firstLineChars="200"/>
        <w:rPr>
          <w:rFonts w:ascii="宋体" w:hAnsi="宋体" w:eastAsia="宋体" w:cs="宋体"/>
          <w:sz w:val="24"/>
        </w:rPr>
      </w:pPr>
      <w:r>
        <w:rPr>
          <w:rFonts w:hint="eastAsia" w:ascii="宋体" w:hAnsi="宋体" w:eastAsia="宋体" w:cs="宋体"/>
          <w:sz w:val="24"/>
        </w:rPr>
        <w:t>11.4供应商视需要自行编制技术文件的补充附件。规格幅面应与正文一致，附于正文之后，与正文页码统一编目编码装订。</w:t>
      </w:r>
    </w:p>
    <w:p w14:paraId="0F6C1152">
      <w:pPr>
        <w:spacing w:line="360" w:lineRule="auto"/>
        <w:ind w:firstLine="480" w:firstLineChars="200"/>
        <w:rPr>
          <w:rFonts w:ascii="宋体" w:hAnsi="宋体" w:eastAsia="宋体" w:cs="宋体"/>
          <w:sz w:val="24"/>
        </w:rPr>
      </w:pPr>
      <w:r>
        <w:rPr>
          <w:rFonts w:hint="eastAsia" w:ascii="宋体" w:hAnsi="宋体" w:eastAsia="宋体" w:cs="宋体"/>
          <w:sz w:val="24"/>
        </w:rPr>
        <w:t>12.投标报价</w:t>
      </w:r>
    </w:p>
    <w:p w14:paraId="54AC37C1">
      <w:pPr>
        <w:spacing w:line="360" w:lineRule="auto"/>
        <w:ind w:firstLine="480" w:firstLineChars="200"/>
        <w:rPr>
          <w:rFonts w:ascii="宋体" w:hAnsi="宋体" w:eastAsia="宋体" w:cs="宋体"/>
          <w:sz w:val="24"/>
        </w:rPr>
      </w:pPr>
      <w:r>
        <w:rPr>
          <w:rFonts w:hint="eastAsia" w:ascii="宋体" w:hAnsi="宋体" w:eastAsia="宋体" w:cs="宋体"/>
          <w:sz w:val="24"/>
        </w:rPr>
        <w:t>12.1 供应商应按第六章竞争性磋商响应文件格式要求填写相应表格。</w:t>
      </w:r>
    </w:p>
    <w:p w14:paraId="63BF406C">
      <w:pPr>
        <w:spacing w:line="360" w:lineRule="auto"/>
        <w:ind w:firstLine="480" w:firstLineChars="200"/>
        <w:rPr>
          <w:rFonts w:ascii="宋体" w:hAnsi="宋体" w:eastAsia="宋体" w:cs="宋体"/>
          <w:sz w:val="24"/>
        </w:rPr>
      </w:pPr>
      <w:r>
        <w:rPr>
          <w:rFonts w:hint="eastAsia" w:ascii="宋体" w:hAnsi="宋体" w:eastAsia="宋体" w:cs="宋体"/>
          <w:sz w:val="24"/>
        </w:rPr>
        <w:t>12.2 供应商应充分了解本项目的总体情况以及影响磋商报价的其他要素。</w:t>
      </w:r>
    </w:p>
    <w:p w14:paraId="54AA4743">
      <w:pPr>
        <w:spacing w:line="360" w:lineRule="auto"/>
        <w:ind w:firstLine="480" w:firstLineChars="200"/>
        <w:rPr>
          <w:rFonts w:ascii="宋体" w:hAnsi="宋体" w:eastAsia="宋体" w:cs="宋体"/>
          <w:sz w:val="24"/>
        </w:rPr>
      </w:pPr>
      <w:r>
        <w:rPr>
          <w:rFonts w:hint="eastAsia" w:ascii="宋体" w:hAnsi="宋体" w:eastAsia="宋体" w:cs="宋体"/>
          <w:sz w:val="24"/>
        </w:rPr>
        <w:t>12.3 本项目的报价方式见供应商须知前附表。</w:t>
      </w:r>
    </w:p>
    <w:p w14:paraId="064E2989">
      <w:pPr>
        <w:spacing w:line="360" w:lineRule="auto"/>
        <w:ind w:firstLine="480" w:firstLineChars="200"/>
        <w:rPr>
          <w:rFonts w:ascii="宋体" w:hAnsi="宋体" w:eastAsia="宋体" w:cs="宋体"/>
          <w:sz w:val="24"/>
        </w:rPr>
      </w:pPr>
      <w:r>
        <w:rPr>
          <w:rFonts w:hint="eastAsia" w:ascii="宋体" w:hAnsi="宋体" w:eastAsia="宋体" w:cs="宋体"/>
          <w:sz w:val="24"/>
        </w:rPr>
        <w:t>12.4供应商因承包本项目需支付的一切费用，并包含在所报的单价内。</w:t>
      </w:r>
    </w:p>
    <w:p w14:paraId="68312764">
      <w:pPr>
        <w:spacing w:line="360" w:lineRule="auto"/>
        <w:ind w:firstLine="482" w:firstLineChars="200"/>
        <w:rPr>
          <w:rFonts w:ascii="宋体" w:hAnsi="宋体" w:eastAsia="宋体" w:cs="宋体"/>
          <w:b/>
          <w:bCs/>
          <w:sz w:val="24"/>
        </w:rPr>
      </w:pPr>
      <w:r>
        <w:rPr>
          <w:rFonts w:hint="eastAsia" w:ascii="宋体" w:hAnsi="宋体" w:eastAsia="宋体" w:cs="宋体"/>
          <w:b/>
          <w:bCs/>
          <w:sz w:val="24"/>
        </w:rPr>
        <w:t>13.磋商保证金</w:t>
      </w:r>
    </w:p>
    <w:p w14:paraId="4835ACD3">
      <w:pPr>
        <w:spacing w:line="360" w:lineRule="auto"/>
        <w:ind w:firstLine="480" w:firstLineChars="200"/>
        <w:rPr>
          <w:rFonts w:ascii="宋体" w:hAnsi="宋体" w:eastAsia="宋体" w:cs="宋体"/>
          <w:sz w:val="24"/>
        </w:rPr>
      </w:pPr>
      <w:r>
        <w:rPr>
          <w:rFonts w:hint="eastAsia" w:ascii="宋体" w:hAnsi="宋体" w:eastAsia="宋体" w:cs="宋体"/>
          <w:sz w:val="24"/>
        </w:rPr>
        <w:t>13.1磋商保证金的形式：</w:t>
      </w:r>
      <w:r>
        <w:rPr>
          <w:rFonts w:hint="eastAsia" w:ascii="宋体" w:hAnsi="宋体"/>
          <w:sz w:val="24"/>
          <w:szCs w:val="24"/>
        </w:rPr>
        <w:t>应当采用支票、汇票、本票、网上银行支付或者金融机构、担保机构出具的保函等非现金形式交纳</w:t>
      </w:r>
      <w:r>
        <w:rPr>
          <w:rFonts w:hint="eastAsia" w:ascii="宋体" w:hAnsi="宋体" w:eastAsia="宋体" w:cs="宋体"/>
          <w:sz w:val="24"/>
        </w:rPr>
        <w:t>，以现金或支票形式提交的磋商保证金应当从供应商的基本账户转出。</w:t>
      </w:r>
    </w:p>
    <w:p w14:paraId="7FBF75C2">
      <w:pPr>
        <w:spacing w:line="360" w:lineRule="auto"/>
        <w:ind w:firstLine="480" w:firstLineChars="200"/>
        <w:rPr>
          <w:rFonts w:ascii="宋体" w:hAnsi="宋体" w:eastAsia="宋体" w:cs="宋体"/>
          <w:bCs/>
          <w:kern w:val="15"/>
          <w:sz w:val="24"/>
        </w:rPr>
      </w:pPr>
      <w:r>
        <w:rPr>
          <w:rFonts w:hint="eastAsia" w:ascii="宋体" w:hAnsi="宋体" w:eastAsia="宋体" w:cs="宋体"/>
          <w:bCs/>
          <w:kern w:val="15"/>
          <w:sz w:val="24"/>
        </w:rPr>
        <w:t>13.2磋商保证金的金额：见</w:t>
      </w:r>
      <w:r>
        <w:rPr>
          <w:rFonts w:hint="eastAsia" w:ascii="宋体" w:hAnsi="宋体" w:eastAsia="宋体" w:cs="宋体"/>
          <w:sz w:val="24"/>
        </w:rPr>
        <w:t>供应商须知前附表第24项</w:t>
      </w:r>
      <w:r>
        <w:rPr>
          <w:rFonts w:hint="eastAsia" w:ascii="宋体" w:hAnsi="宋体" w:eastAsia="宋体" w:cs="宋体"/>
          <w:bCs/>
          <w:kern w:val="15"/>
          <w:sz w:val="24"/>
        </w:rPr>
        <w:t xml:space="preserve">； </w:t>
      </w:r>
    </w:p>
    <w:p w14:paraId="001CFF5B">
      <w:pPr>
        <w:spacing w:line="360" w:lineRule="auto"/>
        <w:ind w:firstLine="480" w:firstLineChars="200"/>
        <w:rPr>
          <w:rFonts w:ascii="宋体" w:hAnsi="宋体" w:eastAsia="宋体" w:cs="宋体"/>
          <w:bCs/>
          <w:kern w:val="15"/>
          <w:sz w:val="24"/>
        </w:rPr>
      </w:pPr>
      <w:r>
        <w:rPr>
          <w:rFonts w:hint="eastAsia" w:ascii="宋体" w:hAnsi="宋体" w:eastAsia="宋体" w:cs="宋体"/>
          <w:bCs/>
          <w:kern w:val="15"/>
          <w:sz w:val="24"/>
        </w:rPr>
        <w:t>13.3递交方式：见</w:t>
      </w:r>
      <w:r>
        <w:rPr>
          <w:rFonts w:hint="eastAsia" w:ascii="宋体" w:hAnsi="宋体" w:eastAsia="宋体" w:cs="宋体"/>
          <w:sz w:val="24"/>
        </w:rPr>
        <w:t>供应商须知前附表第24项</w:t>
      </w:r>
      <w:r>
        <w:rPr>
          <w:rFonts w:hint="eastAsia" w:ascii="宋体" w:hAnsi="宋体" w:eastAsia="宋体" w:cs="宋体"/>
          <w:bCs/>
          <w:kern w:val="15"/>
          <w:sz w:val="24"/>
        </w:rPr>
        <w:t>；</w:t>
      </w:r>
    </w:p>
    <w:p w14:paraId="6D8A99F7">
      <w:pPr>
        <w:spacing w:line="360" w:lineRule="auto"/>
        <w:ind w:firstLine="480" w:firstLineChars="200"/>
        <w:rPr>
          <w:rFonts w:ascii="宋体" w:hAnsi="宋体" w:eastAsia="宋体" w:cs="宋体"/>
          <w:sz w:val="24"/>
        </w:rPr>
      </w:pPr>
      <w:r>
        <w:rPr>
          <w:rFonts w:hint="eastAsia" w:ascii="宋体" w:hAnsi="宋体" w:eastAsia="宋体" w:cs="宋体"/>
          <w:sz w:val="24"/>
        </w:rPr>
        <w:t>13.4磋商保证金用于保护本次招标免受因供应商不履行投标承诺及合同等行为而引起的风险；</w:t>
      </w:r>
    </w:p>
    <w:p w14:paraId="7BC44312">
      <w:pPr>
        <w:spacing w:line="360" w:lineRule="auto"/>
        <w:ind w:firstLine="480" w:firstLineChars="200"/>
        <w:rPr>
          <w:rFonts w:ascii="宋体" w:hAnsi="宋体" w:eastAsia="宋体" w:cs="宋体"/>
          <w:sz w:val="24"/>
        </w:rPr>
      </w:pPr>
      <w:r>
        <w:rPr>
          <w:rFonts w:hint="eastAsia" w:ascii="宋体" w:hAnsi="宋体" w:eastAsia="宋体" w:cs="宋体"/>
          <w:sz w:val="24"/>
        </w:rPr>
        <w:t>13.5未按13.1和13.2条款要求提交磋商保证金的投标将被视为投标无效；</w:t>
      </w:r>
    </w:p>
    <w:p w14:paraId="0898A95E">
      <w:pPr>
        <w:spacing w:line="360" w:lineRule="auto"/>
        <w:ind w:firstLine="480" w:firstLineChars="200"/>
        <w:rPr>
          <w:rFonts w:ascii="宋体" w:hAnsi="宋体" w:eastAsia="宋体" w:cs="宋体"/>
          <w:sz w:val="24"/>
        </w:rPr>
      </w:pPr>
      <w:r>
        <w:rPr>
          <w:rFonts w:hint="eastAsia" w:ascii="宋体" w:hAnsi="宋体" w:eastAsia="宋体" w:cs="宋体"/>
          <w:sz w:val="24"/>
        </w:rPr>
        <w:t>13.6未中标供应商的磋商保证金将按25.2条规定予以无息退还；</w:t>
      </w:r>
    </w:p>
    <w:p w14:paraId="0F427742">
      <w:pPr>
        <w:spacing w:line="360" w:lineRule="auto"/>
        <w:ind w:firstLine="480" w:firstLineChars="200"/>
        <w:rPr>
          <w:rFonts w:ascii="宋体" w:hAnsi="宋体" w:eastAsia="宋体" w:cs="宋体"/>
          <w:sz w:val="24"/>
        </w:rPr>
      </w:pPr>
      <w:r>
        <w:rPr>
          <w:rFonts w:hint="eastAsia" w:ascii="宋体" w:hAnsi="宋体" w:eastAsia="宋体" w:cs="宋体"/>
          <w:sz w:val="24"/>
        </w:rPr>
        <w:t>13.7中标人的磋商保证金，在中标人交纳中标服务费后予以无息退还；</w:t>
      </w:r>
    </w:p>
    <w:p w14:paraId="2E276C3E">
      <w:pPr>
        <w:spacing w:line="360" w:lineRule="auto"/>
        <w:ind w:firstLine="480" w:firstLineChars="200"/>
        <w:rPr>
          <w:rFonts w:ascii="宋体" w:hAnsi="宋体" w:eastAsia="宋体" w:cs="宋体"/>
          <w:sz w:val="24"/>
        </w:rPr>
      </w:pPr>
      <w:r>
        <w:rPr>
          <w:rFonts w:hint="eastAsia" w:ascii="宋体" w:hAnsi="宋体" w:eastAsia="宋体" w:cs="宋体"/>
          <w:sz w:val="24"/>
        </w:rPr>
        <w:t>13.8 发生下列情况之一，磋商保证金将被没收：</w:t>
      </w:r>
    </w:p>
    <w:p w14:paraId="323230CC">
      <w:pPr>
        <w:spacing w:line="360" w:lineRule="auto"/>
        <w:ind w:firstLine="480" w:firstLineChars="200"/>
        <w:rPr>
          <w:rFonts w:ascii="宋体" w:hAnsi="宋体" w:eastAsia="宋体" w:cs="宋体"/>
          <w:sz w:val="24"/>
        </w:rPr>
      </w:pPr>
      <w:r>
        <w:rPr>
          <w:rFonts w:hint="eastAsia" w:ascii="宋体" w:hAnsi="宋体" w:eastAsia="宋体" w:cs="宋体"/>
          <w:sz w:val="24"/>
        </w:rPr>
        <w:t>（1）供应商在提交响应文件截止时间后撤回响应文件的；</w:t>
      </w:r>
    </w:p>
    <w:p w14:paraId="3AB0F40C">
      <w:pPr>
        <w:spacing w:line="360" w:lineRule="auto"/>
        <w:ind w:firstLine="480" w:firstLineChars="200"/>
        <w:rPr>
          <w:rFonts w:ascii="宋体" w:hAnsi="宋体" w:eastAsia="宋体" w:cs="宋体"/>
          <w:sz w:val="24"/>
        </w:rPr>
      </w:pPr>
      <w:r>
        <w:rPr>
          <w:rFonts w:hint="eastAsia" w:ascii="宋体" w:hAnsi="宋体" w:eastAsia="宋体" w:cs="宋体"/>
          <w:sz w:val="24"/>
        </w:rPr>
        <w:t>（2）供应商在响应文件中提供虚假材料的；</w:t>
      </w:r>
    </w:p>
    <w:p w14:paraId="1E94B255">
      <w:pPr>
        <w:spacing w:line="360" w:lineRule="auto"/>
        <w:ind w:firstLine="480" w:firstLineChars="200"/>
        <w:rPr>
          <w:rFonts w:ascii="宋体" w:hAnsi="宋体" w:eastAsia="宋体" w:cs="宋体"/>
          <w:sz w:val="24"/>
        </w:rPr>
      </w:pPr>
      <w:r>
        <w:rPr>
          <w:rFonts w:hint="eastAsia" w:ascii="宋体" w:hAnsi="宋体" w:eastAsia="宋体" w:cs="宋体"/>
          <w:sz w:val="24"/>
        </w:rPr>
        <w:t>（3）除因不可抗力或谈判文件、询价通知书认可的情形以外，成交供应商不与采购人签订合同的；</w:t>
      </w:r>
    </w:p>
    <w:p w14:paraId="5112929A">
      <w:pPr>
        <w:spacing w:line="360" w:lineRule="auto"/>
        <w:ind w:firstLine="480" w:firstLineChars="200"/>
        <w:rPr>
          <w:rFonts w:ascii="宋体" w:hAnsi="宋体" w:eastAsia="宋体" w:cs="宋体"/>
          <w:sz w:val="24"/>
        </w:rPr>
      </w:pPr>
      <w:r>
        <w:rPr>
          <w:rFonts w:hint="eastAsia" w:ascii="宋体" w:hAnsi="宋体" w:eastAsia="宋体" w:cs="宋体"/>
          <w:sz w:val="24"/>
        </w:rPr>
        <w:t>（4）供应商与采购人、其他供应商或者采购代理机构恶意串通的；</w:t>
      </w:r>
    </w:p>
    <w:p w14:paraId="5E25BD10">
      <w:pPr>
        <w:spacing w:line="360" w:lineRule="auto"/>
        <w:ind w:firstLine="480" w:firstLineChars="200"/>
        <w:rPr>
          <w:rFonts w:ascii="宋体" w:hAnsi="宋体" w:eastAsia="宋体" w:cs="宋体"/>
          <w:sz w:val="24"/>
        </w:rPr>
      </w:pPr>
      <w:r>
        <w:rPr>
          <w:rFonts w:hint="eastAsia" w:ascii="宋体" w:hAnsi="宋体" w:eastAsia="宋体" w:cs="宋体"/>
          <w:sz w:val="24"/>
        </w:rPr>
        <w:t>（5）竞争性磋商文件规定的其他情形。</w:t>
      </w:r>
    </w:p>
    <w:p w14:paraId="07D9E310">
      <w:pPr>
        <w:spacing w:line="360" w:lineRule="auto"/>
        <w:ind w:firstLine="480" w:firstLineChars="200"/>
        <w:rPr>
          <w:rFonts w:ascii="宋体" w:hAnsi="宋体" w:eastAsia="宋体" w:cs="宋体"/>
          <w:sz w:val="24"/>
        </w:rPr>
      </w:pPr>
      <w:r>
        <w:rPr>
          <w:rFonts w:hint="eastAsia" w:ascii="宋体" w:hAnsi="宋体" w:eastAsia="宋体" w:cs="宋体"/>
          <w:sz w:val="24"/>
        </w:rPr>
        <w:t>14.磋商有效期</w:t>
      </w:r>
    </w:p>
    <w:p w14:paraId="31DCF3E4">
      <w:pPr>
        <w:spacing w:line="360" w:lineRule="auto"/>
        <w:ind w:firstLine="480" w:firstLineChars="200"/>
        <w:rPr>
          <w:rFonts w:ascii="宋体" w:hAnsi="宋体" w:eastAsia="宋体" w:cs="宋体"/>
          <w:sz w:val="24"/>
        </w:rPr>
      </w:pPr>
      <w:r>
        <w:rPr>
          <w:rFonts w:hint="eastAsia" w:ascii="宋体" w:hAnsi="宋体" w:eastAsia="宋体" w:cs="宋体"/>
          <w:sz w:val="24"/>
        </w:rPr>
        <w:t>14.1从提交响应文件截止之日起，磋商有效期为90天。不能满足磋商有效期的投标，将被拒绝；</w:t>
      </w:r>
    </w:p>
    <w:p w14:paraId="021FFEDF">
      <w:pPr>
        <w:spacing w:line="360" w:lineRule="auto"/>
        <w:ind w:firstLine="480" w:firstLineChars="200"/>
        <w:rPr>
          <w:rFonts w:ascii="宋体" w:hAnsi="宋体" w:eastAsia="宋体" w:cs="宋体"/>
          <w:sz w:val="24"/>
        </w:rPr>
      </w:pPr>
      <w:r>
        <w:rPr>
          <w:rFonts w:hint="eastAsia" w:ascii="宋体" w:hAnsi="宋体" w:eastAsia="宋体" w:cs="宋体"/>
          <w:sz w:val="24"/>
        </w:rPr>
        <w:t>14.2特殊情况下，采购代理机构可于磋商有效期满之前要求供应商延长磋商有效期，这种要求和答复都应以书面、传真的形式进行。供应商可以拒绝接受延期要求。同意延长有效期的供应商不能修改响应文件。</w:t>
      </w:r>
    </w:p>
    <w:p w14:paraId="01C6283B">
      <w:pPr>
        <w:spacing w:line="360" w:lineRule="auto"/>
        <w:ind w:firstLine="480" w:firstLineChars="200"/>
        <w:rPr>
          <w:rFonts w:ascii="宋体" w:hAnsi="宋体" w:eastAsia="宋体" w:cs="宋体"/>
          <w:sz w:val="24"/>
        </w:rPr>
      </w:pPr>
      <w:r>
        <w:rPr>
          <w:rFonts w:hint="eastAsia" w:ascii="宋体" w:hAnsi="宋体" w:eastAsia="宋体" w:cs="宋体"/>
          <w:sz w:val="24"/>
        </w:rPr>
        <w:t>15.响应文件的签署及规定</w:t>
      </w:r>
    </w:p>
    <w:p w14:paraId="601F8386">
      <w:pPr>
        <w:spacing w:line="360" w:lineRule="auto"/>
        <w:ind w:firstLine="480" w:firstLineChars="200"/>
        <w:rPr>
          <w:rFonts w:ascii="宋体" w:hAnsi="宋体" w:eastAsia="宋体" w:cs="宋体"/>
          <w:sz w:val="24"/>
        </w:rPr>
      </w:pPr>
      <w:r>
        <w:rPr>
          <w:rFonts w:hint="eastAsia" w:ascii="宋体" w:hAnsi="宋体" w:eastAsia="宋体" w:cs="宋体"/>
          <w:sz w:val="24"/>
        </w:rPr>
        <w:t>15.1 组成响应文件的各项资料均应遵守本须知第10条中所规定的内容。</w:t>
      </w:r>
    </w:p>
    <w:p w14:paraId="2E8A08EC">
      <w:pPr>
        <w:spacing w:line="360" w:lineRule="auto"/>
        <w:ind w:firstLine="480" w:firstLineChars="200"/>
        <w:rPr>
          <w:rFonts w:ascii="宋体" w:hAnsi="宋体" w:eastAsia="宋体" w:cs="宋体"/>
          <w:sz w:val="24"/>
        </w:rPr>
      </w:pPr>
      <w:r>
        <w:rPr>
          <w:rFonts w:hint="eastAsia" w:ascii="宋体" w:hAnsi="宋体" w:eastAsia="宋体" w:cs="宋体"/>
          <w:sz w:val="24"/>
        </w:rPr>
        <w:t>15.2 供应商应填写单位全称，同时加盖印章。</w:t>
      </w:r>
    </w:p>
    <w:p w14:paraId="553EF64B">
      <w:pPr>
        <w:spacing w:line="360" w:lineRule="auto"/>
        <w:ind w:firstLine="480" w:firstLineChars="200"/>
        <w:rPr>
          <w:rFonts w:ascii="宋体" w:hAnsi="宋体" w:eastAsia="宋体" w:cs="宋体"/>
          <w:sz w:val="24"/>
        </w:rPr>
      </w:pPr>
      <w:r>
        <w:rPr>
          <w:rFonts w:hint="eastAsia" w:ascii="宋体" w:hAnsi="宋体" w:eastAsia="宋体" w:cs="宋体"/>
          <w:sz w:val="24"/>
        </w:rPr>
        <w:t>15.3 响应文件必须由法人代表或法人授权代表签署。</w:t>
      </w:r>
    </w:p>
    <w:p w14:paraId="7A1EEE6A">
      <w:pPr>
        <w:spacing w:line="360" w:lineRule="auto"/>
        <w:ind w:firstLine="480" w:firstLineChars="200"/>
        <w:rPr>
          <w:rFonts w:ascii="宋体" w:hAnsi="宋体" w:eastAsia="宋体" w:cs="宋体"/>
          <w:sz w:val="24"/>
        </w:rPr>
      </w:pPr>
      <w:r>
        <w:rPr>
          <w:rFonts w:hint="eastAsia" w:ascii="宋体" w:hAnsi="宋体" w:eastAsia="宋体" w:cs="宋体"/>
          <w:sz w:val="24"/>
        </w:rPr>
        <w:t>15.4 响应文件不得涂改和增删，如有修改错漏处，必须由同一签署人签字或盖章。</w:t>
      </w:r>
    </w:p>
    <w:p w14:paraId="5FA36E04">
      <w:pPr>
        <w:spacing w:line="360" w:lineRule="auto"/>
        <w:ind w:firstLine="480" w:firstLineChars="200"/>
        <w:rPr>
          <w:rFonts w:ascii="宋体" w:hAnsi="宋体" w:eastAsia="宋体" w:cs="宋体"/>
          <w:sz w:val="24"/>
        </w:rPr>
      </w:pPr>
      <w:r>
        <w:rPr>
          <w:rFonts w:hint="eastAsia" w:ascii="宋体" w:hAnsi="宋体" w:eastAsia="宋体" w:cs="宋体"/>
          <w:sz w:val="24"/>
        </w:rPr>
        <w:t>15.5 响应文件因字迹潦草或表达不清所引起的后果由供应商负责。</w:t>
      </w:r>
    </w:p>
    <w:p w14:paraId="22ACFFA3">
      <w:pPr>
        <w:spacing w:line="360" w:lineRule="auto"/>
        <w:ind w:firstLine="482" w:firstLineChars="200"/>
        <w:rPr>
          <w:rFonts w:ascii="宋体" w:hAnsi="宋体" w:cs="宋体"/>
          <w:b/>
          <w:sz w:val="24"/>
        </w:rPr>
      </w:pPr>
      <w:bookmarkStart w:id="56" w:name="_Toc134790391"/>
      <w:r>
        <w:rPr>
          <w:rFonts w:hint="eastAsia" w:ascii="宋体" w:hAnsi="宋体" w:cs="宋体"/>
          <w:b/>
          <w:sz w:val="24"/>
        </w:rPr>
        <w:t>D响应文件的递交</w:t>
      </w:r>
      <w:bookmarkEnd w:id="56"/>
    </w:p>
    <w:p w14:paraId="4C8FDD4F">
      <w:pPr>
        <w:spacing w:line="360" w:lineRule="auto"/>
        <w:ind w:firstLine="480" w:firstLineChars="200"/>
        <w:rPr>
          <w:rFonts w:ascii="宋体" w:hAnsi="宋体" w:eastAsia="宋体" w:cs="宋体"/>
          <w:sz w:val="24"/>
        </w:rPr>
      </w:pPr>
      <w:r>
        <w:rPr>
          <w:rFonts w:hint="eastAsia" w:ascii="宋体" w:hAnsi="宋体" w:eastAsia="宋体" w:cs="宋体"/>
          <w:sz w:val="24"/>
        </w:rPr>
        <w:t>16.响应文件的密封和标记</w:t>
      </w:r>
    </w:p>
    <w:p w14:paraId="6AA7AFDA">
      <w:pPr>
        <w:spacing w:line="360" w:lineRule="auto"/>
        <w:ind w:firstLine="480" w:firstLineChars="200"/>
        <w:rPr>
          <w:rFonts w:ascii="宋体" w:hAnsi="宋体" w:eastAsia="宋体" w:cs="宋体"/>
          <w:sz w:val="24"/>
        </w:rPr>
      </w:pPr>
      <w:r>
        <w:rPr>
          <w:rFonts w:hint="eastAsia" w:ascii="宋体" w:hAnsi="宋体" w:eastAsia="宋体" w:cs="宋体"/>
          <w:sz w:val="24"/>
        </w:rPr>
        <w:t>16.1 供应商应在响应文件递交截止时间前通过登录政府采购云平台，网上注册并下载竞争性磋商文件上传加密电子响应文件。</w:t>
      </w:r>
    </w:p>
    <w:p w14:paraId="000474AB">
      <w:pPr>
        <w:spacing w:line="360" w:lineRule="auto"/>
        <w:ind w:firstLine="480" w:firstLineChars="200"/>
        <w:rPr>
          <w:rFonts w:ascii="宋体" w:hAnsi="宋体" w:eastAsia="宋体" w:cs="宋体"/>
          <w:sz w:val="24"/>
        </w:rPr>
      </w:pPr>
      <w:r>
        <w:rPr>
          <w:rFonts w:hint="eastAsia" w:ascii="宋体" w:hAnsi="宋体" w:eastAsia="宋体" w:cs="宋体"/>
          <w:sz w:val="24"/>
        </w:rPr>
        <w:t>16.2 未在竞争性磋商文件规定的截止时间前上传响应文件的，采购人不予受理。</w:t>
      </w:r>
    </w:p>
    <w:p w14:paraId="0B92B934">
      <w:pPr>
        <w:spacing w:line="360" w:lineRule="auto"/>
        <w:ind w:firstLine="480" w:firstLineChars="200"/>
        <w:rPr>
          <w:rFonts w:ascii="宋体" w:hAnsi="宋体" w:eastAsia="宋体" w:cs="宋体"/>
          <w:sz w:val="24"/>
        </w:rPr>
      </w:pPr>
      <w:r>
        <w:rPr>
          <w:rFonts w:hint="eastAsia" w:ascii="宋体" w:hAnsi="宋体" w:eastAsia="宋体" w:cs="宋体"/>
          <w:sz w:val="24"/>
        </w:rPr>
        <w:t>17.递交响应文件的截止时间</w:t>
      </w:r>
    </w:p>
    <w:p w14:paraId="3B4282EE">
      <w:pPr>
        <w:spacing w:line="360" w:lineRule="auto"/>
        <w:ind w:firstLine="480" w:firstLineChars="200"/>
        <w:rPr>
          <w:rFonts w:ascii="宋体" w:hAnsi="宋体" w:eastAsia="宋体" w:cs="宋体"/>
          <w:sz w:val="24"/>
        </w:rPr>
      </w:pPr>
      <w:r>
        <w:rPr>
          <w:rFonts w:hint="eastAsia" w:ascii="宋体" w:hAnsi="宋体" w:eastAsia="宋体" w:cs="宋体"/>
          <w:sz w:val="24"/>
        </w:rPr>
        <w:t>17.1 供应商应在本章供应商须知前附表规定的远程解密时间前解密响应文件。</w:t>
      </w:r>
    </w:p>
    <w:p w14:paraId="1790B20B">
      <w:pPr>
        <w:spacing w:line="360" w:lineRule="auto"/>
        <w:ind w:firstLine="480" w:firstLineChars="200"/>
        <w:rPr>
          <w:rFonts w:ascii="宋体" w:hAnsi="宋体" w:eastAsia="宋体" w:cs="宋体"/>
          <w:sz w:val="24"/>
        </w:rPr>
      </w:pPr>
      <w:r>
        <w:rPr>
          <w:rFonts w:hint="eastAsia" w:ascii="宋体" w:hAnsi="宋体" w:eastAsia="宋体" w:cs="宋体"/>
          <w:sz w:val="24"/>
        </w:rPr>
        <w:t>17.2 供应商递交响应文件的地点：见供应商须知前附表。</w:t>
      </w:r>
    </w:p>
    <w:p w14:paraId="4372AD34">
      <w:pPr>
        <w:spacing w:line="360" w:lineRule="auto"/>
        <w:ind w:firstLine="480" w:firstLineChars="200"/>
        <w:rPr>
          <w:rFonts w:ascii="宋体" w:hAnsi="宋体" w:eastAsia="宋体" w:cs="宋体"/>
          <w:sz w:val="24"/>
        </w:rPr>
      </w:pPr>
      <w:r>
        <w:rPr>
          <w:rFonts w:hint="eastAsia" w:ascii="宋体" w:hAnsi="宋体" w:eastAsia="宋体" w:cs="宋体"/>
          <w:sz w:val="24"/>
        </w:rPr>
        <w:t>17.3 除供应商须知前附表另有规定外，供应商所递交的响应文件不予退还。</w:t>
      </w:r>
    </w:p>
    <w:p w14:paraId="79A056C7">
      <w:pPr>
        <w:spacing w:line="360" w:lineRule="auto"/>
        <w:ind w:firstLine="480" w:firstLineChars="200"/>
        <w:rPr>
          <w:rFonts w:ascii="宋体" w:hAnsi="宋体" w:eastAsia="宋体" w:cs="宋体"/>
          <w:sz w:val="24"/>
        </w:rPr>
      </w:pPr>
      <w:r>
        <w:rPr>
          <w:rFonts w:hint="eastAsia" w:ascii="宋体" w:hAnsi="宋体" w:eastAsia="宋体" w:cs="宋体"/>
          <w:sz w:val="24"/>
        </w:rPr>
        <w:t>17.4 逾期送达的或者未送达指定地点的响应文件，采购人不予受理。因供应商自身原因未能成功解密的，视为逾期未提交响应文件。</w:t>
      </w:r>
    </w:p>
    <w:p w14:paraId="0D5003ED">
      <w:pPr>
        <w:spacing w:line="360" w:lineRule="auto"/>
        <w:ind w:firstLine="480" w:firstLineChars="200"/>
        <w:rPr>
          <w:rFonts w:ascii="宋体" w:hAnsi="宋体" w:eastAsia="宋体" w:cs="宋体"/>
          <w:sz w:val="24"/>
        </w:rPr>
      </w:pPr>
      <w:r>
        <w:rPr>
          <w:rFonts w:hint="eastAsia" w:ascii="宋体" w:hAnsi="宋体" w:eastAsia="宋体" w:cs="宋体"/>
          <w:sz w:val="24"/>
        </w:rPr>
        <w:t>18.响应文件修改和撤销</w:t>
      </w:r>
    </w:p>
    <w:p w14:paraId="6208D9C2">
      <w:pPr>
        <w:spacing w:line="360" w:lineRule="auto"/>
        <w:ind w:firstLine="480" w:firstLineChars="200"/>
        <w:rPr>
          <w:rFonts w:ascii="宋体" w:hAnsi="宋体" w:eastAsia="宋体" w:cs="宋体"/>
          <w:sz w:val="24"/>
        </w:rPr>
      </w:pPr>
      <w:r>
        <w:rPr>
          <w:rFonts w:hint="eastAsia" w:ascii="宋体" w:hAnsi="宋体" w:eastAsia="宋体" w:cs="宋体"/>
          <w:sz w:val="24"/>
        </w:rPr>
        <w:t>18.1 在投标截止时间前，供应商可以修改或撤回已递交的响应文件，但应以书面形式通知采购人。</w:t>
      </w:r>
    </w:p>
    <w:p w14:paraId="4F2D6F85">
      <w:pPr>
        <w:spacing w:line="360" w:lineRule="auto"/>
        <w:ind w:firstLine="480" w:firstLineChars="200"/>
        <w:rPr>
          <w:rFonts w:ascii="宋体" w:hAnsi="宋体" w:eastAsia="宋体" w:cs="宋体"/>
          <w:sz w:val="24"/>
        </w:rPr>
      </w:pPr>
      <w:r>
        <w:rPr>
          <w:rFonts w:hint="eastAsia" w:ascii="宋体" w:hAnsi="宋体" w:eastAsia="宋体" w:cs="宋体"/>
          <w:sz w:val="24"/>
        </w:rPr>
        <w:t>18.2 供应商修改或撤回已递交响应文件的书面通知应按要求签字或盖章。</w:t>
      </w:r>
    </w:p>
    <w:p w14:paraId="3D0D8B32">
      <w:pPr>
        <w:spacing w:line="360" w:lineRule="auto"/>
        <w:ind w:firstLine="480" w:firstLineChars="200"/>
        <w:rPr>
          <w:rFonts w:ascii="宋体" w:hAnsi="宋体" w:eastAsia="宋体" w:cs="宋体"/>
          <w:sz w:val="24"/>
        </w:rPr>
      </w:pPr>
      <w:r>
        <w:rPr>
          <w:rFonts w:hint="eastAsia" w:ascii="宋体" w:hAnsi="宋体" w:eastAsia="宋体" w:cs="宋体"/>
          <w:sz w:val="24"/>
        </w:rPr>
        <w:t>18.3 修改的内容为响应文件的组成部分。</w:t>
      </w:r>
    </w:p>
    <w:p w14:paraId="4BEF718F">
      <w:pPr>
        <w:spacing w:line="360" w:lineRule="auto"/>
        <w:ind w:firstLine="482" w:firstLineChars="200"/>
        <w:rPr>
          <w:rFonts w:ascii="宋体" w:hAnsi="宋体" w:eastAsia="宋体" w:cs="宋体"/>
          <w:b/>
          <w:sz w:val="24"/>
        </w:rPr>
      </w:pPr>
      <w:r>
        <w:rPr>
          <w:rFonts w:hint="eastAsia" w:ascii="宋体" w:hAnsi="宋体" w:eastAsia="宋体" w:cs="宋体"/>
          <w:b/>
          <w:sz w:val="24"/>
        </w:rPr>
        <w:t>E磋商及评审</w:t>
      </w:r>
    </w:p>
    <w:p w14:paraId="47E4F857">
      <w:pPr>
        <w:spacing w:line="360" w:lineRule="auto"/>
        <w:ind w:firstLine="480" w:firstLineChars="200"/>
        <w:rPr>
          <w:rFonts w:ascii="宋体" w:hAnsi="宋体" w:eastAsia="宋体" w:cs="宋体"/>
          <w:sz w:val="24"/>
        </w:rPr>
      </w:pPr>
      <w:r>
        <w:rPr>
          <w:rFonts w:hint="eastAsia" w:ascii="宋体" w:hAnsi="宋体" w:eastAsia="宋体" w:cs="宋体"/>
          <w:sz w:val="24"/>
        </w:rPr>
        <w:t>磋商</w:t>
      </w:r>
    </w:p>
    <w:p w14:paraId="24E0253E">
      <w:pPr>
        <w:spacing w:line="360" w:lineRule="auto"/>
        <w:ind w:firstLine="480" w:firstLineChars="200"/>
        <w:rPr>
          <w:rFonts w:ascii="宋体" w:hAnsi="宋体" w:eastAsia="宋体" w:cs="宋体"/>
          <w:sz w:val="24"/>
        </w:rPr>
      </w:pPr>
      <w:r>
        <w:rPr>
          <w:rFonts w:hint="eastAsia" w:ascii="宋体" w:hAnsi="宋体" w:eastAsia="宋体" w:cs="宋体"/>
          <w:sz w:val="24"/>
        </w:rPr>
        <w:t>19.1采购代理机构将在竞争性磋商文件规定的时间和地点公开磋商。供应商法定代表人或其授权代理人应通过政采云平台参加。</w:t>
      </w:r>
    </w:p>
    <w:p w14:paraId="59A1C74C">
      <w:pPr>
        <w:spacing w:line="360" w:lineRule="auto"/>
        <w:ind w:firstLine="480" w:firstLineChars="200"/>
        <w:rPr>
          <w:rFonts w:ascii="宋体" w:hAnsi="宋体" w:eastAsia="宋体" w:cs="宋体"/>
          <w:sz w:val="24"/>
        </w:rPr>
      </w:pPr>
      <w:r>
        <w:rPr>
          <w:rFonts w:hint="eastAsia" w:ascii="宋体" w:hAnsi="宋体" w:eastAsia="宋体" w:cs="宋体"/>
          <w:sz w:val="24"/>
        </w:rPr>
        <w:t>19.2采购代理机构按竞争性磋商文件规定的时间、地点主持磋商会议。磋商会议由采购代理机构主持，采购人代表及有关工作人员参加。</w:t>
      </w:r>
    </w:p>
    <w:p w14:paraId="156EAFCB">
      <w:pPr>
        <w:spacing w:line="360" w:lineRule="auto"/>
        <w:ind w:firstLine="480" w:firstLineChars="200"/>
        <w:rPr>
          <w:rFonts w:ascii="宋体" w:hAnsi="宋体" w:eastAsia="宋体" w:cs="宋体"/>
          <w:sz w:val="24"/>
        </w:rPr>
      </w:pPr>
      <w:r>
        <w:rPr>
          <w:rFonts w:hint="eastAsia" w:ascii="宋体" w:hAnsi="宋体" w:eastAsia="宋体" w:cs="宋体"/>
          <w:sz w:val="24"/>
        </w:rPr>
        <w:t>19.3磋商会议由供应商在规定时间内解密响应文件。</w:t>
      </w:r>
    </w:p>
    <w:p w14:paraId="0DE1911E">
      <w:pPr>
        <w:spacing w:line="360" w:lineRule="auto"/>
        <w:ind w:firstLine="480" w:firstLineChars="200"/>
        <w:rPr>
          <w:rFonts w:ascii="宋体" w:hAnsi="宋体" w:eastAsia="宋体" w:cs="宋体"/>
          <w:sz w:val="24"/>
        </w:rPr>
      </w:pPr>
      <w:r>
        <w:rPr>
          <w:rFonts w:hint="eastAsia" w:ascii="宋体" w:hAnsi="宋体" w:eastAsia="宋体" w:cs="宋体"/>
          <w:sz w:val="24"/>
        </w:rPr>
        <w:t>19.5 磋商会议时有下列情形之一的为无效投标：</w:t>
      </w:r>
    </w:p>
    <w:p w14:paraId="18860D00">
      <w:pPr>
        <w:spacing w:line="360" w:lineRule="auto"/>
        <w:ind w:firstLine="480" w:firstLineChars="200"/>
        <w:rPr>
          <w:rFonts w:ascii="宋体" w:hAnsi="宋体" w:eastAsia="宋体" w:cs="宋体"/>
          <w:sz w:val="24"/>
        </w:rPr>
      </w:pPr>
      <w:r>
        <w:rPr>
          <w:rFonts w:hint="eastAsia" w:ascii="宋体" w:hAnsi="宋体" w:eastAsia="宋体" w:cs="宋体"/>
          <w:sz w:val="24"/>
        </w:rPr>
        <w:t>（1）响应文件在规定的投标截止时间以后提交的；</w:t>
      </w:r>
    </w:p>
    <w:p w14:paraId="196EEDB5">
      <w:pPr>
        <w:spacing w:line="360" w:lineRule="auto"/>
        <w:ind w:firstLine="480" w:firstLineChars="200"/>
        <w:rPr>
          <w:rFonts w:ascii="宋体" w:hAnsi="宋体" w:eastAsia="宋体" w:cs="宋体"/>
          <w:sz w:val="24"/>
        </w:rPr>
      </w:pPr>
      <w:r>
        <w:rPr>
          <w:rFonts w:hint="eastAsia" w:ascii="宋体" w:hAnsi="宋体" w:eastAsia="宋体" w:cs="宋体"/>
          <w:sz w:val="24"/>
        </w:rPr>
        <w:t>（2）未按竞争性磋商文件规定提交磋商保证金的；</w:t>
      </w:r>
    </w:p>
    <w:p w14:paraId="5E5670CC">
      <w:pPr>
        <w:spacing w:line="360" w:lineRule="auto"/>
        <w:ind w:firstLine="480" w:firstLineChars="200"/>
        <w:rPr>
          <w:rFonts w:ascii="宋体" w:hAnsi="宋体" w:eastAsia="宋体" w:cs="宋体"/>
          <w:sz w:val="24"/>
        </w:rPr>
      </w:pPr>
      <w:r>
        <w:rPr>
          <w:rFonts w:hint="eastAsia" w:ascii="宋体" w:hAnsi="宋体" w:eastAsia="宋体" w:cs="宋体"/>
          <w:sz w:val="24"/>
        </w:rPr>
        <w:t>（3）响应文件未按竞争性磋商文件规定解密的；</w:t>
      </w:r>
    </w:p>
    <w:p w14:paraId="353D74B3">
      <w:pPr>
        <w:spacing w:line="360" w:lineRule="auto"/>
        <w:ind w:firstLine="480" w:firstLineChars="200"/>
        <w:rPr>
          <w:rFonts w:ascii="宋体" w:hAnsi="宋体" w:eastAsia="宋体" w:cs="宋体"/>
          <w:sz w:val="24"/>
        </w:rPr>
      </w:pPr>
      <w:r>
        <w:rPr>
          <w:rFonts w:hint="eastAsia" w:ascii="宋体" w:hAnsi="宋体" w:eastAsia="宋体" w:cs="宋体"/>
          <w:sz w:val="24"/>
        </w:rPr>
        <w:t>（4）竞争性磋商文件规定磋商会议时属于无效投标的其他情形。</w:t>
      </w:r>
    </w:p>
    <w:p w14:paraId="0A75AE5C">
      <w:pPr>
        <w:spacing w:line="360" w:lineRule="auto"/>
        <w:ind w:firstLine="480" w:firstLineChars="200"/>
        <w:rPr>
          <w:rFonts w:ascii="宋体" w:hAnsi="宋体" w:eastAsia="宋体" w:cs="宋体"/>
          <w:sz w:val="24"/>
        </w:rPr>
      </w:pPr>
      <w:r>
        <w:rPr>
          <w:rFonts w:hint="eastAsia" w:ascii="宋体" w:hAnsi="宋体" w:eastAsia="宋体" w:cs="宋体"/>
          <w:sz w:val="24"/>
        </w:rPr>
        <w:t>19.6 磋商会议时有下列情形之一的，采购代理机构有权宣布本项目招标失败：</w:t>
      </w:r>
    </w:p>
    <w:p w14:paraId="54382C19">
      <w:pPr>
        <w:spacing w:line="360" w:lineRule="auto"/>
        <w:ind w:firstLine="480" w:firstLineChars="200"/>
        <w:rPr>
          <w:rFonts w:ascii="宋体" w:hAnsi="宋体" w:eastAsia="宋体" w:cs="宋体"/>
          <w:sz w:val="24"/>
        </w:rPr>
      </w:pPr>
      <w:r>
        <w:rPr>
          <w:rFonts w:hint="eastAsia" w:ascii="宋体" w:hAnsi="宋体" w:eastAsia="宋体" w:cs="宋体"/>
          <w:sz w:val="24"/>
        </w:rPr>
        <w:t>（1）符合竞争性磋商文件要求的供应商不足三家的；</w:t>
      </w:r>
    </w:p>
    <w:p w14:paraId="2628FE1C">
      <w:pPr>
        <w:spacing w:line="360" w:lineRule="auto"/>
        <w:ind w:firstLine="480" w:firstLineChars="200"/>
        <w:rPr>
          <w:rFonts w:ascii="宋体" w:hAnsi="宋体" w:eastAsia="宋体" w:cs="宋体"/>
          <w:sz w:val="24"/>
        </w:rPr>
      </w:pPr>
      <w:r>
        <w:rPr>
          <w:rFonts w:hint="eastAsia" w:ascii="宋体" w:hAnsi="宋体" w:eastAsia="宋体" w:cs="宋体"/>
          <w:sz w:val="24"/>
        </w:rPr>
        <w:t>（2）所有供应商的报价均超过采购预算，采购单位不能支付的。</w:t>
      </w:r>
    </w:p>
    <w:p w14:paraId="4ED85327">
      <w:pPr>
        <w:spacing w:line="360" w:lineRule="auto"/>
        <w:ind w:firstLine="480" w:firstLineChars="200"/>
        <w:rPr>
          <w:rFonts w:ascii="宋体" w:hAnsi="宋体" w:eastAsia="宋体" w:cs="宋体"/>
          <w:sz w:val="24"/>
        </w:rPr>
      </w:pPr>
      <w:r>
        <w:rPr>
          <w:rFonts w:hint="eastAsia" w:ascii="宋体" w:hAnsi="宋体" w:eastAsia="宋体" w:cs="宋体"/>
          <w:sz w:val="24"/>
        </w:rPr>
        <w:t>19.7 供应商应在响应文件递交截止时间后30分钟内通过政府采购云平台完成响应文件远程解密。</w:t>
      </w:r>
    </w:p>
    <w:p w14:paraId="020C5AA3">
      <w:pPr>
        <w:spacing w:line="360" w:lineRule="auto"/>
        <w:ind w:firstLine="482" w:firstLineChars="200"/>
        <w:rPr>
          <w:rFonts w:ascii="宋体" w:hAnsi="宋体" w:eastAsia="宋体" w:cs="宋体"/>
          <w:b/>
          <w:bCs/>
          <w:sz w:val="24"/>
        </w:rPr>
      </w:pPr>
      <w:r>
        <w:rPr>
          <w:rFonts w:hint="eastAsia" w:ascii="宋体" w:hAnsi="宋体" w:eastAsia="宋体" w:cs="宋体"/>
          <w:b/>
          <w:bCs/>
          <w:sz w:val="24"/>
        </w:rPr>
        <w:t>评审</w:t>
      </w:r>
    </w:p>
    <w:p w14:paraId="3DBDB9FB">
      <w:pPr>
        <w:spacing w:line="360" w:lineRule="auto"/>
        <w:ind w:firstLine="480" w:firstLineChars="200"/>
        <w:rPr>
          <w:rFonts w:ascii="宋体" w:hAnsi="宋体" w:eastAsia="宋体" w:cs="宋体"/>
          <w:sz w:val="24"/>
        </w:rPr>
      </w:pPr>
      <w:r>
        <w:rPr>
          <w:rFonts w:hint="eastAsia" w:ascii="宋体" w:hAnsi="宋体" w:eastAsia="宋体" w:cs="宋体"/>
          <w:sz w:val="24"/>
        </w:rPr>
        <w:t>20.对响应文件的初审</w:t>
      </w:r>
    </w:p>
    <w:p w14:paraId="2B99E01A">
      <w:pPr>
        <w:spacing w:line="360" w:lineRule="auto"/>
        <w:ind w:firstLine="480" w:firstLineChars="200"/>
        <w:rPr>
          <w:rFonts w:ascii="宋体" w:hAnsi="宋体" w:eastAsia="宋体" w:cs="宋体"/>
          <w:sz w:val="24"/>
        </w:rPr>
      </w:pPr>
      <w:r>
        <w:rPr>
          <w:rFonts w:hint="eastAsia" w:ascii="宋体" w:hAnsi="宋体" w:eastAsia="宋体" w:cs="宋体"/>
          <w:sz w:val="24"/>
        </w:rPr>
        <w:t>20.1 采购人根据招标项目特点组建评标委员会，由采购人从专家库中抽取的专家组成。</w:t>
      </w:r>
    </w:p>
    <w:p w14:paraId="20DEADCE">
      <w:pPr>
        <w:spacing w:line="360" w:lineRule="auto"/>
        <w:ind w:firstLine="480" w:firstLineChars="200"/>
        <w:rPr>
          <w:rFonts w:ascii="宋体" w:hAnsi="宋体" w:eastAsia="宋体" w:cs="宋体"/>
          <w:sz w:val="24"/>
        </w:rPr>
      </w:pPr>
      <w:r>
        <w:rPr>
          <w:rFonts w:hint="eastAsia" w:ascii="宋体" w:hAnsi="宋体" w:eastAsia="宋体" w:cs="宋体"/>
          <w:sz w:val="24"/>
        </w:rPr>
        <w:t>评标委员会对响应文件进行初审，初审内容为响应文件是否符合竞争性磋商文件的要求、内容是否完整、价格构成有无计算错误、文件签署是否齐全及验证保证金以及响应文件是否具有实质响应性。</w:t>
      </w:r>
    </w:p>
    <w:p w14:paraId="7D183842">
      <w:pPr>
        <w:spacing w:line="360" w:lineRule="auto"/>
        <w:ind w:firstLine="480" w:firstLineChars="200"/>
        <w:rPr>
          <w:rFonts w:ascii="宋体" w:hAnsi="宋体" w:eastAsia="宋体" w:cs="宋体"/>
          <w:sz w:val="24"/>
        </w:rPr>
      </w:pPr>
      <w:r>
        <w:rPr>
          <w:rFonts w:hint="eastAsia" w:ascii="宋体" w:hAnsi="宋体" w:eastAsia="宋体" w:cs="宋体"/>
          <w:sz w:val="24"/>
        </w:rPr>
        <w:t>20.2 初审中，对价格的计算错误按下述原则修正：</w:t>
      </w:r>
    </w:p>
    <w:p w14:paraId="7B5416A9">
      <w:pPr>
        <w:spacing w:line="360" w:lineRule="auto"/>
        <w:ind w:firstLine="480" w:firstLineChars="200"/>
        <w:rPr>
          <w:rFonts w:ascii="宋体" w:hAnsi="宋体" w:eastAsia="宋体" w:cs="宋体"/>
          <w:sz w:val="24"/>
        </w:rPr>
      </w:pPr>
      <w:r>
        <w:rPr>
          <w:rFonts w:hint="eastAsia" w:ascii="宋体" w:hAnsi="宋体" w:eastAsia="宋体" w:cs="宋体"/>
          <w:sz w:val="24"/>
        </w:rPr>
        <w:t>（1）响应文件中磋商报价函（首次）内容与响应文件中相应内容不一致的，以《磋商报价函（首次）》的报价为准；</w:t>
      </w:r>
    </w:p>
    <w:p w14:paraId="313E5CFB">
      <w:pPr>
        <w:spacing w:line="360" w:lineRule="auto"/>
        <w:ind w:firstLine="480" w:firstLineChars="200"/>
        <w:rPr>
          <w:rFonts w:ascii="宋体" w:hAnsi="宋体" w:eastAsia="宋体" w:cs="宋体"/>
          <w:sz w:val="24"/>
        </w:rPr>
      </w:pPr>
      <w:r>
        <w:rPr>
          <w:rFonts w:hint="eastAsia" w:ascii="宋体" w:hAnsi="宋体" w:eastAsia="宋体" w:cs="宋体"/>
          <w:sz w:val="24"/>
        </w:rPr>
        <w:t>（2）磋商报价函（首次）内如果小写金额与大写金额不一致时，以大写金额为准；</w:t>
      </w:r>
    </w:p>
    <w:p w14:paraId="5A943DA6">
      <w:pPr>
        <w:spacing w:line="360" w:lineRule="auto"/>
        <w:ind w:firstLine="480" w:firstLineChars="200"/>
        <w:rPr>
          <w:rFonts w:ascii="宋体" w:hAnsi="宋体" w:eastAsia="宋体" w:cs="宋体"/>
          <w:sz w:val="24"/>
        </w:rPr>
      </w:pPr>
      <w:r>
        <w:rPr>
          <w:rFonts w:hint="eastAsia" w:ascii="宋体" w:hAnsi="宋体" w:eastAsia="宋体" w:cs="宋体"/>
          <w:sz w:val="24"/>
        </w:rPr>
        <w:t>（3）如果总价金额与单价金额不一致，以单价金额为准。</w:t>
      </w:r>
    </w:p>
    <w:p w14:paraId="68360B73">
      <w:pPr>
        <w:spacing w:line="360" w:lineRule="auto"/>
        <w:ind w:firstLine="480" w:firstLineChars="200"/>
        <w:rPr>
          <w:rFonts w:ascii="宋体" w:hAnsi="宋体" w:eastAsia="宋体" w:cs="宋体"/>
          <w:sz w:val="24"/>
        </w:rPr>
      </w:pPr>
      <w:r>
        <w:rPr>
          <w:rFonts w:hint="eastAsia" w:ascii="宋体" w:hAnsi="宋体" w:eastAsia="宋体" w:cs="宋体"/>
          <w:sz w:val="24"/>
        </w:rPr>
        <w:t>（4）除非单价有明显的小数点错位，此时应以该行标出的总额为准，并修改单价。</w:t>
      </w:r>
    </w:p>
    <w:p w14:paraId="3C3E5C88">
      <w:pPr>
        <w:spacing w:line="360" w:lineRule="auto"/>
        <w:ind w:firstLine="480" w:firstLineChars="200"/>
        <w:rPr>
          <w:rFonts w:ascii="宋体" w:hAnsi="宋体" w:eastAsia="宋体" w:cs="宋体"/>
          <w:sz w:val="24"/>
        </w:rPr>
      </w:pPr>
      <w:r>
        <w:rPr>
          <w:rFonts w:hint="eastAsia" w:ascii="宋体" w:hAnsi="宋体" w:eastAsia="宋体" w:cs="宋体"/>
          <w:sz w:val="24"/>
        </w:rPr>
        <w:t>按上述原则调整后的价格为评标价，经供应商法定代表人或授权代理人签字确认后对供应商具有约束力。如果供应商不按照上述原则修正其投标报价及分项报价，则其投标将被拒绝。</w:t>
      </w:r>
    </w:p>
    <w:p w14:paraId="2C6FE5F7">
      <w:pPr>
        <w:spacing w:line="360" w:lineRule="auto"/>
        <w:ind w:firstLine="480" w:firstLineChars="200"/>
        <w:rPr>
          <w:rFonts w:ascii="宋体" w:hAnsi="宋体" w:eastAsia="宋体" w:cs="宋体"/>
          <w:sz w:val="24"/>
        </w:rPr>
      </w:pPr>
      <w:r>
        <w:rPr>
          <w:rFonts w:hint="eastAsia" w:ascii="宋体" w:hAnsi="宋体" w:eastAsia="宋体" w:cs="宋体"/>
          <w:sz w:val="24"/>
        </w:rPr>
        <w:t>20.3 与竞争性磋商文件有重大偏离的响应文件将被视为具有非实质响应性的响应文件而被拒绝。</w:t>
      </w:r>
    </w:p>
    <w:p w14:paraId="60D5E599">
      <w:pPr>
        <w:spacing w:line="360" w:lineRule="auto"/>
        <w:ind w:firstLine="480" w:firstLineChars="200"/>
        <w:rPr>
          <w:rFonts w:ascii="宋体" w:hAnsi="宋体" w:eastAsia="宋体" w:cs="宋体"/>
          <w:b/>
          <w:bCs/>
          <w:sz w:val="24"/>
        </w:rPr>
      </w:pPr>
      <w:r>
        <w:rPr>
          <w:rFonts w:hint="eastAsia" w:ascii="宋体" w:hAnsi="宋体" w:eastAsia="宋体" w:cs="宋体"/>
          <w:sz w:val="24"/>
        </w:rPr>
        <w:t>20.4 投标有下列情况之一者，</w:t>
      </w:r>
      <w:r>
        <w:rPr>
          <w:rFonts w:hint="eastAsia" w:ascii="宋体" w:hAnsi="宋体" w:eastAsia="宋体" w:cs="宋体"/>
          <w:b/>
          <w:bCs/>
          <w:sz w:val="24"/>
        </w:rPr>
        <w:t>将被视为非实质性响应的投标而被拒绝：</w:t>
      </w:r>
    </w:p>
    <w:p w14:paraId="324DD67C">
      <w:pPr>
        <w:spacing w:line="360" w:lineRule="auto"/>
        <w:ind w:firstLine="480" w:firstLineChars="200"/>
        <w:rPr>
          <w:rFonts w:ascii="宋体" w:hAnsi="宋体" w:eastAsia="宋体" w:cs="宋体"/>
          <w:sz w:val="24"/>
        </w:rPr>
      </w:pPr>
      <w:r>
        <w:rPr>
          <w:rFonts w:hint="eastAsia" w:ascii="宋体" w:hAnsi="宋体" w:eastAsia="宋体" w:cs="宋体"/>
          <w:sz w:val="24"/>
        </w:rPr>
        <w:t>资格条件及证明文件不符合竞争性磋商文件要求的；</w:t>
      </w:r>
    </w:p>
    <w:p w14:paraId="1BB6BBAD">
      <w:pPr>
        <w:spacing w:line="360" w:lineRule="auto"/>
        <w:ind w:firstLine="480" w:firstLineChars="200"/>
        <w:rPr>
          <w:rFonts w:ascii="宋体" w:hAnsi="宋体" w:eastAsia="宋体" w:cs="宋体"/>
          <w:sz w:val="24"/>
        </w:rPr>
      </w:pPr>
      <w:r>
        <w:rPr>
          <w:rFonts w:hint="eastAsia" w:ascii="宋体" w:hAnsi="宋体" w:eastAsia="宋体" w:cs="宋体"/>
          <w:sz w:val="24"/>
        </w:rPr>
        <w:t>响应文件无公章或无法定代表人签字，或签字人无法定代表人有效授权书的，或未按要求签字、盖公章的；</w:t>
      </w:r>
    </w:p>
    <w:p w14:paraId="1B1613C7">
      <w:pPr>
        <w:spacing w:line="360" w:lineRule="auto"/>
        <w:ind w:firstLine="480" w:firstLineChars="200"/>
        <w:rPr>
          <w:rFonts w:ascii="宋体" w:hAnsi="宋体" w:eastAsia="宋体" w:cs="宋体"/>
          <w:sz w:val="24"/>
        </w:rPr>
      </w:pPr>
      <w:r>
        <w:rPr>
          <w:rFonts w:hint="eastAsia" w:ascii="宋体" w:hAnsi="宋体" w:eastAsia="宋体" w:cs="宋体"/>
          <w:sz w:val="24"/>
        </w:rPr>
        <w:t>不能满足磋商有效期的；</w:t>
      </w:r>
    </w:p>
    <w:p w14:paraId="64E66B91">
      <w:pPr>
        <w:spacing w:line="360" w:lineRule="auto"/>
        <w:ind w:firstLine="480" w:firstLineChars="200"/>
        <w:rPr>
          <w:rFonts w:ascii="宋体" w:hAnsi="宋体" w:eastAsia="宋体" w:cs="宋体"/>
          <w:sz w:val="24"/>
        </w:rPr>
      </w:pPr>
      <w:r>
        <w:rPr>
          <w:rFonts w:hint="eastAsia" w:ascii="宋体" w:hAnsi="宋体" w:eastAsia="宋体" w:cs="宋体"/>
          <w:sz w:val="24"/>
        </w:rPr>
        <w:t>投标明显不符合技术规格、技术标准的要求；</w:t>
      </w:r>
    </w:p>
    <w:p w14:paraId="32A3EEE1">
      <w:pPr>
        <w:spacing w:line="360" w:lineRule="auto"/>
        <w:ind w:firstLine="480" w:firstLineChars="200"/>
        <w:rPr>
          <w:rFonts w:ascii="宋体" w:hAnsi="宋体" w:eastAsia="宋体" w:cs="宋体"/>
          <w:sz w:val="24"/>
        </w:rPr>
      </w:pPr>
      <w:r>
        <w:rPr>
          <w:rFonts w:hint="eastAsia" w:ascii="宋体" w:hAnsi="宋体" w:eastAsia="宋体" w:cs="宋体"/>
          <w:sz w:val="24"/>
        </w:rPr>
        <w:t>响应文件附有买方不能接受的条件；</w:t>
      </w:r>
    </w:p>
    <w:p w14:paraId="31AC8C40">
      <w:pPr>
        <w:spacing w:line="360" w:lineRule="auto"/>
        <w:ind w:firstLine="480" w:firstLineChars="200"/>
        <w:rPr>
          <w:rFonts w:ascii="宋体" w:hAnsi="宋体" w:eastAsia="宋体" w:cs="宋体"/>
          <w:sz w:val="24"/>
        </w:rPr>
      </w:pPr>
      <w:r>
        <w:rPr>
          <w:rFonts w:hint="eastAsia" w:ascii="宋体" w:hAnsi="宋体" w:eastAsia="宋体" w:cs="宋体"/>
          <w:sz w:val="24"/>
        </w:rPr>
        <w:t>投标报价超过采购预算的；</w:t>
      </w:r>
    </w:p>
    <w:p w14:paraId="6B2F92A3">
      <w:pPr>
        <w:spacing w:line="360" w:lineRule="auto"/>
        <w:ind w:firstLine="480" w:firstLineChars="200"/>
        <w:rPr>
          <w:rFonts w:ascii="宋体" w:hAnsi="宋体" w:eastAsia="宋体" w:cs="宋体"/>
          <w:sz w:val="24"/>
        </w:rPr>
      </w:pPr>
      <w:r>
        <w:rPr>
          <w:rFonts w:hint="eastAsia" w:ascii="宋体" w:hAnsi="宋体" w:eastAsia="宋体" w:cs="宋体"/>
          <w:sz w:val="24"/>
        </w:rPr>
        <w:t>未响应竞争性磋商文件规定的其他实质性条款。</w:t>
      </w:r>
    </w:p>
    <w:p w14:paraId="34817294">
      <w:pPr>
        <w:spacing w:line="360" w:lineRule="auto"/>
        <w:ind w:firstLine="480" w:firstLineChars="200"/>
        <w:rPr>
          <w:rFonts w:ascii="宋体" w:hAnsi="宋体" w:eastAsia="宋体" w:cs="宋体"/>
          <w:sz w:val="24"/>
        </w:rPr>
      </w:pPr>
      <w:r>
        <w:rPr>
          <w:rFonts w:hint="eastAsia" w:ascii="宋体" w:hAnsi="宋体" w:eastAsia="宋体" w:cs="宋体"/>
          <w:sz w:val="24"/>
        </w:rPr>
        <w:t>20.5磋商其他事项</w:t>
      </w:r>
    </w:p>
    <w:p w14:paraId="1A8F54DE">
      <w:pPr>
        <w:spacing w:line="360" w:lineRule="auto"/>
        <w:ind w:firstLine="480" w:firstLineChars="200"/>
        <w:rPr>
          <w:rFonts w:ascii="宋体" w:hAnsi="宋体" w:eastAsia="宋体" w:cs="宋体"/>
          <w:sz w:val="24"/>
        </w:rPr>
      </w:pPr>
      <w:r>
        <w:rPr>
          <w:rFonts w:hint="eastAsia" w:ascii="宋体" w:hAnsi="宋体" w:eastAsia="宋体" w:cs="宋体"/>
          <w:sz w:val="24"/>
        </w:rPr>
        <w:t>（1）通过初步评审的供应商少于三家的，采购人或者采购代理机构依法重新组织采购，且不承担任何费用和责任。</w:t>
      </w:r>
    </w:p>
    <w:p w14:paraId="0F2FBBD8">
      <w:pPr>
        <w:spacing w:line="360" w:lineRule="auto"/>
        <w:ind w:firstLine="480" w:firstLineChars="200"/>
        <w:rPr>
          <w:rFonts w:ascii="宋体" w:hAnsi="宋体" w:eastAsia="宋体" w:cs="宋体"/>
          <w:sz w:val="24"/>
        </w:rPr>
      </w:pPr>
      <w:r>
        <w:rPr>
          <w:rFonts w:hint="eastAsia" w:ascii="宋体" w:hAnsi="宋体" w:eastAsia="宋体" w:cs="宋体"/>
          <w:sz w:val="24"/>
        </w:rPr>
        <w:t>（2）供应商法定代表人或其授权代表认为某个或者某些供应商的响应文件不符合规定的，应当面提出，由采购人及采购代理机构根据磋商文件相关规定作出判断。按照上述规定开启响应文件后，供应商再对响应文件的解密情况提出异议的，采购人或者采购代理机构不予受理，由磋商小组认定，认定结论为响应文件不符合规定的按无效处理。</w:t>
      </w:r>
    </w:p>
    <w:p w14:paraId="541627DC">
      <w:pPr>
        <w:spacing w:line="360" w:lineRule="auto"/>
        <w:ind w:firstLine="480" w:firstLineChars="200"/>
        <w:rPr>
          <w:rFonts w:ascii="宋体" w:hAnsi="宋体" w:eastAsia="宋体" w:cs="宋体"/>
          <w:sz w:val="24"/>
        </w:rPr>
      </w:pPr>
      <w:r>
        <w:rPr>
          <w:rFonts w:hint="eastAsia" w:ascii="宋体" w:hAnsi="宋体" w:eastAsia="宋体" w:cs="宋体"/>
          <w:sz w:val="24"/>
        </w:rPr>
        <w:t>（3）第二轮报价（最终报价）。</w:t>
      </w:r>
    </w:p>
    <w:p w14:paraId="08621FE1">
      <w:pPr>
        <w:spacing w:line="360" w:lineRule="auto"/>
        <w:ind w:firstLine="480" w:firstLineChars="200"/>
        <w:rPr>
          <w:rFonts w:ascii="宋体" w:hAnsi="宋体" w:eastAsia="宋体" w:cs="宋体"/>
          <w:sz w:val="24"/>
        </w:rPr>
      </w:pPr>
      <w:r>
        <w:rPr>
          <w:rFonts w:hint="eastAsia" w:ascii="宋体" w:hAnsi="宋体" w:eastAsia="宋体" w:cs="宋体"/>
          <w:sz w:val="24"/>
        </w:rPr>
        <w:t>磋商小组所有成员应当按首次响应文件递交顺序确定磋商顺序，集中与单一供应商分别进行磋商，并给予所有实质性响应竞争性磋商文件要求的供应商平等的磋商机会，同时递交最终报价表，记录由采购人代表、磋商小组成员等有关人员签字确认，采购代理机构负责存档备查。</w:t>
      </w:r>
    </w:p>
    <w:p w14:paraId="507115D1">
      <w:pPr>
        <w:spacing w:line="360" w:lineRule="auto"/>
        <w:ind w:firstLine="480" w:firstLineChars="200"/>
        <w:rPr>
          <w:rFonts w:ascii="宋体" w:hAnsi="宋体" w:eastAsia="宋体" w:cs="宋体"/>
          <w:sz w:val="24"/>
        </w:rPr>
      </w:pPr>
      <w:r>
        <w:rPr>
          <w:rFonts w:hint="eastAsia" w:ascii="宋体" w:hAnsi="宋体" w:eastAsia="宋体" w:cs="宋体"/>
          <w:sz w:val="24"/>
        </w:rPr>
        <w:t>（4）供应商对第二轮报价有异议的，应当在磋商现场提出，采购人或者采购代理机构应当场给予答复，并制作记录，供应商法定代表人或其授权代表、采购人代表、采购代理机构相关人员签字确认。</w:t>
      </w:r>
    </w:p>
    <w:p w14:paraId="28FDF834">
      <w:pPr>
        <w:spacing w:line="360" w:lineRule="auto"/>
        <w:ind w:firstLine="480" w:firstLineChars="200"/>
        <w:rPr>
          <w:rFonts w:ascii="宋体" w:hAnsi="宋体" w:eastAsia="宋体" w:cs="宋体"/>
          <w:sz w:val="24"/>
        </w:rPr>
      </w:pPr>
      <w:r>
        <w:rPr>
          <w:rFonts w:hint="eastAsia" w:ascii="宋体" w:hAnsi="宋体" w:eastAsia="宋体" w:cs="宋体"/>
          <w:sz w:val="24"/>
        </w:rPr>
        <w:t>21.投标的澄清</w:t>
      </w:r>
    </w:p>
    <w:p w14:paraId="474EC9D6">
      <w:pPr>
        <w:spacing w:line="360" w:lineRule="auto"/>
        <w:ind w:firstLine="480" w:firstLineChars="200"/>
        <w:rPr>
          <w:rFonts w:ascii="宋体" w:hAnsi="宋体" w:eastAsia="宋体" w:cs="宋体"/>
          <w:sz w:val="24"/>
        </w:rPr>
      </w:pPr>
      <w:r>
        <w:rPr>
          <w:rFonts w:hint="eastAsia" w:ascii="宋体" w:hAnsi="宋体" w:eastAsia="宋体" w:cs="宋体"/>
          <w:sz w:val="24"/>
        </w:rPr>
        <w:t>21.1 采购代理机构有权就响应文件中含混之处向供应商提出询问或澄清要求，或要求其补充某些材料。供应商必须按照采购代理机构通知的时间、地点派技术和商务人员进行答疑和澄清。</w:t>
      </w:r>
    </w:p>
    <w:p w14:paraId="5E4E30A4">
      <w:pPr>
        <w:spacing w:line="360" w:lineRule="auto"/>
        <w:ind w:firstLine="480" w:firstLineChars="200"/>
        <w:rPr>
          <w:rFonts w:ascii="宋体" w:hAnsi="宋体" w:eastAsia="宋体" w:cs="宋体"/>
          <w:sz w:val="24"/>
        </w:rPr>
      </w:pPr>
      <w:r>
        <w:rPr>
          <w:rFonts w:hint="eastAsia" w:ascii="宋体" w:hAnsi="宋体" w:eastAsia="宋体" w:cs="宋体"/>
          <w:sz w:val="24"/>
        </w:rPr>
        <w:t>21.2 供应商的澄清、说明或者补正应当采用书面形式，由供应商法定代表人或其授权代理人签字（须提交签字人身份证件并与响应文件签字人一致），并不得超出响应文件的范围或者改变响应文件的实质性内容。供应商拒不进行澄清、说明、补正的，或者不能在规定时间内作出书面澄清、说明、补正的，评标委员会将拒绝其投标。</w:t>
      </w:r>
    </w:p>
    <w:p w14:paraId="024A8BCB">
      <w:pPr>
        <w:spacing w:line="360" w:lineRule="auto"/>
        <w:ind w:firstLine="424" w:firstLineChars="177"/>
        <w:rPr>
          <w:rFonts w:ascii="宋体" w:hAnsi="宋体" w:eastAsia="宋体" w:cs="宋体"/>
          <w:sz w:val="24"/>
        </w:rPr>
      </w:pPr>
      <w:r>
        <w:rPr>
          <w:rFonts w:hint="eastAsia" w:ascii="宋体" w:hAnsi="宋体" w:eastAsia="宋体" w:cs="宋体"/>
          <w:sz w:val="24"/>
        </w:rPr>
        <w:t>22.磋商响应文件的评审</w:t>
      </w:r>
    </w:p>
    <w:p w14:paraId="23EC243B">
      <w:pPr>
        <w:spacing w:line="315" w:lineRule="auto"/>
        <w:ind w:firstLine="424" w:firstLineChars="177"/>
        <w:rPr>
          <w:rFonts w:ascii="宋体" w:hAnsi="宋体" w:eastAsia="宋体" w:cs="宋体"/>
          <w:sz w:val="24"/>
        </w:rPr>
      </w:pPr>
      <w:r>
        <w:rPr>
          <w:rFonts w:hint="eastAsia" w:ascii="宋体" w:hAnsi="宋体" w:eastAsia="宋体" w:cs="宋体"/>
          <w:sz w:val="24"/>
        </w:rPr>
        <w:t>22.1组建磋商小组</w:t>
      </w:r>
    </w:p>
    <w:p w14:paraId="52A6BFF8">
      <w:pPr>
        <w:spacing w:line="315" w:lineRule="auto"/>
        <w:ind w:firstLine="480" w:firstLineChars="200"/>
        <w:rPr>
          <w:rFonts w:ascii="宋体" w:hAnsi="宋体" w:eastAsia="宋体" w:cs="宋体"/>
          <w:sz w:val="24"/>
        </w:rPr>
      </w:pPr>
      <w:r>
        <w:rPr>
          <w:rFonts w:hint="eastAsia" w:ascii="宋体" w:hAnsi="宋体" w:eastAsia="宋体" w:cs="宋体"/>
          <w:sz w:val="24"/>
        </w:rPr>
        <w:t>采购人按照《中华人民共和国政府采购法》《政府采购非招标采购方式管理办法》以及有关规定组建磋商小组。评审由采购人依法组建的磋商小组负责。磋商小组由采购人代表和评审专家共三人以上单数组成，其中技术、经济等方面的专家不得少于磋商小组成员总数的三分之二。磋商小组成员人数以及技术、经济等方面专家的确定方式见供应商须知前附表。</w:t>
      </w:r>
    </w:p>
    <w:p w14:paraId="20BC020B">
      <w:pPr>
        <w:spacing w:line="315" w:lineRule="auto"/>
        <w:ind w:firstLine="480" w:firstLineChars="200"/>
        <w:rPr>
          <w:rFonts w:ascii="宋体" w:hAnsi="宋体" w:eastAsia="宋体" w:cs="宋体"/>
          <w:sz w:val="24"/>
        </w:rPr>
      </w:pPr>
      <w:r>
        <w:rPr>
          <w:rFonts w:hint="eastAsia" w:ascii="宋体" w:hAnsi="宋体" w:eastAsia="宋体" w:cs="宋体"/>
          <w:sz w:val="24"/>
        </w:rPr>
        <w:t>达到公开招标数额标准的工程采购项目，磋商小组应当由五人以上单数组成。技术复杂、专业性强的竞争性磋商采购项目，评审专家中应当包含一名法律专家。</w:t>
      </w:r>
    </w:p>
    <w:p w14:paraId="6F7F0E58">
      <w:pPr>
        <w:spacing w:line="315" w:lineRule="auto"/>
        <w:ind w:firstLine="480" w:firstLineChars="200"/>
        <w:rPr>
          <w:rFonts w:ascii="宋体" w:hAnsi="宋体" w:eastAsia="宋体" w:cs="宋体"/>
          <w:sz w:val="24"/>
        </w:rPr>
      </w:pPr>
      <w:r>
        <w:rPr>
          <w:rFonts w:hint="eastAsia" w:ascii="宋体" w:hAnsi="宋体" w:eastAsia="宋体" w:cs="宋体"/>
          <w:sz w:val="24"/>
        </w:rPr>
        <w:t>参加评审专家抽取的有关人员对被抽取的专家的姓名、单位和联系方式等内容负有保密义务。磋商小组成员的名单在成交结果确定前必须严格保密。</w:t>
      </w:r>
    </w:p>
    <w:p w14:paraId="629A5E38">
      <w:pPr>
        <w:spacing w:line="315" w:lineRule="auto"/>
        <w:ind w:firstLine="480" w:firstLineChars="200"/>
        <w:rPr>
          <w:rFonts w:ascii="宋体" w:hAnsi="宋体" w:eastAsia="宋体" w:cs="宋体"/>
          <w:sz w:val="24"/>
        </w:rPr>
      </w:pPr>
      <w:r>
        <w:rPr>
          <w:rFonts w:hint="eastAsia" w:ascii="宋体" w:hAnsi="宋体" w:eastAsia="宋体" w:cs="宋体"/>
          <w:sz w:val="24"/>
        </w:rPr>
        <w:t>22.2磋商小组的权利和义务</w:t>
      </w:r>
    </w:p>
    <w:p w14:paraId="043B7129">
      <w:pPr>
        <w:spacing w:line="315" w:lineRule="auto"/>
        <w:ind w:firstLine="480" w:firstLineChars="200"/>
        <w:rPr>
          <w:rFonts w:ascii="宋体" w:hAnsi="宋体" w:eastAsia="宋体" w:cs="宋体"/>
          <w:sz w:val="24"/>
        </w:rPr>
      </w:pPr>
      <w:r>
        <w:rPr>
          <w:rFonts w:hint="eastAsia" w:ascii="宋体" w:hAnsi="宋体" w:eastAsia="宋体" w:cs="宋体"/>
          <w:sz w:val="24"/>
        </w:rPr>
        <w:t>22.2.1磋商小组成员不得参加与自己有利害关系的评审活动，与自己有利害关系的应当回避，已经进入的必须更换。</w:t>
      </w:r>
    </w:p>
    <w:p w14:paraId="5F9CE62E">
      <w:pPr>
        <w:spacing w:line="315" w:lineRule="auto"/>
        <w:ind w:firstLine="480" w:firstLineChars="200"/>
        <w:rPr>
          <w:rFonts w:ascii="宋体" w:hAnsi="宋体" w:eastAsia="宋体" w:cs="宋体"/>
          <w:sz w:val="24"/>
        </w:rPr>
      </w:pPr>
      <w:r>
        <w:rPr>
          <w:rFonts w:hint="eastAsia" w:ascii="宋体" w:hAnsi="宋体" w:eastAsia="宋体" w:cs="宋体"/>
          <w:sz w:val="24"/>
        </w:rPr>
        <w:t>22.2.2磋商小组负责对各响应文件进行评审、比较、评定，并按本磋商文件的规定确定成交供应商。</w:t>
      </w:r>
    </w:p>
    <w:p w14:paraId="07722BDE">
      <w:pPr>
        <w:spacing w:line="315" w:lineRule="auto"/>
        <w:ind w:firstLine="480" w:firstLineChars="200"/>
        <w:rPr>
          <w:rFonts w:ascii="宋体" w:hAnsi="宋体" w:eastAsia="宋体" w:cs="宋体"/>
          <w:sz w:val="24"/>
        </w:rPr>
      </w:pPr>
      <w:r>
        <w:rPr>
          <w:rFonts w:hint="eastAsia" w:ascii="宋体" w:hAnsi="宋体" w:eastAsia="宋体" w:cs="宋体"/>
          <w:sz w:val="24"/>
        </w:rPr>
        <w:t>22.2.3磋商小组具有依据磋商文件进行独立评审的权利，且不受外界任何因素的干扰。磋商小组成员必须独立、负责地提出评审意见，并对自己的评审意见承担责任。对磋商结果有不同意见的磋商小组成员应当以书面形式说明其不同意见和理由，评审报告应当注明不同意见。磋商小组成员拒绝评审或者拒绝在评审报告上签字且不书面说明其不同意见和理由的，视为同意评审结果。磋商小组应当对此作出书面说明并记录在案。</w:t>
      </w:r>
    </w:p>
    <w:p w14:paraId="6EE3E843">
      <w:pPr>
        <w:spacing w:line="315" w:lineRule="auto"/>
        <w:ind w:firstLine="480" w:firstLineChars="200"/>
        <w:rPr>
          <w:rFonts w:ascii="宋体" w:hAnsi="宋体" w:eastAsia="宋体" w:cs="宋体"/>
          <w:sz w:val="24"/>
        </w:rPr>
      </w:pPr>
      <w:r>
        <w:rPr>
          <w:rFonts w:hint="eastAsia" w:ascii="宋体" w:hAnsi="宋体" w:eastAsia="宋体" w:cs="宋体"/>
          <w:sz w:val="24"/>
        </w:rPr>
        <w:t>22.2.4磋商小组的职责：</w:t>
      </w:r>
    </w:p>
    <w:p w14:paraId="13FAD641">
      <w:pPr>
        <w:spacing w:line="315" w:lineRule="auto"/>
        <w:ind w:firstLine="480" w:firstLineChars="200"/>
        <w:rPr>
          <w:rFonts w:ascii="宋体" w:hAnsi="宋体" w:eastAsia="宋体" w:cs="宋体"/>
          <w:sz w:val="24"/>
        </w:rPr>
      </w:pPr>
      <w:r>
        <w:rPr>
          <w:rFonts w:hint="eastAsia" w:ascii="宋体" w:hAnsi="宋体" w:eastAsia="宋体" w:cs="宋体"/>
          <w:sz w:val="24"/>
        </w:rPr>
        <w:t>（1）审查响应文件是否符合磋商文件要求，进行形式、资格及响应性评审，并作出评价；</w:t>
      </w:r>
    </w:p>
    <w:p w14:paraId="7C7CDD94">
      <w:pPr>
        <w:spacing w:line="315" w:lineRule="auto"/>
        <w:ind w:firstLine="480" w:firstLineChars="200"/>
        <w:rPr>
          <w:rFonts w:ascii="宋体" w:hAnsi="宋体" w:eastAsia="宋体" w:cs="宋体"/>
          <w:sz w:val="24"/>
        </w:rPr>
      </w:pPr>
      <w:r>
        <w:rPr>
          <w:rFonts w:hint="eastAsia" w:ascii="宋体" w:hAnsi="宋体" w:eastAsia="宋体" w:cs="宋体"/>
          <w:sz w:val="24"/>
        </w:rPr>
        <w:t>（2）要求供应商解释或澄清其响应文件；</w:t>
      </w:r>
    </w:p>
    <w:p w14:paraId="0DC9F8CB">
      <w:pPr>
        <w:spacing w:line="315" w:lineRule="auto"/>
        <w:ind w:firstLine="480" w:firstLineChars="200"/>
        <w:rPr>
          <w:rFonts w:ascii="宋体" w:hAnsi="宋体" w:eastAsia="宋体" w:cs="宋体"/>
          <w:sz w:val="24"/>
        </w:rPr>
      </w:pPr>
      <w:r>
        <w:rPr>
          <w:rFonts w:hint="eastAsia" w:ascii="宋体" w:hAnsi="宋体" w:eastAsia="宋体" w:cs="宋体"/>
          <w:sz w:val="24"/>
        </w:rPr>
        <w:t>（3）编写评审报告，受采购人委托按照事先确定的办法直接确定成交供应商；</w:t>
      </w:r>
    </w:p>
    <w:p w14:paraId="19D0E71B">
      <w:pPr>
        <w:spacing w:line="315" w:lineRule="auto"/>
        <w:ind w:firstLine="480" w:firstLineChars="200"/>
        <w:rPr>
          <w:rFonts w:ascii="宋体" w:hAnsi="宋体" w:eastAsia="宋体" w:cs="宋体"/>
          <w:sz w:val="24"/>
        </w:rPr>
      </w:pPr>
      <w:r>
        <w:rPr>
          <w:rFonts w:hint="eastAsia" w:ascii="宋体" w:hAnsi="宋体" w:eastAsia="宋体" w:cs="宋体"/>
          <w:sz w:val="24"/>
        </w:rPr>
        <w:t>（4）告知采购人、采购代理机构在评审过程中发现的供应商的违法违规行为。</w:t>
      </w:r>
    </w:p>
    <w:p w14:paraId="435E3A8F">
      <w:pPr>
        <w:spacing w:line="315" w:lineRule="auto"/>
        <w:ind w:firstLine="480" w:firstLineChars="200"/>
        <w:rPr>
          <w:rFonts w:ascii="宋体" w:hAnsi="宋体" w:eastAsia="宋体" w:cs="宋体"/>
          <w:sz w:val="24"/>
        </w:rPr>
      </w:pPr>
      <w:r>
        <w:rPr>
          <w:rFonts w:hint="eastAsia" w:ascii="宋体" w:hAnsi="宋体" w:eastAsia="宋体" w:cs="宋体"/>
          <w:sz w:val="24"/>
        </w:rPr>
        <w:t>22.2.5磋商小组的义务：</w:t>
      </w:r>
    </w:p>
    <w:p w14:paraId="52B74915">
      <w:pPr>
        <w:spacing w:line="315" w:lineRule="auto"/>
        <w:ind w:firstLine="480" w:firstLineChars="200"/>
        <w:rPr>
          <w:rFonts w:ascii="宋体" w:hAnsi="宋体" w:eastAsia="宋体" w:cs="宋体"/>
          <w:sz w:val="24"/>
        </w:rPr>
      </w:pPr>
      <w:r>
        <w:rPr>
          <w:rFonts w:hint="eastAsia" w:ascii="宋体" w:hAnsi="宋体" w:eastAsia="宋体" w:cs="宋体"/>
          <w:sz w:val="24"/>
        </w:rPr>
        <w:t>（1）遵纪守法，客观、公正、廉洁地履行职责；</w:t>
      </w:r>
    </w:p>
    <w:p w14:paraId="7A58EC5C">
      <w:pPr>
        <w:spacing w:line="315" w:lineRule="auto"/>
        <w:ind w:firstLine="480" w:firstLineChars="200"/>
        <w:rPr>
          <w:rFonts w:ascii="宋体" w:hAnsi="宋体" w:eastAsia="宋体" w:cs="宋体"/>
          <w:sz w:val="24"/>
        </w:rPr>
      </w:pPr>
      <w:r>
        <w:rPr>
          <w:rFonts w:hint="eastAsia" w:ascii="宋体" w:hAnsi="宋体" w:eastAsia="宋体" w:cs="宋体"/>
          <w:sz w:val="24"/>
        </w:rPr>
        <w:t>（2）提出真实、可靠的评审意见；</w:t>
      </w:r>
    </w:p>
    <w:p w14:paraId="5801C8A1">
      <w:pPr>
        <w:spacing w:line="315" w:lineRule="auto"/>
        <w:ind w:firstLine="480" w:firstLineChars="200"/>
        <w:rPr>
          <w:rFonts w:ascii="宋体" w:hAnsi="宋体" w:eastAsia="宋体" w:cs="宋体"/>
          <w:sz w:val="24"/>
        </w:rPr>
      </w:pPr>
      <w:r>
        <w:rPr>
          <w:rFonts w:hint="eastAsia" w:ascii="宋体" w:hAnsi="宋体" w:eastAsia="宋体" w:cs="宋体"/>
          <w:sz w:val="24"/>
        </w:rPr>
        <w:t>（3）严格遵守评审纪律，不得向外界泄露评审情况；</w:t>
      </w:r>
    </w:p>
    <w:p w14:paraId="3E4BB03E">
      <w:pPr>
        <w:spacing w:line="315" w:lineRule="auto"/>
        <w:ind w:firstLine="480" w:firstLineChars="200"/>
        <w:rPr>
          <w:rFonts w:ascii="宋体" w:hAnsi="宋体" w:eastAsia="宋体" w:cs="宋体"/>
          <w:sz w:val="24"/>
        </w:rPr>
      </w:pPr>
      <w:r>
        <w:rPr>
          <w:rFonts w:hint="eastAsia" w:ascii="宋体" w:hAnsi="宋体" w:eastAsia="宋体" w:cs="宋体"/>
          <w:sz w:val="24"/>
        </w:rPr>
        <w:t>（4）发现供应商在磋商活动中有不正当竞争或者恶意串通等违规行为，应及时向政府采购监督管理部门报告并加以制止；</w:t>
      </w:r>
    </w:p>
    <w:p w14:paraId="09C1C588">
      <w:pPr>
        <w:spacing w:line="315" w:lineRule="auto"/>
        <w:ind w:firstLine="480" w:firstLineChars="200"/>
        <w:rPr>
          <w:rFonts w:ascii="宋体" w:hAnsi="宋体" w:eastAsia="宋体" w:cs="宋体"/>
          <w:sz w:val="24"/>
        </w:rPr>
      </w:pPr>
      <w:r>
        <w:rPr>
          <w:rFonts w:hint="eastAsia" w:ascii="宋体" w:hAnsi="宋体" w:eastAsia="宋体" w:cs="宋体"/>
          <w:sz w:val="24"/>
        </w:rPr>
        <w:t>（5）按照磋商文件的规定进行独立评审，对个人的评审意见承担法律责任；</w:t>
      </w:r>
    </w:p>
    <w:p w14:paraId="2A5D648F">
      <w:pPr>
        <w:spacing w:line="315" w:lineRule="auto"/>
        <w:ind w:firstLine="480" w:firstLineChars="200"/>
        <w:rPr>
          <w:rFonts w:ascii="宋体" w:hAnsi="宋体" w:eastAsia="宋体" w:cs="宋体"/>
          <w:sz w:val="24"/>
        </w:rPr>
      </w:pPr>
      <w:r>
        <w:rPr>
          <w:rFonts w:hint="eastAsia" w:ascii="宋体" w:hAnsi="宋体" w:eastAsia="宋体" w:cs="宋体"/>
          <w:sz w:val="24"/>
        </w:rPr>
        <w:t>（6）编写并审定评审报告；</w:t>
      </w:r>
    </w:p>
    <w:p w14:paraId="0746D123">
      <w:pPr>
        <w:spacing w:line="315" w:lineRule="auto"/>
        <w:ind w:firstLine="480" w:firstLineChars="200"/>
        <w:rPr>
          <w:rFonts w:ascii="宋体" w:hAnsi="宋体" w:eastAsia="宋体" w:cs="宋体"/>
          <w:sz w:val="24"/>
        </w:rPr>
      </w:pPr>
      <w:r>
        <w:rPr>
          <w:rFonts w:hint="eastAsia" w:ascii="宋体" w:hAnsi="宋体" w:eastAsia="宋体" w:cs="宋体"/>
          <w:sz w:val="24"/>
        </w:rPr>
        <w:t>（7）配合采购人或者采购代理机构答复供应商提出的质疑；</w:t>
      </w:r>
    </w:p>
    <w:p w14:paraId="102E2E04">
      <w:pPr>
        <w:spacing w:line="315" w:lineRule="auto"/>
        <w:ind w:firstLine="480" w:firstLineChars="200"/>
        <w:rPr>
          <w:rFonts w:ascii="宋体" w:hAnsi="宋体" w:eastAsia="宋体" w:cs="宋体"/>
          <w:sz w:val="24"/>
        </w:rPr>
      </w:pPr>
      <w:r>
        <w:rPr>
          <w:rFonts w:hint="eastAsia" w:ascii="宋体" w:hAnsi="宋体" w:eastAsia="宋体" w:cs="宋体"/>
          <w:sz w:val="24"/>
        </w:rPr>
        <w:t>（8）对评审过程和结果，以及采购人、供应商的商业秘密保密；</w:t>
      </w:r>
    </w:p>
    <w:p w14:paraId="6164AB20">
      <w:pPr>
        <w:spacing w:line="315" w:lineRule="auto"/>
        <w:ind w:firstLine="480" w:firstLineChars="200"/>
        <w:rPr>
          <w:rFonts w:ascii="宋体" w:hAnsi="宋体" w:eastAsia="宋体" w:cs="宋体"/>
          <w:sz w:val="24"/>
        </w:rPr>
      </w:pPr>
      <w:r>
        <w:rPr>
          <w:rFonts w:hint="eastAsia" w:ascii="宋体" w:hAnsi="宋体" w:eastAsia="宋体" w:cs="宋体"/>
          <w:sz w:val="24"/>
        </w:rPr>
        <w:t>（9）配合财政部门的投诉处理和监督检查工作。</w:t>
      </w:r>
    </w:p>
    <w:p w14:paraId="1BF98902">
      <w:pPr>
        <w:spacing w:line="315" w:lineRule="auto"/>
        <w:ind w:firstLine="480" w:firstLineChars="200"/>
        <w:rPr>
          <w:rFonts w:ascii="宋体" w:hAnsi="宋体" w:eastAsia="宋体" w:cs="宋体"/>
          <w:sz w:val="24"/>
        </w:rPr>
      </w:pPr>
      <w:r>
        <w:rPr>
          <w:rFonts w:hint="eastAsia" w:ascii="宋体" w:hAnsi="宋体" w:eastAsia="宋体" w:cs="宋体"/>
          <w:sz w:val="24"/>
        </w:rPr>
        <w:t>22.2.6磋商小组成员有下列情形之一的，应当回避：</w:t>
      </w:r>
    </w:p>
    <w:p w14:paraId="2844B596">
      <w:pPr>
        <w:spacing w:line="315" w:lineRule="auto"/>
        <w:ind w:firstLine="480" w:firstLineChars="200"/>
        <w:rPr>
          <w:rFonts w:ascii="宋体" w:hAnsi="宋体" w:eastAsia="宋体" w:cs="宋体"/>
          <w:sz w:val="24"/>
        </w:rPr>
      </w:pPr>
      <w:r>
        <w:rPr>
          <w:rFonts w:hint="eastAsia" w:ascii="宋体" w:hAnsi="宋体" w:eastAsia="宋体" w:cs="宋体"/>
          <w:sz w:val="24"/>
        </w:rPr>
        <w:t>（1）采购人或供应商的主要负责人的近亲属；</w:t>
      </w:r>
    </w:p>
    <w:p w14:paraId="60C0A1F3">
      <w:pPr>
        <w:spacing w:line="315" w:lineRule="auto"/>
        <w:ind w:firstLine="480" w:firstLineChars="200"/>
        <w:rPr>
          <w:rFonts w:ascii="宋体" w:hAnsi="宋体" w:eastAsia="宋体" w:cs="宋体"/>
          <w:sz w:val="24"/>
        </w:rPr>
      </w:pPr>
      <w:r>
        <w:rPr>
          <w:rFonts w:hint="eastAsia" w:ascii="宋体" w:hAnsi="宋体" w:eastAsia="宋体" w:cs="宋体"/>
          <w:sz w:val="24"/>
        </w:rPr>
        <w:t>（2）项目主管部门或者行政监督部门的人员；</w:t>
      </w:r>
    </w:p>
    <w:p w14:paraId="1C9E9F36">
      <w:pPr>
        <w:spacing w:line="315" w:lineRule="auto"/>
        <w:ind w:firstLine="480" w:firstLineChars="200"/>
        <w:rPr>
          <w:rFonts w:ascii="宋体" w:hAnsi="宋体" w:eastAsia="宋体" w:cs="宋体"/>
          <w:sz w:val="24"/>
        </w:rPr>
      </w:pPr>
      <w:r>
        <w:rPr>
          <w:rFonts w:hint="eastAsia" w:ascii="宋体" w:hAnsi="宋体" w:eastAsia="宋体" w:cs="宋体"/>
          <w:sz w:val="24"/>
        </w:rPr>
        <w:t>（3）与供应商有经济利益关系，可能影响对投标公正评审的；</w:t>
      </w:r>
    </w:p>
    <w:p w14:paraId="19F6A494">
      <w:pPr>
        <w:spacing w:line="315" w:lineRule="auto"/>
        <w:ind w:firstLine="480" w:firstLineChars="200"/>
        <w:rPr>
          <w:rFonts w:ascii="宋体" w:hAnsi="宋体" w:eastAsia="宋体" w:cs="宋体"/>
          <w:sz w:val="24"/>
        </w:rPr>
      </w:pPr>
      <w:r>
        <w:rPr>
          <w:rFonts w:hint="eastAsia" w:ascii="宋体" w:hAnsi="宋体" w:eastAsia="宋体" w:cs="宋体"/>
          <w:sz w:val="24"/>
        </w:rPr>
        <w:t>（4）曾因在采购、评审以及其他与采购有关活动中从事违法行为而受过行政处罚或刑事处罚的。</w:t>
      </w:r>
    </w:p>
    <w:p w14:paraId="2715D2F0">
      <w:pPr>
        <w:spacing w:line="315" w:lineRule="auto"/>
        <w:ind w:firstLine="424" w:firstLineChars="177"/>
        <w:rPr>
          <w:rFonts w:ascii="宋体" w:hAnsi="宋体" w:eastAsia="宋体" w:cs="宋体"/>
          <w:sz w:val="24"/>
        </w:rPr>
      </w:pPr>
      <w:r>
        <w:rPr>
          <w:rFonts w:hint="eastAsia" w:ascii="宋体" w:hAnsi="宋体" w:eastAsia="宋体" w:cs="宋体"/>
          <w:sz w:val="24"/>
        </w:rPr>
        <w:t>22.3磋商响应文件的初审与澄清</w:t>
      </w:r>
    </w:p>
    <w:p w14:paraId="4FD5BC52">
      <w:pPr>
        <w:spacing w:line="315" w:lineRule="auto"/>
        <w:ind w:firstLine="480" w:firstLineChars="200"/>
        <w:rPr>
          <w:rFonts w:ascii="宋体" w:hAnsi="宋体" w:eastAsia="宋体" w:cs="宋体"/>
          <w:sz w:val="24"/>
        </w:rPr>
      </w:pPr>
      <w:r>
        <w:rPr>
          <w:rFonts w:hint="eastAsia" w:ascii="宋体" w:hAnsi="宋体" w:eastAsia="宋体" w:cs="宋体"/>
          <w:sz w:val="24"/>
        </w:rPr>
        <w:t>磋商响应文件的初审分为形式、资格性检查和响应性评审。形式、资格、响应性评审依据法律法规和磋商文件的规定，对磋商响应文件中的资格证明、磋商保证金等进行审查，以确定供应商是否具备报价资格。评审标准详见《磋商评审细则》。</w:t>
      </w:r>
    </w:p>
    <w:p w14:paraId="08A5030B">
      <w:pPr>
        <w:spacing w:line="315" w:lineRule="auto"/>
        <w:ind w:firstLine="480" w:firstLineChars="200"/>
        <w:rPr>
          <w:rFonts w:ascii="宋体" w:hAnsi="宋体" w:eastAsia="宋体" w:cs="宋体"/>
          <w:sz w:val="24"/>
        </w:rPr>
      </w:pPr>
      <w:r>
        <w:rPr>
          <w:rFonts w:hint="eastAsia" w:ascii="宋体" w:hAnsi="宋体" w:eastAsia="宋体" w:cs="宋体"/>
          <w:sz w:val="24"/>
        </w:rPr>
        <w:t>22.4在评审期间，磋商小组有权以书面方式要求供应商对其磋商响应文件中含义不明确、对同类问题表述不一致或者有明显文字和计算错误的内容做必要的澄清。供应商澄清应在磋商小组规定的时间内以书面方式进行，并不得超出磋商响应文件范围或者改变磋商响应文件的实质性内容。</w:t>
      </w:r>
    </w:p>
    <w:p w14:paraId="487F9E4F">
      <w:pPr>
        <w:spacing w:line="315" w:lineRule="auto"/>
        <w:ind w:firstLine="480" w:firstLineChars="200"/>
        <w:rPr>
          <w:rFonts w:ascii="宋体" w:hAnsi="宋体" w:eastAsia="宋体" w:cs="宋体"/>
          <w:sz w:val="24"/>
        </w:rPr>
      </w:pPr>
      <w:r>
        <w:rPr>
          <w:rFonts w:hint="eastAsia" w:ascii="宋体" w:hAnsi="宋体" w:eastAsia="宋体" w:cs="宋体"/>
          <w:sz w:val="24"/>
        </w:rPr>
        <w:t>22.5澄清文件将作为磋商响应文件内容的一部分。</w:t>
      </w:r>
    </w:p>
    <w:p w14:paraId="7B657757">
      <w:pPr>
        <w:spacing w:line="315" w:lineRule="auto"/>
        <w:ind w:firstLine="475" w:firstLineChars="198"/>
        <w:rPr>
          <w:rFonts w:ascii="宋体" w:hAnsi="宋体" w:eastAsia="宋体" w:cs="宋体"/>
          <w:sz w:val="24"/>
        </w:rPr>
      </w:pPr>
      <w:r>
        <w:rPr>
          <w:rFonts w:hint="eastAsia" w:ascii="宋体" w:hAnsi="宋体" w:eastAsia="宋体" w:cs="宋体"/>
          <w:sz w:val="24"/>
        </w:rPr>
        <w:t>22.6比较与评价</w:t>
      </w:r>
    </w:p>
    <w:p w14:paraId="34B2F470">
      <w:pPr>
        <w:widowControl/>
        <w:spacing w:line="276" w:lineRule="auto"/>
        <w:ind w:firstLine="480" w:firstLineChars="200"/>
        <w:rPr>
          <w:rFonts w:ascii="宋体" w:hAnsi="宋体" w:eastAsia="宋体" w:cs="宋体"/>
          <w:sz w:val="24"/>
        </w:rPr>
      </w:pPr>
      <w:r>
        <w:rPr>
          <w:rFonts w:hint="eastAsia" w:ascii="宋体" w:hAnsi="宋体" w:eastAsia="宋体" w:cs="宋体"/>
          <w:sz w:val="24"/>
        </w:rPr>
        <w:t>22.6.1经审查合格的磋商响应文件。</w:t>
      </w:r>
    </w:p>
    <w:p w14:paraId="24D0EA73">
      <w:pPr>
        <w:widowControl/>
        <w:spacing w:line="276" w:lineRule="auto"/>
        <w:ind w:firstLine="480" w:firstLineChars="200"/>
        <w:rPr>
          <w:rFonts w:ascii="宋体" w:hAnsi="宋体" w:eastAsia="宋体" w:cs="宋体"/>
          <w:sz w:val="24"/>
        </w:rPr>
      </w:pPr>
      <w:r>
        <w:rPr>
          <w:rFonts w:hint="eastAsia" w:ascii="宋体" w:hAnsi="宋体" w:eastAsia="宋体" w:cs="宋体"/>
          <w:sz w:val="24"/>
        </w:rPr>
        <w:t>22.6.1.1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变动磋商文件中的其他内容。实质性变动的内容，须经采购人代表确认。</w:t>
      </w:r>
    </w:p>
    <w:p w14:paraId="4F3D0D5F">
      <w:pPr>
        <w:widowControl/>
        <w:spacing w:line="276" w:lineRule="auto"/>
        <w:ind w:firstLine="480" w:firstLineChars="200"/>
        <w:rPr>
          <w:rFonts w:ascii="宋体" w:hAnsi="宋体" w:eastAsia="宋体" w:cs="宋体"/>
          <w:sz w:val="24"/>
        </w:rPr>
      </w:pPr>
      <w:r>
        <w:rPr>
          <w:rFonts w:hint="eastAsia" w:ascii="宋体" w:hAnsi="宋体" w:eastAsia="宋体" w:cs="宋体"/>
          <w:sz w:val="24"/>
        </w:rPr>
        <w:t>22.6.1.2对磋商文件作出的实质性变动是磋商文件的有效组成部分，磋商小组将及时以书面形式同时通知所有参加磋商的供应商。</w:t>
      </w:r>
    </w:p>
    <w:p w14:paraId="4DB733A4">
      <w:pPr>
        <w:widowControl/>
        <w:spacing w:line="276" w:lineRule="auto"/>
        <w:ind w:firstLine="480"/>
        <w:rPr>
          <w:rFonts w:ascii="宋体" w:hAnsi="宋体" w:eastAsia="宋体" w:cs="宋体"/>
          <w:sz w:val="24"/>
        </w:rPr>
      </w:pPr>
      <w:r>
        <w:rPr>
          <w:rFonts w:hint="eastAsia" w:ascii="宋体" w:hAnsi="宋体" w:eastAsia="宋体" w:cs="宋体"/>
          <w:sz w:val="24"/>
        </w:rPr>
        <w:t>22.6.1.3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FF430E1">
      <w:pPr>
        <w:widowControl/>
        <w:spacing w:line="276" w:lineRule="auto"/>
        <w:ind w:firstLine="480"/>
        <w:rPr>
          <w:rFonts w:ascii="宋体" w:hAnsi="宋体" w:eastAsia="宋体" w:cs="宋体"/>
          <w:sz w:val="24"/>
        </w:rPr>
      </w:pPr>
      <w:r>
        <w:rPr>
          <w:rFonts w:hint="eastAsia" w:ascii="宋体" w:hAnsi="宋体" w:eastAsia="宋体" w:cs="宋体"/>
          <w:sz w:val="24"/>
        </w:rPr>
        <w:t>22.6.1.4磋商结束后，磋商小组将要求所有实质性响应的供应商在规定时间内提交最后报价，提交最后报价的供应商不得少于3家。最后报价是供应商响应文件的有效组成部分。</w:t>
      </w:r>
    </w:p>
    <w:p w14:paraId="3B05D1FB">
      <w:pPr>
        <w:widowControl/>
        <w:spacing w:line="276" w:lineRule="auto"/>
        <w:ind w:firstLine="480"/>
        <w:rPr>
          <w:rFonts w:ascii="宋体" w:hAnsi="宋体" w:eastAsia="宋体" w:cs="宋体"/>
          <w:sz w:val="24"/>
        </w:rPr>
      </w:pPr>
      <w:r>
        <w:rPr>
          <w:rFonts w:hint="eastAsia" w:ascii="宋体" w:hAnsi="宋体" w:eastAsia="宋体" w:cs="宋体"/>
          <w:sz w:val="24"/>
        </w:rPr>
        <w:t>22.6.1.5已提交响应文件的供应商，在提交最后报价之前，可以根据磋商情况退出磋商。采购人、采购代理机构将退还退出磋商的供应商的磋商保证金。</w:t>
      </w:r>
    </w:p>
    <w:p w14:paraId="51B835B9">
      <w:pPr>
        <w:spacing w:line="276" w:lineRule="auto"/>
        <w:ind w:firstLine="480" w:firstLineChars="200"/>
        <w:rPr>
          <w:rFonts w:ascii="宋体" w:hAnsi="宋体" w:eastAsia="宋体" w:cs="宋体"/>
          <w:sz w:val="24"/>
        </w:rPr>
      </w:pPr>
      <w:r>
        <w:rPr>
          <w:rFonts w:hint="eastAsia" w:ascii="宋体" w:hAnsi="宋体" w:eastAsia="宋体" w:cs="宋体"/>
          <w:sz w:val="24"/>
        </w:rPr>
        <w:t>22.6.1.6经磋商确定最终采购需求和提交最后报价的供应商后，由磋商小组采用综合评分法对提交最后报价的供应商的响应文件和最后报价进行综合评分。</w:t>
      </w:r>
    </w:p>
    <w:p w14:paraId="0E5B4A49">
      <w:pPr>
        <w:spacing w:line="315" w:lineRule="auto"/>
        <w:ind w:firstLine="480" w:firstLineChars="200"/>
        <w:rPr>
          <w:rFonts w:ascii="宋体" w:hAnsi="宋体" w:eastAsia="宋体" w:cs="宋体"/>
          <w:sz w:val="24"/>
        </w:rPr>
      </w:pPr>
      <w:r>
        <w:rPr>
          <w:rFonts w:hint="eastAsia" w:ascii="宋体" w:hAnsi="宋体" w:eastAsia="宋体" w:cs="宋体"/>
          <w:sz w:val="24"/>
        </w:rPr>
        <w:t>22.7评审严格按照磋商文件的要求和条件进行。评审时将考虑以下因素：</w:t>
      </w:r>
    </w:p>
    <w:p w14:paraId="0C343269">
      <w:pPr>
        <w:numPr>
          <w:ilvl w:val="0"/>
          <w:numId w:val="1"/>
        </w:numPr>
        <w:spacing w:line="315" w:lineRule="auto"/>
        <w:ind w:firstLine="480" w:firstLineChars="200"/>
        <w:rPr>
          <w:rFonts w:ascii="宋体" w:hAnsi="宋体" w:eastAsia="宋体" w:cs="宋体"/>
          <w:sz w:val="24"/>
        </w:rPr>
      </w:pPr>
      <w:r>
        <w:rPr>
          <w:rFonts w:hint="eastAsia" w:ascii="宋体" w:hAnsi="宋体" w:eastAsia="宋体" w:cs="宋体"/>
          <w:sz w:val="24"/>
        </w:rPr>
        <w:t>价格评分；</w:t>
      </w:r>
    </w:p>
    <w:p w14:paraId="2151167F">
      <w:pPr>
        <w:numPr>
          <w:ilvl w:val="0"/>
          <w:numId w:val="1"/>
        </w:numPr>
        <w:spacing w:line="315" w:lineRule="auto"/>
        <w:ind w:firstLine="480" w:firstLineChars="200"/>
        <w:rPr>
          <w:rFonts w:ascii="宋体" w:hAnsi="宋体" w:eastAsia="宋体" w:cs="宋体"/>
          <w:sz w:val="24"/>
        </w:rPr>
      </w:pPr>
      <w:r>
        <w:rPr>
          <w:rFonts w:hint="eastAsia" w:ascii="宋体" w:hAnsi="宋体" w:eastAsia="宋体" w:cs="宋体"/>
          <w:sz w:val="24"/>
        </w:rPr>
        <w:t>技术评分；</w:t>
      </w:r>
    </w:p>
    <w:p w14:paraId="799CAB85">
      <w:pPr>
        <w:numPr>
          <w:ilvl w:val="0"/>
          <w:numId w:val="1"/>
        </w:numPr>
        <w:spacing w:line="315" w:lineRule="auto"/>
        <w:ind w:firstLine="480" w:firstLineChars="200"/>
        <w:rPr>
          <w:rFonts w:ascii="宋体" w:hAnsi="宋体" w:eastAsia="宋体" w:cs="宋体"/>
          <w:sz w:val="24"/>
        </w:rPr>
      </w:pPr>
      <w:r>
        <w:rPr>
          <w:rFonts w:hint="eastAsia" w:ascii="宋体" w:hAnsi="宋体" w:eastAsia="宋体" w:cs="宋体"/>
          <w:sz w:val="24"/>
        </w:rPr>
        <w:t xml:space="preserve">商务评分； </w:t>
      </w:r>
    </w:p>
    <w:p w14:paraId="51C2E98C">
      <w:pPr>
        <w:spacing w:line="315" w:lineRule="auto"/>
        <w:ind w:firstLine="480" w:firstLineChars="200"/>
        <w:rPr>
          <w:rFonts w:ascii="宋体" w:hAnsi="宋体" w:eastAsia="宋体" w:cs="宋体"/>
          <w:sz w:val="24"/>
        </w:rPr>
      </w:pPr>
      <w:r>
        <w:rPr>
          <w:rFonts w:hint="eastAsia" w:ascii="宋体" w:hAnsi="宋体" w:eastAsia="宋体" w:cs="宋体"/>
          <w:sz w:val="24"/>
        </w:rPr>
        <w:t>22.8本次评审将采用下列方法：</w:t>
      </w:r>
    </w:p>
    <w:p w14:paraId="6394273D">
      <w:pPr>
        <w:spacing w:line="315" w:lineRule="auto"/>
        <w:ind w:left="480" w:firstLine="360" w:firstLineChars="150"/>
        <w:rPr>
          <w:rFonts w:ascii="宋体" w:hAnsi="宋体" w:eastAsia="宋体" w:cs="宋体"/>
          <w:sz w:val="24"/>
        </w:rPr>
      </w:pPr>
      <w:r>
        <w:rPr>
          <w:rFonts w:hint="eastAsia" w:ascii="宋体" w:hAnsi="宋体" w:eastAsia="宋体" w:cs="宋体"/>
          <w:sz w:val="24"/>
        </w:rPr>
        <w:t>详见评分标准。</w:t>
      </w:r>
    </w:p>
    <w:p w14:paraId="5739526D">
      <w:pPr>
        <w:spacing w:line="360" w:lineRule="auto"/>
        <w:ind w:firstLine="460" w:firstLineChars="192"/>
        <w:rPr>
          <w:rFonts w:ascii="宋体" w:hAnsi="宋体" w:eastAsia="宋体" w:cs="宋体"/>
          <w:sz w:val="24"/>
        </w:rPr>
      </w:pPr>
      <w:r>
        <w:rPr>
          <w:rFonts w:hint="eastAsia" w:ascii="宋体" w:hAnsi="宋体" w:eastAsia="宋体" w:cs="宋体"/>
          <w:sz w:val="24"/>
        </w:rPr>
        <w:t>22.9评审过程及保密原则</w:t>
      </w:r>
    </w:p>
    <w:p w14:paraId="491D3148">
      <w:pPr>
        <w:spacing w:line="360" w:lineRule="auto"/>
        <w:ind w:firstLine="480" w:firstLineChars="200"/>
        <w:rPr>
          <w:rFonts w:ascii="宋体" w:hAnsi="宋体" w:eastAsia="宋体" w:cs="宋体"/>
          <w:sz w:val="24"/>
        </w:rPr>
      </w:pPr>
      <w:r>
        <w:rPr>
          <w:rFonts w:hint="eastAsia" w:ascii="宋体" w:hAnsi="宋体" w:eastAsia="宋体" w:cs="宋体"/>
          <w:sz w:val="24"/>
        </w:rPr>
        <w:t>22.9.1磋商响应文件递交后，直接授予成交供应商合同止，凡与本次采购有关人员对属于审查、澄清、评价和比较报价的有关资料以及授标意向等，均不得向供应商或其他无关的人员透露。</w:t>
      </w:r>
    </w:p>
    <w:p w14:paraId="568D9926">
      <w:pPr>
        <w:spacing w:line="360" w:lineRule="auto"/>
        <w:ind w:firstLine="480" w:firstLineChars="200"/>
        <w:rPr>
          <w:rFonts w:ascii="宋体" w:hAnsi="宋体" w:eastAsia="宋体" w:cs="宋体"/>
          <w:sz w:val="24"/>
        </w:rPr>
      </w:pPr>
      <w:r>
        <w:rPr>
          <w:rFonts w:hint="eastAsia" w:ascii="宋体" w:hAnsi="宋体" w:eastAsia="宋体" w:cs="宋体"/>
          <w:sz w:val="24"/>
        </w:rPr>
        <w:t>22.9.2在磋商评审期间，供应商试图影响采购单位和磋商小组的任何活动，将导致其报价被拒绝，并承担相应的法律责任。</w:t>
      </w:r>
    </w:p>
    <w:p w14:paraId="459BDEA4">
      <w:pPr>
        <w:pStyle w:val="58"/>
        <w:spacing w:line="360" w:lineRule="auto"/>
        <w:ind w:firstLine="424" w:firstLineChars="177"/>
        <w:rPr>
          <w:rFonts w:ascii="宋体" w:hAnsi="宋体" w:cs="宋体"/>
          <w:sz w:val="24"/>
          <w:szCs w:val="24"/>
        </w:rPr>
      </w:pPr>
      <w:r>
        <w:rPr>
          <w:rFonts w:hint="eastAsia" w:ascii="宋体" w:hAnsi="宋体" w:cs="宋体"/>
          <w:sz w:val="24"/>
          <w:szCs w:val="24"/>
        </w:rPr>
        <w:t>22.10本项目采用综合评分法，评审标准详见附表《磋商评审细则》，评审时磋商小组将严格按照评审细则中的分值设置与评审因素进行量化打分。磋商文件中没有规定的评审标准不得作为评审依据。</w:t>
      </w:r>
    </w:p>
    <w:p w14:paraId="0F56A8AC">
      <w:pPr>
        <w:pStyle w:val="58"/>
        <w:spacing w:line="360" w:lineRule="auto"/>
        <w:ind w:firstLine="424" w:firstLineChars="177"/>
        <w:rPr>
          <w:rFonts w:ascii="宋体" w:hAnsi="宋体" w:cs="宋体"/>
          <w:sz w:val="24"/>
          <w:szCs w:val="24"/>
        </w:rPr>
      </w:pPr>
      <w:r>
        <w:rPr>
          <w:rFonts w:hint="eastAsia" w:ascii="宋体" w:hAnsi="宋体" w:cs="宋体"/>
          <w:sz w:val="24"/>
          <w:szCs w:val="24"/>
        </w:rPr>
        <w:t>评审时，磋商小组各成员独立对每个有效响应的文件进行评价、打分，然后汇总每个供应商每项评分因素的得分。</w:t>
      </w:r>
    </w:p>
    <w:p w14:paraId="321678D4">
      <w:pPr>
        <w:pStyle w:val="58"/>
        <w:spacing w:line="360" w:lineRule="auto"/>
        <w:ind w:firstLine="424" w:firstLineChars="177"/>
        <w:rPr>
          <w:rFonts w:ascii="宋体" w:hAnsi="宋体" w:cs="宋体"/>
          <w:sz w:val="24"/>
          <w:szCs w:val="24"/>
        </w:rPr>
      </w:pPr>
      <w:r>
        <w:rPr>
          <w:rFonts w:hint="eastAsia" w:ascii="宋体" w:hAnsi="宋体" w:cs="宋体"/>
          <w:sz w:val="24"/>
        </w:rPr>
        <w:t>22.11</w:t>
      </w:r>
      <w:r>
        <w:rPr>
          <w:rFonts w:hint="eastAsia" w:ascii="宋体" w:hAnsi="宋体" w:cs="宋体"/>
          <w:sz w:val="24"/>
          <w:szCs w:val="24"/>
        </w:rPr>
        <w:t>磋商小组根据综合评分情况，按照评审得分由高到低顺序推荐3名成交候选供应商，并编写评审报告。评审得分相同的，按照最后报价由低到高的顺序推荐。评审得分且最后报价相同的，按照技术部分优劣顺序推荐。</w:t>
      </w:r>
    </w:p>
    <w:p w14:paraId="03A844EB">
      <w:pPr>
        <w:autoSpaceDE w:val="0"/>
        <w:autoSpaceDN w:val="0"/>
        <w:adjustRightInd w:val="0"/>
        <w:spacing w:line="360" w:lineRule="auto"/>
        <w:ind w:firstLine="424" w:firstLineChars="177"/>
        <w:jc w:val="left"/>
        <w:rPr>
          <w:rFonts w:ascii="宋体" w:hAnsi="宋体" w:eastAsia="宋体" w:cs="宋体"/>
          <w:sz w:val="24"/>
        </w:rPr>
      </w:pPr>
      <w:r>
        <w:rPr>
          <w:rFonts w:hint="eastAsia" w:ascii="宋体" w:hAnsi="宋体" w:eastAsia="宋体" w:cs="宋体"/>
          <w:sz w:val="24"/>
        </w:rPr>
        <w:t>22.12原则上推荐排名位于第一名的成交候选供应商为成交供应商。若排名第一的成交候选供应商放弃中标、因不可抗力提出不能履行合同或磋商文件规定应当提交履约保证金而在规定的期限内未能提交的，采购人有权选择重新招标，或者采购人确定排名第二的成交候选供应商为成交供应商，以此类推。</w:t>
      </w:r>
    </w:p>
    <w:p w14:paraId="2252B4E2">
      <w:pPr>
        <w:autoSpaceDE w:val="0"/>
        <w:autoSpaceDN w:val="0"/>
        <w:adjustRightInd w:val="0"/>
        <w:spacing w:line="360" w:lineRule="auto"/>
        <w:ind w:firstLine="424" w:firstLineChars="177"/>
        <w:jc w:val="left"/>
        <w:rPr>
          <w:rFonts w:ascii="宋体" w:hAnsi="宋体" w:eastAsia="宋体" w:cs="宋体"/>
          <w:sz w:val="24"/>
        </w:rPr>
      </w:pPr>
      <w:r>
        <w:rPr>
          <w:rFonts w:hint="eastAsia" w:ascii="宋体" w:hAnsi="宋体" w:eastAsia="宋体" w:cs="宋体"/>
          <w:sz w:val="24"/>
        </w:rPr>
        <w:t>22.13磋商小组完成评标后，应当向采购人提交书面评标报告。</w:t>
      </w:r>
    </w:p>
    <w:p w14:paraId="1F6856B5">
      <w:pPr>
        <w:spacing w:line="360" w:lineRule="auto"/>
        <w:ind w:firstLine="482" w:firstLineChars="200"/>
        <w:rPr>
          <w:rFonts w:ascii="宋体" w:hAnsi="宋体" w:eastAsia="宋体" w:cs="宋体"/>
          <w:b/>
          <w:bCs/>
          <w:sz w:val="24"/>
        </w:rPr>
      </w:pPr>
      <w:r>
        <w:rPr>
          <w:rFonts w:hint="eastAsia" w:ascii="宋体" w:hAnsi="宋体" w:eastAsia="宋体" w:cs="宋体"/>
          <w:b/>
          <w:bCs/>
          <w:sz w:val="24"/>
        </w:rPr>
        <w:t>F 确定中标</w:t>
      </w:r>
    </w:p>
    <w:p w14:paraId="1B6B0D55">
      <w:pPr>
        <w:spacing w:line="360" w:lineRule="auto"/>
        <w:ind w:firstLine="480" w:firstLineChars="200"/>
        <w:rPr>
          <w:rFonts w:ascii="宋体" w:hAnsi="宋体" w:eastAsia="宋体" w:cs="宋体"/>
          <w:sz w:val="24"/>
        </w:rPr>
      </w:pPr>
      <w:r>
        <w:rPr>
          <w:rFonts w:hint="eastAsia" w:ascii="宋体" w:hAnsi="宋体" w:eastAsia="宋体" w:cs="宋体"/>
          <w:sz w:val="24"/>
        </w:rPr>
        <w:t>24.最终审查</w:t>
      </w:r>
    </w:p>
    <w:p w14:paraId="75D1A0D7">
      <w:pPr>
        <w:spacing w:line="360" w:lineRule="auto"/>
        <w:ind w:firstLine="480" w:firstLineChars="200"/>
        <w:rPr>
          <w:rFonts w:ascii="宋体" w:hAnsi="宋体" w:eastAsia="宋体" w:cs="宋体"/>
          <w:sz w:val="24"/>
        </w:rPr>
      </w:pPr>
      <w:r>
        <w:rPr>
          <w:rFonts w:hint="eastAsia" w:ascii="宋体" w:hAnsi="宋体" w:eastAsia="宋体" w:cs="宋体"/>
          <w:sz w:val="24"/>
        </w:rPr>
        <w:t>24.1评标委员会按照竞争性磋商文件确定的</w:t>
      </w:r>
      <w:r>
        <w:rPr>
          <w:rFonts w:hint="eastAsia" w:ascii="宋体" w:hAnsi="宋体" w:cs="宋体"/>
          <w:sz w:val="24"/>
        </w:rPr>
        <w:t>磋商评审细则</w:t>
      </w:r>
      <w:r>
        <w:rPr>
          <w:rFonts w:hint="eastAsia" w:ascii="宋体" w:hAnsi="宋体" w:eastAsia="宋体" w:cs="宋体"/>
          <w:sz w:val="24"/>
        </w:rPr>
        <w:t>，对响应文件进行评审，并提出书面评标报告，确定中标人。最终审查的对象是招标项目的合格的供应商。</w:t>
      </w:r>
    </w:p>
    <w:p w14:paraId="5F93D4AB">
      <w:pPr>
        <w:spacing w:line="360" w:lineRule="auto"/>
        <w:ind w:firstLine="480" w:firstLineChars="200"/>
        <w:rPr>
          <w:rFonts w:ascii="宋体" w:hAnsi="宋体" w:eastAsia="宋体" w:cs="宋体"/>
          <w:sz w:val="24"/>
        </w:rPr>
      </w:pPr>
      <w:r>
        <w:rPr>
          <w:rFonts w:hint="eastAsia" w:ascii="宋体" w:hAnsi="宋体" w:eastAsia="宋体" w:cs="宋体"/>
          <w:sz w:val="24"/>
        </w:rPr>
        <w:t xml:space="preserve">24.2最终审查的内容是对合格的供应商的财务状况、资格、信誉以及采购人认为有必要了解的其他问题做进一步的审查。  </w:t>
      </w:r>
    </w:p>
    <w:p w14:paraId="490094F7">
      <w:pPr>
        <w:spacing w:line="360" w:lineRule="auto"/>
        <w:ind w:firstLine="480" w:firstLineChars="200"/>
        <w:rPr>
          <w:rFonts w:ascii="宋体" w:hAnsi="宋体" w:eastAsia="宋体" w:cs="宋体"/>
          <w:sz w:val="24"/>
        </w:rPr>
      </w:pPr>
      <w:r>
        <w:rPr>
          <w:rFonts w:hint="eastAsia" w:ascii="宋体" w:hAnsi="宋体" w:eastAsia="宋体" w:cs="宋体"/>
          <w:sz w:val="24"/>
        </w:rPr>
        <w:t>24.3 接受最终审查的合格的供应商，必须如实回答和受理采购人的询问或考察，并提供所需的有关资料。</w:t>
      </w:r>
    </w:p>
    <w:p w14:paraId="2AD365F8">
      <w:pPr>
        <w:spacing w:line="360" w:lineRule="auto"/>
        <w:ind w:firstLine="480" w:firstLineChars="200"/>
        <w:rPr>
          <w:rFonts w:ascii="宋体" w:hAnsi="宋体" w:eastAsia="宋体" w:cs="宋体"/>
          <w:sz w:val="24"/>
        </w:rPr>
      </w:pPr>
      <w:r>
        <w:rPr>
          <w:rFonts w:hint="eastAsia" w:ascii="宋体" w:hAnsi="宋体" w:eastAsia="宋体" w:cs="宋体"/>
          <w:sz w:val="24"/>
        </w:rPr>
        <w:t>24.4评标委员会从合格的供应商中评出中标人，并写出完整的评审报告。</w:t>
      </w:r>
    </w:p>
    <w:p w14:paraId="3266CCC4">
      <w:pPr>
        <w:spacing w:line="360" w:lineRule="auto"/>
        <w:ind w:firstLine="480" w:firstLineChars="200"/>
        <w:rPr>
          <w:rFonts w:ascii="宋体" w:hAnsi="宋体" w:eastAsia="宋体" w:cs="宋体"/>
          <w:sz w:val="24"/>
        </w:rPr>
      </w:pPr>
      <w:r>
        <w:rPr>
          <w:rFonts w:hint="eastAsia" w:ascii="宋体" w:hAnsi="宋体" w:eastAsia="宋体" w:cs="宋体"/>
          <w:sz w:val="24"/>
        </w:rPr>
        <w:t>25.中标通知</w:t>
      </w:r>
    </w:p>
    <w:p w14:paraId="5141FB3A">
      <w:pPr>
        <w:spacing w:line="360" w:lineRule="auto"/>
        <w:ind w:firstLine="480" w:firstLineChars="200"/>
        <w:rPr>
          <w:rFonts w:ascii="宋体" w:hAnsi="宋体" w:eastAsia="宋体" w:cs="宋体"/>
          <w:sz w:val="24"/>
        </w:rPr>
      </w:pPr>
      <w:r>
        <w:rPr>
          <w:rFonts w:hint="eastAsia" w:ascii="宋体" w:hAnsi="宋体" w:eastAsia="宋体" w:cs="宋体"/>
          <w:sz w:val="24"/>
        </w:rPr>
        <w:t>25.1在磋商有效期内，采购代理机构以书面形式通知所选定的中标人。通知也可以以传真的形式发出，但需要以书面形式最终确认。</w:t>
      </w:r>
    </w:p>
    <w:p w14:paraId="6637D30F">
      <w:pPr>
        <w:spacing w:line="360" w:lineRule="auto"/>
        <w:ind w:firstLine="480" w:firstLineChars="200"/>
        <w:rPr>
          <w:rFonts w:ascii="宋体" w:hAnsi="宋体" w:eastAsia="宋体" w:cs="宋体"/>
          <w:sz w:val="24"/>
        </w:rPr>
      </w:pPr>
      <w:r>
        <w:rPr>
          <w:rFonts w:hint="eastAsia" w:ascii="宋体" w:hAnsi="宋体" w:eastAsia="宋体" w:cs="宋体"/>
          <w:sz w:val="24"/>
        </w:rPr>
        <w:t>25.2采购代理机构将自中标通知书发出之日起5个工作日内退还未中标供应商的磋商保证金，自政府采购合同签订之日起5个工作日内退还中标供应商的磋商保证金。</w:t>
      </w:r>
    </w:p>
    <w:p w14:paraId="756D8823">
      <w:pPr>
        <w:numPr>
          <w:ilvl w:val="0"/>
          <w:numId w:val="2"/>
        </w:numPr>
        <w:spacing w:line="360" w:lineRule="auto"/>
        <w:ind w:firstLine="480" w:firstLineChars="200"/>
        <w:rPr>
          <w:rFonts w:ascii="宋体" w:hAnsi="宋体" w:eastAsia="宋体" w:cs="宋体"/>
          <w:sz w:val="24"/>
        </w:rPr>
      </w:pPr>
      <w:r>
        <w:rPr>
          <w:rFonts w:hint="eastAsia" w:ascii="宋体" w:hAnsi="宋体" w:eastAsia="宋体" w:cs="宋体"/>
          <w:sz w:val="24"/>
        </w:rPr>
        <w:t>签订合同</w:t>
      </w:r>
    </w:p>
    <w:p w14:paraId="5A52B873">
      <w:pPr>
        <w:spacing w:line="360" w:lineRule="auto"/>
        <w:ind w:firstLine="420" w:firstLineChars="175"/>
        <w:rPr>
          <w:rFonts w:ascii="宋体" w:hAnsi="宋体" w:eastAsia="宋体" w:cs="宋体"/>
          <w:sz w:val="24"/>
        </w:rPr>
      </w:pPr>
      <w:r>
        <w:rPr>
          <w:rFonts w:hint="eastAsia" w:ascii="宋体" w:hAnsi="宋体" w:eastAsia="宋体" w:cs="宋体"/>
          <w:sz w:val="24"/>
        </w:rPr>
        <w:t>26.1采购人和成交供应商应当自成交通知书发出之日起30 天内，根据竞争性磋商文件和成交供应商的响应文件订立书面合同。成交供应商无正当理由拒签合同的，采购人取消其成交资格，列入政府采购不良行为记录名单，在一至三年内禁止参加政府采购活动并予以公告，其磋商响应保证金不予退还；给采购人造成的损失超过磋商响应保证金数额的，成交供应商还应当对超过部分予以赔偿。</w:t>
      </w:r>
    </w:p>
    <w:p w14:paraId="657910DB">
      <w:pPr>
        <w:spacing w:line="360" w:lineRule="auto"/>
        <w:ind w:firstLine="480" w:firstLineChars="200"/>
        <w:rPr>
          <w:rFonts w:ascii="宋体" w:hAnsi="宋体" w:eastAsia="宋体" w:cs="宋体"/>
          <w:sz w:val="24"/>
        </w:rPr>
      </w:pPr>
      <w:r>
        <w:rPr>
          <w:rFonts w:hint="eastAsia" w:ascii="宋体" w:hAnsi="宋体" w:eastAsia="宋体" w:cs="宋体"/>
          <w:sz w:val="24"/>
        </w:rPr>
        <w:t>26.2发出成交通知书后，采购人无正当理由拒签合同的，采购人向成交供应商退还磋商响应保证金；给成交供应商造成损失的，还应当赔偿损失。</w:t>
      </w:r>
    </w:p>
    <w:p w14:paraId="79F94B08">
      <w:pPr>
        <w:spacing w:line="360" w:lineRule="auto"/>
        <w:ind w:firstLine="480" w:firstLineChars="200"/>
        <w:rPr>
          <w:rFonts w:ascii="宋体" w:hAnsi="宋体" w:eastAsia="宋体" w:cs="宋体"/>
          <w:sz w:val="24"/>
        </w:rPr>
      </w:pPr>
      <w:r>
        <w:rPr>
          <w:rFonts w:hint="eastAsia" w:ascii="宋体" w:hAnsi="宋体" w:eastAsia="宋体" w:cs="宋体"/>
          <w:sz w:val="24"/>
        </w:rPr>
        <w:t>26.3供应商在被评标委员会评定为预中标人（中标人）之后、中标通知书发出之前放弃中标的，按本条规定处理。</w:t>
      </w:r>
    </w:p>
    <w:p w14:paraId="31D55BBB">
      <w:pPr>
        <w:spacing w:line="360" w:lineRule="auto"/>
        <w:ind w:firstLine="480" w:firstLineChars="200"/>
        <w:rPr>
          <w:rFonts w:ascii="宋体" w:hAnsi="宋体" w:eastAsia="宋体" w:cs="宋体"/>
          <w:sz w:val="24"/>
        </w:rPr>
      </w:pPr>
      <w:r>
        <w:rPr>
          <w:rFonts w:hint="eastAsia" w:ascii="宋体" w:hAnsi="宋体" w:eastAsia="宋体" w:cs="宋体"/>
          <w:sz w:val="24"/>
        </w:rPr>
        <w:t>26.4中标结果将在发布竞争性磋商公告的同步网络媒介上公告，不再以书面方式通知未中标人。</w:t>
      </w:r>
    </w:p>
    <w:p w14:paraId="76BF9F55">
      <w:pPr>
        <w:spacing w:line="360" w:lineRule="auto"/>
        <w:ind w:firstLine="480" w:firstLineChars="200"/>
        <w:rPr>
          <w:rFonts w:ascii="宋体" w:hAnsi="宋体" w:eastAsia="宋体" w:cs="宋体"/>
          <w:sz w:val="24"/>
        </w:rPr>
      </w:pPr>
      <w:r>
        <w:rPr>
          <w:rFonts w:hint="eastAsia" w:ascii="宋体" w:hAnsi="宋体" w:eastAsia="宋体" w:cs="宋体"/>
          <w:sz w:val="24"/>
        </w:rPr>
        <w:t>27.履约保证金</w:t>
      </w:r>
    </w:p>
    <w:p w14:paraId="30DE30E4">
      <w:pPr>
        <w:spacing w:line="360" w:lineRule="auto"/>
        <w:ind w:firstLine="480" w:firstLineChars="200"/>
        <w:rPr>
          <w:rFonts w:ascii="宋体" w:hAnsi="宋体" w:eastAsia="宋体" w:cs="宋体"/>
          <w:sz w:val="24"/>
        </w:rPr>
      </w:pPr>
      <w:r>
        <w:rPr>
          <w:rFonts w:hint="eastAsia" w:ascii="宋体" w:hAnsi="宋体" w:eastAsia="宋体" w:cs="宋体"/>
          <w:sz w:val="24"/>
        </w:rPr>
        <w:t>详见供应商须知前附表。</w:t>
      </w:r>
    </w:p>
    <w:p w14:paraId="29BDA152">
      <w:pPr>
        <w:spacing w:line="360" w:lineRule="auto"/>
        <w:ind w:firstLine="480" w:firstLineChars="200"/>
        <w:rPr>
          <w:rFonts w:ascii="宋体" w:hAnsi="宋体" w:eastAsia="宋体" w:cs="宋体"/>
          <w:sz w:val="24"/>
        </w:rPr>
      </w:pPr>
      <w:r>
        <w:rPr>
          <w:rFonts w:hint="eastAsia" w:ascii="宋体" w:hAnsi="宋体" w:eastAsia="宋体" w:cs="宋体"/>
          <w:sz w:val="24"/>
        </w:rPr>
        <w:t>28.保密和披露</w:t>
      </w:r>
    </w:p>
    <w:p w14:paraId="6134D4A0">
      <w:pPr>
        <w:spacing w:line="360" w:lineRule="auto"/>
        <w:ind w:firstLine="480" w:firstLineChars="200"/>
        <w:rPr>
          <w:rFonts w:ascii="宋体" w:hAnsi="宋体" w:eastAsia="宋体" w:cs="宋体"/>
          <w:sz w:val="24"/>
        </w:rPr>
      </w:pPr>
      <w:r>
        <w:rPr>
          <w:rFonts w:hint="eastAsia" w:ascii="宋体" w:hAnsi="宋体" w:eastAsia="宋体" w:cs="宋体"/>
          <w:sz w:val="24"/>
        </w:rPr>
        <w:t>28.1采购代理机构有权将供应商提供的所有资料向其他政府部门或有关的非政府机构负责评审标书的人员或与评标有关的人员披露。</w:t>
      </w:r>
    </w:p>
    <w:p w14:paraId="3469E197">
      <w:pPr>
        <w:spacing w:line="360" w:lineRule="auto"/>
        <w:ind w:firstLine="480" w:firstLineChars="200"/>
        <w:rPr>
          <w:rFonts w:ascii="宋体" w:hAnsi="宋体" w:eastAsia="宋体" w:cs="宋体"/>
          <w:sz w:val="24"/>
        </w:rPr>
      </w:pPr>
      <w:r>
        <w:rPr>
          <w:rFonts w:hint="eastAsia" w:ascii="宋体" w:hAnsi="宋体" w:eastAsia="宋体" w:cs="宋体"/>
          <w:sz w:val="24"/>
        </w:rPr>
        <w:t>28.2在下列情形下：当发布中标公告和其他公告时，当国家机关调查、审查、审计时，以及在其他符合法律规定的情形下，采购代理机构无须事先征求供应商/中标人同意而可以披露关于采购过程、响应文件、合同文本、合同签署情况的资料、供应商/中标人的名称及地址、采购内容的有关信息以及补充条款等，并且对任何已经公布过的内容或与之内容相同的资料无须再承担保密责任。</w:t>
      </w:r>
    </w:p>
    <w:p w14:paraId="696BF932">
      <w:pPr>
        <w:spacing w:line="360" w:lineRule="auto"/>
        <w:ind w:firstLine="480" w:firstLineChars="200"/>
        <w:rPr>
          <w:rFonts w:ascii="宋体" w:hAnsi="宋体" w:eastAsia="宋体" w:cs="宋体"/>
          <w:sz w:val="24"/>
        </w:rPr>
      </w:pPr>
      <w:r>
        <w:rPr>
          <w:rFonts w:hint="eastAsia" w:ascii="宋体" w:hAnsi="宋体" w:eastAsia="宋体" w:cs="宋体"/>
          <w:sz w:val="24"/>
        </w:rPr>
        <w:t>29.质疑和投诉</w:t>
      </w:r>
    </w:p>
    <w:p w14:paraId="1F025E9D">
      <w:pPr>
        <w:spacing w:line="360" w:lineRule="auto"/>
        <w:ind w:firstLine="480" w:firstLineChars="200"/>
        <w:rPr>
          <w:rFonts w:ascii="宋体" w:hAnsi="宋体" w:eastAsia="宋体" w:cs="宋体"/>
          <w:sz w:val="24"/>
        </w:rPr>
      </w:pPr>
      <w:r>
        <w:rPr>
          <w:rFonts w:hint="eastAsia" w:ascii="宋体" w:hAnsi="宋体" w:eastAsia="宋体" w:cs="宋体"/>
          <w:sz w:val="24"/>
        </w:rPr>
        <w:t>29.1供应商认为竞争性磋商文件、招标过程和中标结果使自己的合法权益受到损害的，应当在知道或者应知其权益受到损害之日起七个工作日内，向招标方提出质疑。供应商应在法定质疑期内一次性提出针对同一采购程序环节的质疑。供应商对采购代理机构的质疑答复不满意或者采购代理机构未在规定时间内作出答复的，可以在答复期满后十五个工作日内向同级采购监管部门投诉。</w:t>
      </w:r>
    </w:p>
    <w:p w14:paraId="42142050">
      <w:pPr>
        <w:spacing w:line="360" w:lineRule="auto"/>
        <w:ind w:firstLine="480" w:firstLineChars="200"/>
        <w:rPr>
          <w:rFonts w:ascii="宋体" w:hAnsi="宋体" w:eastAsia="宋体" w:cs="宋体"/>
          <w:sz w:val="24"/>
        </w:rPr>
      </w:pPr>
      <w:r>
        <w:rPr>
          <w:rFonts w:hint="eastAsia" w:ascii="宋体" w:hAnsi="宋体" w:eastAsia="宋体" w:cs="宋体"/>
          <w:sz w:val="24"/>
        </w:rPr>
        <w:t>29.2质疑书、投诉书均应明确阐述竞争性磋商文件、招标过程和中标结果中使自己合法权益受到损害的实质性内容，提供相关事实、依据和证据及其来源或线索，便于有关单位调查、答复和处理。</w:t>
      </w:r>
    </w:p>
    <w:p w14:paraId="41EDC9FC">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纪律和监督</w:t>
      </w:r>
    </w:p>
    <w:p w14:paraId="273CA09D">
      <w:pPr>
        <w:spacing w:line="360" w:lineRule="auto"/>
        <w:ind w:firstLine="420" w:firstLineChars="175"/>
        <w:rPr>
          <w:rFonts w:ascii="宋体" w:hAnsi="宋体" w:eastAsia="宋体" w:cs="宋体"/>
          <w:sz w:val="24"/>
        </w:rPr>
      </w:pPr>
      <w:r>
        <w:rPr>
          <w:rFonts w:hint="eastAsia" w:ascii="宋体" w:hAnsi="宋体" w:eastAsia="宋体" w:cs="宋体"/>
          <w:sz w:val="24"/>
        </w:rPr>
        <w:t>30.1 对采购人的纪律要求</w:t>
      </w:r>
    </w:p>
    <w:p w14:paraId="10D410A4">
      <w:pPr>
        <w:spacing w:line="360" w:lineRule="auto"/>
        <w:ind w:firstLine="420" w:firstLineChars="175"/>
        <w:rPr>
          <w:rFonts w:ascii="宋体" w:hAnsi="宋体" w:eastAsia="宋体" w:cs="宋体"/>
          <w:sz w:val="24"/>
        </w:rPr>
      </w:pPr>
      <w:r>
        <w:rPr>
          <w:rFonts w:hint="eastAsia" w:ascii="宋体" w:hAnsi="宋体" w:eastAsia="宋体" w:cs="宋体"/>
          <w:sz w:val="24"/>
        </w:rPr>
        <w:t>采购人不得泄露采购活动中应当保密的情况和资料，不得与供应商串通损害国家利益、社会公共利益或者他人合法权益。</w:t>
      </w:r>
    </w:p>
    <w:p w14:paraId="55EF5B6E">
      <w:pPr>
        <w:spacing w:line="360" w:lineRule="auto"/>
        <w:ind w:firstLine="420" w:firstLineChars="175"/>
        <w:rPr>
          <w:rFonts w:ascii="宋体" w:hAnsi="宋体" w:eastAsia="宋体" w:cs="宋体"/>
          <w:sz w:val="24"/>
        </w:rPr>
      </w:pPr>
      <w:r>
        <w:rPr>
          <w:rFonts w:hint="eastAsia" w:ascii="宋体" w:hAnsi="宋体" w:eastAsia="宋体" w:cs="宋体"/>
          <w:sz w:val="24"/>
        </w:rPr>
        <w:t>30.2 对供应商的纪律要求</w:t>
      </w:r>
    </w:p>
    <w:p w14:paraId="2316E56B">
      <w:pPr>
        <w:spacing w:line="360" w:lineRule="auto"/>
        <w:ind w:firstLine="420" w:firstLineChars="175"/>
        <w:rPr>
          <w:rFonts w:ascii="宋体" w:hAnsi="宋体" w:eastAsia="宋体" w:cs="宋体"/>
          <w:sz w:val="24"/>
        </w:rPr>
      </w:pPr>
      <w:r>
        <w:rPr>
          <w:rFonts w:hint="eastAsia" w:ascii="宋体" w:hAnsi="宋体" w:eastAsia="宋体" w:cs="宋体"/>
          <w:sz w:val="24"/>
        </w:rPr>
        <w:t>供应商不得相互串通投标或者与采购人串通投标，不得向采购人或者磋商小组成员行贿谋取成交，不得以他人名义投标或者以其他方式弄虚作假骗取成交；供应商不得以任何方式干扰、影响评审工作。</w:t>
      </w:r>
    </w:p>
    <w:p w14:paraId="51F56128">
      <w:pPr>
        <w:spacing w:line="360" w:lineRule="auto"/>
        <w:ind w:firstLine="420" w:firstLineChars="175"/>
        <w:rPr>
          <w:rFonts w:ascii="宋体" w:hAnsi="宋体" w:eastAsia="宋体" w:cs="宋体"/>
          <w:sz w:val="24"/>
        </w:rPr>
      </w:pPr>
      <w:r>
        <w:rPr>
          <w:rFonts w:hint="eastAsia" w:ascii="宋体" w:hAnsi="宋体" w:eastAsia="宋体" w:cs="宋体"/>
          <w:sz w:val="24"/>
        </w:rPr>
        <w:t>30.3 对磋商小组成员的纪律要求</w:t>
      </w:r>
    </w:p>
    <w:p w14:paraId="1003C2C2">
      <w:pPr>
        <w:spacing w:line="360" w:lineRule="auto"/>
        <w:ind w:firstLine="420" w:firstLineChars="175"/>
        <w:rPr>
          <w:rFonts w:ascii="宋体" w:hAnsi="宋体" w:eastAsia="宋体" w:cs="宋体"/>
          <w:sz w:val="24"/>
        </w:rPr>
      </w:pPr>
      <w:r>
        <w:rPr>
          <w:rFonts w:hint="eastAsia" w:ascii="宋体" w:hAnsi="宋体" w:eastAsia="宋体" w:cs="宋体"/>
          <w:sz w:val="24"/>
        </w:rPr>
        <w:t>磋商小组成员不得收受他人的财物或者其他好处，不得向他人透露对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w:t>
      </w:r>
    </w:p>
    <w:p w14:paraId="64E7D027">
      <w:pPr>
        <w:spacing w:line="360" w:lineRule="auto"/>
        <w:ind w:firstLine="420" w:firstLineChars="175"/>
        <w:rPr>
          <w:rFonts w:ascii="宋体" w:hAnsi="宋体" w:eastAsia="宋体" w:cs="宋体"/>
          <w:sz w:val="24"/>
        </w:rPr>
      </w:pPr>
      <w:r>
        <w:rPr>
          <w:rFonts w:hint="eastAsia" w:ascii="宋体" w:hAnsi="宋体" w:eastAsia="宋体" w:cs="宋体"/>
          <w:sz w:val="24"/>
        </w:rPr>
        <w:t>30.4 对与评审活动有关的工作人员的纪律要求</w:t>
      </w:r>
    </w:p>
    <w:p w14:paraId="27C2A233">
      <w:pPr>
        <w:spacing w:line="360" w:lineRule="auto"/>
        <w:ind w:firstLine="420" w:firstLineChars="175"/>
        <w:rPr>
          <w:rFonts w:ascii="宋体" w:hAnsi="宋体" w:eastAsia="宋体" w:cs="宋体"/>
          <w:sz w:val="24"/>
        </w:rPr>
      </w:pPr>
      <w:r>
        <w:rPr>
          <w:rFonts w:hint="eastAsia" w:ascii="宋体" w:hAnsi="宋体" w:eastAsia="宋体" w:cs="宋体"/>
          <w:sz w:val="24"/>
        </w:rPr>
        <w:t>与评审活动有关的工作人员不得收受他人的财物或者其他好处，不得向他人透露对响应文件的评审和比较、成交候选供应商的推荐情况以及评审有关的其他情况。在评审活动中，与评审活动有关的工作人员不得擅离职守，影响评审程序正常进行。</w:t>
      </w:r>
    </w:p>
    <w:p w14:paraId="42906235">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特殊情况处置程序</w:t>
      </w:r>
    </w:p>
    <w:p w14:paraId="3A19B1D2">
      <w:pPr>
        <w:spacing w:line="360" w:lineRule="auto"/>
        <w:ind w:firstLine="420" w:firstLineChars="175"/>
        <w:rPr>
          <w:rFonts w:ascii="宋体" w:hAnsi="宋体" w:eastAsia="宋体" w:cs="宋体"/>
          <w:sz w:val="24"/>
        </w:rPr>
      </w:pPr>
      <w:r>
        <w:rPr>
          <w:rFonts w:hint="eastAsia" w:ascii="宋体" w:hAnsi="宋体" w:eastAsia="宋体" w:cs="宋体"/>
          <w:sz w:val="24"/>
        </w:rPr>
        <w:t>31.1评审活动终止</w:t>
      </w:r>
    </w:p>
    <w:p w14:paraId="4EAD87A2">
      <w:pPr>
        <w:spacing w:line="360" w:lineRule="auto"/>
        <w:ind w:firstLine="420" w:firstLineChars="175"/>
        <w:rPr>
          <w:rFonts w:ascii="宋体" w:hAnsi="宋体" w:eastAsia="宋体" w:cs="宋体"/>
          <w:sz w:val="24"/>
        </w:rPr>
      </w:pPr>
      <w:r>
        <w:rPr>
          <w:rFonts w:hint="eastAsia" w:ascii="宋体" w:hAnsi="宋体" w:eastAsia="宋体" w:cs="宋体"/>
          <w:sz w:val="24"/>
        </w:rPr>
        <w:t>（1）磋商小组应当执行连续评审的原则，按照磋商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磋商文件和所有响应文件，择期重新组建磋商小组进行评审，前期参加评审的磋商小组成员应回避。</w:t>
      </w:r>
    </w:p>
    <w:p w14:paraId="5B2BED6B">
      <w:pPr>
        <w:spacing w:line="360" w:lineRule="auto"/>
        <w:ind w:firstLine="420" w:firstLineChars="175"/>
        <w:rPr>
          <w:rFonts w:ascii="宋体" w:hAnsi="宋体" w:eastAsia="宋体" w:cs="宋体"/>
          <w:sz w:val="24"/>
        </w:rPr>
      </w:pPr>
      <w:r>
        <w:rPr>
          <w:rFonts w:hint="eastAsia" w:ascii="宋体" w:hAnsi="宋体" w:eastAsia="宋体" w:cs="宋体"/>
          <w:sz w:val="24"/>
        </w:rPr>
        <w:t>（2）发生下列情况之一的，磋商小组应终止评审：</w:t>
      </w:r>
    </w:p>
    <w:p w14:paraId="4A78385E">
      <w:pPr>
        <w:spacing w:line="360" w:lineRule="auto"/>
        <w:ind w:firstLine="420" w:firstLineChars="175"/>
        <w:rPr>
          <w:rFonts w:ascii="宋体" w:hAnsi="宋体" w:eastAsia="宋体" w:cs="宋体"/>
          <w:sz w:val="24"/>
        </w:rPr>
      </w:pPr>
      <w:r>
        <w:rPr>
          <w:rFonts w:hint="eastAsia" w:ascii="宋体" w:hAnsi="宋体" w:eastAsia="宋体" w:cs="宋体"/>
          <w:sz w:val="24"/>
        </w:rPr>
        <w:t>①发生了不可抗力事件；</w:t>
      </w:r>
    </w:p>
    <w:p w14:paraId="5231AFB3">
      <w:pPr>
        <w:spacing w:line="360" w:lineRule="auto"/>
        <w:ind w:firstLine="420" w:firstLineChars="175"/>
        <w:rPr>
          <w:rFonts w:ascii="宋体" w:hAnsi="宋体" w:eastAsia="宋体" w:cs="宋体"/>
          <w:sz w:val="24"/>
        </w:rPr>
      </w:pPr>
      <w:r>
        <w:rPr>
          <w:rFonts w:hint="eastAsia" w:ascii="宋体" w:hAnsi="宋体" w:eastAsia="宋体" w:cs="宋体"/>
          <w:sz w:val="24"/>
        </w:rPr>
        <w:t>②发生磋商小组名单泄密、评审信息泄露；</w:t>
      </w:r>
    </w:p>
    <w:p w14:paraId="6F7283DB">
      <w:pPr>
        <w:spacing w:line="360" w:lineRule="auto"/>
        <w:ind w:firstLine="420" w:firstLineChars="175"/>
        <w:rPr>
          <w:rFonts w:ascii="宋体" w:hAnsi="宋体" w:eastAsia="宋体" w:cs="宋体"/>
          <w:sz w:val="24"/>
        </w:rPr>
      </w:pPr>
      <w:r>
        <w:rPr>
          <w:rFonts w:hint="eastAsia" w:ascii="宋体" w:hAnsi="宋体" w:eastAsia="宋体" w:cs="宋体"/>
          <w:sz w:val="24"/>
        </w:rPr>
        <w:t>③出现非法干预评审工作；</w:t>
      </w:r>
    </w:p>
    <w:p w14:paraId="73344C9B">
      <w:pPr>
        <w:spacing w:line="360" w:lineRule="auto"/>
        <w:ind w:firstLine="420" w:firstLineChars="175"/>
        <w:rPr>
          <w:rFonts w:ascii="宋体" w:hAnsi="宋体" w:eastAsia="宋体" w:cs="宋体"/>
          <w:sz w:val="24"/>
        </w:rPr>
      </w:pPr>
      <w:r>
        <w:rPr>
          <w:rFonts w:hint="eastAsia" w:ascii="宋体" w:hAnsi="宋体" w:eastAsia="宋体" w:cs="宋体"/>
          <w:sz w:val="24"/>
        </w:rPr>
        <w:t>④发现磋商小组或者成员未按照磋商文件规定评审或者存在违反法律法规规定行为，且拒绝改正。</w:t>
      </w:r>
    </w:p>
    <w:p w14:paraId="13C38DBE">
      <w:pPr>
        <w:spacing w:line="360" w:lineRule="auto"/>
        <w:ind w:firstLine="420" w:firstLineChars="175"/>
        <w:rPr>
          <w:rFonts w:ascii="宋体" w:hAnsi="宋体" w:eastAsia="宋体" w:cs="宋体"/>
          <w:sz w:val="24"/>
        </w:rPr>
      </w:pPr>
      <w:r>
        <w:rPr>
          <w:rFonts w:hint="eastAsia" w:ascii="宋体" w:hAnsi="宋体" w:eastAsia="宋体" w:cs="宋体"/>
          <w:sz w:val="24"/>
        </w:rPr>
        <w:t>出现上述情形的，政府采购监督管理部门有权予以废标或者建议采购人和采购代理机构封存磋商文件和所有响应文件，择期重新组建磋商小组进行评审。</w:t>
      </w:r>
    </w:p>
    <w:p w14:paraId="6CC29CB6">
      <w:pPr>
        <w:spacing w:line="360" w:lineRule="auto"/>
        <w:ind w:firstLine="420" w:firstLineChars="175"/>
        <w:rPr>
          <w:rFonts w:ascii="宋体" w:hAnsi="宋体" w:eastAsia="宋体" w:cs="宋体"/>
          <w:sz w:val="24"/>
        </w:rPr>
      </w:pPr>
      <w:r>
        <w:rPr>
          <w:rFonts w:hint="eastAsia" w:ascii="宋体" w:hAnsi="宋体" w:eastAsia="宋体" w:cs="宋体"/>
          <w:sz w:val="24"/>
        </w:rPr>
        <w:t>31.2磋商小组中途更换成员</w:t>
      </w:r>
    </w:p>
    <w:p w14:paraId="4C0813F0">
      <w:pPr>
        <w:spacing w:line="360" w:lineRule="auto"/>
        <w:ind w:firstLine="420" w:firstLineChars="175"/>
        <w:rPr>
          <w:rFonts w:ascii="宋体" w:hAnsi="宋体" w:eastAsia="宋体" w:cs="宋体"/>
          <w:sz w:val="24"/>
        </w:rPr>
      </w:pPr>
      <w:r>
        <w:rPr>
          <w:rFonts w:hint="eastAsia" w:ascii="宋体" w:hAnsi="宋体" w:eastAsia="宋体" w:cs="宋体"/>
          <w:sz w:val="24"/>
        </w:rPr>
        <w:t>（1）除非发生下列情况之一，磋商小组成员不得中途更换：</w:t>
      </w:r>
    </w:p>
    <w:p w14:paraId="5AB21F07">
      <w:pPr>
        <w:spacing w:line="360" w:lineRule="auto"/>
        <w:ind w:firstLine="420" w:firstLineChars="175"/>
        <w:rPr>
          <w:rFonts w:ascii="宋体" w:hAnsi="宋体" w:eastAsia="宋体" w:cs="宋体"/>
          <w:sz w:val="24"/>
        </w:rPr>
      </w:pPr>
      <w:r>
        <w:rPr>
          <w:rFonts w:hint="eastAsia" w:ascii="宋体" w:hAnsi="宋体" w:eastAsia="宋体" w:cs="宋体"/>
          <w:sz w:val="24"/>
        </w:rPr>
        <w:t>①因不可抗拒的客观原因，不能到场或者需在评审过程中退出评审活动；</w:t>
      </w:r>
    </w:p>
    <w:p w14:paraId="5F7820B8">
      <w:pPr>
        <w:spacing w:line="360" w:lineRule="auto"/>
        <w:ind w:firstLine="420" w:firstLineChars="175"/>
        <w:rPr>
          <w:rFonts w:ascii="宋体" w:hAnsi="宋体" w:eastAsia="宋体" w:cs="宋体"/>
          <w:sz w:val="24"/>
        </w:rPr>
      </w:pPr>
      <w:r>
        <w:rPr>
          <w:rFonts w:hint="eastAsia" w:ascii="宋体" w:hAnsi="宋体" w:eastAsia="宋体" w:cs="宋体"/>
          <w:sz w:val="24"/>
        </w:rPr>
        <w:t>②根据法律法规规定，某个或者某几个磋商小组成员需要回避；</w:t>
      </w:r>
    </w:p>
    <w:p w14:paraId="37175B68">
      <w:pPr>
        <w:spacing w:line="360" w:lineRule="auto"/>
        <w:ind w:firstLine="420" w:firstLineChars="175"/>
        <w:rPr>
          <w:rFonts w:ascii="宋体" w:hAnsi="宋体" w:eastAsia="宋体" w:cs="宋体"/>
          <w:sz w:val="24"/>
        </w:rPr>
      </w:pPr>
      <w:r>
        <w:rPr>
          <w:rFonts w:hint="eastAsia" w:ascii="宋体" w:hAnsi="宋体" w:eastAsia="宋体" w:cs="宋体"/>
          <w:sz w:val="24"/>
        </w:rPr>
        <w:t>（2）退出磋商小组的成员，其已完成的评审行为无效。由采购人向政府采购监督管理部门提出更换磋商小组成员意见并获准后，根据本磋商文件规定的磋商小组成员产生方式另行确定替代者进行评审。</w:t>
      </w:r>
    </w:p>
    <w:p w14:paraId="7EC1FB2E">
      <w:pPr>
        <w:spacing w:line="360" w:lineRule="auto"/>
        <w:ind w:firstLine="420" w:firstLineChars="175"/>
        <w:rPr>
          <w:rFonts w:ascii="宋体" w:hAnsi="宋体" w:eastAsia="宋体" w:cs="宋体"/>
          <w:sz w:val="24"/>
        </w:rPr>
      </w:pPr>
      <w:r>
        <w:rPr>
          <w:rFonts w:hint="eastAsia" w:ascii="宋体" w:hAnsi="宋体" w:eastAsia="宋体" w:cs="宋体"/>
          <w:sz w:val="24"/>
        </w:rPr>
        <w:t>31.3记名投票</w:t>
      </w:r>
    </w:p>
    <w:p w14:paraId="723D7D14">
      <w:pPr>
        <w:spacing w:line="360" w:lineRule="auto"/>
        <w:ind w:firstLine="420" w:firstLineChars="175"/>
        <w:rPr>
          <w:rFonts w:ascii="宋体" w:hAnsi="宋体" w:eastAsia="宋体" w:cs="宋体"/>
          <w:sz w:val="24"/>
        </w:rPr>
      </w:pPr>
      <w:r>
        <w:rPr>
          <w:rFonts w:hint="eastAsia" w:ascii="宋体" w:hAnsi="宋体" w:eastAsia="宋体" w:cs="宋体"/>
          <w:sz w:val="24"/>
        </w:rPr>
        <w:t>在评审过程中，磋商小组发生分歧或者评审结论有异议需表决的，按照少数服从多数的原则，由磋商小组全体成员以记名投票方式表决。</w:t>
      </w:r>
    </w:p>
    <w:p w14:paraId="147C7662">
      <w:pPr>
        <w:spacing w:line="360" w:lineRule="auto"/>
        <w:ind w:firstLine="420" w:firstLineChars="175"/>
        <w:rPr>
          <w:rFonts w:ascii="宋体" w:hAnsi="宋体" w:eastAsia="宋体" w:cs="宋体"/>
          <w:sz w:val="24"/>
        </w:rPr>
      </w:pPr>
      <w:r>
        <w:rPr>
          <w:rFonts w:hint="eastAsia" w:ascii="宋体" w:hAnsi="宋体" w:eastAsia="宋体" w:cs="宋体"/>
          <w:sz w:val="24"/>
        </w:rPr>
        <w:t>32.违法违规情形</w:t>
      </w:r>
    </w:p>
    <w:p w14:paraId="4274A156">
      <w:pPr>
        <w:spacing w:line="360" w:lineRule="auto"/>
        <w:ind w:firstLine="420" w:firstLineChars="175"/>
        <w:rPr>
          <w:rFonts w:ascii="宋体" w:hAnsi="宋体" w:eastAsia="宋体" w:cs="宋体"/>
          <w:sz w:val="24"/>
        </w:rPr>
      </w:pPr>
      <w:r>
        <w:rPr>
          <w:rFonts w:hint="eastAsia" w:ascii="宋体" w:hAnsi="宋体" w:eastAsia="宋体" w:cs="宋体"/>
          <w:sz w:val="24"/>
        </w:rPr>
        <w:t>32.1有下列情形之一的，属于供应商相互串通报价：</w:t>
      </w:r>
    </w:p>
    <w:p w14:paraId="12E52369">
      <w:pPr>
        <w:spacing w:line="360" w:lineRule="auto"/>
        <w:ind w:firstLine="420" w:firstLineChars="175"/>
        <w:rPr>
          <w:rFonts w:ascii="宋体" w:hAnsi="宋体" w:eastAsia="宋体" w:cs="宋体"/>
          <w:sz w:val="24"/>
        </w:rPr>
      </w:pPr>
      <w:r>
        <w:rPr>
          <w:rFonts w:hint="eastAsia" w:ascii="宋体" w:hAnsi="宋体" w:eastAsia="宋体" w:cs="宋体"/>
          <w:sz w:val="24"/>
        </w:rPr>
        <w:t>（1）供应商之间协商报价等响应文件的实质性内容；</w:t>
      </w:r>
    </w:p>
    <w:p w14:paraId="7F33BB1A">
      <w:pPr>
        <w:spacing w:line="360" w:lineRule="auto"/>
        <w:ind w:firstLine="420" w:firstLineChars="175"/>
        <w:rPr>
          <w:rFonts w:ascii="宋体" w:hAnsi="宋体" w:eastAsia="宋体" w:cs="宋体"/>
          <w:sz w:val="24"/>
        </w:rPr>
      </w:pPr>
      <w:r>
        <w:rPr>
          <w:rFonts w:hint="eastAsia" w:ascii="宋体" w:hAnsi="宋体" w:eastAsia="宋体" w:cs="宋体"/>
          <w:sz w:val="24"/>
        </w:rPr>
        <w:t>（2）供应商之间约定成交供应商；</w:t>
      </w:r>
    </w:p>
    <w:p w14:paraId="487E6ABA">
      <w:pPr>
        <w:spacing w:line="360" w:lineRule="auto"/>
        <w:ind w:firstLine="420" w:firstLineChars="175"/>
        <w:rPr>
          <w:rFonts w:ascii="宋体" w:hAnsi="宋体" w:eastAsia="宋体" w:cs="宋体"/>
          <w:sz w:val="24"/>
        </w:rPr>
      </w:pPr>
      <w:r>
        <w:rPr>
          <w:rFonts w:hint="eastAsia" w:ascii="宋体" w:hAnsi="宋体" w:eastAsia="宋体" w:cs="宋体"/>
          <w:sz w:val="24"/>
        </w:rPr>
        <w:t>（3）供应商之间约定部分供应商放弃报价或者成交；</w:t>
      </w:r>
    </w:p>
    <w:p w14:paraId="39DB8696">
      <w:pPr>
        <w:spacing w:line="360" w:lineRule="auto"/>
        <w:ind w:firstLine="420" w:firstLineChars="175"/>
        <w:rPr>
          <w:rFonts w:ascii="宋体" w:hAnsi="宋体" w:eastAsia="宋体" w:cs="宋体"/>
          <w:sz w:val="24"/>
        </w:rPr>
      </w:pPr>
      <w:r>
        <w:rPr>
          <w:rFonts w:hint="eastAsia" w:ascii="宋体" w:hAnsi="宋体" w:eastAsia="宋体" w:cs="宋体"/>
          <w:sz w:val="24"/>
        </w:rPr>
        <w:t>（4）属于同一集团、协会、商会等组织成员的供应商按照该组织要求协同报价；</w:t>
      </w:r>
    </w:p>
    <w:p w14:paraId="41BB86B1">
      <w:pPr>
        <w:spacing w:line="360" w:lineRule="auto"/>
        <w:ind w:firstLine="420" w:firstLineChars="175"/>
        <w:rPr>
          <w:rFonts w:ascii="宋体" w:hAnsi="宋体" w:eastAsia="宋体" w:cs="宋体"/>
          <w:sz w:val="24"/>
        </w:rPr>
      </w:pPr>
      <w:r>
        <w:rPr>
          <w:rFonts w:hint="eastAsia" w:ascii="宋体" w:hAnsi="宋体" w:eastAsia="宋体" w:cs="宋体"/>
          <w:sz w:val="24"/>
        </w:rPr>
        <w:t>（5）供应商之间为谋取成交或者排斥特定供应商而采取的其他联合行动。</w:t>
      </w:r>
    </w:p>
    <w:p w14:paraId="14D75A21">
      <w:pPr>
        <w:spacing w:line="360" w:lineRule="auto"/>
        <w:ind w:firstLine="420" w:firstLineChars="175"/>
        <w:rPr>
          <w:rFonts w:ascii="宋体" w:hAnsi="宋体" w:eastAsia="宋体" w:cs="宋体"/>
          <w:sz w:val="24"/>
        </w:rPr>
      </w:pPr>
      <w:r>
        <w:rPr>
          <w:rFonts w:hint="eastAsia" w:ascii="宋体" w:hAnsi="宋体" w:eastAsia="宋体" w:cs="宋体"/>
          <w:sz w:val="24"/>
        </w:rPr>
        <w:t>32.2有下列情形之一的，视为供应商相互串通报价：</w:t>
      </w:r>
    </w:p>
    <w:p w14:paraId="5AB5F90E">
      <w:pPr>
        <w:spacing w:line="360" w:lineRule="auto"/>
        <w:ind w:firstLine="420" w:firstLineChars="175"/>
        <w:rPr>
          <w:rFonts w:ascii="宋体" w:hAnsi="宋体" w:eastAsia="宋体" w:cs="宋体"/>
          <w:sz w:val="24"/>
        </w:rPr>
      </w:pPr>
      <w:r>
        <w:rPr>
          <w:rFonts w:hint="eastAsia" w:ascii="宋体" w:hAnsi="宋体" w:eastAsia="宋体" w:cs="宋体"/>
          <w:sz w:val="24"/>
        </w:rPr>
        <w:t>（1）不同供应商的响应文件由同一单位或者个人编制；</w:t>
      </w:r>
    </w:p>
    <w:p w14:paraId="500FE813">
      <w:pPr>
        <w:spacing w:line="360" w:lineRule="auto"/>
        <w:ind w:firstLine="420" w:firstLineChars="175"/>
        <w:rPr>
          <w:rFonts w:ascii="宋体" w:hAnsi="宋体" w:eastAsia="宋体" w:cs="宋体"/>
          <w:sz w:val="24"/>
        </w:rPr>
      </w:pPr>
      <w:r>
        <w:rPr>
          <w:rFonts w:hint="eastAsia" w:ascii="宋体" w:hAnsi="宋体" w:eastAsia="宋体" w:cs="宋体"/>
          <w:sz w:val="24"/>
        </w:rPr>
        <w:t>（2）不同供应商委托同一单位或者个人办理报价事宜；</w:t>
      </w:r>
    </w:p>
    <w:p w14:paraId="3AB65ABF">
      <w:pPr>
        <w:spacing w:line="360" w:lineRule="auto"/>
        <w:ind w:firstLine="420" w:firstLineChars="175"/>
        <w:rPr>
          <w:rFonts w:ascii="宋体" w:hAnsi="宋体" w:eastAsia="宋体" w:cs="宋体"/>
          <w:sz w:val="24"/>
        </w:rPr>
      </w:pPr>
      <w:r>
        <w:rPr>
          <w:rFonts w:hint="eastAsia" w:ascii="宋体" w:hAnsi="宋体" w:eastAsia="宋体" w:cs="宋体"/>
          <w:sz w:val="24"/>
        </w:rPr>
        <w:t>（3）不同供应商的响应文件载明的项目管理成员为同一人；</w:t>
      </w:r>
    </w:p>
    <w:p w14:paraId="1F7481DE">
      <w:pPr>
        <w:spacing w:line="360" w:lineRule="auto"/>
        <w:ind w:firstLine="420" w:firstLineChars="175"/>
        <w:rPr>
          <w:rFonts w:ascii="宋体" w:hAnsi="宋体" w:eastAsia="宋体" w:cs="宋体"/>
          <w:sz w:val="24"/>
        </w:rPr>
      </w:pPr>
      <w:r>
        <w:rPr>
          <w:rFonts w:hint="eastAsia" w:ascii="宋体" w:hAnsi="宋体" w:eastAsia="宋体" w:cs="宋体"/>
          <w:sz w:val="24"/>
        </w:rPr>
        <w:t>（4）不同供应商的响应文件异常一致或者报价呈规律性差异；</w:t>
      </w:r>
    </w:p>
    <w:p w14:paraId="7D573BF8">
      <w:pPr>
        <w:spacing w:line="360" w:lineRule="auto"/>
        <w:ind w:firstLine="420" w:firstLineChars="175"/>
        <w:rPr>
          <w:rFonts w:ascii="宋体" w:hAnsi="宋体" w:eastAsia="宋体" w:cs="宋体"/>
          <w:sz w:val="24"/>
        </w:rPr>
      </w:pPr>
      <w:r>
        <w:rPr>
          <w:rFonts w:hint="eastAsia" w:ascii="宋体" w:hAnsi="宋体" w:eastAsia="宋体" w:cs="宋体"/>
          <w:sz w:val="24"/>
        </w:rPr>
        <w:t>（5）不同供应商的响应文件相互混装；</w:t>
      </w:r>
    </w:p>
    <w:p w14:paraId="7A89B222">
      <w:pPr>
        <w:spacing w:line="360" w:lineRule="auto"/>
        <w:ind w:firstLine="420" w:firstLineChars="175"/>
        <w:rPr>
          <w:rFonts w:ascii="宋体" w:hAnsi="宋体" w:eastAsia="宋体" w:cs="宋体"/>
          <w:sz w:val="24"/>
        </w:rPr>
      </w:pPr>
      <w:r>
        <w:rPr>
          <w:rFonts w:hint="eastAsia" w:ascii="宋体" w:hAnsi="宋体" w:eastAsia="宋体" w:cs="宋体"/>
          <w:sz w:val="24"/>
        </w:rPr>
        <w:t>（6）不同供应商的磋商响应保证金从同一单位或者个人的账户转出。</w:t>
      </w:r>
    </w:p>
    <w:p w14:paraId="39DC8058">
      <w:pPr>
        <w:spacing w:line="360" w:lineRule="auto"/>
        <w:ind w:firstLine="420" w:firstLineChars="175"/>
        <w:rPr>
          <w:rFonts w:ascii="宋体" w:hAnsi="宋体" w:eastAsia="宋体" w:cs="宋体"/>
          <w:sz w:val="24"/>
        </w:rPr>
      </w:pPr>
      <w:r>
        <w:rPr>
          <w:rFonts w:hint="eastAsia" w:ascii="宋体" w:hAnsi="宋体" w:eastAsia="宋体" w:cs="宋体"/>
          <w:sz w:val="24"/>
        </w:rPr>
        <w:t>32.3有下列情形之一的，属于采购人与供应商串通报价：</w:t>
      </w:r>
    </w:p>
    <w:p w14:paraId="317E7134">
      <w:pPr>
        <w:spacing w:line="360" w:lineRule="auto"/>
        <w:ind w:firstLine="420" w:firstLineChars="175"/>
        <w:rPr>
          <w:rFonts w:ascii="宋体" w:hAnsi="宋体" w:eastAsia="宋体" w:cs="宋体"/>
          <w:sz w:val="24"/>
        </w:rPr>
      </w:pPr>
      <w:r>
        <w:rPr>
          <w:rFonts w:hint="eastAsia" w:ascii="宋体" w:hAnsi="宋体" w:eastAsia="宋体" w:cs="宋体"/>
          <w:sz w:val="24"/>
        </w:rPr>
        <w:t>（1）采购人在二次报价前开启响应文件并将有关信息泄露给其他供应商；</w:t>
      </w:r>
    </w:p>
    <w:p w14:paraId="272FD656">
      <w:pPr>
        <w:spacing w:line="360" w:lineRule="auto"/>
        <w:ind w:firstLine="420" w:firstLineChars="175"/>
        <w:rPr>
          <w:rFonts w:ascii="宋体" w:hAnsi="宋体" w:eastAsia="宋体" w:cs="宋体"/>
          <w:sz w:val="24"/>
        </w:rPr>
      </w:pPr>
      <w:r>
        <w:rPr>
          <w:rFonts w:hint="eastAsia" w:ascii="宋体" w:hAnsi="宋体" w:eastAsia="宋体" w:cs="宋体"/>
          <w:sz w:val="24"/>
        </w:rPr>
        <w:t>（2）采购人直接或者间接向供应商泄露磋商小组成员等信息；</w:t>
      </w:r>
    </w:p>
    <w:p w14:paraId="6E18B94D">
      <w:pPr>
        <w:spacing w:line="360" w:lineRule="auto"/>
        <w:ind w:firstLine="420" w:firstLineChars="175"/>
        <w:rPr>
          <w:rFonts w:ascii="宋体" w:hAnsi="宋体" w:eastAsia="宋体" w:cs="宋体"/>
          <w:sz w:val="24"/>
        </w:rPr>
      </w:pPr>
      <w:r>
        <w:rPr>
          <w:rFonts w:hint="eastAsia" w:ascii="宋体" w:hAnsi="宋体" w:eastAsia="宋体" w:cs="宋体"/>
          <w:sz w:val="24"/>
        </w:rPr>
        <w:t>（3）采购人明示或者暗示供应商压低或者抬高报价；</w:t>
      </w:r>
    </w:p>
    <w:p w14:paraId="65CF6950">
      <w:pPr>
        <w:spacing w:line="360" w:lineRule="auto"/>
        <w:ind w:firstLine="420" w:firstLineChars="175"/>
        <w:rPr>
          <w:rFonts w:ascii="宋体" w:hAnsi="宋体" w:eastAsia="宋体" w:cs="宋体"/>
          <w:sz w:val="24"/>
        </w:rPr>
      </w:pPr>
      <w:r>
        <w:rPr>
          <w:rFonts w:hint="eastAsia" w:ascii="宋体" w:hAnsi="宋体" w:eastAsia="宋体" w:cs="宋体"/>
          <w:sz w:val="24"/>
        </w:rPr>
        <w:t>（4）采购人授意供应商撤换、修改响应文件；</w:t>
      </w:r>
    </w:p>
    <w:p w14:paraId="4C4B3AFC">
      <w:pPr>
        <w:spacing w:line="360" w:lineRule="auto"/>
        <w:ind w:firstLine="420" w:firstLineChars="175"/>
        <w:rPr>
          <w:rFonts w:ascii="宋体" w:hAnsi="宋体" w:eastAsia="宋体" w:cs="宋体"/>
          <w:sz w:val="24"/>
        </w:rPr>
      </w:pPr>
      <w:r>
        <w:rPr>
          <w:rFonts w:hint="eastAsia" w:ascii="宋体" w:hAnsi="宋体" w:eastAsia="宋体" w:cs="宋体"/>
          <w:sz w:val="24"/>
        </w:rPr>
        <w:t>（5）采购人明示或者暗示供应商为特定供应商成交提供方便；</w:t>
      </w:r>
    </w:p>
    <w:p w14:paraId="2E54F8F1">
      <w:pPr>
        <w:spacing w:line="360" w:lineRule="auto"/>
        <w:ind w:firstLine="420" w:firstLineChars="175"/>
        <w:rPr>
          <w:rFonts w:ascii="宋体" w:hAnsi="宋体" w:eastAsia="宋体" w:cs="宋体"/>
          <w:sz w:val="24"/>
        </w:rPr>
      </w:pPr>
      <w:r>
        <w:rPr>
          <w:rFonts w:hint="eastAsia" w:ascii="宋体" w:hAnsi="宋体" w:eastAsia="宋体" w:cs="宋体"/>
          <w:sz w:val="24"/>
        </w:rPr>
        <w:t>（6）采购人与供应商为谋求特定供应商成交而采取的其他串通行为。</w:t>
      </w:r>
    </w:p>
    <w:p w14:paraId="50ECA1AB">
      <w:pPr>
        <w:spacing w:line="360" w:lineRule="auto"/>
        <w:ind w:firstLine="420" w:firstLineChars="175"/>
        <w:rPr>
          <w:rFonts w:ascii="宋体" w:hAnsi="宋体" w:eastAsia="宋体" w:cs="宋体"/>
          <w:sz w:val="24"/>
        </w:rPr>
      </w:pPr>
      <w:r>
        <w:rPr>
          <w:rFonts w:hint="eastAsia" w:ascii="宋体" w:hAnsi="宋体" w:eastAsia="宋体" w:cs="宋体"/>
          <w:sz w:val="24"/>
        </w:rPr>
        <w:t>32.4供应商有下列情形之一的，属于供应商弄虚作假的行为：</w:t>
      </w:r>
    </w:p>
    <w:p w14:paraId="17DEE07C">
      <w:pPr>
        <w:spacing w:line="360" w:lineRule="auto"/>
        <w:ind w:firstLine="420" w:firstLineChars="175"/>
        <w:rPr>
          <w:rFonts w:ascii="宋体" w:hAnsi="宋体" w:eastAsia="宋体" w:cs="宋体"/>
          <w:sz w:val="24"/>
        </w:rPr>
      </w:pPr>
      <w:r>
        <w:rPr>
          <w:rFonts w:hint="eastAsia" w:ascii="宋体" w:hAnsi="宋体" w:eastAsia="宋体" w:cs="宋体"/>
          <w:sz w:val="24"/>
        </w:rPr>
        <w:t>（1）使用伪造、变造的许可证件；</w:t>
      </w:r>
    </w:p>
    <w:p w14:paraId="31A158B0">
      <w:pPr>
        <w:spacing w:line="360" w:lineRule="auto"/>
        <w:ind w:firstLine="420" w:firstLineChars="175"/>
        <w:rPr>
          <w:rFonts w:ascii="宋体" w:hAnsi="宋体" w:eastAsia="宋体" w:cs="宋体"/>
          <w:sz w:val="24"/>
        </w:rPr>
      </w:pPr>
      <w:r>
        <w:rPr>
          <w:rFonts w:hint="eastAsia" w:ascii="宋体" w:hAnsi="宋体" w:eastAsia="宋体" w:cs="宋体"/>
          <w:sz w:val="24"/>
        </w:rPr>
        <w:t>（2）提供虚假的财务状况或者业绩；</w:t>
      </w:r>
    </w:p>
    <w:p w14:paraId="4F25E314">
      <w:pPr>
        <w:spacing w:line="360" w:lineRule="auto"/>
        <w:ind w:firstLine="420" w:firstLineChars="175"/>
        <w:rPr>
          <w:rFonts w:ascii="宋体" w:hAnsi="宋体" w:eastAsia="宋体" w:cs="宋体"/>
          <w:sz w:val="24"/>
        </w:rPr>
      </w:pPr>
      <w:r>
        <w:rPr>
          <w:rFonts w:hint="eastAsia" w:ascii="宋体" w:hAnsi="宋体" w:eastAsia="宋体" w:cs="宋体"/>
          <w:sz w:val="24"/>
        </w:rPr>
        <w:t>（3）提供虚假的项目负责人或者主要技术人员简历、劳动关系证明；</w:t>
      </w:r>
    </w:p>
    <w:p w14:paraId="68C02673">
      <w:pPr>
        <w:spacing w:line="360" w:lineRule="auto"/>
        <w:ind w:firstLine="420" w:firstLineChars="175"/>
        <w:rPr>
          <w:rFonts w:ascii="宋体" w:hAnsi="宋体" w:eastAsia="宋体" w:cs="宋体"/>
          <w:sz w:val="24"/>
        </w:rPr>
      </w:pPr>
      <w:r>
        <w:rPr>
          <w:rFonts w:hint="eastAsia" w:ascii="宋体" w:hAnsi="宋体" w:eastAsia="宋体" w:cs="宋体"/>
          <w:sz w:val="24"/>
        </w:rPr>
        <w:t>（4）提供虚假的信用状况；</w:t>
      </w:r>
    </w:p>
    <w:p w14:paraId="07DC200B">
      <w:pPr>
        <w:spacing w:line="360" w:lineRule="auto"/>
        <w:ind w:firstLine="420" w:firstLineChars="175"/>
        <w:rPr>
          <w:rFonts w:ascii="宋体" w:hAnsi="宋体" w:eastAsia="宋体" w:cs="宋体"/>
          <w:sz w:val="24"/>
        </w:rPr>
      </w:pPr>
      <w:r>
        <w:rPr>
          <w:rFonts w:hint="eastAsia" w:ascii="宋体" w:hAnsi="宋体" w:eastAsia="宋体" w:cs="宋体"/>
          <w:sz w:val="24"/>
        </w:rPr>
        <w:t>（5）其他弄虚作假的行为。</w:t>
      </w:r>
    </w:p>
    <w:p w14:paraId="6DE96069">
      <w:pPr>
        <w:spacing w:line="360" w:lineRule="auto"/>
        <w:ind w:firstLine="420" w:firstLineChars="175"/>
        <w:rPr>
          <w:rFonts w:ascii="宋体" w:hAnsi="宋体" w:eastAsia="宋体" w:cs="宋体"/>
          <w:sz w:val="24"/>
        </w:rPr>
      </w:pPr>
      <w:r>
        <w:rPr>
          <w:rFonts w:hint="eastAsia" w:ascii="宋体" w:hAnsi="宋体" w:eastAsia="宋体" w:cs="宋体"/>
          <w:sz w:val="24"/>
        </w:rPr>
        <w:t>32.5违规处理</w:t>
      </w:r>
    </w:p>
    <w:p w14:paraId="2F91415E">
      <w:pPr>
        <w:spacing w:line="360" w:lineRule="auto"/>
        <w:ind w:firstLine="420" w:firstLineChars="175"/>
        <w:rPr>
          <w:rFonts w:ascii="宋体" w:hAnsi="宋体" w:eastAsia="宋体" w:cs="宋体"/>
          <w:sz w:val="24"/>
        </w:rPr>
      </w:pPr>
      <w:r>
        <w:rPr>
          <w:rFonts w:hint="eastAsia" w:ascii="宋体" w:hAnsi="宋体" w:eastAsia="宋体" w:cs="宋体"/>
          <w:sz w:val="24"/>
        </w:rPr>
        <w:t>供应商有下列情形之一的，列入不良行为记录名单，在一至三年内禁止参加政府采购活动：</w:t>
      </w:r>
    </w:p>
    <w:p w14:paraId="1B151ECB">
      <w:pPr>
        <w:spacing w:line="360" w:lineRule="auto"/>
        <w:ind w:firstLine="420" w:firstLineChars="175"/>
        <w:rPr>
          <w:rFonts w:ascii="宋体" w:hAnsi="宋体" w:eastAsia="宋体" w:cs="宋体"/>
          <w:sz w:val="24"/>
        </w:rPr>
      </w:pPr>
      <w:r>
        <w:rPr>
          <w:rFonts w:hint="eastAsia" w:ascii="宋体" w:hAnsi="宋体" w:eastAsia="宋体" w:cs="宋体"/>
          <w:sz w:val="24"/>
        </w:rPr>
        <w:t>（1）提供虚假材料谋取成交；</w:t>
      </w:r>
    </w:p>
    <w:p w14:paraId="1F42A3F8">
      <w:pPr>
        <w:spacing w:line="360" w:lineRule="auto"/>
        <w:ind w:firstLine="420" w:firstLineChars="175"/>
        <w:rPr>
          <w:rFonts w:ascii="宋体" w:hAnsi="宋体" w:eastAsia="宋体" w:cs="宋体"/>
          <w:sz w:val="24"/>
        </w:rPr>
      </w:pPr>
      <w:r>
        <w:rPr>
          <w:rFonts w:hint="eastAsia" w:ascii="宋体" w:hAnsi="宋体" w:eastAsia="宋体" w:cs="宋体"/>
          <w:sz w:val="24"/>
        </w:rPr>
        <w:t>（2）采取不正当手段诋毁、排挤其他供应商；</w:t>
      </w:r>
    </w:p>
    <w:p w14:paraId="47639774">
      <w:pPr>
        <w:spacing w:line="360" w:lineRule="auto"/>
        <w:ind w:firstLine="420" w:firstLineChars="175"/>
        <w:rPr>
          <w:rFonts w:ascii="宋体" w:hAnsi="宋体" w:eastAsia="宋体" w:cs="宋体"/>
          <w:sz w:val="24"/>
        </w:rPr>
      </w:pPr>
      <w:r>
        <w:rPr>
          <w:rFonts w:hint="eastAsia" w:ascii="宋体" w:hAnsi="宋体" w:eastAsia="宋体" w:cs="宋体"/>
          <w:sz w:val="24"/>
        </w:rPr>
        <w:t>（3）与采购人、其他供应商或者采购代理机构恶意串通；</w:t>
      </w:r>
    </w:p>
    <w:p w14:paraId="09ED2C10">
      <w:pPr>
        <w:spacing w:line="360" w:lineRule="auto"/>
        <w:ind w:firstLine="420" w:firstLineChars="175"/>
        <w:rPr>
          <w:rFonts w:ascii="宋体" w:hAnsi="宋体" w:eastAsia="宋体" w:cs="宋体"/>
          <w:sz w:val="24"/>
        </w:rPr>
      </w:pPr>
      <w:r>
        <w:rPr>
          <w:rFonts w:hint="eastAsia" w:ascii="宋体" w:hAnsi="宋体" w:eastAsia="宋体" w:cs="宋体"/>
          <w:sz w:val="24"/>
        </w:rPr>
        <w:t>（4）向采购人、采购代理机构行贿或者提供其他不正当利益；</w:t>
      </w:r>
    </w:p>
    <w:p w14:paraId="78D4C99D">
      <w:pPr>
        <w:spacing w:line="360" w:lineRule="auto"/>
        <w:ind w:firstLine="420" w:firstLineChars="175"/>
        <w:rPr>
          <w:rFonts w:ascii="宋体" w:hAnsi="宋体" w:eastAsia="宋体" w:cs="宋体"/>
          <w:sz w:val="24"/>
        </w:rPr>
      </w:pPr>
      <w:r>
        <w:rPr>
          <w:rFonts w:hint="eastAsia" w:ascii="宋体" w:hAnsi="宋体" w:eastAsia="宋体" w:cs="宋体"/>
          <w:sz w:val="24"/>
        </w:rPr>
        <w:t>（5）在采购过程中与采购人进行协商磋商；</w:t>
      </w:r>
    </w:p>
    <w:p w14:paraId="631579C2">
      <w:pPr>
        <w:spacing w:line="360" w:lineRule="auto"/>
        <w:ind w:firstLine="420" w:firstLineChars="175"/>
        <w:rPr>
          <w:rFonts w:ascii="宋体" w:hAnsi="宋体" w:eastAsia="宋体" w:cs="宋体"/>
          <w:sz w:val="24"/>
        </w:rPr>
      </w:pPr>
      <w:r>
        <w:rPr>
          <w:rFonts w:hint="eastAsia" w:ascii="宋体" w:hAnsi="宋体" w:eastAsia="宋体" w:cs="宋体"/>
          <w:sz w:val="24"/>
        </w:rPr>
        <w:t>（6）拒绝有关部门监督检查或者提供虚假情况；</w:t>
      </w:r>
    </w:p>
    <w:p w14:paraId="7A1F44EE">
      <w:pPr>
        <w:spacing w:line="360" w:lineRule="auto"/>
        <w:ind w:firstLine="420" w:firstLineChars="175"/>
        <w:rPr>
          <w:rFonts w:ascii="宋体" w:hAnsi="宋体" w:eastAsia="宋体" w:cs="宋体"/>
          <w:sz w:val="24"/>
        </w:rPr>
      </w:pPr>
      <w:r>
        <w:rPr>
          <w:rFonts w:hint="eastAsia" w:ascii="宋体" w:hAnsi="宋体" w:eastAsia="宋体" w:cs="宋体"/>
          <w:sz w:val="24"/>
        </w:rPr>
        <w:t>（7）一年内累计三次以上投诉均查无实据，并带有明显故意行为；</w:t>
      </w:r>
    </w:p>
    <w:p w14:paraId="6D3EB151">
      <w:pPr>
        <w:spacing w:line="360" w:lineRule="auto"/>
        <w:ind w:firstLine="420" w:firstLineChars="175"/>
        <w:rPr>
          <w:rFonts w:ascii="宋体" w:hAnsi="宋体" w:eastAsia="宋体" w:cs="宋体"/>
          <w:sz w:val="24"/>
        </w:rPr>
      </w:pPr>
      <w:r>
        <w:rPr>
          <w:rFonts w:hint="eastAsia" w:ascii="宋体" w:hAnsi="宋体" w:eastAsia="宋体" w:cs="宋体"/>
          <w:sz w:val="24"/>
        </w:rPr>
        <w:t>（8）捏造事实或者提供虚假投诉材料；</w:t>
      </w:r>
    </w:p>
    <w:p w14:paraId="7EDDA1FF">
      <w:pPr>
        <w:spacing w:line="360" w:lineRule="auto"/>
        <w:ind w:firstLine="420" w:firstLineChars="175"/>
        <w:rPr>
          <w:rFonts w:ascii="宋体" w:hAnsi="宋体" w:eastAsia="宋体" w:cs="宋体"/>
          <w:sz w:val="24"/>
        </w:rPr>
      </w:pPr>
      <w:r>
        <w:rPr>
          <w:rFonts w:hint="eastAsia" w:ascii="宋体" w:hAnsi="宋体" w:eastAsia="宋体" w:cs="宋体"/>
          <w:sz w:val="24"/>
        </w:rPr>
        <w:t>（9）不按照规定程序以及正常途径质疑、投诉，采用匿名信、匿名电话、短信等手段，威胁、恫吓、辱骂、恶意中伤其他相关当事人；</w:t>
      </w:r>
    </w:p>
    <w:p w14:paraId="16DBB1FE">
      <w:pPr>
        <w:spacing w:line="360" w:lineRule="auto"/>
        <w:ind w:firstLine="420" w:firstLineChars="175"/>
        <w:rPr>
          <w:rFonts w:ascii="宋体" w:hAnsi="宋体" w:eastAsia="宋体" w:cs="宋体"/>
          <w:sz w:val="24"/>
        </w:rPr>
      </w:pPr>
      <w:r>
        <w:rPr>
          <w:rFonts w:hint="eastAsia" w:ascii="宋体" w:hAnsi="宋体" w:eastAsia="宋体" w:cs="宋体"/>
          <w:sz w:val="24"/>
        </w:rPr>
        <w:t>（10）法律法规和磋商文件中规定的其他情形。</w:t>
      </w:r>
    </w:p>
    <w:p w14:paraId="75B0D5B8">
      <w:pPr>
        <w:spacing w:line="360" w:lineRule="auto"/>
        <w:ind w:firstLine="420" w:firstLineChars="175"/>
        <w:rPr>
          <w:rFonts w:ascii="宋体" w:hAnsi="宋体" w:eastAsia="宋体" w:cs="宋体"/>
          <w:sz w:val="24"/>
        </w:rPr>
      </w:pPr>
      <w:r>
        <w:rPr>
          <w:rFonts w:hint="eastAsia" w:ascii="宋体" w:hAnsi="宋体" w:eastAsia="宋体" w:cs="宋体"/>
          <w:sz w:val="24"/>
        </w:rPr>
        <w:t>33.关于成交供应商瑕疵滞后发现的处理规则</w:t>
      </w:r>
    </w:p>
    <w:p w14:paraId="348CAEE6">
      <w:pPr>
        <w:spacing w:line="360" w:lineRule="auto"/>
        <w:ind w:firstLine="420" w:firstLineChars="175"/>
        <w:rPr>
          <w:rFonts w:ascii="宋体" w:hAnsi="宋体" w:eastAsia="宋体" w:cs="宋体"/>
          <w:sz w:val="24"/>
        </w:rPr>
      </w:pPr>
      <w:r>
        <w:rPr>
          <w:rFonts w:hint="eastAsia" w:ascii="宋体" w:hAnsi="宋体" w:eastAsia="宋体" w:cs="宋体"/>
          <w:sz w:val="24"/>
        </w:rPr>
        <w:t>33.1无论基于何种原因，本应作无效或废标处理的情形即便未被及时发现而使该供应商进入初审、详细评审或者其他后续程序，包括已经签约的情形，一旦在任何时间被发现存在上述情形，磋商小组均有权随时视情形决定是否取消该供应商的此前评议结果，或者随时视情形决定该报价无效，并有权决定采取相应的补救、纠正措施；若通过补救、纠正措施能够满足磋商文件或者采购人要求，磋商小组可以维持既定结果并要求成交供应商出具补救、纠正措施等承诺，由此产生的一切费用由成交供应商承担；若通过补救、纠正措施仍不能够满足磋商文件或者采购人要求，磋商小组应出具取消该供应商的此前评议结果的复审结论，并予以废标，由此产生的一切损失均由成交供应商承担。</w:t>
      </w:r>
    </w:p>
    <w:p w14:paraId="36E24145">
      <w:pPr>
        <w:spacing w:line="360" w:lineRule="auto"/>
        <w:ind w:firstLine="420" w:firstLineChars="175"/>
        <w:rPr>
          <w:rFonts w:ascii="宋体" w:hAnsi="宋体" w:eastAsia="宋体" w:cs="宋体"/>
          <w:sz w:val="24"/>
        </w:rPr>
      </w:pPr>
      <w:r>
        <w:rPr>
          <w:rFonts w:hint="eastAsia" w:ascii="宋体" w:hAnsi="宋体" w:eastAsia="宋体" w:cs="宋体"/>
          <w:sz w:val="24"/>
        </w:rPr>
        <w:t>磋商小组认定成交供应商报价无效、废标或成交供应商的此前评议结果被取消的，应予以废标，由采购人依法重新组织采购，成交供应商按照相关规定处理。出现上述情形的一切损失均由被取消成交资格的供应商承担。</w:t>
      </w:r>
    </w:p>
    <w:p w14:paraId="5D2D5742">
      <w:pPr>
        <w:spacing w:line="360" w:lineRule="auto"/>
        <w:ind w:firstLine="420" w:firstLineChars="175"/>
        <w:rPr>
          <w:rFonts w:ascii="宋体" w:hAnsi="宋体" w:eastAsia="宋体" w:cs="宋体"/>
          <w:sz w:val="24"/>
        </w:rPr>
      </w:pPr>
      <w:r>
        <w:rPr>
          <w:rFonts w:hint="eastAsia" w:ascii="宋体" w:hAnsi="宋体" w:eastAsia="宋体" w:cs="宋体"/>
          <w:sz w:val="24"/>
        </w:rPr>
        <w:t xml:space="preserve">33.2若已经超过质疑期限而未被发现，签署了相关的合同之后才发现存在上述情形，经磋商小组再行审查认为其在技术、必要资质等方面并不存在问题而仅属于商务方面存在瑕疵的问题，若取消该供应商的此前评议结果或者采取类似的处理措施将对本次采购更为不利的情形（包括：予以无效报价、废标或采取类似的处理措施将使本次采购成本大幅上升、延误期限以致可能给采购人造成较大损失的），维持成交结果的，采购人必须出具维持成交结果以及是否要求提供特别担保金的书面意见，磋商小组可以维持既定结果并要求成交供应商出具提供特别担保金承诺，以承担可能产生的赔偿责任；若成交供应商拒绝提供特别担保金、实际提供的担保金额不足或者采购人不同意维持成交结果的，磋商小组应当决定取消成交供应商的此前评议结果或者采取类似的处理措施，由此产生的一切损失均由成交供应商承担。   </w:t>
      </w:r>
    </w:p>
    <w:p w14:paraId="3B501230">
      <w:pPr>
        <w:widowControl/>
        <w:ind w:firstLine="632" w:firstLineChars="175"/>
        <w:jc w:val="left"/>
        <w:rPr>
          <w:rFonts w:ascii="宋体" w:hAnsi="宋体" w:eastAsia="宋体" w:cs="宋体"/>
          <w:b/>
          <w:bCs/>
          <w:sz w:val="36"/>
          <w:szCs w:val="36"/>
        </w:rPr>
      </w:pPr>
      <w:bookmarkStart w:id="57" w:name="_Toc134790392"/>
      <w:r>
        <w:rPr>
          <w:rFonts w:ascii="宋体" w:hAnsi="宋体" w:eastAsia="宋体" w:cs="宋体"/>
          <w:b/>
          <w:bCs/>
          <w:sz w:val="36"/>
          <w:szCs w:val="36"/>
        </w:rPr>
        <w:br w:type="page"/>
      </w:r>
    </w:p>
    <w:p w14:paraId="53BCC593">
      <w:pPr>
        <w:tabs>
          <w:tab w:val="left" w:pos="0"/>
        </w:tabs>
        <w:autoSpaceDE w:val="0"/>
        <w:autoSpaceDN w:val="0"/>
        <w:adjustRightInd w:val="0"/>
        <w:spacing w:line="420" w:lineRule="exact"/>
        <w:jc w:val="center"/>
        <w:outlineLvl w:val="0"/>
        <w:rPr>
          <w:rFonts w:ascii="宋体" w:hAnsi="宋体" w:eastAsia="宋体" w:cs="宋体"/>
          <w:b/>
          <w:bCs/>
          <w:sz w:val="36"/>
          <w:szCs w:val="36"/>
        </w:rPr>
      </w:pPr>
      <w:bookmarkStart w:id="58" w:name="_Toc10427"/>
      <w:r>
        <w:rPr>
          <w:rFonts w:hint="eastAsia" w:ascii="宋体" w:hAnsi="宋体" w:eastAsia="宋体" w:cs="宋体"/>
          <w:b/>
          <w:bCs/>
          <w:sz w:val="36"/>
          <w:szCs w:val="36"/>
        </w:rPr>
        <w:t>第三章 磋商评审细则（综合评分法）</w:t>
      </w:r>
      <w:bookmarkEnd w:id="57"/>
      <w:bookmarkEnd w:id="58"/>
    </w:p>
    <w:p w14:paraId="57A91781">
      <w:pPr>
        <w:pStyle w:val="22"/>
        <w:autoSpaceDN w:val="0"/>
        <w:rPr>
          <w:rFonts w:ascii="宋体" w:hAnsi="宋体" w:cs="宋体"/>
        </w:rPr>
      </w:pPr>
    </w:p>
    <w:p w14:paraId="3FD2AE66">
      <w:pPr>
        <w:autoSpaceDN w:val="0"/>
        <w:spacing w:line="460" w:lineRule="exact"/>
        <w:ind w:firstLine="480" w:firstLineChars="200"/>
        <w:rPr>
          <w:rFonts w:ascii="宋体" w:hAnsi="宋体" w:eastAsia="宋体" w:cs="宋体"/>
          <w:bCs/>
          <w:sz w:val="24"/>
          <w:u w:val="single"/>
        </w:rPr>
      </w:pPr>
      <w:r>
        <w:rPr>
          <w:rFonts w:hint="eastAsia" w:ascii="宋体" w:hAnsi="宋体" w:eastAsia="宋体" w:cs="宋体"/>
          <w:sz w:val="24"/>
        </w:rPr>
        <w:t>按照《中华人民共和国政府采购法》和《政府采购货物和服务招标投标管理办法》及国家有关部委联合制定的《评标委员会和评标方法暂行规定》的有关规定，遵循公开、公平、公正和诚实信用的原则，结合本项目的实际情况，制定本项目评标办法。</w:t>
      </w:r>
    </w:p>
    <w:p w14:paraId="3A50C3EB">
      <w:pPr>
        <w:autoSpaceDN w:val="0"/>
        <w:spacing w:line="460" w:lineRule="exact"/>
        <w:ind w:left="481" w:hanging="481"/>
        <w:rPr>
          <w:rFonts w:ascii="宋体" w:hAnsi="宋体" w:eastAsia="宋体" w:cs="宋体"/>
          <w:b/>
          <w:bCs/>
          <w:sz w:val="24"/>
        </w:rPr>
      </w:pPr>
      <w:r>
        <w:rPr>
          <w:rFonts w:hint="eastAsia" w:ascii="宋体" w:hAnsi="宋体" w:eastAsia="宋体" w:cs="宋体"/>
          <w:b/>
          <w:bCs/>
          <w:sz w:val="24"/>
        </w:rPr>
        <w:t>一、评标程序</w:t>
      </w:r>
    </w:p>
    <w:p w14:paraId="7DD1F510">
      <w:pPr>
        <w:autoSpaceDN w:val="0"/>
        <w:spacing w:line="460" w:lineRule="exact"/>
        <w:rPr>
          <w:rFonts w:ascii="宋体" w:hAnsi="宋体" w:eastAsia="宋体" w:cs="宋体"/>
          <w:b/>
          <w:sz w:val="24"/>
        </w:rPr>
      </w:pPr>
      <w:r>
        <w:rPr>
          <w:rFonts w:hint="eastAsia" w:ascii="宋体" w:hAnsi="宋体" w:eastAsia="宋体" w:cs="宋体"/>
          <w:b/>
          <w:sz w:val="24"/>
        </w:rPr>
        <w:t>（一）组成竞争性磋商小组</w:t>
      </w:r>
    </w:p>
    <w:p w14:paraId="2857D5BE">
      <w:pPr>
        <w:autoSpaceDN w:val="0"/>
        <w:spacing w:line="460" w:lineRule="exact"/>
        <w:ind w:firstLine="480" w:firstLineChars="200"/>
        <w:rPr>
          <w:rFonts w:ascii="宋体" w:hAnsi="宋体" w:eastAsia="宋体" w:cs="宋体"/>
          <w:bCs/>
          <w:sz w:val="24"/>
          <w:u w:val="single"/>
        </w:rPr>
      </w:pPr>
      <w:r>
        <w:rPr>
          <w:rFonts w:hint="eastAsia" w:ascii="宋体" w:hAnsi="宋体" w:eastAsia="宋体" w:cs="宋体"/>
          <w:sz w:val="24"/>
        </w:rPr>
        <w:t>按照国家有关部委的相关规定，从评标专家库中随机抽取技术、经济等方面的专家，与采购人代表共同组成评标委员会（以下简称“评委会”）。评委会共有</w:t>
      </w:r>
      <w:r>
        <w:rPr>
          <w:rFonts w:hint="eastAsia" w:ascii="宋体" w:hAnsi="宋体" w:eastAsia="宋体" w:cs="宋体"/>
          <w:color w:val="auto"/>
          <w:sz w:val="24"/>
          <w:lang w:val="en-US" w:eastAsia="zh-CN"/>
        </w:rPr>
        <w:t>5</w:t>
      </w:r>
      <w:r>
        <w:rPr>
          <w:rFonts w:hint="eastAsia" w:ascii="宋体" w:hAnsi="宋体" w:eastAsia="宋体" w:cs="宋体"/>
          <w:color w:val="auto"/>
          <w:sz w:val="24"/>
        </w:rPr>
        <w:t>人组</w:t>
      </w:r>
      <w:r>
        <w:rPr>
          <w:rFonts w:hint="eastAsia" w:ascii="宋体" w:hAnsi="宋体" w:eastAsia="宋体" w:cs="宋体"/>
          <w:sz w:val="24"/>
        </w:rPr>
        <w:t>成，其中采购人代表1人，技术、经济类专家</w:t>
      </w:r>
      <w:r>
        <w:rPr>
          <w:rFonts w:hint="eastAsia" w:ascii="宋体" w:hAnsi="宋体" w:eastAsia="宋体" w:cs="宋体"/>
          <w:sz w:val="24"/>
          <w:lang w:val="en-US" w:eastAsia="zh-CN"/>
        </w:rPr>
        <w:t>4</w:t>
      </w:r>
      <w:r>
        <w:rPr>
          <w:rFonts w:hint="eastAsia" w:ascii="宋体" w:hAnsi="宋体" w:eastAsia="宋体" w:cs="宋体"/>
          <w:sz w:val="24"/>
        </w:rPr>
        <w:t>人。</w:t>
      </w:r>
    </w:p>
    <w:p w14:paraId="79DD31EB">
      <w:pPr>
        <w:autoSpaceDN w:val="0"/>
        <w:spacing w:line="460" w:lineRule="exact"/>
        <w:ind w:left="359" w:hanging="359"/>
        <w:rPr>
          <w:rFonts w:ascii="宋体" w:hAnsi="宋体" w:eastAsia="宋体" w:cs="宋体"/>
          <w:b/>
          <w:sz w:val="24"/>
        </w:rPr>
      </w:pPr>
      <w:r>
        <w:rPr>
          <w:rFonts w:hint="eastAsia" w:ascii="宋体" w:hAnsi="宋体" w:eastAsia="宋体" w:cs="宋体"/>
          <w:b/>
          <w:sz w:val="24"/>
        </w:rPr>
        <w:t>（二）评标工作</w:t>
      </w:r>
    </w:p>
    <w:p w14:paraId="5706E77F">
      <w:pPr>
        <w:autoSpaceDN w:val="0"/>
        <w:spacing w:line="460" w:lineRule="exact"/>
        <w:ind w:firstLine="480" w:firstLineChars="200"/>
        <w:rPr>
          <w:rFonts w:ascii="宋体" w:hAnsi="宋体" w:eastAsia="宋体" w:cs="宋体"/>
          <w:sz w:val="24"/>
        </w:rPr>
      </w:pPr>
      <w:r>
        <w:rPr>
          <w:rFonts w:hint="eastAsia" w:ascii="宋体" w:hAnsi="宋体" w:eastAsia="宋体" w:cs="宋体"/>
          <w:sz w:val="24"/>
        </w:rPr>
        <w:t>评审开始时，首先向磋商小组及有关工作人员宣读在评审期间的纪律要求；随后，竞争性磋商小组对响应文件进行形式评审、资格评审、响应性评审以确认投标的有效性，评审的结果分为“合格”与“不合格”（评审不合格需注明不合格原因）。通过资格审查或符合性审查的供应商不足3家的，采购人应当依法重新招标。初步评审完成后进入详细评审，在详细评审过程中对评审赋分、确定中标供应商、提交评审报告等各阶段步骤。</w:t>
      </w:r>
    </w:p>
    <w:p w14:paraId="6BCE537D">
      <w:pPr>
        <w:autoSpaceDN w:val="0"/>
        <w:spacing w:line="460" w:lineRule="exact"/>
        <w:rPr>
          <w:rFonts w:ascii="宋体" w:hAnsi="宋体" w:eastAsia="宋体" w:cs="宋体"/>
          <w:b/>
          <w:bCs/>
          <w:sz w:val="24"/>
        </w:rPr>
      </w:pPr>
      <w:r>
        <w:rPr>
          <w:rFonts w:hint="eastAsia" w:ascii="宋体" w:hAnsi="宋体" w:eastAsia="宋体" w:cs="宋体"/>
          <w:b/>
          <w:bCs/>
          <w:sz w:val="24"/>
        </w:rPr>
        <w:t>（三）评审程序</w:t>
      </w:r>
    </w:p>
    <w:p w14:paraId="0A2AAB73">
      <w:pPr>
        <w:autoSpaceDN w:val="0"/>
        <w:spacing w:line="460" w:lineRule="exact"/>
        <w:ind w:firstLine="480" w:firstLineChars="200"/>
        <w:rPr>
          <w:rFonts w:ascii="宋体" w:hAnsi="宋体" w:eastAsia="宋体" w:cs="宋体"/>
          <w:sz w:val="24"/>
        </w:rPr>
      </w:pPr>
      <w:r>
        <w:rPr>
          <w:rFonts w:hint="eastAsia" w:ascii="宋体" w:hAnsi="宋体" w:eastAsia="宋体" w:cs="宋体"/>
          <w:sz w:val="24"/>
        </w:rPr>
        <w:t>评审本着客观公正、公平竞争、择优推荐、规范合法的原则进行。评审工作分为形式评审、资格评审、响应性评审和详细评审。</w:t>
      </w:r>
    </w:p>
    <w:p w14:paraId="676C1D42">
      <w:pPr>
        <w:autoSpaceDN w:val="0"/>
        <w:spacing w:line="460" w:lineRule="exact"/>
        <w:ind w:firstLine="480" w:firstLineChars="200"/>
        <w:rPr>
          <w:rFonts w:ascii="宋体" w:hAnsi="宋体" w:eastAsia="宋体" w:cs="宋体"/>
          <w:sz w:val="24"/>
        </w:rPr>
      </w:pPr>
      <w:r>
        <w:rPr>
          <w:rFonts w:hint="eastAsia" w:ascii="宋体" w:hAnsi="宋体" w:eastAsia="宋体" w:cs="宋体"/>
          <w:sz w:val="24"/>
        </w:rPr>
        <w:t>（1）资格审查：磋商小组全体成员对各供应商的响应文件进行资格审查，资格审查合格的供应商方可进入下一步评审。</w:t>
      </w:r>
    </w:p>
    <w:p w14:paraId="331246D4">
      <w:pPr>
        <w:autoSpaceDN w:val="0"/>
        <w:spacing w:line="460" w:lineRule="exact"/>
        <w:ind w:firstLine="480" w:firstLineChars="200"/>
        <w:rPr>
          <w:rFonts w:ascii="宋体" w:hAnsi="宋体" w:eastAsia="宋体" w:cs="宋体"/>
          <w:sz w:val="24"/>
        </w:rPr>
      </w:pPr>
      <w:r>
        <w:rPr>
          <w:rFonts w:hint="eastAsia" w:ascii="宋体" w:hAnsi="宋体" w:eastAsia="宋体" w:cs="宋体"/>
          <w:sz w:val="24"/>
        </w:rPr>
        <w:t>（2）符合性审查：磋商小组全体成员对各供应商的响应文件进行符合性审查，符合性审查合格的供应商方可进入下一步评审。</w:t>
      </w:r>
    </w:p>
    <w:p w14:paraId="7919D054">
      <w:pPr>
        <w:autoSpaceDN w:val="0"/>
        <w:spacing w:line="460" w:lineRule="exact"/>
        <w:ind w:firstLine="480" w:firstLineChars="200"/>
        <w:rPr>
          <w:rFonts w:ascii="宋体" w:hAnsi="宋体" w:eastAsia="宋体" w:cs="宋体"/>
          <w:sz w:val="24"/>
        </w:rPr>
      </w:pPr>
      <w:r>
        <w:rPr>
          <w:rFonts w:hint="eastAsia" w:ascii="宋体" w:hAnsi="宋体" w:eastAsia="宋体" w:cs="宋体"/>
          <w:sz w:val="24"/>
        </w:rPr>
        <w:t>（3）详细评审：详细评审采用综合评分法。磋商小组依据评标办法分别对各供应商的响应文件进行评审、赋分。</w:t>
      </w:r>
    </w:p>
    <w:p w14:paraId="3B4A043F">
      <w:pPr>
        <w:autoSpaceDN w:val="0"/>
        <w:spacing w:line="460" w:lineRule="exact"/>
        <w:rPr>
          <w:rFonts w:ascii="宋体" w:hAnsi="宋体" w:eastAsia="宋体" w:cs="宋体"/>
          <w:b/>
          <w:bCs/>
          <w:sz w:val="24"/>
        </w:rPr>
      </w:pPr>
      <w:r>
        <w:rPr>
          <w:rFonts w:hint="eastAsia" w:ascii="宋体" w:hAnsi="宋体" w:eastAsia="宋体" w:cs="宋体"/>
          <w:b/>
          <w:bCs/>
          <w:sz w:val="24"/>
        </w:rPr>
        <w:t>（四）供应商报价</w:t>
      </w:r>
    </w:p>
    <w:p w14:paraId="4B03D020">
      <w:pPr>
        <w:autoSpaceDN w:val="0"/>
        <w:spacing w:line="460" w:lineRule="exact"/>
        <w:ind w:firstLine="480" w:firstLineChars="200"/>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磋商小组对供应商报价清单进行评审，发现下列情形之一的，应当否决其投标：</w:t>
      </w:r>
    </w:p>
    <w:p w14:paraId="64583CD1">
      <w:pPr>
        <w:autoSpaceDN w:val="0"/>
        <w:spacing w:line="460" w:lineRule="exact"/>
        <w:ind w:firstLine="480" w:firstLineChars="200"/>
        <w:rPr>
          <w:rFonts w:ascii="宋体" w:hAnsi="宋体" w:eastAsia="宋体" w:cs="宋体"/>
          <w:sz w:val="24"/>
        </w:rPr>
      </w:pPr>
      <w:r>
        <w:rPr>
          <w:rFonts w:hint="eastAsia" w:ascii="宋体" w:hAnsi="宋体" w:eastAsia="宋体" w:cs="宋体"/>
          <w:sz w:val="24"/>
        </w:rPr>
        <w:t>（1）未按磋商文件要求的报价方式报价的；</w:t>
      </w:r>
    </w:p>
    <w:p w14:paraId="08F25A0D">
      <w:pPr>
        <w:autoSpaceDN w:val="0"/>
        <w:spacing w:line="460" w:lineRule="exact"/>
        <w:ind w:firstLine="480" w:firstLineChars="200"/>
        <w:rPr>
          <w:rFonts w:ascii="宋体" w:hAnsi="宋体" w:eastAsia="宋体" w:cs="宋体"/>
          <w:sz w:val="24"/>
        </w:rPr>
      </w:pPr>
      <w:r>
        <w:rPr>
          <w:rFonts w:hint="eastAsia" w:ascii="宋体" w:hAnsi="宋体" w:eastAsia="宋体" w:cs="宋体"/>
          <w:sz w:val="24"/>
        </w:rPr>
        <w:t>（2）对磋商小组的质询，供应商无法提供相应的证明材料的；</w:t>
      </w:r>
    </w:p>
    <w:p w14:paraId="5D4665C5">
      <w:pPr>
        <w:autoSpaceDN w:val="0"/>
        <w:spacing w:line="460" w:lineRule="exact"/>
        <w:ind w:firstLine="480" w:firstLineChars="200"/>
        <w:rPr>
          <w:rFonts w:hint="eastAsia" w:ascii="宋体" w:hAnsi="宋体" w:eastAsia="宋体" w:cs="宋体"/>
          <w:sz w:val="24"/>
        </w:rPr>
      </w:pPr>
      <w:r>
        <w:rPr>
          <w:rFonts w:hint="eastAsia" w:ascii="宋体" w:hAnsi="宋体" w:eastAsia="宋体" w:cs="宋体"/>
          <w:sz w:val="24"/>
        </w:rPr>
        <w:t>（3）磋商文件认为应当否决投标的其他情形。</w:t>
      </w:r>
    </w:p>
    <w:p w14:paraId="72424A1A">
      <w:pPr>
        <w:autoSpaceDN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2.按照《关于推动解决政府采购异常低价问题的通知》财库〔2026〕2号文件规定，政府采购评审中出现下列情形之一的，评审委员会应当启动异常低价投标（响应）审查程序：</w:t>
      </w:r>
    </w:p>
    <w:p w14:paraId="0432F915">
      <w:pPr>
        <w:autoSpaceDN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1.投标（响应）报价低于全部通过符合性审查供应商投标（响应）报价平均值50%的，即投标（响应）报价&lt;全部通过符合性审查供应商投标（响应）报价平均值×50%；</w:t>
      </w:r>
    </w:p>
    <w:p w14:paraId="2E11B982">
      <w:pPr>
        <w:autoSpaceDN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2.投标（响应）报价低于通过符合性审查的次低报价供应商投标（响应）报价50%的，即投标（响应）报价&lt;通过符合性审查的次低报价供应商投标（响应）报价×50%；</w:t>
      </w:r>
    </w:p>
    <w:p w14:paraId="1E4760F5">
      <w:pPr>
        <w:autoSpaceDN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3.投标（响应）报价低于采购项目最高限价45%的，即投标（响应）报价&lt;采购项目最高限价×45%；</w:t>
      </w:r>
    </w:p>
    <w:p w14:paraId="176F3C76">
      <w:pPr>
        <w:autoSpaceDN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4.评审委员会基于专业判断，认为供应商报价过低，有可能影响产品质量或者不能诚信履约的其他情形。 </w:t>
      </w:r>
    </w:p>
    <w:p w14:paraId="3F6A2188">
      <w:pPr>
        <w:autoSpaceDN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AFA08AB">
      <w:pPr>
        <w:autoSpaceDN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30E441">
      <w:pPr>
        <w:autoSpaceDN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4EE02B4">
      <w:pPr>
        <w:autoSpaceDN w:val="0"/>
        <w:spacing w:line="460" w:lineRule="exact"/>
        <w:rPr>
          <w:rFonts w:ascii="宋体" w:hAnsi="宋体" w:eastAsia="宋体" w:cs="宋体"/>
          <w:b/>
          <w:bCs/>
          <w:sz w:val="24"/>
        </w:rPr>
      </w:pPr>
      <w:r>
        <w:rPr>
          <w:rFonts w:hint="eastAsia" w:ascii="宋体" w:hAnsi="宋体" w:eastAsia="宋体" w:cs="宋体"/>
          <w:b/>
          <w:bCs/>
          <w:sz w:val="24"/>
        </w:rPr>
        <w:t>（五）询标（必要时）</w:t>
      </w:r>
    </w:p>
    <w:p w14:paraId="3AE30BFD">
      <w:pPr>
        <w:autoSpaceDN w:val="0"/>
        <w:spacing w:line="460" w:lineRule="exact"/>
        <w:ind w:firstLine="480" w:firstLineChars="200"/>
        <w:rPr>
          <w:rFonts w:ascii="宋体" w:hAnsi="宋体" w:eastAsia="宋体" w:cs="宋体"/>
          <w:sz w:val="24"/>
        </w:rPr>
      </w:pPr>
      <w:r>
        <w:rPr>
          <w:rFonts w:hint="eastAsia" w:ascii="宋体" w:hAnsi="宋体" w:eastAsia="宋体" w:cs="宋体"/>
          <w:sz w:val="24"/>
        </w:rPr>
        <w:t>竞争性磋商小组对响应文件需要澄清的问题，采用集体询标方式进行。</w:t>
      </w:r>
    </w:p>
    <w:p w14:paraId="43A8AAF9">
      <w:pPr>
        <w:autoSpaceDN w:val="0"/>
        <w:spacing w:line="500" w:lineRule="exact"/>
        <w:ind w:left="550" w:hanging="550"/>
        <w:rPr>
          <w:rFonts w:ascii="宋体" w:hAnsi="宋体" w:eastAsia="宋体" w:cs="宋体"/>
          <w:b/>
          <w:sz w:val="24"/>
        </w:rPr>
      </w:pPr>
      <w:r>
        <w:rPr>
          <w:rFonts w:hint="eastAsia" w:ascii="宋体" w:hAnsi="宋体" w:eastAsia="宋体" w:cs="宋体"/>
          <w:b/>
          <w:sz w:val="24"/>
        </w:rPr>
        <w:t>（六）确定中标人</w:t>
      </w:r>
    </w:p>
    <w:p w14:paraId="1BD82525">
      <w:pPr>
        <w:autoSpaceDN w:val="0"/>
        <w:spacing w:line="500" w:lineRule="exact"/>
        <w:ind w:left="550" w:hanging="550"/>
        <w:rPr>
          <w:rFonts w:ascii="宋体" w:hAnsi="宋体" w:eastAsia="宋体" w:cs="宋体"/>
          <w:bCs/>
          <w:sz w:val="24"/>
        </w:rPr>
      </w:pPr>
      <w:r>
        <w:rPr>
          <w:rFonts w:hint="eastAsia" w:ascii="宋体" w:hAnsi="宋体" w:eastAsia="宋体" w:cs="宋体"/>
          <w:bCs/>
          <w:sz w:val="24"/>
        </w:rPr>
        <w:t xml:space="preserve">    根据磋商小组综合评审的最终得分由高到低的顺序确定成交供应商。</w:t>
      </w:r>
    </w:p>
    <w:p w14:paraId="42407108">
      <w:pPr>
        <w:autoSpaceDN w:val="0"/>
        <w:spacing w:line="500" w:lineRule="exact"/>
        <w:ind w:left="550" w:hanging="550"/>
        <w:rPr>
          <w:rFonts w:ascii="宋体" w:hAnsi="宋体" w:eastAsia="宋体" w:cs="宋体"/>
          <w:b/>
          <w:sz w:val="24"/>
        </w:rPr>
      </w:pPr>
      <w:r>
        <w:rPr>
          <w:rFonts w:hint="eastAsia" w:ascii="宋体" w:hAnsi="宋体" w:eastAsia="宋体" w:cs="宋体"/>
          <w:b/>
          <w:sz w:val="24"/>
        </w:rPr>
        <w:t>（七）评审报告</w:t>
      </w:r>
    </w:p>
    <w:p w14:paraId="428020D1">
      <w:pPr>
        <w:autoSpaceDN w:val="0"/>
        <w:spacing w:line="500" w:lineRule="exact"/>
        <w:ind w:firstLine="420"/>
        <w:rPr>
          <w:rFonts w:ascii="宋体" w:hAnsi="宋体" w:eastAsia="宋体" w:cs="宋体"/>
          <w:bCs/>
          <w:sz w:val="24"/>
        </w:rPr>
      </w:pPr>
      <w:r>
        <w:rPr>
          <w:rFonts w:hint="eastAsia" w:ascii="宋体" w:hAnsi="宋体" w:eastAsia="宋体" w:cs="宋体"/>
          <w:bCs/>
          <w:sz w:val="24"/>
        </w:rPr>
        <w:t>评审工作结束时，磋商小组将本项目综合评审结果向采购人提交书面“评审报告”，磋商小组对评审报告内容讨论通过后，在“评审报告”上签字，对评审结果予以确认。</w:t>
      </w:r>
    </w:p>
    <w:p w14:paraId="3CCA807C">
      <w:pPr>
        <w:rPr>
          <w:rFonts w:hint="eastAsia" w:ascii="宋体" w:hAnsi="宋体" w:eastAsia="宋体" w:cs="宋体"/>
          <w:b/>
          <w:sz w:val="24"/>
        </w:rPr>
      </w:pPr>
      <w:r>
        <w:rPr>
          <w:rFonts w:hint="eastAsia" w:ascii="宋体" w:hAnsi="宋体" w:eastAsia="宋体" w:cs="宋体"/>
          <w:b/>
          <w:sz w:val="24"/>
        </w:rPr>
        <w:br w:type="page"/>
      </w:r>
    </w:p>
    <w:p w14:paraId="7E84B25F">
      <w:pPr>
        <w:autoSpaceDN w:val="0"/>
        <w:spacing w:line="500" w:lineRule="exact"/>
        <w:rPr>
          <w:rFonts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落实政府采购政策需进行的价格扣除：</w:t>
      </w:r>
    </w:p>
    <w:p w14:paraId="2381D2C2">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w:t>
      </w:r>
      <w:r>
        <w:rPr>
          <w:rFonts w:hint="eastAsia" w:ascii="宋体" w:hAnsi="宋体" w:eastAsia="宋体" w:cs="宋体"/>
          <w:bCs/>
          <w:color w:val="000000"/>
          <w:sz w:val="24"/>
          <w:szCs w:val="24"/>
          <w:lang w:val="en-US" w:eastAsia="zh-CN"/>
        </w:rPr>
        <w:t>一</w:t>
      </w:r>
      <w:r>
        <w:rPr>
          <w:rFonts w:hint="eastAsia" w:ascii="宋体" w:hAnsi="宋体" w:eastAsia="宋体" w:cs="宋体"/>
          <w:bCs/>
          <w:color w:val="000000"/>
          <w:sz w:val="24"/>
          <w:szCs w:val="24"/>
          <w:lang w:val="zh-CN"/>
        </w:rPr>
        <w:t>）根据</w:t>
      </w:r>
      <w:r>
        <w:rPr>
          <w:rFonts w:ascii="宋体" w:hAnsi="宋体" w:eastAsia="宋体" w:cs="宋体"/>
          <w:sz w:val="24"/>
          <w:szCs w:val="24"/>
        </w:rPr>
        <w:t>《财政部 发展改革委 生态环境部 市场监管总局关于调整优化节能产品、环境标志产品政府采购执行机制的通知》（财库〔2019〕9 号）</w:t>
      </w:r>
      <w:r>
        <w:rPr>
          <w:rFonts w:hint="eastAsia" w:ascii="宋体" w:hAnsi="宋体" w:eastAsia="宋体" w:cs="宋体"/>
          <w:sz w:val="24"/>
          <w:szCs w:val="24"/>
          <w:lang w:eastAsia="zh-CN"/>
        </w:rPr>
        <w:t>的要求，执行下列</w:t>
      </w:r>
      <w:r>
        <w:rPr>
          <w:rFonts w:hint="eastAsia" w:ascii="宋体" w:hAnsi="宋体" w:eastAsia="宋体" w:cs="宋体"/>
          <w:bCs/>
          <w:color w:val="000000"/>
          <w:sz w:val="24"/>
          <w:szCs w:val="24"/>
          <w:lang w:val="zh-CN"/>
        </w:rPr>
        <w:t>扶持政策（</w:t>
      </w:r>
      <w:r>
        <w:rPr>
          <w:rFonts w:hint="eastAsia" w:ascii="宋体" w:hAnsi="宋体" w:eastAsia="宋体" w:cs="宋体"/>
          <w:bCs/>
          <w:color w:val="000000"/>
          <w:sz w:val="24"/>
          <w:szCs w:val="24"/>
          <w:lang w:val="en-US" w:eastAsia="zh-CN"/>
        </w:rPr>
        <w:t>本项目不适用</w:t>
      </w:r>
      <w:r>
        <w:rPr>
          <w:rFonts w:hint="eastAsia" w:ascii="宋体" w:hAnsi="宋体" w:eastAsia="宋体" w:cs="宋体"/>
          <w:bCs/>
          <w:color w:val="000000"/>
          <w:sz w:val="24"/>
          <w:szCs w:val="24"/>
          <w:lang w:val="zh-CN"/>
        </w:rPr>
        <w:t xml:space="preserve">）： </w:t>
      </w:r>
    </w:p>
    <w:p w14:paraId="1094DFF9">
      <w:pPr>
        <w:numPr>
          <w:ilvl w:val="0"/>
          <w:numId w:val="4"/>
        </w:numPr>
        <w:autoSpaceDE w:val="0"/>
        <w:autoSpaceDN w:val="0"/>
        <w:adjustRightInd w:val="0"/>
        <w:snapToGrid w:val="0"/>
        <w:spacing w:line="360" w:lineRule="auto"/>
        <w:ind w:left="0" w:leftChars="0" w:firstLine="420" w:firstLineChars="175"/>
        <w:jc w:val="left"/>
        <w:rPr>
          <w:rFonts w:ascii="宋体" w:hAnsi="宋体" w:eastAsia="宋体" w:cs="宋体"/>
          <w:sz w:val="24"/>
          <w:szCs w:val="24"/>
        </w:rPr>
      </w:pPr>
      <w:r>
        <w:rPr>
          <w:rFonts w:ascii="宋体" w:hAnsi="宋体" w:eastAsia="宋体" w:cs="宋体"/>
          <w:sz w:val="24"/>
          <w:szCs w:val="24"/>
        </w:rPr>
        <w:t>投标人所投产品列入最新版《环境标志产品政府采购品目清单》，并提供国家确定认证机构出具、有效期内的环境标志产品认证证书复印件（加盖公章），证书信息与所投产品型号、品牌一致</w:t>
      </w:r>
      <w:r>
        <w:rPr>
          <w:rFonts w:hint="eastAsia" w:ascii="宋体" w:hAnsi="宋体" w:eastAsia="宋体" w:cs="宋体"/>
          <w:sz w:val="24"/>
          <w:szCs w:val="24"/>
          <w:lang w:eastAsia="zh-CN"/>
        </w:rPr>
        <w:t>。</w:t>
      </w:r>
      <w:r>
        <w:rPr>
          <w:rFonts w:ascii="宋体" w:hAnsi="宋体" w:eastAsia="宋体" w:cs="宋体"/>
          <w:sz w:val="24"/>
          <w:szCs w:val="24"/>
        </w:rPr>
        <w:t>对符合条件的产品，给予该部分产品投标报价得分3%的加分；同一产品同时取得节能与环境标志认证的，不重复加分，按较高一项执行</w:t>
      </w:r>
      <w:r>
        <w:rPr>
          <w:rFonts w:hint="eastAsia" w:ascii="宋体" w:hAnsi="宋体" w:eastAsia="宋体" w:cs="宋体"/>
          <w:sz w:val="24"/>
          <w:szCs w:val="24"/>
          <w:lang w:eastAsia="zh-CN"/>
        </w:rPr>
        <w:t>。</w:t>
      </w:r>
      <w:r>
        <w:rPr>
          <w:rFonts w:ascii="宋体" w:hAnsi="宋体" w:eastAsia="宋体" w:cs="宋体"/>
          <w:sz w:val="24"/>
          <w:szCs w:val="24"/>
        </w:rPr>
        <w:t>同时包含环境标志产品与非环境标志产品的，仅对清单内产品按比例加分，计算公式：</w:t>
      </w:r>
    </w:p>
    <w:p w14:paraId="25E3F4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exact"/>
        <w:ind w:left="0" w:leftChars="0" w:firstLine="4620" w:firstLineChars="1925"/>
        <w:jc w:val="left"/>
        <w:textAlignment w:val="auto"/>
        <w:rPr>
          <w:rFonts w:ascii="宋体" w:hAnsi="宋体" w:eastAsia="宋体" w:cs="宋体"/>
          <w:sz w:val="24"/>
          <w:szCs w:val="24"/>
        </w:rPr>
      </w:pPr>
      <w:r>
        <w:rPr>
          <w:rFonts w:ascii="宋体" w:hAnsi="宋体" w:eastAsia="宋体" w:cs="宋体"/>
          <w:sz w:val="24"/>
          <w:szCs w:val="24"/>
        </w:rPr>
        <w:t>投标总报价环境标志产品报价合计</w:t>
      </w:r>
    </w:p>
    <w:p w14:paraId="7B13130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exact"/>
        <w:ind w:firstLine="480" w:firstLineChars="200"/>
        <w:jc w:val="left"/>
        <w:textAlignment w:val="auto"/>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2693670</wp:posOffset>
                </wp:positionH>
                <wp:positionV relativeFrom="paragraph">
                  <wp:posOffset>86995</wp:posOffset>
                </wp:positionV>
                <wp:extent cx="279273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7927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2.1pt;margin-top:6.85pt;height:0.05pt;width:219.9pt;z-index:251662336;mso-width-relative:page;mso-height-relative:page;" filled="f" stroked="t" coordsize="21600,21600" o:gfxdata="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hWflh1wAAAAkBAAAPAAAAAAAAAAEAIAAAACIAAABkcnMvZG93bnJldi54bWxQSwEC&#10;FAAUAAAACACHTuJATQ4DGfUBAADmAwAADgAAAAAAAAABACAAAAAmAQAAZHJzL2Uyb0RvYy54bWxQ&#10;SwUGAAAAAAYABgBZAQAAjQUAAAAA&#10;">
                <v:fill on="f" focussize="0,0"/>
                <v:stroke color="#000000" joinstyle="round"/>
                <v:imagedata o:title=""/>
                <o:lock v:ext="edit" aspectratio="f"/>
              </v:line>
            </w:pict>
          </mc:Fallback>
        </mc:AlternateContent>
      </w:r>
      <w:r>
        <w:rPr>
          <w:rFonts w:ascii="宋体" w:hAnsi="宋体" w:eastAsia="宋体" w:cs="宋体"/>
          <w:sz w:val="24"/>
          <w:szCs w:val="24"/>
        </w:rPr>
        <w:t>环境标志产品加分=报价得分×3%×</w:t>
      </w:r>
    </w:p>
    <w:p w14:paraId="5A8C79A9">
      <w:pPr>
        <w:keepNext w:val="0"/>
        <w:keepLines w:val="0"/>
        <w:pageBreakBefore w:val="0"/>
        <w:widowControl w:val="0"/>
        <w:kinsoku/>
        <w:wordWrap/>
        <w:overflowPunct/>
        <w:topLinePunct w:val="0"/>
        <w:autoSpaceDE w:val="0"/>
        <w:autoSpaceDN w:val="0"/>
        <w:bidi w:val="0"/>
        <w:adjustRightInd w:val="0"/>
        <w:snapToGrid w:val="0"/>
        <w:spacing w:line="240" w:lineRule="exact"/>
        <w:ind w:firstLine="480"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投标总价</w:t>
      </w:r>
    </w:p>
    <w:p w14:paraId="71579B58">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szCs w:val="24"/>
          <w:lang w:val="en-US" w:eastAsia="zh-CN"/>
        </w:rPr>
      </w:pPr>
      <w:r>
        <w:rPr>
          <w:rFonts w:ascii="宋体" w:hAnsi="宋体" w:eastAsia="宋体" w:cs="宋体"/>
          <w:sz w:val="24"/>
          <w:szCs w:val="24"/>
        </w:rPr>
        <w:t>投标人须在投标文件中</w:t>
      </w:r>
      <w:r>
        <w:rPr>
          <w:rStyle w:val="32"/>
          <w:rFonts w:ascii="宋体" w:hAnsi="宋体" w:eastAsia="宋体" w:cs="宋体"/>
          <w:b/>
          <w:bCs/>
          <w:color w:val="000000"/>
          <w:sz w:val="24"/>
          <w:szCs w:val="24"/>
        </w:rPr>
        <w:t>单独分项报价</w:t>
      </w:r>
      <w:r>
        <w:rPr>
          <w:rFonts w:ascii="宋体" w:hAnsi="宋体" w:eastAsia="宋体" w:cs="宋体"/>
          <w:sz w:val="24"/>
          <w:szCs w:val="24"/>
        </w:rPr>
        <w:t>环境标志产品，列明名称、型号、认证证书编号及对应金额，否则不予加分</w:t>
      </w:r>
      <w:r>
        <w:rPr>
          <w:rFonts w:hint="eastAsia" w:ascii="宋体" w:hAnsi="宋体" w:eastAsia="宋体" w:cs="宋体"/>
          <w:sz w:val="24"/>
          <w:szCs w:val="24"/>
          <w:lang w:eastAsia="zh-CN"/>
        </w:rPr>
        <w:t>。</w:t>
      </w:r>
    </w:p>
    <w:p w14:paraId="646362A1">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175"/>
        <w:jc w:val="left"/>
        <w:textAlignment w:val="auto"/>
        <w:rPr>
          <w:color w:val="000000"/>
          <w:sz w:val="24"/>
          <w:szCs w:val="24"/>
        </w:rPr>
      </w:pPr>
      <w:r>
        <w:rPr>
          <w:color w:val="000000"/>
          <w:sz w:val="24"/>
          <w:szCs w:val="24"/>
        </w:rPr>
        <w:t>若采购品目属于国家节能产品强制采购品目清单范围内的，投标人所投产品必须提供在有效期内的节能产品认证证书，否则按无效投标处理。强制采购产品不参与本条加分</w:t>
      </w:r>
      <w:r>
        <w:rPr>
          <w:rFonts w:hint="eastAsia"/>
          <w:color w:val="000000"/>
          <w:sz w:val="24"/>
          <w:szCs w:val="24"/>
          <w:lang w:eastAsia="zh-CN"/>
        </w:rPr>
        <w:t>。</w:t>
      </w:r>
      <w:r>
        <w:rPr>
          <w:color w:val="000000"/>
          <w:sz w:val="24"/>
          <w:szCs w:val="24"/>
        </w:rPr>
        <w:t>投标人所投产品列入</w:t>
      </w:r>
      <w:r>
        <w:rPr>
          <w:rStyle w:val="32"/>
          <w:b/>
          <w:bCs/>
          <w:color w:val="000000"/>
          <w:sz w:val="24"/>
          <w:szCs w:val="24"/>
        </w:rPr>
        <w:t>节能产品政府采购品目清单（优先采购类，非强制）</w:t>
      </w:r>
      <w:r>
        <w:rPr>
          <w:color w:val="000000"/>
          <w:sz w:val="24"/>
          <w:szCs w:val="24"/>
        </w:rPr>
        <w:t>，且提供有效的节能产品认证证书的，对该部分产品给予</w:t>
      </w:r>
      <w:r>
        <w:rPr>
          <w:rStyle w:val="32"/>
          <w:b/>
          <w:bCs/>
          <w:color w:val="000000"/>
          <w:sz w:val="24"/>
          <w:szCs w:val="24"/>
        </w:rPr>
        <w:t>投标报价得分3%的加分</w:t>
      </w:r>
      <w:r>
        <w:rPr>
          <w:color w:val="000000"/>
          <w:sz w:val="24"/>
          <w:szCs w:val="24"/>
        </w:rPr>
        <w:t>。同时包含节能产品与非节能产品的，仅对列入优先采购清单的节能产品部分按比例加分。</w:t>
      </w:r>
    </w:p>
    <w:p w14:paraId="02A4CD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368" w:leftChars="175" w:right="0" w:rightChars="0" w:firstLine="4471" w:firstLineChars="1863"/>
        <w:jc w:val="left"/>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投标总报价节能产品报价合计</w:t>
      </w:r>
    </w:p>
    <w:p w14:paraId="5B8A34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Chars="175" w:right="0" w:rightChars="0"/>
        <w:jc w:val="left"/>
        <w:textAlignment w:val="auto"/>
        <w:rPr>
          <w:rFonts w:ascii="Times New Roman" w:hAnsi="Times New Roman" w:eastAsia="宋体" w:cs="Times New Roman"/>
          <w:color w:val="000000"/>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127635</wp:posOffset>
                </wp:positionV>
                <wp:extent cx="21551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1551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6.1pt;margin-top:10.05pt;height:0.05pt;width:169.7pt;z-index:251663360;mso-width-relative:page;mso-height-relative:page;" filled="f" stroked="t" coordsize="21600,21600" o:gfxdata="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Fkd71gAAAAkBAAAPAAAAAAAAAAEAIAAAACIAAABkcnMvZG93bnJldi54bWxQSwEC&#10;FAAUAAAACACHTuJAjuhqnfYBAADmAwAADgAAAAAAAAABACAAAAAlAQAAZHJzL2Uyb0RvYy54bWxQ&#10;SwUGAAAAAAYABgBZAQAAjQUAAAAA&#10;">
                <v:fill on="f" focussize="0,0"/>
                <v:stroke color="#000000" joinstyle="round"/>
                <v:imagedata o:title=""/>
                <o:lock v:ext="edit" aspectratio="f"/>
              </v:line>
            </w:pict>
          </mc:Fallback>
        </mc:AlternateContent>
      </w:r>
      <w:r>
        <w:rPr>
          <w:rFonts w:ascii="Times New Roman" w:hAnsi="Times New Roman" w:eastAsia="宋体" w:cs="Times New Roman"/>
          <w:color w:val="000000"/>
          <w:sz w:val="24"/>
          <w:szCs w:val="24"/>
        </w:rPr>
        <w:t>计算公式：节能产品加分=报价得分×3%×​</w:t>
      </w:r>
    </w:p>
    <w:p w14:paraId="080D1B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Chars="175" w:right="0" w:rightChars="0"/>
        <w:jc w:val="lef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 xml:space="preserve">                                           投标总报价</w:t>
      </w:r>
    </w:p>
    <w:p w14:paraId="7921E445">
      <w:pPr>
        <w:autoSpaceDN w:val="0"/>
        <w:spacing w:line="500" w:lineRule="exact"/>
        <w:ind w:firstLine="426"/>
        <w:rPr>
          <w:rFonts w:hint="eastAsia" w:ascii="宋体" w:hAnsi="宋体" w:eastAsia="宋体" w:cs="宋体"/>
          <w:bCs/>
          <w:sz w:val="24"/>
        </w:rPr>
      </w:pPr>
      <w:r>
        <w:rPr>
          <w:rFonts w:ascii="Times New Roman" w:hAnsi="Times New Roman" w:eastAsia="宋体" w:cs="Times New Roman"/>
          <w:color w:val="000000"/>
          <w:sz w:val="24"/>
          <w:szCs w:val="24"/>
        </w:rPr>
        <w:t>投标人须对节能产品</w:t>
      </w:r>
      <w:r>
        <w:rPr>
          <w:rFonts w:ascii="Times New Roman" w:hAnsi="Times New Roman" w:eastAsia="宋体" w:cs="Times New Roman"/>
          <w:b/>
          <w:bCs/>
          <w:color w:val="000000"/>
          <w:sz w:val="24"/>
          <w:szCs w:val="24"/>
        </w:rPr>
        <w:t>单独分项报价</w:t>
      </w:r>
      <w:r>
        <w:rPr>
          <w:rFonts w:ascii="Times New Roman" w:hAnsi="Times New Roman" w:eastAsia="宋体" w:cs="Times New Roman"/>
          <w:color w:val="000000"/>
          <w:sz w:val="24"/>
          <w:szCs w:val="24"/>
        </w:rPr>
        <w:t>，并列明型号、证书编号及金额，否则不予加分。</w:t>
      </w:r>
      <w:r>
        <w:rPr>
          <w:rFonts w:hint="eastAsia" w:ascii="宋体" w:hAnsi="宋体" w:eastAsia="宋体" w:cs="宋体"/>
          <w:bCs/>
          <w:sz w:val="24"/>
        </w:rPr>
        <w:t>同一产品同时列入节能、环境标志多个清单的，不叠加加分，按最高一项加分标准执行。</w:t>
      </w:r>
    </w:p>
    <w:p w14:paraId="38049B00">
      <w:pPr>
        <w:autoSpaceDN w:val="0"/>
        <w:spacing w:line="500" w:lineRule="exact"/>
        <w:ind w:firstLine="426"/>
        <w:rPr>
          <w:rFonts w:ascii="宋体" w:hAnsi="宋体" w:eastAsia="宋体" w:cs="宋体"/>
          <w:bCs/>
          <w:color w:val="FF0000"/>
          <w:sz w:val="24"/>
        </w:rPr>
      </w:pPr>
      <w:r>
        <w:rPr>
          <w:rFonts w:hint="eastAsia" w:ascii="宋体" w:hAnsi="宋体" w:eastAsia="宋体" w:cs="宋体"/>
          <w:bCs/>
          <w:sz w:val="24"/>
          <w:lang w:val="en-US" w:eastAsia="zh-CN"/>
        </w:rPr>
        <w:t>（二）</w:t>
      </w:r>
      <w:r>
        <w:rPr>
          <w:rFonts w:hint="eastAsia" w:ascii="宋体" w:hAnsi="宋体" w:eastAsia="宋体" w:cs="宋体"/>
          <w:bCs/>
          <w:sz w:val="24"/>
        </w:rPr>
        <w:t>依据《政府采购促进中小企业发展管理办法》（财库〔2020〕46号）</w:t>
      </w:r>
      <w:r>
        <w:rPr>
          <w:rFonts w:hint="eastAsia" w:ascii="宋体" w:hAnsi="宋体" w:eastAsia="宋体" w:cs="宋体"/>
          <w:bCs/>
          <w:sz w:val="24"/>
          <w:lang w:eastAsia="zh-CN"/>
        </w:rPr>
        <w:t>、</w:t>
      </w:r>
      <w:r>
        <w:rPr>
          <w:rFonts w:hint="eastAsia" w:ascii="宋体" w:hAnsi="宋体" w:eastAsia="宋体" w:cs="宋体"/>
          <w:bCs/>
          <w:sz w:val="24"/>
        </w:rPr>
        <w:t>《关于进一步加大政府采购支持中小企业力度的通知》（财库〔2022〕19号）文件及《政府采购促进中小企业发展政策问答》，</w:t>
      </w:r>
      <w:r>
        <w:rPr>
          <w:rFonts w:hint="eastAsia" w:ascii="宋体" w:hAnsi="宋体" w:eastAsia="宋体" w:cs="宋体"/>
          <w:bCs/>
          <w:color w:val="auto"/>
          <w:sz w:val="24"/>
        </w:rPr>
        <w:t>本项目专门面向中小企业，不需要价格扣除，投标人须提供《中小企业声明函》，标明所属行业。</w:t>
      </w:r>
    </w:p>
    <w:p w14:paraId="7C308AE7">
      <w:pPr>
        <w:autoSpaceDN w:val="0"/>
        <w:spacing w:line="500" w:lineRule="exact"/>
        <w:ind w:firstLine="426"/>
        <w:rPr>
          <w:rFonts w:hint="eastAsia" w:ascii="宋体" w:hAnsi="宋体" w:cs="宋体"/>
          <w:bCs/>
          <w:color w:val="000000"/>
          <w:sz w:val="24"/>
          <w:szCs w:val="24"/>
        </w:rPr>
      </w:pPr>
      <w:r>
        <w:rPr>
          <w:rFonts w:hint="eastAsia" w:ascii="宋体" w:hAnsi="宋体" w:cs="宋体"/>
          <w:bCs/>
          <w:color w:val="000000"/>
          <w:sz w:val="24"/>
          <w:szCs w:val="24"/>
          <w:lang w:val="en-US" w:eastAsia="zh-CN"/>
        </w:rPr>
        <w:t>（三）</w:t>
      </w:r>
      <w:r>
        <w:rPr>
          <w:rFonts w:hint="eastAsia" w:ascii="宋体" w:hAnsi="宋体" w:cs="宋体"/>
          <w:bCs/>
          <w:color w:val="000000"/>
          <w:sz w:val="24"/>
          <w:szCs w:val="24"/>
        </w:rPr>
        <w:t>根据《关于政府采购支持监狱企业发展有关问题的通知》(财库</w:t>
      </w:r>
      <w:r>
        <w:rPr>
          <w:rStyle w:val="63"/>
          <w:rFonts w:ascii="宋体" w:hAnsi="宋体"/>
          <w:color w:val="000000"/>
          <w:sz w:val="24"/>
          <w:szCs w:val="24"/>
        </w:rPr>
        <w:t>〔</w:t>
      </w:r>
      <w:r>
        <w:rPr>
          <w:rFonts w:hint="eastAsia" w:ascii="宋体" w:hAnsi="宋体" w:cs="宋体"/>
          <w:bCs/>
          <w:color w:val="000000"/>
          <w:sz w:val="24"/>
          <w:szCs w:val="24"/>
        </w:rPr>
        <w:t>2014</w:t>
      </w:r>
      <w:r>
        <w:rPr>
          <w:rStyle w:val="63"/>
          <w:rFonts w:ascii="宋体" w:hAnsi="宋体"/>
          <w:color w:val="000000"/>
          <w:sz w:val="24"/>
          <w:szCs w:val="24"/>
        </w:rPr>
        <w:t>〕</w:t>
      </w:r>
      <w:r>
        <w:rPr>
          <w:rFonts w:hint="eastAsia" w:ascii="宋体" w:hAnsi="宋体" w:cs="宋体"/>
          <w:bCs/>
          <w:color w:val="000000"/>
          <w:sz w:val="24"/>
          <w:szCs w:val="24"/>
        </w:rPr>
        <w:t>68号)，在政府采购活动中，监狱企业视同小型、微型企业，监狱企业投标的提供由省级以上监狱管理局、戒毒管理局(含新疆生产建设兵团)出具的属于监狱企业的证明文件，不再提供《中小企业声明函》。</w:t>
      </w:r>
    </w:p>
    <w:p w14:paraId="1B01615A">
      <w:pPr>
        <w:autoSpaceDN w:val="0"/>
        <w:spacing w:line="500" w:lineRule="exact"/>
        <w:ind w:firstLine="426"/>
        <w:rPr>
          <w:rFonts w:ascii="宋体" w:hAnsi="宋体" w:eastAsia="宋体" w:cs="宋体"/>
          <w:bCs/>
          <w:sz w:val="24"/>
        </w:rPr>
      </w:pP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四</w:t>
      </w:r>
      <w:r>
        <w:rPr>
          <w:rFonts w:hint="eastAsia" w:ascii="宋体" w:hAnsi="宋体" w:cs="宋体"/>
          <w:bCs/>
          <w:color w:val="000000"/>
          <w:sz w:val="24"/>
          <w:szCs w:val="24"/>
          <w:lang w:eastAsia="zh-CN"/>
        </w:rPr>
        <w:t>）</w:t>
      </w:r>
      <w:r>
        <w:rPr>
          <w:rFonts w:hint="eastAsia" w:ascii="宋体" w:hAnsi="宋体" w:cs="宋体"/>
          <w:bCs/>
          <w:color w:val="000000"/>
          <w:sz w:val="24"/>
          <w:szCs w:val="24"/>
        </w:rPr>
        <w:t>根据《关于促进残疾人就业政府采购政策的通知》(财库</w:t>
      </w:r>
      <w:r>
        <w:rPr>
          <w:rStyle w:val="63"/>
          <w:rFonts w:ascii="宋体" w:hAnsi="宋体"/>
          <w:color w:val="000000"/>
          <w:sz w:val="24"/>
          <w:szCs w:val="24"/>
        </w:rPr>
        <w:t>〔</w:t>
      </w:r>
      <w:r>
        <w:rPr>
          <w:rFonts w:hint="eastAsia" w:ascii="宋体" w:hAnsi="宋体" w:cs="宋体"/>
          <w:bCs/>
          <w:color w:val="000000"/>
          <w:sz w:val="24"/>
          <w:szCs w:val="24"/>
        </w:rPr>
        <w:t>2017</w:t>
      </w:r>
      <w:r>
        <w:rPr>
          <w:rStyle w:val="63"/>
          <w:rFonts w:ascii="宋体" w:hAnsi="宋体"/>
          <w:color w:val="000000"/>
          <w:sz w:val="24"/>
          <w:szCs w:val="24"/>
        </w:rPr>
        <w:t>〕</w:t>
      </w:r>
      <w:r>
        <w:rPr>
          <w:rFonts w:hint="eastAsia" w:ascii="宋体" w:hAnsi="宋体" w:cs="宋体"/>
          <w:bCs/>
          <w:color w:val="000000"/>
          <w:sz w:val="24"/>
          <w:szCs w:val="24"/>
        </w:rPr>
        <w:t>141号)，在政府采购活动中，残疾人福利性单位视同小型、微型企业，符合条件的残疾人福利性单位应当提供《残疾人福利性单位声明函》，并对声明的真实性负责。任何单位或者个人在政府采购活动中均不得要求残疾人福利性单位提供其他证明声明函内容的材料。</w:t>
      </w:r>
    </w:p>
    <w:p w14:paraId="2BE20C7F">
      <w:pPr>
        <w:autoSpaceDN w:val="0"/>
        <w:spacing w:line="500" w:lineRule="exact"/>
        <w:ind w:firstLine="426"/>
        <w:rPr>
          <w:rFonts w:hint="eastAsia" w:ascii="宋体" w:hAnsi="宋体" w:eastAsia="宋体" w:cs="宋体"/>
          <w:bCs/>
          <w:sz w:val="24"/>
        </w:rPr>
      </w:pPr>
      <w:r>
        <w:rPr>
          <w:rFonts w:hint="eastAsia" w:ascii="宋体" w:hAnsi="宋体" w:eastAsia="宋体" w:cs="宋体"/>
          <w:bCs/>
          <w:sz w:val="24"/>
        </w:rPr>
        <w:t>注：监狱企业、残疾人福利单位若同时属于小微企业，不重复享受同一类扶持政策。</w:t>
      </w:r>
    </w:p>
    <w:p w14:paraId="3F78262D">
      <w:pPr>
        <w:autoSpaceDN w:val="0"/>
        <w:spacing w:line="500" w:lineRule="exact"/>
        <w:ind w:firstLine="426"/>
        <w:rPr>
          <w:rFonts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五</w:t>
      </w:r>
      <w:r>
        <w:rPr>
          <w:rFonts w:hint="eastAsia" w:ascii="宋体" w:hAnsi="宋体" w:eastAsia="宋体" w:cs="宋体"/>
          <w:bCs/>
          <w:sz w:val="24"/>
          <w:lang w:eastAsia="zh-CN"/>
        </w:rPr>
        <w:t>）</w:t>
      </w:r>
      <w:r>
        <w:rPr>
          <w:rFonts w:hint="eastAsia" w:ascii="宋体" w:hAnsi="宋体" w:eastAsia="宋体" w:cs="宋体"/>
          <w:bCs/>
          <w:sz w:val="24"/>
        </w:rPr>
        <w:t>以上中小企业（含监狱、残疾人单位）价格扣除与节能、环境标志产品加分属于不同类型政策，可以叠加享受扶持政策。</w:t>
      </w:r>
      <w:r>
        <w:rPr>
          <w:rFonts w:hint="eastAsia" w:ascii="宋体" w:hAnsi="宋体" w:eastAsia="宋体" w:cs="宋体"/>
          <w:bCs/>
          <w:color w:val="000000"/>
          <w:sz w:val="24"/>
          <w:szCs w:val="24"/>
          <w:lang w:val="zh-CN"/>
        </w:rPr>
        <w:t>（</w:t>
      </w:r>
      <w:r>
        <w:rPr>
          <w:rFonts w:hint="eastAsia" w:ascii="宋体" w:hAnsi="宋体" w:eastAsia="宋体" w:cs="宋体"/>
          <w:bCs/>
          <w:color w:val="000000"/>
          <w:sz w:val="24"/>
          <w:szCs w:val="24"/>
          <w:lang w:val="en-US" w:eastAsia="zh-CN"/>
        </w:rPr>
        <w:t>本项目不适用</w:t>
      </w:r>
      <w:r>
        <w:rPr>
          <w:rFonts w:hint="eastAsia" w:ascii="宋体" w:hAnsi="宋体" w:eastAsia="宋体" w:cs="宋体"/>
          <w:bCs/>
          <w:color w:val="000000"/>
          <w:sz w:val="24"/>
          <w:szCs w:val="24"/>
          <w:lang w:val="zh-CN"/>
        </w:rPr>
        <w:t>）</w:t>
      </w:r>
    </w:p>
    <w:p w14:paraId="5E0F85E8">
      <w:pPr>
        <w:pStyle w:val="24"/>
        <w:widowControl w:val="0"/>
        <w:autoSpaceDN w:val="0"/>
        <w:jc w:val="center"/>
        <w:rPr>
          <w:rFonts w:ascii="宋体" w:hAnsi="宋体"/>
          <w:b/>
          <w:bCs/>
          <w:sz w:val="28"/>
          <w:szCs w:val="28"/>
        </w:rPr>
      </w:pPr>
      <w:r>
        <w:rPr>
          <w:rFonts w:hint="eastAsia" w:ascii="宋体" w:hAnsi="宋体" w:cs="宋体"/>
          <w:bCs/>
          <w:kern w:val="2"/>
        </w:rPr>
        <w:t xml:space="preserve"> </w:t>
      </w:r>
      <w:r>
        <w:rPr>
          <w:rFonts w:hint="eastAsia" w:ascii="宋体" w:hAnsi="宋体" w:cs="宋体"/>
          <w:bCs/>
          <w:kern w:val="2"/>
        </w:rPr>
        <w:br w:type="page"/>
      </w:r>
      <w:r>
        <w:rPr>
          <w:rFonts w:hint="eastAsia" w:ascii="宋体" w:hAnsi="宋体" w:cs="宋体"/>
          <w:b/>
          <w:bCs/>
          <w:kern w:val="2"/>
          <w:sz w:val="32"/>
          <w:szCs w:val="32"/>
        </w:rPr>
        <w:t>初步评审（</w:t>
      </w:r>
      <w:r>
        <w:rPr>
          <w:rFonts w:hint="eastAsia" w:ascii="宋体" w:hAnsi="宋体"/>
          <w:b/>
          <w:bCs/>
          <w:sz w:val="28"/>
          <w:szCs w:val="28"/>
        </w:rPr>
        <w:t>资格审查及符合性审查）</w:t>
      </w:r>
    </w:p>
    <w:p w14:paraId="20D738A9">
      <w:pPr>
        <w:snapToGrid w:val="0"/>
        <w:rPr>
          <w:rFonts w:ascii="宋体" w:hAnsi="宋体"/>
          <w:b/>
          <w:bCs/>
          <w:sz w:val="24"/>
        </w:rPr>
      </w:pPr>
      <w:r>
        <w:rPr>
          <w:rFonts w:hint="eastAsia" w:ascii="宋体" w:hAnsi="宋体"/>
          <w:b/>
          <w:bCs/>
          <w:sz w:val="24"/>
        </w:rPr>
        <w:t>1.资格审查</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6747"/>
      </w:tblGrid>
      <w:tr w14:paraId="65A8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0" w:type="pct"/>
            <w:vAlign w:val="center"/>
          </w:tcPr>
          <w:p w14:paraId="7BF62A87">
            <w:pPr>
              <w:snapToGrid w:val="0"/>
              <w:spacing w:line="400" w:lineRule="exact"/>
              <w:jc w:val="center"/>
              <w:rPr>
                <w:rFonts w:ascii="宋体" w:hAnsi="宋体"/>
                <w:szCs w:val="21"/>
              </w:rPr>
            </w:pPr>
            <w:r>
              <w:rPr>
                <w:rFonts w:hint="eastAsia" w:ascii="宋体" w:hAnsi="宋体"/>
                <w:szCs w:val="21"/>
              </w:rPr>
              <w:t>评审因素</w:t>
            </w:r>
          </w:p>
        </w:tc>
        <w:tc>
          <w:tcPr>
            <w:tcW w:w="3959" w:type="pct"/>
            <w:vAlign w:val="center"/>
          </w:tcPr>
          <w:p w14:paraId="37D19E9F">
            <w:pPr>
              <w:snapToGrid w:val="0"/>
              <w:spacing w:line="400" w:lineRule="exact"/>
              <w:jc w:val="center"/>
              <w:rPr>
                <w:rFonts w:ascii="宋体" w:hAnsi="宋体"/>
                <w:szCs w:val="21"/>
              </w:rPr>
            </w:pPr>
            <w:r>
              <w:rPr>
                <w:rFonts w:hint="eastAsia" w:ascii="宋体" w:hAnsi="宋体"/>
                <w:szCs w:val="21"/>
              </w:rPr>
              <w:t>评审标准</w:t>
            </w:r>
          </w:p>
        </w:tc>
      </w:tr>
      <w:tr w14:paraId="7DAE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40" w:type="pct"/>
            <w:vAlign w:val="center"/>
          </w:tcPr>
          <w:p w14:paraId="5F562E40">
            <w:pPr>
              <w:snapToGrid w:val="0"/>
              <w:spacing w:line="400" w:lineRule="exact"/>
              <w:rPr>
                <w:rFonts w:ascii="宋体" w:hAnsi="宋体"/>
                <w:szCs w:val="21"/>
              </w:rPr>
            </w:pPr>
            <w:r>
              <w:rPr>
                <w:rFonts w:hint="eastAsia" w:ascii="宋体" w:hAnsi="宋体"/>
                <w:szCs w:val="21"/>
              </w:rPr>
              <w:t>营业执照</w:t>
            </w:r>
          </w:p>
        </w:tc>
        <w:tc>
          <w:tcPr>
            <w:tcW w:w="3959" w:type="pct"/>
            <w:vAlign w:val="center"/>
          </w:tcPr>
          <w:p w14:paraId="5E825CE6">
            <w:pPr>
              <w:snapToGrid w:val="0"/>
              <w:spacing w:line="400" w:lineRule="exact"/>
              <w:rPr>
                <w:rFonts w:ascii="宋体" w:hAnsi="宋体" w:cs="宋体"/>
                <w:szCs w:val="21"/>
              </w:rPr>
            </w:pPr>
            <w:r>
              <w:rPr>
                <w:rFonts w:hint="eastAsia" w:ascii="宋体" w:hAnsi="宋体" w:cs="宋体"/>
                <w:bCs/>
                <w:szCs w:val="21"/>
                <w:lang w:val="zh-CN"/>
              </w:rPr>
              <w:t>具备有效的营业执照</w:t>
            </w:r>
            <w:r>
              <w:rPr>
                <w:rFonts w:hint="eastAsia" w:ascii="宋体" w:hAnsi="宋体" w:cs="宋体"/>
                <w:szCs w:val="21"/>
              </w:rPr>
              <w:t>。</w:t>
            </w:r>
          </w:p>
          <w:p w14:paraId="3F1482FC">
            <w:pPr>
              <w:snapToGrid w:val="0"/>
              <w:spacing w:line="400" w:lineRule="exact"/>
              <w:rPr>
                <w:rFonts w:ascii="宋体" w:hAnsi="宋体"/>
                <w:szCs w:val="21"/>
              </w:rPr>
            </w:pPr>
            <w:r>
              <w:rPr>
                <w:rFonts w:hint="eastAsia" w:ascii="宋体" w:hAnsi="宋体" w:cs="宋体"/>
                <w:b/>
                <w:szCs w:val="21"/>
              </w:rPr>
              <w:t>响应文件内附</w:t>
            </w:r>
            <w:r>
              <w:rPr>
                <w:rFonts w:hint="eastAsia" w:ascii="宋体" w:hAnsi="宋体" w:cs="宋体"/>
                <w:b/>
                <w:bCs/>
                <w:szCs w:val="21"/>
                <w:lang w:val="zh-CN"/>
              </w:rPr>
              <w:t>营业执照</w:t>
            </w:r>
            <w:r>
              <w:rPr>
                <w:rFonts w:hint="eastAsia" w:ascii="宋体" w:hAnsi="宋体" w:cs="宋体"/>
                <w:b/>
                <w:szCs w:val="21"/>
              </w:rPr>
              <w:t>复印件加盖</w:t>
            </w:r>
            <w:r>
              <w:rPr>
                <w:rFonts w:hint="eastAsia" w:ascii="宋体" w:hAnsi="宋体"/>
                <w:b/>
                <w:szCs w:val="21"/>
              </w:rPr>
              <w:t>供应商</w:t>
            </w:r>
            <w:r>
              <w:rPr>
                <w:rFonts w:ascii="宋体" w:hAnsi="宋体"/>
                <w:b/>
                <w:szCs w:val="21"/>
              </w:rPr>
              <w:t>单位</w:t>
            </w:r>
            <w:r>
              <w:rPr>
                <w:rFonts w:hint="eastAsia" w:ascii="宋体" w:hAnsi="宋体"/>
                <w:b/>
                <w:szCs w:val="21"/>
              </w:rPr>
              <w:t>公</w:t>
            </w:r>
            <w:r>
              <w:rPr>
                <w:rFonts w:ascii="宋体" w:hAnsi="宋体"/>
                <w:b/>
                <w:szCs w:val="21"/>
              </w:rPr>
              <w:t>章</w:t>
            </w:r>
            <w:r>
              <w:rPr>
                <w:rFonts w:hint="eastAsia"/>
                <w:b/>
                <w:sz w:val="24"/>
                <w:szCs w:val="20"/>
              </w:rPr>
              <w:t>。</w:t>
            </w:r>
          </w:p>
        </w:tc>
      </w:tr>
      <w:tr w14:paraId="40CE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40" w:type="pct"/>
            <w:shd w:val="clear" w:color="auto" w:fill="auto"/>
            <w:vAlign w:val="center"/>
          </w:tcPr>
          <w:p w14:paraId="4501C4A3">
            <w:pPr>
              <w:snapToGrid w:val="0"/>
              <w:spacing w:line="400" w:lineRule="exact"/>
              <w:rPr>
                <w:rFonts w:ascii="宋体" w:hAnsi="宋体" w:cs="宋体"/>
                <w:szCs w:val="21"/>
                <w:lang w:val="zh-CN"/>
              </w:rPr>
            </w:pPr>
            <w:r>
              <w:rPr>
                <w:rFonts w:hint="eastAsia" w:ascii="宋体" w:hAnsi="宋体"/>
                <w:szCs w:val="21"/>
              </w:rPr>
              <w:t>资质等级</w:t>
            </w:r>
          </w:p>
        </w:tc>
        <w:tc>
          <w:tcPr>
            <w:tcW w:w="3959" w:type="pct"/>
            <w:shd w:val="clear" w:color="auto" w:fill="auto"/>
            <w:vAlign w:val="center"/>
          </w:tcPr>
          <w:p w14:paraId="7E5D278E">
            <w:pPr>
              <w:snapToGrid w:val="0"/>
              <w:spacing w:line="400" w:lineRule="exact"/>
              <w:rPr>
                <w:rFonts w:ascii="宋体" w:hAnsi="宋体"/>
                <w:szCs w:val="21"/>
              </w:rPr>
            </w:pPr>
            <w:r>
              <w:rPr>
                <w:rFonts w:hint="eastAsia" w:ascii="宋体" w:hAnsi="宋体"/>
                <w:szCs w:val="21"/>
              </w:rPr>
              <w:t>具备建设行政主管部门核发的</w:t>
            </w:r>
            <w:r>
              <w:rPr>
                <w:rFonts w:hint="eastAsia" w:ascii="宋体" w:hAnsi="宋体"/>
                <w:szCs w:val="21"/>
                <w:lang w:val="en-US" w:eastAsia="zh-CN"/>
              </w:rPr>
              <w:t>建筑</w:t>
            </w:r>
            <w:r>
              <w:rPr>
                <w:rFonts w:hint="eastAsia" w:ascii="宋体" w:hAnsi="宋体"/>
                <w:szCs w:val="21"/>
              </w:rPr>
              <w:t>工程施工总承包三级及以上资质。</w:t>
            </w:r>
          </w:p>
          <w:p w14:paraId="759E7B5B">
            <w:pPr>
              <w:snapToGrid w:val="0"/>
              <w:spacing w:line="400" w:lineRule="exact"/>
              <w:rPr>
                <w:rFonts w:ascii="宋体" w:hAnsi="宋体"/>
                <w:szCs w:val="21"/>
              </w:rPr>
            </w:pPr>
            <w:r>
              <w:rPr>
                <w:rFonts w:hint="eastAsia" w:ascii="宋体" w:hAnsi="宋体"/>
                <w:b/>
                <w:szCs w:val="21"/>
              </w:rPr>
              <w:t>响应文件内附资质证书（副本）复印件加盖供应商单位公章。</w:t>
            </w:r>
          </w:p>
        </w:tc>
      </w:tr>
      <w:tr w14:paraId="51B8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40" w:type="pct"/>
            <w:vAlign w:val="center"/>
          </w:tcPr>
          <w:p w14:paraId="174DB0CE">
            <w:pPr>
              <w:snapToGrid w:val="0"/>
              <w:spacing w:line="400" w:lineRule="exact"/>
              <w:rPr>
                <w:rFonts w:ascii="宋体" w:hAnsi="宋体" w:cs="宋体"/>
                <w:szCs w:val="21"/>
                <w:lang w:val="zh-CN"/>
              </w:rPr>
            </w:pPr>
            <w:r>
              <w:rPr>
                <w:rFonts w:hint="eastAsia" w:ascii="宋体" w:hAnsi="宋体"/>
                <w:szCs w:val="21"/>
              </w:rPr>
              <w:t>安全生产许可证</w:t>
            </w:r>
          </w:p>
        </w:tc>
        <w:tc>
          <w:tcPr>
            <w:tcW w:w="3959" w:type="pct"/>
            <w:vAlign w:val="center"/>
          </w:tcPr>
          <w:p w14:paraId="66F7FCB7">
            <w:pPr>
              <w:snapToGrid w:val="0"/>
              <w:spacing w:line="400" w:lineRule="exact"/>
              <w:rPr>
                <w:rFonts w:ascii="宋体" w:hAnsi="宋体" w:cs="宋体"/>
                <w:bCs/>
                <w:szCs w:val="21"/>
                <w:lang w:val="zh-CN"/>
              </w:rPr>
            </w:pPr>
            <w:r>
              <w:rPr>
                <w:rFonts w:hint="eastAsia" w:ascii="宋体" w:hAnsi="宋体" w:cs="宋体"/>
                <w:bCs/>
                <w:szCs w:val="21"/>
                <w:lang w:val="zh-CN"/>
              </w:rPr>
              <w:t>具备有效的安全生产许可证。</w:t>
            </w:r>
          </w:p>
          <w:p w14:paraId="4C6B504F">
            <w:pPr>
              <w:snapToGrid w:val="0"/>
              <w:spacing w:line="400" w:lineRule="exact"/>
              <w:rPr>
                <w:rFonts w:ascii="宋体" w:hAnsi="宋体" w:cs="宋体"/>
              </w:rPr>
            </w:pPr>
            <w:r>
              <w:rPr>
                <w:rFonts w:hint="eastAsia" w:ascii="宋体" w:hAnsi="宋体" w:cs="宋体"/>
                <w:b/>
                <w:szCs w:val="21"/>
              </w:rPr>
              <w:t>响应文件内附</w:t>
            </w:r>
            <w:r>
              <w:rPr>
                <w:rFonts w:hint="eastAsia" w:ascii="宋体" w:hAnsi="宋体" w:cs="宋体"/>
                <w:b/>
                <w:bCs/>
                <w:szCs w:val="21"/>
                <w:lang w:val="zh-CN"/>
              </w:rPr>
              <w:t>安全生产许可证</w:t>
            </w:r>
            <w:r>
              <w:rPr>
                <w:rFonts w:hint="eastAsia" w:ascii="宋体" w:hAnsi="宋体" w:cs="宋体"/>
                <w:b/>
                <w:szCs w:val="21"/>
              </w:rPr>
              <w:t>复印件加盖供应商单位公章</w:t>
            </w:r>
            <w:r>
              <w:rPr>
                <w:rFonts w:hint="eastAsia" w:ascii="宋体" w:hAnsi="宋体"/>
                <w:b/>
                <w:szCs w:val="21"/>
              </w:rPr>
              <w:t>。</w:t>
            </w:r>
          </w:p>
        </w:tc>
      </w:tr>
      <w:tr w14:paraId="69AF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1040" w:type="pct"/>
            <w:vAlign w:val="center"/>
          </w:tcPr>
          <w:p w14:paraId="38ECC1BE">
            <w:pPr>
              <w:snapToGrid w:val="0"/>
              <w:spacing w:line="400" w:lineRule="exact"/>
              <w:rPr>
                <w:rFonts w:ascii="宋体" w:hAnsi="宋体"/>
                <w:szCs w:val="21"/>
              </w:rPr>
            </w:pPr>
            <w:r>
              <w:rPr>
                <w:rFonts w:hint="eastAsia" w:ascii="宋体" w:hAnsi="宋体" w:cs="宋体"/>
                <w:szCs w:val="21"/>
                <w:lang w:val="zh-CN"/>
              </w:rPr>
              <w:t>财务状况</w:t>
            </w:r>
          </w:p>
        </w:tc>
        <w:tc>
          <w:tcPr>
            <w:tcW w:w="3959" w:type="pct"/>
            <w:vAlign w:val="center"/>
          </w:tcPr>
          <w:p w14:paraId="23859F0B">
            <w:pPr>
              <w:snapToGrid w:val="0"/>
              <w:spacing w:line="400" w:lineRule="exact"/>
              <w:rPr>
                <w:rFonts w:ascii="宋体" w:hAnsi="宋体" w:cs="宋体"/>
                <w:bCs/>
                <w:szCs w:val="21"/>
                <w:lang w:val="zh-CN"/>
              </w:rPr>
            </w:pPr>
            <w:r>
              <w:rPr>
                <w:rFonts w:hint="eastAsia" w:ascii="宋体" w:hAnsi="宋体" w:cs="宋体"/>
                <w:bCs/>
                <w:szCs w:val="21"/>
              </w:rPr>
              <w:t>1.近三年（2022年至今）财务状况。同时提供以下①②材料：①2022年、2023年、2024年经会计师事务所或审计机构审计的财务审计报告，如供应商成立日期在2022年—2024年之间的，提供从成立之日起到2024年度经会计师事务所或审计机构审计的财务审计报告；②2025年1月1日至今的财务状况良好承诺。注：如投标人在2025年1月1日后成立的，只提供成立之日至今的财务状况良好承诺即可。</w:t>
            </w:r>
          </w:p>
          <w:p w14:paraId="502E4F3B">
            <w:pPr>
              <w:snapToGrid w:val="0"/>
              <w:spacing w:line="400" w:lineRule="exact"/>
              <w:rPr>
                <w:rFonts w:ascii="宋体" w:hAnsi="宋体" w:cs="宋体"/>
                <w:bCs/>
                <w:szCs w:val="21"/>
              </w:rPr>
            </w:pPr>
            <w:r>
              <w:rPr>
                <w:rFonts w:hint="eastAsia" w:ascii="宋体" w:hAnsi="宋体" w:cs="宋体"/>
                <w:bCs/>
                <w:szCs w:val="21"/>
              </w:rPr>
              <w:t>2.企业近</w:t>
            </w:r>
            <w:r>
              <w:rPr>
                <w:rFonts w:hint="eastAsia" w:ascii="宋体" w:hAnsi="宋体" w:cs="宋体"/>
                <w:bCs/>
                <w:szCs w:val="21"/>
                <w:lang w:val="en-US" w:eastAsia="zh-CN"/>
              </w:rPr>
              <w:t>一年</w:t>
            </w:r>
            <w:r>
              <w:rPr>
                <w:rFonts w:hint="eastAsia" w:ascii="宋体" w:hAnsi="宋体" w:cs="宋体"/>
                <w:bCs/>
                <w:szCs w:val="21"/>
              </w:rPr>
              <w:t>内（2025年4月至今）任意一个月依法缴纳税收证明（增值税或企业所得税）；近</w:t>
            </w:r>
            <w:r>
              <w:rPr>
                <w:rFonts w:hint="eastAsia" w:ascii="宋体" w:hAnsi="宋体" w:cs="宋体"/>
                <w:bCs/>
                <w:szCs w:val="21"/>
                <w:lang w:val="en-US" w:eastAsia="zh-CN"/>
              </w:rPr>
              <w:t>一年</w:t>
            </w:r>
            <w:r>
              <w:rPr>
                <w:rFonts w:hint="eastAsia" w:ascii="宋体" w:hAnsi="宋体" w:cs="宋体"/>
                <w:bCs/>
                <w:szCs w:val="21"/>
              </w:rPr>
              <w:t>内（2025年4月至今）任意一个月依法缴纳社保证明（企业缴纳社保凭证）。</w:t>
            </w:r>
          </w:p>
          <w:p w14:paraId="28EFF317">
            <w:pPr>
              <w:snapToGrid w:val="0"/>
              <w:spacing w:line="400" w:lineRule="exact"/>
              <w:rPr>
                <w:rFonts w:ascii="宋体" w:hAnsi="宋体" w:cs="宋体"/>
                <w:bCs/>
                <w:szCs w:val="21"/>
              </w:rPr>
            </w:pPr>
            <w:r>
              <w:rPr>
                <w:rFonts w:hint="eastAsia" w:ascii="宋体" w:hAnsi="宋体" w:cs="宋体"/>
                <w:b/>
                <w:szCs w:val="21"/>
                <w:lang w:val="zh-CN"/>
              </w:rPr>
              <w:t>响应文件内附</w:t>
            </w:r>
            <w:r>
              <w:rPr>
                <w:rFonts w:hint="eastAsia" w:ascii="宋体" w:hAnsi="宋体" w:cs="宋体"/>
                <w:b/>
                <w:szCs w:val="21"/>
              </w:rPr>
              <w:t>相关证明</w:t>
            </w:r>
            <w:r>
              <w:rPr>
                <w:rFonts w:hint="eastAsia" w:ascii="宋体" w:hAnsi="宋体" w:cs="宋体"/>
                <w:b/>
                <w:szCs w:val="21"/>
                <w:lang w:val="zh-CN"/>
              </w:rPr>
              <w:t>复印件加盖供应商单位公章。</w:t>
            </w:r>
          </w:p>
        </w:tc>
      </w:tr>
      <w:tr w14:paraId="58D9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40" w:type="pct"/>
            <w:shd w:val="clear" w:color="auto" w:fill="auto"/>
            <w:vAlign w:val="center"/>
          </w:tcPr>
          <w:p w14:paraId="27A324A5">
            <w:pPr>
              <w:spacing w:line="400" w:lineRule="exact"/>
              <w:rPr>
                <w:rFonts w:ascii="宋体" w:hAnsi="宋体"/>
                <w:szCs w:val="21"/>
                <w:lang w:val="zh-CN"/>
              </w:rPr>
            </w:pPr>
            <w:r>
              <w:rPr>
                <w:rFonts w:ascii="宋体" w:hAnsi="宋体"/>
                <w:szCs w:val="21"/>
              </w:rPr>
              <w:t>项目经理</w:t>
            </w:r>
          </w:p>
        </w:tc>
        <w:tc>
          <w:tcPr>
            <w:tcW w:w="3959" w:type="pct"/>
            <w:shd w:val="clear" w:color="auto" w:fill="auto"/>
            <w:vAlign w:val="center"/>
          </w:tcPr>
          <w:p w14:paraId="533636BB">
            <w:pPr>
              <w:snapToGrid w:val="0"/>
              <w:spacing w:line="400" w:lineRule="exact"/>
              <w:rPr>
                <w:rFonts w:ascii="宋体" w:hAnsi="宋体" w:cs="宋体"/>
                <w:bCs/>
                <w:color w:val="auto"/>
                <w:szCs w:val="21"/>
              </w:rPr>
            </w:pPr>
            <w:r>
              <w:rPr>
                <w:rFonts w:hint="eastAsia" w:ascii="宋体" w:hAnsi="宋体" w:cs="宋体"/>
                <w:bCs/>
                <w:color w:val="auto"/>
                <w:szCs w:val="21"/>
              </w:rPr>
              <w:t>具备建设行政主管部门核发的具备建设行政主管部门核发的</w:t>
            </w:r>
            <w:r>
              <w:rPr>
                <w:rFonts w:hint="eastAsia" w:ascii="宋体" w:hAnsi="宋体" w:cs="宋体"/>
                <w:bCs/>
                <w:color w:val="auto"/>
                <w:szCs w:val="21"/>
                <w:lang w:val="en-US" w:eastAsia="zh-CN"/>
              </w:rPr>
              <w:t>建筑</w:t>
            </w:r>
            <w:r>
              <w:rPr>
                <w:rFonts w:hint="eastAsia" w:ascii="宋体" w:hAnsi="宋体" w:cs="宋体"/>
                <w:bCs/>
                <w:color w:val="auto"/>
                <w:szCs w:val="21"/>
              </w:rPr>
              <w:t>工程专业二级及以上注册建造师资格，且具备有效的安全生产考核合格证书B类（或可查询的电子证书），且未担任其他在建工程项目的项目经理。</w:t>
            </w:r>
          </w:p>
          <w:p w14:paraId="374B06D6">
            <w:pPr>
              <w:snapToGrid w:val="0"/>
              <w:spacing w:line="400" w:lineRule="exact"/>
              <w:rPr>
                <w:rFonts w:ascii="宋体" w:hAnsi="宋体" w:cs="宋体"/>
                <w:bCs/>
                <w:color w:val="auto"/>
                <w:szCs w:val="21"/>
                <w:lang w:val="zh-CN"/>
              </w:rPr>
            </w:pPr>
            <w:r>
              <w:rPr>
                <w:rFonts w:hint="eastAsia" w:ascii="宋体" w:hAnsi="宋体" w:cs="宋体"/>
                <w:b/>
                <w:color w:val="auto"/>
                <w:szCs w:val="21"/>
              </w:rPr>
              <w:t>响应文件内附注册建造师证书、有效期内的项目负责人安全生产考核合格证书、</w:t>
            </w:r>
            <w:r>
              <w:rPr>
                <w:rFonts w:hint="eastAsia" w:ascii="宋体" w:hAnsi="宋体" w:cs="宋体"/>
                <w:b/>
                <w:color w:val="auto"/>
                <w:szCs w:val="21"/>
                <w:lang w:val="en-US" w:eastAsia="zh-CN"/>
              </w:rPr>
              <w:t>近一年内（2025年4月至今）任意一个月的</w:t>
            </w:r>
            <w:r>
              <w:rPr>
                <w:rFonts w:hint="eastAsia" w:ascii="宋体" w:hAnsi="宋体" w:cs="宋体"/>
                <w:b/>
                <w:color w:val="auto"/>
                <w:szCs w:val="21"/>
              </w:rPr>
              <w:t>基本养老保险缴费证明复印件等加盖供应商单位公章，项目经理无在建工程</w:t>
            </w:r>
            <w:r>
              <w:rPr>
                <w:rFonts w:hint="eastAsia" w:ascii="宋体" w:hAnsi="宋体" w:cs="宋体"/>
                <w:b/>
                <w:color w:val="auto"/>
                <w:szCs w:val="21"/>
                <w:lang w:val="zh-CN"/>
              </w:rPr>
              <w:t>承诺书。</w:t>
            </w:r>
          </w:p>
          <w:p w14:paraId="5F405596">
            <w:pPr>
              <w:snapToGrid w:val="0"/>
              <w:spacing w:line="400" w:lineRule="exact"/>
              <w:rPr>
                <w:rFonts w:ascii="宋体" w:hAnsi="宋体" w:cs="宋体"/>
                <w:bCs/>
                <w:color w:val="auto"/>
                <w:szCs w:val="21"/>
                <w:lang w:val="zh-CN"/>
              </w:rPr>
            </w:pPr>
            <w:r>
              <w:rPr>
                <w:rFonts w:hint="eastAsia" w:ascii="宋体" w:hAnsi="宋体" w:cs="宋体"/>
                <w:bCs/>
                <w:color w:val="auto"/>
                <w:szCs w:val="21"/>
              </w:rPr>
              <w:t>启用电子证书的供应商，响应文件内附电子证书的有效查询网址或可扫描的二维码。</w:t>
            </w:r>
          </w:p>
        </w:tc>
      </w:tr>
      <w:tr w14:paraId="065C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1040" w:type="pct"/>
            <w:shd w:val="clear" w:color="auto" w:fill="auto"/>
            <w:vAlign w:val="center"/>
          </w:tcPr>
          <w:p w14:paraId="0D0961E9">
            <w:pPr>
              <w:spacing w:line="400" w:lineRule="exact"/>
              <w:rPr>
                <w:rFonts w:ascii="宋体" w:hAnsi="宋体"/>
                <w:szCs w:val="21"/>
              </w:rPr>
            </w:pPr>
            <w:r>
              <w:rPr>
                <w:rFonts w:hint="eastAsia" w:ascii="宋体" w:hAnsi="宋体"/>
                <w:szCs w:val="21"/>
              </w:rPr>
              <w:t>项目管理机构其他人员</w:t>
            </w:r>
          </w:p>
        </w:tc>
        <w:tc>
          <w:tcPr>
            <w:tcW w:w="3959" w:type="pct"/>
            <w:shd w:val="clear" w:color="auto" w:fill="auto"/>
            <w:vAlign w:val="center"/>
          </w:tcPr>
          <w:p w14:paraId="5FCBF093">
            <w:pPr>
              <w:snapToGrid w:val="0"/>
              <w:spacing w:line="400" w:lineRule="exact"/>
              <w:rPr>
                <w:rFonts w:ascii="宋体" w:hAnsi="宋体" w:cs="宋体"/>
                <w:bCs/>
                <w:color w:val="auto"/>
                <w:szCs w:val="21"/>
              </w:rPr>
            </w:pPr>
            <w:r>
              <w:rPr>
                <w:rFonts w:hint="eastAsia" w:ascii="宋体" w:hAnsi="宋体" w:cs="宋体"/>
                <w:bCs/>
                <w:color w:val="auto"/>
                <w:szCs w:val="21"/>
              </w:rPr>
              <w:t>拟派出的技术负责人须具备相关专业职称，提供有效的职称证；拟派出的其他人员提供有效的施工员、质量员、安全员、材料员的上岗证书或有效电子证书。</w:t>
            </w:r>
          </w:p>
          <w:p w14:paraId="113380CD">
            <w:pPr>
              <w:snapToGrid w:val="0"/>
              <w:spacing w:line="400" w:lineRule="exact"/>
              <w:rPr>
                <w:rFonts w:ascii="宋体" w:hAnsi="宋体" w:cs="宋体"/>
                <w:bCs/>
                <w:color w:val="auto"/>
                <w:szCs w:val="21"/>
              </w:rPr>
            </w:pPr>
            <w:r>
              <w:rPr>
                <w:rFonts w:hint="eastAsia" w:ascii="宋体" w:hAnsi="宋体" w:cs="宋体"/>
                <w:bCs/>
                <w:color w:val="auto"/>
                <w:szCs w:val="21"/>
              </w:rPr>
              <w:t>项目管理机构人员须为本单位的在职人员，提供</w:t>
            </w:r>
            <w:r>
              <w:rPr>
                <w:rFonts w:hint="eastAsia" w:ascii="宋体" w:hAnsi="宋体" w:cs="宋体"/>
                <w:bCs/>
                <w:color w:val="auto"/>
                <w:szCs w:val="21"/>
                <w:lang w:eastAsia="zh-CN"/>
              </w:rPr>
              <w:t>近一年内（2025年4月至今）任意一个月</w:t>
            </w:r>
            <w:r>
              <w:rPr>
                <w:rFonts w:hint="eastAsia" w:ascii="宋体" w:hAnsi="宋体" w:cs="宋体"/>
                <w:bCs/>
                <w:color w:val="auto"/>
                <w:szCs w:val="21"/>
              </w:rPr>
              <w:t>的基本养老保险缴费证明，否则其投标将被否决。现场施工项目管理机构人员要求人证与标书相符，持证上岗，否则取消中标资格。</w:t>
            </w:r>
          </w:p>
          <w:p w14:paraId="3EEF6C69">
            <w:pPr>
              <w:snapToGrid w:val="0"/>
              <w:spacing w:line="400" w:lineRule="exact"/>
              <w:rPr>
                <w:rFonts w:ascii="宋体" w:hAnsi="宋体" w:cs="宋体"/>
                <w:b/>
                <w:color w:val="auto"/>
                <w:szCs w:val="21"/>
                <w:lang w:val="zh-CN"/>
              </w:rPr>
            </w:pPr>
            <w:r>
              <w:rPr>
                <w:rFonts w:hint="eastAsia" w:ascii="宋体" w:hAnsi="宋体" w:cs="宋体"/>
                <w:b/>
                <w:color w:val="auto"/>
                <w:szCs w:val="21"/>
              </w:rPr>
              <w:t>响应文件内附所提供的项目管理机构人员相关证件复印件加盖供应商单位公章。</w:t>
            </w:r>
          </w:p>
          <w:p w14:paraId="2E999E1D">
            <w:pPr>
              <w:snapToGrid w:val="0"/>
              <w:spacing w:line="400" w:lineRule="exact"/>
              <w:rPr>
                <w:rFonts w:ascii="宋体" w:hAnsi="宋体" w:cs="宋体"/>
                <w:bCs/>
                <w:color w:val="auto"/>
                <w:szCs w:val="21"/>
              </w:rPr>
            </w:pPr>
            <w:r>
              <w:rPr>
                <w:rFonts w:hint="eastAsia" w:ascii="宋体" w:hAnsi="宋体" w:cs="宋体"/>
                <w:bCs/>
                <w:color w:val="auto"/>
                <w:szCs w:val="21"/>
              </w:rPr>
              <w:t>启用电子证书的供应商，响应文件内附电子证书的有效查询网址或可扫描的二维码。</w:t>
            </w:r>
          </w:p>
        </w:tc>
      </w:tr>
      <w:tr w14:paraId="3234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40" w:type="pct"/>
            <w:vAlign w:val="center"/>
          </w:tcPr>
          <w:p w14:paraId="6FFAE472">
            <w:pPr>
              <w:snapToGrid w:val="0"/>
              <w:spacing w:line="400" w:lineRule="exact"/>
              <w:rPr>
                <w:rFonts w:ascii="宋体" w:hAnsi="宋体"/>
                <w:szCs w:val="21"/>
              </w:rPr>
            </w:pPr>
            <w:r>
              <w:rPr>
                <w:rFonts w:hint="eastAsia" w:ascii="宋体" w:hAnsi="宋体"/>
                <w:szCs w:val="21"/>
              </w:rPr>
              <w:t>信誉要求</w:t>
            </w:r>
          </w:p>
        </w:tc>
        <w:tc>
          <w:tcPr>
            <w:tcW w:w="3959" w:type="pct"/>
            <w:vAlign w:val="center"/>
          </w:tcPr>
          <w:p w14:paraId="31F75CD9">
            <w:pPr>
              <w:snapToGrid w:val="0"/>
              <w:spacing w:line="400" w:lineRule="exact"/>
              <w:rPr>
                <w:rFonts w:ascii="宋体" w:hAnsi="宋体" w:cs="宋体"/>
                <w:bCs/>
                <w:szCs w:val="21"/>
              </w:rPr>
            </w:pPr>
            <w:r>
              <w:rPr>
                <w:rFonts w:hint="eastAsia" w:ascii="宋体" w:hAnsi="宋体" w:cs="宋体"/>
                <w:bCs/>
                <w:szCs w:val="21"/>
                <w:lang w:val="en-US" w:eastAsia="zh-CN"/>
              </w:rPr>
              <w:t>1.</w:t>
            </w:r>
            <w:r>
              <w:rPr>
                <w:rFonts w:hint="eastAsia" w:ascii="宋体" w:hAnsi="宋体" w:cs="宋体"/>
                <w:bCs/>
                <w:szCs w:val="21"/>
              </w:rPr>
              <w:t>供应商未被最高人民法院在“信用中国”网站列入失信被执行人和重大税收违法案件当事人名单、未被中国政府采购网列入政府采购严重违法失信行为记录名单（详见财库[2016]125号文）。</w:t>
            </w:r>
          </w:p>
          <w:p w14:paraId="61B599D0">
            <w:pPr>
              <w:snapToGrid w:val="0"/>
              <w:spacing w:line="400" w:lineRule="exact"/>
              <w:rPr>
                <w:rFonts w:ascii="宋体" w:hAnsi="宋体" w:cs="宋体"/>
                <w:b/>
                <w:szCs w:val="21"/>
              </w:rPr>
            </w:pPr>
            <w:r>
              <w:rPr>
                <w:rFonts w:hint="eastAsia" w:ascii="宋体" w:hAnsi="宋体" w:cs="宋体"/>
                <w:bCs/>
                <w:szCs w:val="21"/>
                <w:lang w:val="en-US" w:eastAsia="zh-CN"/>
              </w:rPr>
              <w:t>2.</w:t>
            </w:r>
            <w:r>
              <w:rPr>
                <w:rFonts w:hint="eastAsia" w:ascii="宋体" w:hAnsi="宋体" w:cs="宋体"/>
                <w:bCs/>
                <w:szCs w:val="21"/>
                <w:lang w:val="zh-CN"/>
              </w:rPr>
              <w:t>参加政府采购活动前三年内，在经营活动中没有重大违法记录。</w:t>
            </w:r>
          </w:p>
          <w:p w14:paraId="34CE8725">
            <w:pPr>
              <w:snapToGrid w:val="0"/>
              <w:spacing w:line="400" w:lineRule="exact"/>
              <w:rPr>
                <w:rFonts w:ascii="宋体" w:hAnsi="宋体" w:cs="宋体"/>
                <w:bCs/>
                <w:szCs w:val="21"/>
              </w:rPr>
            </w:pPr>
            <w:r>
              <w:rPr>
                <w:rFonts w:hint="eastAsia" w:ascii="宋体" w:hAnsi="宋体" w:cs="宋体"/>
                <w:bCs/>
                <w:szCs w:val="21"/>
                <w:lang w:val="en-US" w:eastAsia="zh-CN"/>
              </w:rPr>
              <w:t>3.</w:t>
            </w:r>
            <w:r>
              <w:rPr>
                <w:rFonts w:hint="eastAsia" w:ascii="宋体" w:hAnsi="宋体" w:cs="宋体"/>
                <w:bCs/>
                <w:szCs w:val="21"/>
              </w:rPr>
              <w:t>拒绝列入政府取消投标资格记录期间的供应商或个人参加本次磋商。</w:t>
            </w:r>
          </w:p>
          <w:p w14:paraId="3D2FA631">
            <w:pPr>
              <w:snapToGrid w:val="0"/>
              <w:spacing w:line="400" w:lineRule="exact"/>
              <w:rPr>
                <w:rFonts w:ascii="宋体" w:hAnsi="宋体" w:cs="宋体"/>
                <w:bCs/>
                <w:szCs w:val="21"/>
              </w:rPr>
            </w:pPr>
            <w:r>
              <w:rPr>
                <w:rFonts w:hint="eastAsia" w:ascii="宋体" w:hAnsi="宋体" w:cs="宋体"/>
                <w:b/>
                <w:szCs w:val="21"/>
                <w:lang w:val="zh-CN"/>
              </w:rPr>
              <w:t>响应文件内附上述网页截图加盖单位公章</w:t>
            </w:r>
            <w:r>
              <w:rPr>
                <w:rFonts w:hint="eastAsia" w:ascii="宋体" w:hAnsi="宋体" w:cs="宋体"/>
                <w:b/>
                <w:szCs w:val="21"/>
              </w:rPr>
              <w:t>及</w:t>
            </w:r>
            <w:r>
              <w:rPr>
                <w:rFonts w:hint="eastAsia" w:ascii="宋体" w:hAnsi="宋体" w:cs="宋体"/>
                <w:b/>
                <w:szCs w:val="21"/>
                <w:lang w:val="zh-CN"/>
              </w:rPr>
              <w:t>由法定代表人或其委托代理人签字（</w:t>
            </w:r>
            <w:r>
              <w:rPr>
                <w:rFonts w:hint="eastAsia" w:ascii="宋体" w:hAnsi="宋体" w:cs="宋体"/>
                <w:b/>
                <w:szCs w:val="21"/>
              </w:rPr>
              <w:t>或印章</w:t>
            </w:r>
            <w:r>
              <w:rPr>
                <w:rFonts w:hint="eastAsia" w:ascii="宋体" w:hAnsi="宋体" w:cs="宋体"/>
                <w:b/>
                <w:szCs w:val="21"/>
                <w:lang w:val="zh-CN"/>
              </w:rPr>
              <w:t>）并加盖单位公章的承诺书。</w:t>
            </w:r>
          </w:p>
        </w:tc>
      </w:tr>
      <w:tr w14:paraId="0081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1040" w:type="pct"/>
            <w:vAlign w:val="center"/>
          </w:tcPr>
          <w:p w14:paraId="428B2507">
            <w:pPr>
              <w:spacing w:line="400" w:lineRule="exact"/>
              <w:rPr>
                <w:rFonts w:ascii="宋体" w:hAnsi="宋体"/>
                <w:szCs w:val="21"/>
              </w:rPr>
            </w:pPr>
            <w:r>
              <w:rPr>
                <w:rFonts w:hint="eastAsia" w:ascii="宋体" w:hAnsi="宋体"/>
                <w:szCs w:val="21"/>
              </w:rPr>
              <w:t>其他要求</w:t>
            </w:r>
          </w:p>
        </w:tc>
        <w:tc>
          <w:tcPr>
            <w:tcW w:w="3959" w:type="pct"/>
            <w:vAlign w:val="center"/>
          </w:tcPr>
          <w:p w14:paraId="551519C9">
            <w:pPr>
              <w:snapToGrid w:val="0"/>
              <w:spacing w:line="400" w:lineRule="exact"/>
              <w:rPr>
                <w:rFonts w:ascii="宋体" w:hAnsi="宋体" w:cs="宋体"/>
              </w:rPr>
            </w:pPr>
            <w:r>
              <w:rPr>
                <w:rFonts w:hint="eastAsia" w:ascii="宋体" w:hAnsi="宋体" w:cs="宋体"/>
                <w:lang w:val="en-US" w:eastAsia="zh-CN"/>
              </w:rPr>
              <w:t>1.</w:t>
            </w:r>
            <w:r>
              <w:rPr>
                <w:rFonts w:hint="eastAsia" w:ascii="宋体" w:hAnsi="宋体" w:cs="宋体"/>
              </w:rPr>
              <w:t>具有投资参股关系的关联企业，或具有直接管理和被管理关系的母子公司，或同一母公司的子公司，或法定代表人为同一人的两个及两个以上法人不得同时对同一标段磋商，否则均按废标处理。与采购人存在利害关系可能影响磋商公正性的法人、其他组织或者个人，不得参加磋商。单位负责人为同一人或者存在控股、管理关系的不同单位，不得参加同一标段磋商或者未划分标段的同一项目磋商。违反上述规定的，相关磋商均无效。</w:t>
            </w:r>
          </w:p>
          <w:p w14:paraId="5260C05B">
            <w:pPr>
              <w:snapToGrid w:val="0"/>
              <w:spacing w:line="400" w:lineRule="exact"/>
              <w:rPr>
                <w:rFonts w:ascii="宋体" w:hAnsi="宋体" w:cs="宋体"/>
              </w:rPr>
            </w:pPr>
            <w:r>
              <w:rPr>
                <w:rFonts w:hint="eastAsia" w:ascii="宋体" w:hAnsi="宋体" w:cs="宋体"/>
                <w:lang w:val="en-US" w:eastAsia="zh-CN"/>
              </w:rPr>
              <w:t>2.</w:t>
            </w:r>
            <w:r>
              <w:rPr>
                <w:rFonts w:hint="eastAsia" w:ascii="宋体" w:hAnsi="宋体" w:cs="宋体"/>
              </w:rPr>
              <w:t>不存在竞争性磋商文件第二章“供应商须知”第4.3和4.4条规定的任何一种情形。</w:t>
            </w:r>
          </w:p>
          <w:p w14:paraId="36B6FAB7">
            <w:pPr>
              <w:snapToGrid w:val="0"/>
              <w:spacing w:line="400" w:lineRule="exact"/>
              <w:rPr>
                <w:rFonts w:ascii="宋体" w:hAnsi="宋体"/>
                <w:szCs w:val="21"/>
              </w:rPr>
            </w:pPr>
            <w:r>
              <w:rPr>
                <w:rFonts w:hint="eastAsia" w:ascii="宋体" w:hAnsi="宋体" w:cs="宋体"/>
                <w:b/>
              </w:rPr>
              <w:t>响应文件内附法定代表人或其委托代理人签字</w:t>
            </w:r>
            <w:r>
              <w:rPr>
                <w:rFonts w:hint="eastAsia" w:ascii="宋体" w:hAnsi="宋体" w:cs="宋体"/>
                <w:b/>
                <w:szCs w:val="21"/>
                <w:lang w:val="zh-CN"/>
              </w:rPr>
              <w:t>（</w:t>
            </w:r>
            <w:r>
              <w:rPr>
                <w:rFonts w:hint="eastAsia" w:ascii="宋体" w:hAnsi="宋体" w:cs="宋体"/>
                <w:b/>
                <w:szCs w:val="21"/>
              </w:rPr>
              <w:t>或印章</w:t>
            </w:r>
            <w:r>
              <w:rPr>
                <w:rFonts w:hint="eastAsia" w:ascii="宋体" w:hAnsi="宋体" w:cs="宋体"/>
                <w:b/>
                <w:szCs w:val="21"/>
                <w:lang w:val="zh-CN"/>
              </w:rPr>
              <w:t>）</w:t>
            </w:r>
            <w:r>
              <w:rPr>
                <w:rFonts w:hint="eastAsia" w:ascii="宋体" w:hAnsi="宋体" w:cs="宋体"/>
                <w:b/>
              </w:rPr>
              <w:t>并加盖单位公章的承诺书。</w:t>
            </w:r>
          </w:p>
        </w:tc>
      </w:tr>
      <w:tr w14:paraId="40C6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40" w:type="pct"/>
            <w:vAlign w:val="center"/>
          </w:tcPr>
          <w:p w14:paraId="08A8458C">
            <w:pPr>
              <w:spacing w:line="400" w:lineRule="exact"/>
              <w:rPr>
                <w:rFonts w:ascii="宋体" w:hAnsi="宋体"/>
                <w:szCs w:val="21"/>
              </w:rPr>
            </w:pPr>
            <w:r>
              <w:rPr>
                <w:rFonts w:hint="eastAsia" w:ascii="宋体" w:hAnsi="宋体"/>
                <w:szCs w:val="21"/>
                <w:lang w:val="en-US" w:eastAsia="zh-CN"/>
              </w:rPr>
              <w:t>落实政策</w:t>
            </w:r>
          </w:p>
        </w:tc>
        <w:tc>
          <w:tcPr>
            <w:tcW w:w="3959" w:type="pct"/>
            <w:vAlign w:val="center"/>
          </w:tcPr>
          <w:p w14:paraId="30806092">
            <w:pPr>
              <w:snapToGrid w:val="0"/>
              <w:spacing w:line="400" w:lineRule="exact"/>
              <w:rPr>
                <w:rFonts w:hint="eastAsia" w:ascii="宋体" w:hAnsi="宋体" w:cs="宋体" w:eastAsiaTheme="minorEastAsia"/>
                <w:lang w:eastAsia="zh-CN"/>
              </w:rPr>
            </w:pPr>
            <w:r>
              <w:rPr>
                <w:rFonts w:hint="eastAsia" w:ascii="宋体" w:hAnsi="宋体" w:cs="宋体"/>
              </w:rPr>
              <w:t>供应商应符合中小企业，请根据要求上传《中小企业声明函》，格式以采购文件要求为准</w:t>
            </w:r>
            <w:r>
              <w:rPr>
                <w:rFonts w:hint="eastAsia" w:ascii="宋体" w:hAnsi="宋体" w:cs="宋体"/>
                <w:lang w:eastAsia="zh-CN"/>
              </w:rPr>
              <w:t>。</w:t>
            </w:r>
          </w:p>
        </w:tc>
      </w:tr>
    </w:tbl>
    <w:p w14:paraId="1403D01A">
      <w:pPr>
        <w:rPr>
          <w:rFonts w:hint="eastAsia" w:ascii="宋体" w:hAnsi="宋体"/>
          <w:b/>
          <w:bCs/>
          <w:sz w:val="24"/>
        </w:rPr>
      </w:pPr>
      <w:r>
        <w:rPr>
          <w:rFonts w:hint="eastAsia" w:ascii="宋体" w:hAnsi="宋体"/>
          <w:b/>
          <w:bCs/>
          <w:sz w:val="24"/>
        </w:rPr>
        <w:br w:type="page"/>
      </w:r>
    </w:p>
    <w:p w14:paraId="28AF3DEF">
      <w:pPr>
        <w:rPr>
          <w:rFonts w:ascii="宋体" w:hAnsi="宋体"/>
          <w:b/>
          <w:bCs/>
          <w:sz w:val="24"/>
        </w:rPr>
      </w:pPr>
      <w:r>
        <w:rPr>
          <w:rFonts w:hint="eastAsia" w:ascii="宋体" w:hAnsi="宋体"/>
          <w:b/>
          <w:bCs/>
          <w:sz w:val="24"/>
        </w:rPr>
        <w:t>2.符合性审查</w:t>
      </w:r>
    </w:p>
    <w:tbl>
      <w:tblPr>
        <w:tblStyle w:val="29"/>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6780"/>
      </w:tblGrid>
      <w:tr w14:paraId="566B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39" w:type="pct"/>
            <w:vAlign w:val="center"/>
          </w:tcPr>
          <w:p w14:paraId="5A650412">
            <w:pPr>
              <w:snapToGrid w:val="0"/>
              <w:jc w:val="center"/>
              <w:rPr>
                <w:rFonts w:ascii="宋体" w:hAnsi="宋体"/>
                <w:szCs w:val="21"/>
              </w:rPr>
            </w:pPr>
            <w:r>
              <w:rPr>
                <w:rFonts w:hint="eastAsia" w:ascii="宋体" w:hAnsi="宋体"/>
                <w:szCs w:val="21"/>
              </w:rPr>
              <w:t>评审因素</w:t>
            </w:r>
          </w:p>
        </w:tc>
        <w:tc>
          <w:tcPr>
            <w:tcW w:w="3960" w:type="pct"/>
            <w:vAlign w:val="center"/>
          </w:tcPr>
          <w:p w14:paraId="41991BF3">
            <w:pPr>
              <w:snapToGrid w:val="0"/>
              <w:jc w:val="center"/>
              <w:rPr>
                <w:rFonts w:ascii="宋体" w:hAnsi="宋体"/>
                <w:szCs w:val="21"/>
              </w:rPr>
            </w:pPr>
            <w:r>
              <w:rPr>
                <w:rFonts w:hint="eastAsia" w:ascii="宋体" w:hAnsi="宋体"/>
                <w:szCs w:val="21"/>
              </w:rPr>
              <w:t>评审标准</w:t>
            </w:r>
          </w:p>
        </w:tc>
      </w:tr>
      <w:tr w14:paraId="3135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jc w:val="center"/>
        </w:trPr>
        <w:tc>
          <w:tcPr>
            <w:tcW w:w="1039" w:type="pct"/>
            <w:vMerge w:val="restart"/>
            <w:vAlign w:val="center"/>
          </w:tcPr>
          <w:p w14:paraId="0D4F688B">
            <w:pPr>
              <w:snapToGrid w:val="0"/>
              <w:jc w:val="center"/>
              <w:rPr>
                <w:rFonts w:hint="eastAsia" w:ascii="宋体" w:hAnsi="宋体"/>
                <w:szCs w:val="21"/>
              </w:rPr>
            </w:pPr>
            <w:r>
              <w:rPr>
                <w:rFonts w:hint="eastAsia" w:ascii="宋体" w:hAnsi="宋体"/>
                <w:szCs w:val="21"/>
              </w:rPr>
              <w:t>技术标（暗标）</w:t>
            </w:r>
          </w:p>
        </w:tc>
        <w:tc>
          <w:tcPr>
            <w:tcW w:w="3960" w:type="pct"/>
            <w:vAlign w:val="center"/>
          </w:tcPr>
          <w:p w14:paraId="783B6F11">
            <w:pPr>
              <w:widowControl/>
              <w:adjustRightInd w:val="0"/>
              <w:snapToGrid w:val="0"/>
              <w:jc w:val="left"/>
              <w:rPr>
                <w:rFonts w:ascii="宋体" w:hAnsi="宋体" w:cs="宋体"/>
                <w:bCs/>
                <w:szCs w:val="21"/>
              </w:rPr>
            </w:pPr>
            <w:r>
              <w:rPr>
                <w:rFonts w:hint="eastAsia" w:ascii="宋体" w:hAnsi="宋体" w:cs="宋体"/>
                <w:bCs/>
                <w:szCs w:val="21"/>
              </w:rPr>
              <w:t>投标文件技术标必须遵守的统一格式和规范。</w:t>
            </w:r>
          </w:p>
          <w:p w14:paraId="3C2C0DC9">
            <w:pPr>
              <w:widowControl/>
              <w:adjustRightInd w:val="0"/>
              <w:snapToGrid w:val="0"/>
              <w:jc w:val="left"/>
              <w:rPr>
                <w:rFonts w:ascii="宋体" w:hAnsi="宋体" w:cs="宋体"/>
                <w:bCs/>
                <w:szCs w:val="21"/>
              </w:rPr>
            </w:pPr>
            <w:r>
              <w:rPr>
                <w:rFonts w:hint="eastAsia" w:ascii="宋体" w:hAnsi="宋体" w:cs="宋体"/>
                <w:bCs/>
                <w:szCs w:val="21"/>
              </w:rPr>
              <w:t>技术标文件（暗标）未按以下“盲评”要求制作的，为无效投标，除下述要求外，不得因暗标格式问题认定为无效投标：</w:t>
            </w:r>
          </w:p>
          <w:p w14:paraId="0C692C33">
            <w:pPr>
              <w:widowControl/>
              <w:adjustRightInd w:val="0"/>
              <w:snapToGrid w:val="0"/>
              <w:jc w:val="left"/>
              <w:rPr>
                <w:rFonts w:ascii="宋体" w:hAnsi="宋体" w:cs="宋体"/>
                <w:bCs/>
                <w:szCs w:val="21"/>
              </w:rPr>
            </w:pPr>
            <w:r>
              <w:rPr>
                <w:rFonts w:hint="eastAsia" w:ascii="宋体" w:hAnsi="宋体" w:cs="宋体"/>
                <w:bCs/>
                <w:szCs w:val="21"/>
              </w:rPr>
              <w:t>1.版面要求：A4纸张大小；</w:t>
            </w:r>
          </w:p>
          <w:p w14:paraId="6C9067D7">
            <w:pPr>
              <w:widowControl/>
              <w:adjustRightInd w:val="0"/>
              <w:snapToGrid w:val="0"/>
              <w:jc w:val="left"/>
              <w:rPr>
                <w:rFonts w:ascii="宋体" w:hAnsi="宋体" w:cs="宋体"/>
                <w:bCs/>
                <w:szCs w:val="21"/>
              </w:rPr>
            </w:pPr>
            <w:r>
              <w:rPr>
                <w:rFonts w:hint="eastAsia" w:ascii="宋体" w:hAnsi="宋体" w:cs="宋体"/>
                <w:bCs/>
                <w:szCs w:val="21"/>
              </w:rPr>
              <w:t>2.颜色要求：所有文字、图表均为黑色；</w:t>
            </w:r>
          </w:p>
          <w:p w14:paraId="0EB02EBF">
            <w:pPr>
              <w:widowControl/>
              <w:adjustRightInd w:val="0"/>
              <w:snapToGrid w:val="0"/>
              <w:jc w:val="left"/>
              <w:rPr>
                <w:rFonts w:ascii="宋体" w:hAnsi="宋体" w:cs="宋体"/>
                <w:bCs/>
                <w:szCs w:val="21"/>
              </w:rPr>
            </w:pPr>
            <w:r>
              <w:rPr>
                <w:rFonts w:hint="eastAsia" w:ascii="宋体" w:hAnsi="宋体" w:cs="宋体"/>
                <w:bCs/>
                <w:szCs w:val="21"/>
              </w:rPr>
              <w:t>3.字体要求：标题及正文部分所用文字均采用“宋体”四号“常规”字；图、表内的字体及字号不作要求；全部使用中文标点符号；所有字体均不得出现加粗、加色、倾斜、下划线等标记；</w:t>
            </w:r>
          </w:p>
          <w:p w14:paraId="1ECEE6A1">
            <w:pPr>
              <w:widowControl/>
              <w:adjustRightInd w:val="0"/>
              <w:snapToGrid w:val="0"/>
              <w:jc w:val="left"/>
              <w:rPr>
                <w:rFonts w:ascii="宋体" w:hAnsi="宋体" w:cs="宋体"/>
                <w:bCs/>
                <w:szCs w:val="21"/>
              </w:rPr>
            </w:pPr>
            <w:r>
              <w:rPr>
                <w:rFonts w:hint="eastAsia" w:ascii="宋体" w:hAnsi="宋体" w:cs="宋体"/>
                <w:bCs/>
                <w:szCs w:val="21"/>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0867928B">
            <w:pPr>
              <w:snapToGrid w:val="0"/>
              <w:jc w:val="left"/>
              <w:rPr>
                <w:rFonts w:hint="eastAsia" w:ascii="宋体" w:hAnsi="宋体"/>
                <w:szCs w:val="21"/>
              </w:rPr>
            </w:pPr>
            <w:r>
              <w:rPr>
                <w:rFonts w:hint="eastAsia" w:ascii="宋体" w:hAnsi="宋体" w:cs="宋体"/>
                <w:bCs/>
                <w:szCs w:val="21"/>
              </w:rPr>
              <w:t>5.其它：除满足上述各项要求外，构成投标文件的“技术暗标”的正文中均不得出现供应商的名称和其它可识别供应商身份的字符、徽标、人员名称以及其他可能被辨别出供应商身份的任何标记。</w:t>
            </w:r>
          </w:p>
        </w:tc>
      </w:tr>
      <w:tr w14:paraId="6DA0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39" w:type="pct"/>
            <w:vMerge w:val="continue"/>
            <w:vAlign w:val="center"/>
          </w:tcPr>
          <w:p w14:paraId="2BA05DF9">
            <w:pPr>
              <w:snapToGrid w:val="0"/>
              <w:jc w:val="center"/>
              <w:rPr>
                <w:rFonts w:hint="eastAsia" w:ascii="宋体" w:hAnsi="宋体"/>
                <w:szCs w:val="21"/>
              </w:rPr>
            </w:pPr>
          </w:p>
        </w:tc>
        <w:tc>
          <w:tcPr>
            <w:tcW w:w="3960" w:type="pct"/>
            <w:vAlign w:val="center"/>
          </w:tcPr>
          <w:p w14:paraId="370A4144">
            <w:pPr>
              <w:snapToGrid w:val="0"/>
              <w:jc w:val="left"/>
              <w:rPr>
                <w:rFonts w:hint="eastAsia" w:ascii="宋体" w:hAnsi="宋体" w:cs="宋体"/>
                <w:bCs/>
                <w:szCs w:val="21"/>
              </w:rPr>
            </w:pPr>
            <w:r>
              <w:rPr>
                <w:rFonts w:hint="eastAsia" w:ascii="宋体" w:hAnsi="宋体" w:cs="宋体"/>
                <w:b/>
                <w:bCs w:val="0"/>
                <w:color w:val="auto"/>
                <w:szCs w:val="21"/>
                <w:lang w:val="en-US" w:eastAsia="zh-CN"/>
              </w:rPr>
              <w:t>注：</w:t>
            </w:r>
            <w:r>
              <w:rPr>
                <w:rFonts w:hint="eastAsia" w:ascii="宋体" w:hAnsi="宋体" w:cs="宋体"/>
                <w:b/>
                <w:bCs w:val="0"/>
                <w:color w:val="auto"/>
                <w:szCs w:val="21"/>
              </w:rPr>
              <w:t>技术标不得设置封面。投标人编制施工组织设计（暗标）文件时，需对响应方案进行重点阐述，原则上该部分总篇幅不超过</w:t>
            </w:r>
            <w:r>
              <w:rPr>
                <w:rFonts w:hint="eastAsia" w:ascii="宋体" w:hAnsi="宋体" w:cs="宋体"/>
                <w:b/>
                <w:bCs w:val="0"/>
                <w:color w:val="auto"/>
                <w:szCs w:val="21"/>
                <w:lang w:val="en-US" w:eastAsia="zh-CN"/>
              </w:rPr>
              <w:t>5</w:t>
            </w:r>
            <w:r>
              <w:rPr>
                <w:rFonts w:hint="eastAsia" w:ascii="宋体" w:hAnsi="宋体" w:cs="宋体"/>
                <w:b/>
                <w:bCs w:val="0"/>
                <w:color w:val="auto"/>
                <w:szCs w:val="21"/>
              </w:rPr>
              <w:t>00页</w:t>
            </w:r>
            <w:r>
              <w:rPr>
                <w:rFonts w:hint="eastAsia" w:ascii="宋体" w:hAnsi="宋体" w:cs="宋体"/>
                <w:bCs/>
                <w:color w:val="auto"/>
                <w:szCs w:val="21"/>
              </w:rPr>
              <w:t>。</w:t>
            </w:r>
          </w:p>
        </w:tc>
      </w:tr>
      <w:tr w14:paraId="67FD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39" w:type="pct"/>
            <w:vAlign w:val="center"/>
          </w:tcPr>
          <w:p w14:paraId="0D073E9A">
            <w:pPr>
              <w:snapToGrid w:val="0"/>
              <w:rPr>
                <w:rFonts w:ascii="宋体" w:hAnsi="宋体"/>
                <w:szCs w:val="21"/>
              </w:rPr>
            </w:pPr>
            <w:r>
              <w:rPr>
                <w:rFonts w:hint="eastAsia" w:ascii="宋体" w:hAnsi="宋体"/>
                <w:szCs w:val="21"/>
              </w:rPr>
              <w:t>供应商名称</w:t>
            </w:r>
          </w:p>
        </w:tc>
        <w:tc>
          <w:tcPr>
            <w:tcW w:w="3960" w:type="pct"/>
            <w:vAlign w:val="center"/>
          </w:tcPr>
          <w:p w14:paraId="676CA7C0">
            <w:pPr>
              <w:snapToGrid w:val="0"/>
            </w:pPr>
            <w:r>
              <w:rPr>
                <w:rFonts w:hint="eastAsia"/>
              </w:rPr>
              <w:t>与营业执照、资质证书、安全生产许可证一致。</w:t>
            </w:r>
          </w:p>
        </w:tc>
      </w:tr>
      <w:tr w14:paraId="5DC0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039" w:type="pct"/>
            <w:vAlign w:val="center"/>
          </w:tcPr>
          <w:p w14:paraId="5DF0814D">
            <w:pPr>
              <w:snapToGrid w:val="0"/>
              <w:rPr>
                <w:rFonts w:ascii="宋体" w:hAnsi="宋体"/>
                <w:szCs w:val="21"/>
              </w:rPr>
            </w:pPr>
            <w:r>
              <w:rPr>
                <w:rFonts w:hint="eastAsia" w:ascii="宋体" w:hAnsi="宋体"/>
                <w:szCs w:val="21"/>
              </w:rPr>
              <w:t>签字或盖章要求</w:t>
            </w:r>
          </w:p>
        </w:tc>
        <w:tc>
          <w:tcPr>
            <w:tcW w:w="3960" w:type="pct"/>
            <w:vAlign w:val="center"/>
          </w:tcPr>
          <w:p w14:paraId="1032A435">
            <w:pPr>
              <w:snapToGrid w:val="0"/>
              <w:rPr>
                <w:rFonts w:ascii="宋体" w:hAnsi="宋体"/>
                <w:szCs w:val="21"/>
              </w:rPr>
            </w:pPr>
            <w:r>
              <w:rPr>
                <w:rFonts w:hint="eastAsia" w:ascii="宋体" w:hAnsi="宋体"/>
                <w:szCs w:val="21"/>
              </w:rPr>
              <w:t>响应文件封面、磋商函和其他需要签字或盖章的地方，均应加盖供应商印章并经法定代表人或其委托代理人签字或盖章，由委托代理人签字或盖章的需同时递交法定代表人授权委托书，其授权委托书的格式和签字盖章及内容均应符合竞争性磋商文件要求。</w:t>
            </w:r>
          </w:p>
        </w:tc>
      </w:tr>
      <w:tr w14:paraId="631E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39" w:type="pct"/>
            <w:vAlign w:val="center"/>
          </w:tcPr>
          <w:p w14:paraId="0F0349D6">
            <w:pPr>
              <w:snapToGrid w:val="0"/>
              <w:rPr>
                <w:rFonts w:ascii="宋体" w:hAnsi="宋体"/>
                <w:szCs w:val="21"/>
              </w:rPr>
            </w:pPr>
            <w:r>
              <w:rPr>
                <w:rFonts w:hint="eastAsia" w:ascii="宋体" w:hAnsi="宋体"/>
                <w:szCs w:val="21"/>
              </w:rPr>
              <w:t>磋商响应文件内容</w:t>
            </w:r>
          </w:p>
        </w:tc>
        <w:tc>
          <w:tcPr>
            <w:tcW w:w="3960" w:type="pct"/>
            <w:vAlign w:val="center"/>
          </w:tcPr>
          <w:p w14:paraId="2B4FC590">
            <w:pPr>
              <w:snapToGrid w:val="0"/>
              <w:rPr>
                <w:rFonts w:ascii="宋体" w:hAnsi="宋体"/>
                <w:szCs w:val="21"/>
              </w:rPr>
            </w:pPr>
            <w:r>
              <w:rPr>
                <w:rFonts w:hint="eastAsia" w:ascii="宋体" w:hAnsi="宋体"/>
                <w:szCs w:val="21"/>
              </w:rPr>
              <w:t>按规定的格式填写，内容齐全，字迹清楚。</w:t>
            </w:r>
          </w:p>
        </w:tc>
      </w:tr>
      <w:tr w14:paraId="4925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39" w:type="pct"/>
            <w:vAlign w:val="center"/>
          </w:tcPr>
          <w:p w14:paraId="0CD8A48D">
            <w:pPr>
              <w:snapToGrid w:val="0"/>
              <w:rPr>
                <w:rFonts w:ascii="宋体" w:hAnsi="宋体"/>
                <w:szCs w:val="21"/>
              </w:rPr>
            </w:pPr>
            <w:r>
              <w:rPr>
                <w:rFonts w:hint="eastAsia" w:ascii="宋体" w:hAnsi="宋体"/>
                <w:szCs w:val="21"/>
              </w:rPr>
              <w:t>报价唯一</w:t>
            </w:r>
          </w:p>
        </w:tc>
        <w:tc>
          <w:tcPr>
            <w:tcW w:w="3960" w:type="pct"/>
            <w:vAlign w:val="center"/>
          </w:tcPr>
          <w:p w14:paraId="33A4C1F9">
            <w:pPr>
              <w:snapToGrid w:val="0"/>
              <w:rPr>
                <w:rFonts w:ascii="宋体" w:hAnsi="宋体"/>
                <w:szCs w:val="21"/>
              </w:rPr>
            </w:pPr>
            <w:r>
              <w:rPr>
                <w:rFonts w:hint="eastAsia" w:ascii="宋体" w:hAnsi="宋体"/>
                <w:szCs w:val="21"/>
              </w:rPr>
              <w:t>一个供应商每轮只能有一个有效报价。</w:t>
            </w:r>
          </w:p>
        </w:tc>
      </w:tr>
      <w:tr w14:paraId="5D8C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39" w:type="pct"/>
            <w:vAlign w:val="center"/>
          </w:tcPr>
          <w:p w14:paraId="75EB1530">
            <w:pPr>
              <w:snapToGrid w:val="0"/>
              <w:rPr>
                <w:rFonts w:ascii="宋体" w:hAnsi="宋体"/>
                <w:szCs w:val="21"/>
              </w:rPr>
            </w:pPr>
            <w:r>
              <w:rPr>
                <w:rFonts w:hint="eastAsia" w:ascii="宋体" w:hAnsi="宋体"/>
                <w:szCs w:val="21"/>
              </w:rPr>
              <w:t>磋商报价</w:t>
            </w:r>
          </w:p>
        </w:tc>
        <w:tc>
          <w:tcPr>
            <w:tcW w:w="3960" w:type="pct"/>
            <w:vAlign w:val="center"/>
          </w:tcPr>
          <w:p w14:paraId="04A7634A">
            <w:pPr>
              <w:snapToGrid w:val="0"/>
              <w:rPr>
                <w:rFonts w:ascii="宋体" w:hAnsi="宋体"/>
                <w:szCs w:val="21"/>
              </w:rPr>
            </w:pPr>
            <w:r>
              <w:rPr>
                <w:rFonts w:hint="eastAsia" w:ascii="宋体" w:hAnsi="宋体"/>
                <w:szCs w:val="21"/>
              </w:rPr>
              <w:t>供应商的磋商报价符合磋商文件要求，且不得超过采购预算（最高投标限价）。</w:t>
            </w:r>
          </w:p>
        </w:tc>
      </w:tr>
      <w:tr w14:paraId="0119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39" w:type="pct"/>
            <w:vAlign w:val="center"/>
          </w:tcPr>
          <w:p w14:paraId="76CDB88D">
            <w:pPr>
              <w:snapToGrid w:val="0"/>
              <w:rPr>
                <w:rFonts w:ascii="宋体" w:hAnsi="宋体"/>
                <w:szCs w:val="21"/>
              </w:rPr>
            </w:pPr>
            <w:r>
              <w:rPr>
                <w:rFonts w:hint="eastAsia"/>
              </w:rPr>
              <w:t>合同履行期限</w:t>
            </w:r>
          </w:p>
        </w:tc>
        <w:tc>
          <w:tcPr>
            <w:tcW w:w="3960" w:type="pct"/>
            <w:vAlign w:val="center"/>
          </w:tcPr>
          <w:p w14:paraId="14C9DB70">
            <w:pPr>
              <w:snapToGrid w:val="0"/>
              <w:rPr>
                <w:rFonts w:ascii="宋体" w:hAnsi="宋体"/>
                <w:szCs w:val="21"/>
              </w:rPr>
            </w:pPr>
            <w:r>
              <w:rPr>
                <w:rFonts w:hint="eastAsia" w:ascii="宋体" w:hAnsi="宋体" w:cs="Arial"/>
                <w:szCs w:val="21"/>
              </w:rPr>
              <w:t>满足磋商文件要求。</w:t>
            </w:r>
          </w:p>
        </w:tc>
      </w:tr>
      <w:tr w14:paraId="17D3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39" w:type="pct"/>
            <w:vAlign w:val="center"/>
          </w:tcPr>
          <w:p w14:paraId="34D24CCD">
            <w:pPr>
              <w:snapToGrid w:val="0"/>
              <w:rPr>
                <w:rFonts w:ascii="宋体" w:hAnsi="宋体"/>
                <w:szCs w:val="21"/>
              </w:rPr>
            </w:pPr>
            <w:r>
              <w:rPr>
                <w:rFonts w:hint="eastAsia" w:ascii="宋体" w:hAnsi="宋体"/>
                <w:szCs w:val="21"/>
              </w:rPr>
              <w:t>磋商有效期</w:t>
            </w:r>
          </w:p>
        </w:tc>
        <w:tc>
          <w:tcPr>
            <w:tcW w:w="3960" w:type="pct"/>
            <w:vAlign w:val="center"/>
          </w:tcPr>
          <w:p w14:paraId="546E6EA3">
            <w:pPr>
              <w:snapToGrid w:val="0"/>
              <w:rPr>
                <w:rFonts w:ascii="宋体" w:hAnsi="宋体"/>
                <w:szCs w:val="21"/>
              </w:rPr>
            </w:pPr>
            <w:r>
              <w:rPr>
                <w:rFonts w:hint="eastAsia" w:ascii="宋体" w:hAnsi="宋体" w:cs="Arial"/>
                <w:szCs w:val="21"/>
              </w:rPr>
              <w:t>满</w:t>
            </w:r>
            <w:r>
              <w:rPr>
                <w:rFonts w:hint="eastAsia" w:ascii="宋体" w:hAnsi="宋体" w:cs="宋体"/>
              </w:rPr>
              <w:t>足磋商文件要求。</w:t>
            </w:r>
          </w:p>
        </w:tc>
      </w:tr>
      <w:tr w14:paraId="0C0A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39" w:type="pct"/>
            <w:vAlign w:val="center"/>
          </w:tcPr>
          <w:p w14:paraId="299C0AE4">
            <w:pPr>
              <w:snapToGrid w:val="0"/>
              <w:rPr>
                <w:rFonts w:ascii="宋体" w:hAnsi="宋体"/>
                <w:szCs w:val="21"/>
              </w:rPr>
            </w:pPr>
            <w:r>
              <w:rPr>
                <w:rFonts w:hint="eastAsia" w:ascii="宋体" w:hAnsi="宋体"/>
                <w:szCs w:val="21"/>
              </w:rPr>
              <w:t>磋商响应保证金</w:t>
            </w:r>
          </w:p>
        </w:tc>
        <w:tc>
          <w:tcPr>
            <w:tcW w:w="3960" w:type="pct"/>
            <w:vAlign w:val="center"/>
          </w:tcPr>
          <w:p w14:paraId="1A836884">
            <w:pPr>
              <w:snapToGrid w:val="0"/>
              <w:rPr>
                <w:rFonts w:ascii="宋体" w:hAnsi="宋体"/>
                <w:szCs w:val="21"/>
              </w:rPr>
            </w:pPr>
            <w:r>
              <w:rPr>
                <w:rFonts w:hint="eastAsia" w:ascii="宋体" w:hAnsi="宋体" w:cs="宋体"/>
              </w:rPr>
              <w:t>供应商按照磋商文件要求提交磋商响应保证金。</w:t>
            </w:r>
          </w:p>
        </w:tc>
      </w:tr>
      <w:tr w14:paraId="28A8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39" w:type="pct"/>
            <w:vAlign w:val="center"/>
          </w:tcPr>
          <w:p w14:paraId="227D8C20">
            <w:pPr>
              <w:widowControl/>
              <w:adjustRightInd w:val="0"/>
              <w:snapToGrid w:val="0"/>
              <w:rPr>
                <w:rFonts w:ascii="宋体" w:hAnsi="宋体"/>
                <w:szCs w:val="21"/>
              </w:rPr>
            </w:pPr>
            <w:r>
              <w:rPr>
                <w:rFonts w:hint="eastAsia"/>
              </w:rPr>
              <w:t>质量要求</w:t>
            </w:r>
          </w:p>
        </w:tc>
        <w:tc>
          <w:tcPr>
            <w:tcW w:w="3960" w:type="pct"/>
            <w:vAlign w:val="center"/>
          </w:tcPr>
          <w:p w14:paraId="5B52A4BF">
            <w:pPr>
              <w:widowControl/>
              <w:adjustRightInd w:val="0"/>
              <w:snapToGrid w:val="0"/>
              <w:rPr>
                <w:rFonts w:hint="eastAsia" w:ascii="宋体" w:hAnsi="宋体" w:cs="Arial" w:eastAsiaTheme="minorEastAsia"/>
                <w:szCs w:val="21"/>
                <w:lang w:eastAsia="zh-CN"/>
              </w:rPr>
            </w:pPr>
            <w:r>
              <w:rPr>
                <w:rFonts w:hint="eastAsia" w:ascii="宋体" w:hAnsi="宋体" w:cs="Arial"/>
                <w:szCs w:val="21"/>
              </w:rPr>
              <w:t>符合国家现行工程施工质量验收规范的合格标准</w:t>
            </w:r>
            <w:r>
              <w:rPr>
                <w:rFonts w:hint="eastAsia" w:ascii="宋体" w:hAnsi="宋体" w:cs="Arial"/>
                <w:szCs w:val="21"/>
                <w:lang w:eastAsia="zh-CN"/>
              </w:rPr>
              <w:t>。</w:t>
            </w:r>
          </w:p>
        </w:tc>
      </w:tr>
      <w:tr w14:paraId="3760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39" w:type="pct"/>
            <w:vAlign w:val="center"/>
          </w:tcPr>
          <w:p w14:paraId="1C670DC6">
            <w:pPr>
              <w:widowControl/>
              <w:adjustRightInd w:val="0"/>
              <w:snapToGrid w:val="0"/>
              <w:jc w:val="left"/>
              <w:rPr>
                <w:rFonts w:ascii="宋体" w:hAnsi="宋体"/>
                <w:szCs w:val="21"/>
              </w:rPr>
            </w:pPr>
            <w:r>
              <w:rPr>
                <w:rFonts w:hint="eastAsia" w:ascii="宋体" w:hAnsi="宋体" w:cs="宋体"/>
              </w:rPr>
              <w:t>采购需求</w:t>
            </w:r>
          </w:p>
        </w:tc>
        <w:tc>
          <w:tcPr>
            <w:tcW w:w="3960" w:type="pct"/>
            <w:vAlign w:val="center"/>
          </w:tcPr>
          <w:p w14:paraId="2611DD4C">
            <w:pPr>
              <w:widowControl/>
              <w:adjustRightInd w:val="0"/>
              <w:snapToGrid w:val="0"/>
              <w:jc w:val="left"/>
              <w:rPr>
                <w:rFonts w:ascii="宋体" w:hAnsi="宋体"/>
                <w:szCs w:val="21"/>
              </w:rPr>
            </w:pPr>
            <w:r>
              <w:rPr>
                <w:rFonts w:hint="eastAsia" w:ascii="宋体" w:hAnsi="宋体" w:cs="宋体"/>
              </w:rPr>
              <w:t>满足磋商文件要求。</w:t>
            </w:r>
          </w:p>
        </w:tc>
      </w:tr>
      <w:tr w14:paraId="6869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039" w:type="pct"/>
            <w:shd w:val="clear" w:color="auto" w:fill="auto"/>
            <w:vAlign w:val="center"/>
          </w:tcPr>
          <w:p w14:paraId="5A69DC7D">
            <w:pPr>
              <w:spacing w:line="276" w:lineRule="auto"/>
              <w:rPr>
                <w:rFonts w:hint="eastAsia" w:ascii="宋体" w:hAnsi="宋体" w:cs="宋体" w:eastAsiaTheme="minorEastAsia"/>
                <w:kern w:val="2"/>
                <w:sz w:val="21"/>
                <w:szCs w:val="24"/>
                <w:lang w:val="en-US" w:eastAsia="zh-CN" w:bidi="ar-SA"/>
              </w:rPr>
            </w:pPr>
            <w:r>
              <w:rPr>
                <w:rFonts w:hint="eastAsia" w:ascii="宋体" w:hAnsi="宋体"/>
                <w:szCs w:val="21"/>
              </w:rPr>
              <w:t>已标价工程量清单</w:t>
            </w:r>
          </w:p>
        </w:tc>
        <w:tc>
          <w:tcPr>
            <w:tcW w:w="3960" w:type="pct"/>
            <w:shd w:val="clear" w:color="auto" w:fill="auto"/>
            <w:vAlign w:val="center"/>
          </w:tcPr>
          <w:p w14:paraId="2778F7E0">
            <w:pPr>
              <w:widowControl/>
              <w:adjustRightInd w:val="0"/>
              <w:snapToGrid w:val="0"/>
              <w:jc w:val="left"/>
              <w:rPr>
                <w:rFonts w:hint="eastAsia" w:ascii="宋体" w:hAnsi="宋体" w:cs="宋体" w:eastAsiaTheme="minorEastAsia"/>
                <w:kern w:val="2"/>
                <w:sz w:val="21"/>
                <w:szCs w:val="24"/>
                <w:lang w:val="en-US" w:eastAsia="zh-CN" w:bidi="ar-SA"/>
              </w:rPr>
            </w:pPr>
            <w:r>
              <w:rPr>
                <w:rFonts w:hint="eastAsia" w:ascii="宋体" w:hAnsi="宋体" w:cs="宋体"/>
                <w:bCs/>
                <w:color w:val="auto"/>
                <w:szCs w:val="21"/>
              </w:rPr>
              <w:t>符合第七章“工程量清单”给出的范围及数量，供应商应按招标工程量清单填报价格。</w:t>
            </w:r>
            <w:r>
              <w:rPr>
                <w:rFonts w:hint="eastAsia" w:ascii="宋体" w:hAnsi="宋体" w:cs="宋体"/>
                <w:color w:val="auto"/>
                <w:kern w:val="0"/>
                <w:szCs w:val="21"/>
              </w:rPr>
              <w:t>项目编码、项目名称、项目特征、计量单位、工程量必须与</w:t>
            </w:r>
            <w:r>
              <w:rPr>
                <w:rFonts w:hint="eastAsia" w:ascii="宋体" w:hAnsi="宋体" w:cs="宋体"/>
                <w:bCs/>
                <w:color w:val="auto"/>
                <w:szCs w:val="21"/>
              </w:rPr>
              <w:t>招标</w:t>
            </w:r>
            <w:r>
              <w:rPr>
                <w:rFonts w:hint="eastAsia" w:ascii="宋体" w:hAnsi="宋体" w:cs="宋体"/>
                <w:color w:val="auto"/>
                <w:kern w:val="0"/>
                <w:szCs w:val="21"/>
              </w:rPr>
              <w:t>工程量清单</w:t>
            </w:r>
            <w:r>
              <w:rPr>
                <w:rFonts w:hint="eastAsia" w:ascii="宋体" w:hAnsi="宋体" w:cs="宋体"/>
                <w:bCs/>
                <w:color w:val="auto"/>
                <w:szCs w:val="21"/>
                <w:lang w:val="zh-CN"/>
              </w:rPr>
              <w:t>一致，</w:t>
            </w:r>
            <w:r>
              <w:rPr>
                <w:rFonts w:hint="eastAsia" w:ascii="宋体" w:hAnsi="宋体" w:cs="宋体"/>
                <w:b/>
                <w:bCs w:val="0"/>
                <w:color w:val="auto"/>
                <w:szCs w:val="21"/>
                <w:lang w:val="zh-CN"/>
              </w:rPr>
              <w:t>经</w:t>
            </w:r>
            <w:r>
              <w:rPr>
                <w:rFonts w:hint="eastAsia" w:ascii="宋体" w:hAnsi="宋体" w:cs="宋体"/>
                <w:b/>
                <w:bCs w:val="0"/>
                <w:color w:val="auto"/>
                <w:szCs w:val="21"/>
                <w:lang w:val="en-US" w:eastAsia="zh-CN"/>
              </w:rPr>
              <w:t>国家一级</w:t>
            </w:r>
            <w:r>
              <w:rPr>
                <w:rFonts w:hint="eastAsia" w:ascii="宋体" w:hAnsi="宋体" w:cs="宋体"/>
                <w:b/>
                <w:bCs w:val="0"/>
                <w:color w:val="auto"/>
                <w:szCs w:val="21"/>
                <w:lang w:val="zh-CN"/>
              </w:rPr>
              <w:t>注册造价师签字盖专用章，</w:t>
            </w:r>
            <w:r>
              <w:rPr>
                <w:rFonts w:hint="eastAsia" w:ascii="宋体" w:hAnsi="宋体" w:cs="宋体"/>
                <w:color w:val="auto"/>
                <w:szCs w:val="21"/>
                <w:lang w:val="zh-CN"/>
              </w:rPr>
              <w:t>并符合相关法律法规及招标文件规定。</w:t>
            </w:r>
          </w:p>
        </w:tc>
      </w:tr>
      <w:tr w14:paraId="40C7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39" w:type="pct"/>
            <w:vAlign w:val="center"/>
          </w:tcPr>
          <w:p w14:paraId="5C93791A">
            <w:pPr>
              <w:snapToGrid w:val="0"/>
              <w:rPr>
                <w:rFonts w:ascii="宋体" w:hAnsi="宋体"/>
                <w:szCs w:val="21"/>
              </w:rPr>
            </w:pPr>
            <w:r>
              <w:rPr>
                <w:rFonts w:hint="eastAsia" w:ascii="宋体" w:hAnsi="宋体"/>
                <w:szCs w:val="21"/>
              </w:rPr>
              <w:t>其他要求</w:t>
            </w:r>
          </w:p>
        </w:tc>
        <w:tc>
          <w:tcPr>
            <w:tcW w:w="3960" w:type="pct"/>
            <w:vAlign w:val="center"/>
          </w:tcPr>
          <w:p w14:paraId="1EB52852">
            <w:pPr>
              <w:snapToGrid w:val="0"/>
              <w:rPr>
                <w:rFonts w:ascii="宋体" w:hAnsi="宋体"/>
                <w:szCs w:val="21"/>
              </w:rPr>
            </w:pPr>
            <w:r>
              <w:rPr>
                <w:rFonts w:hint="eastAsia" w:ascii="宋体" w:hAnsi="宋体" w:cs="宋体"/>
              </w:rPr>
              <w:t>响应竞争性磋商文件其他实质性内容及要求。</w:t>
            </w:r>
          </w:p>
        </w:tc>
      </w:tr>
    </w:tbl>
    <w:p w14:paraId="1D191660">
      <w:pPr>
        <w:rPr>
          <w:rFonts w:ascii="宋体" w:hAnsi="宋体"/>
          <w:b/>
          <w:bCs/>
          <w:sz w:val="24"/>
        </w:rPr>
      </w:pPr>
      <w:r>
        <w:rPr>
          <w:rFonts w:hint="eastAsia" w:ascii="宋体" w:hAnsi="宋体"/>
          <w:b/>
          <w:bCs/>
          <w:sz w:val="24"/>
        </w:rPr>
        <w:br w:type="page"/>
      </w:r>
    </w:p>
    <w:p w14:paraId="2A5F38B7">
      <w:pPr>
        <w:numPr>
          <w:ilvl w:val="0"/>
          <w:numId w:val="0"/>
        </w:numPr>
        <w:autoSpaceDN w:val="0"/>
        <w:spacing w:line="360" w:lineRule="auto"/>
        <w:jc w:val="left"/>
        <w:rPr>
          <w:rFonts w:ascii="宋体" w:hAnsi="宋体" w:eastAsia="宋体" w:cs="宋体"/>
          <w:b/>
          <w:bCs/>
          <w:sz w:val="24"/>
        </w:rPr>
      </w:pPr>
      <w:r>
        <w:rPr>
          <w:rFonts w:hint="eastAsia" w:ascii="宋体" w:hAnsi="宋体" w:eastAsia="宋体" w:cs="宋体"/>
          <w:b/>
          <w:bCs/>
          <w:sz w:val="24"/>
          <w:lang w:val="en-US" w:eastAsia="zh-CN"/>
        </w:rPr>
        <w:t>4</w:t>
      </w:r>
      <w:r>
        <w:rPr>
          <w:rFonts w:hint="eastAsia" w:ascii="宋体" w:hAnsi="宋体" w:eastAsia="宋体" w:cs="宋体"/>
          <w:b/>
          <w:bCs/>
          <w:sz w:val="24"/>
        </w:rPr>
        <w:t>.技术、商务及价格评审表</w:t>
      </w:r>
    </w:p>
    <w:tbl>
      <w:tblPr>
        <w:tblStyle w:val="29"/>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1336"/>
        <w:gridCol w:w="5358"/>
      </w:tblGrid>
      <w:tr w14:paraId="5640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shd w:val="clear" w:color="auto" w:fill="auto"/>
            <w:vAlign w:val="center"/>
          </w:tcPr>
          <w:p w14:paraId="0078A047">
            <w:pPr>
              <w:widowControl/>
              <w:ind w:left="210" w:hanging="210" w:hangingChars="100"/>
              <w:jc w:val="center"/>
              <w:rPr>
                <w:rFonts w:ascii="宋体" w:hAnsi="宋体" w:eastAsia="宋体" w:cs="宋体"/>
                <w:kern w:val="0"/>
                <w:szCs w:val="21"/>
              </w:rPr>
            </w:pPr>
            <w:r>
              <w:rPr>
                <w:rFonts w:hint="eastAsia" w:ascii="宋体" w:hAnsi="宋体" w:eastAsia="宋体" w:cs="宋体"/>
                <w:kern w:val="0"/>
                <w:szCs w:val="21"/>
              </w:rPr>
              <w:t>评分因素</w:t>
            </w:r>
          </w:p>
        </w:tc>
        <w:tc>
          <w:tcPr>
            <w:tcW w:w="3939" w:type="pct"/>
            <w:gridSpan w:val="2"/>
            <w:shd w:val="clear" w:color="auto" w:fill="auto"/>
            <w:vAlign w:val="center"/>
          </w:tcPr>
          <w:p w14:paraId="50D7B0BE">
            <w:pPr>
              <w:widowControl/>
              <w:ind w:left="210" w:hanging="210" w:hangingChars="100"/>
              <w:jc w:val="center"/>
              <w:rPr>
                <w:rFonts w:ascii="宋体" w:hAnsi="宋体" w:eastAsia="宋体" w:cs="宋体"/>
                <w:kern w:val="0"/>
                <w:szCs w:val="21"/>
              </w:rPr>
            </w:pPr>
            <w:r>
              <w:rPr>
                <w:rFonts w:hint="eastAsia" w:ascii="宋体" w:hAnsi="宋体" w:eastAsia="宋体" w:cs="宋体"/>
                <w:kern w:val="0"/>
                <w:szCs w:val="21"/>
              </w:rPr>
              <w:t>评分标准</w:t>
            </w:r>
          </w:p>
        </w:tc>
      </w:tr>
      <w:tr w14:paraId="44A4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shd w:val="clear" w:color="auto" w:fill="auto"/>
            <w:vAlign w:val="center"/>
          </w:tcPr>
          <w:p w14:paraId="08F7A836">
            <w:pPr>
              <w:widowControl/>
              <w:ind w:left="210" w:hanging="210" w:hangingChars="100"/>
              <w:jc w:val="center"/>
              <w:rPr>
                <w:rFonts w:ascii="宋体" w:hAnsi="宋体" w:eastAsia="宋体" w:cs="宋体"/>
                <w:bCs/>
                <w:szCs w:val="21"/>
                <w:lang w:val="zh-CN"/>
              </w:rPr>
            </w:pPr>
            <w:r>
              <w:rPr>
                <w:rFonts w:hint="eastAsia" w:ascii="宋体" w:hAnsi="宋体" w:eastAsia="宋体" w:cs="宋体"/>
                <w:bCs/>
                <w:szCs w:val="21"/>
                <w:lang w:val="zh-CN"/>
              </w:rPr>
              <w:t>分值构成</w:t>
            </w:r>
          </w:p>
        </w:tc>
        <w:tc>
          <w:tcPr>
            <w:tcW w:w="3939" w:type="pct"/>
            <w:gridSpan w:val="2"/>
            <w:shd w:val="clear" w:color="auto" w:fill="auto"/>
          </w:tcPr>
          <w:p w14:paraId="3633CB9D">
            <w:pPr>
              <w:widowControl/>
              <w:rPr>
                <w:rFonts w:ascii="宋体" w:hAnsi="宋体" w:eastAsia="宋体" w:cs="宋体"/>
                <w:bCs/>
                <w:szCs w:val="21"/>
              </w:rPr>
            </w:pPr>
            <w:r>
              <w:rPr>
                <w:rFonts w:hint="eastAsia" w:ascii="宋体" w:hAnsi="宋体" w:eastAsia="宋体" w:cs="宋体"/>
                <w:bCs/>
                <w:szCs w:val="21"/>
              </w:rPr>
              <w:t>价格分：</w:t>
            </w:r>
            <w:r>
              <w:rPr>
                <w:rFonts w:hint="eastAsia" w:ascii="宋体" w:hAnsi="宋体" w:eastAsia="宋体" w:cs="宋体"/>
                <w:bCs/>
                <w:szCs w:val="21"/>
                <w:lang w:val="en-US" w:eastAsia="zh-CN"/>
              </w:rPr>
              <w:t>30</w:t>
            </w:r>
            <w:r>
              <w:rPr>
                <w:rFonts w:hint="eastAsia" w:ascii="宋体" w:hAnsi="宋体" w:eastAsia="宋体" w:cs="宋体"/>
                <w:bCs/>
                <w:szCs w:val="21"/>
              </w:rPr>
              <w:t>分</w:t>
            </w:r>
          </w:p>
          <w:p w14:paraId="2252B812">
            <w:pPr>
              <w:widowControl/>
              <w:rPr>
                <w:rFonts w:hint="default" w:ascii="宋体" w:hAnsi="宋体" w:eastAsia="宋体" w:cs="宋体"/>
                <w:bCs/>
                <w:szCs w:val="21"/>
                <w:highlight w:val="none"/>
                <w:lang w:val="en-US" w:eastAsia="zh-CN"/>
              </w:rPr>
            </w:pPr>
            <w:r>
              <w:rPr>
                <w:rFonts w:hint="eastAsia" w:ascii="宋体" w:hAnsi="宋体" w:eastAsia="宋体" w:cs="宋体"/>
                <w:bCs/>
                <w:szCs w:val="21"/>
              </w:rPr>
              <w:t>项目管理机构（商务）：</w:t>
            </w:r>
            <w:r>
              <w:rPr>
                <w:rFonts w:hint="eastAsia" w:ascii="宋体" w:hAnsi="宋体" w:eastAsia="宋体" w:cs="宋体"/>
                <w:bCs/>
                <w:szCs w:val="21"/>
                <w:highlight w:val="none"/>
                <w:lang w:val="en-US" w:eastAsia="zh-CN"/>
              </w:rPr>
              <w:t>8分</w:t>
            </w:r>
          </w:p>
          <w:p w14:paraId="794DBB83">
            <w:pPr>
              <w:widowControl/>
              <w:rPr>
                <w:rFonts w:ascii="宋体" w:hAnsi="宋体" w:eastAsia="宋体" w:cs="宋体"/>
                <w:bCs/>
                <w:szCs w:val="21"/>
                <w:highlight w:val="none"/>
              </w:rPr>
            </w:pPr>
            <w:r>
              <w:rPr>
                <w:rFonts w:hint="eastAsia" w:ascii="宋体" w:hAnsi="宋体" w:eastAsia="宋体" w:cs="宋体"/>
                <w:bCs/>
                <w:szCs w:val="21"/>
                <w:highlight w:val="none"/>
              </w:rPr>
              <w:t>其他评分因素（商务）：1</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分</w:t>
            </w:r>
          </w:p>
          <w:p w14:paraId="5AA06365">
            <w:pPr>
              <w:widowControl/>
              <w:rPr>
                <w:rFonts w:hint="default" w:ascii="宋体" w:hAnsi="宋体" w:eastAsia="宋体" w:cs="宋体"/>
                <w:bCs/>
                <w:szCs w:val="21"/>
                <w:lang w:val="en-US" w:eastAsia="zh-CN"/>
              </w:rPr>
            </w:pPr>
            <w:r>
              <w:rPr>
                <w:rFonts w:hint="eastAsia" w:ascii="宋体" w:hAnsi="宋体" w:eastAsia="宋体" w:cs="宋体"/>
                <w:bCs/>
                <w:szCs w:val="21"/>
                <w:highlight w:val="none"/>
                <w:lang w:val="zh-CN"/>
              </w:rPr>
              <w:t>施工组织设计（</w:t>
            </w:r>
            <w:r>
              <w:rPr>
                <w:rFonts w:hint="eastAsia" w:ascii="宋体" w:hAnsi="宋体" w:eastAsia="宋体" w:cs="宋体"/>
                <w:bCs/>
                <w:szCs w:val="21"/>
                <w:highlight w:val="none"/>
              </w:rPr>
              <w:t>技术</w:t>
            </w:r>
            <w:r>
              <w:rPr>
                <w:rFonts w:hint="eastAsia" w:ascii="宋体" w:hAnsi="宋体" w:eastAsia="宋体" w:cs="宋体"/>
                <w:bCs/>
                <w:szCs w:val="21"/>
                <w:highlight w:val="none"/>
                <w:lang w:val="zh-CN"/>
              </w:rPr>
              <w:t>）：</w:t>
            </w:r>
            <w:r>
              <w:rPr>
                <w:rFonts w:hint="eastAsia" w:ascii="宋体" w:hAnsi="宋体" w:eastAsia="宋体" w:cs="宋体"/>
                <w:bCs/>
                <w:szCs w:val="21"/>
                <w:highlight w:val="none"/>
                <w:lang w:val="en-US" w:eastAsia="zh-CN"/>
              </w:rPr>
              <w:t>50分</w:t>
            </w:r>
          </w:p>
        </w:tc>
      </w:tr>
      <w:tr w14:paraId="760C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Align w:val="center"/>
          </w:tcPr>
          <w:p w14:paraId="46431B28">
            <w:pPr>
              <w:widowControl/>
              <w:jc w:val="center"/>
              <w:rPr>
                <w:rFonts w:ascii="宋体" w:hAnsi="宋体" w:eastAsia="宋体" w:cs="宋体"/>
                <w:bCs/>
                <w:szCs w:val="21"/>
                <w:lang w:val="zh-CN"/>
              </w:rPr>
            </w:pPr>
            <w:r>
              <w:rPr>
                <w:rFonts w:hint="eastAsia" w:ascii="宋体" w:hAnsi="宋体" w:eastAsia="宋体" w:cs="宋体"/>
                <w:bCs/>
                <w:szCs w:val="21"/>
                <w:lang w:val="zh-CN"/>
              </w:rPr>
              <w:t>磋商基准价</w:t>
            </w:r>
          </w:p>
          <w:p w14:paraId="3AC0373E">
            <w:pPr>
              <w:widowControl/>
              <w:jc w:val="center"/>
              <w:rPr>
                <w:rFonts w:ascii="宋体" w:hAnsi="宋体" w:eastAsia="宋体" w:cs="宋体"/>
                <w:bCs/>
                <w:szCs w:val="21"/>
                <w:lang w:val="zh-CN"/>
              </w:rPr>
            </w:pPr>
            <w:r>
              <w:rPr>
                <w:rFonts w:hint="eastAsia" w:ascii="宋体" w:hAnsi="宋体" w:eastAsia="宋体" w:cs="宋体"/>
                <w:bCs/>
                <w:szCs w:val="21"/>
                <w:lang w:val="zh-CN"/>
              </w:rPr>
              <w:t>计算方法</w:t>
            </w:r>
          </w:p>
        </w:tc>
        <w:tc>
          <w:tcPr>
            <w:tcW w:w="3939" w:type="pct"/>
            <w:gridSpan w:val="2"/>
          </w:tcPr>
          <w:p w14:paraId="4DE9D7F9">
            <w:pPr>
              <w:widowControl/>
              <w:ind w:firstLine="10"/>
              <w:rPr>
                <w:rFonts w:ascii="宋体" w:hAnsi="宋体" w:eastAsia="宋体" w:cs="宋体"/>
                <w:bCs/>
                <w:szCs w:val="21"/>
              </w:rPr>
            </w:pPr>
            <w:r>
              <w:rPr>
                <w:rFonts w:hint="eastAsia" w:ascii="宋体" w:hAnsi="宋体" w:eastAsia="宋体" w:cs="宋体"/>
                <w:bCs/>
                <w:szCs w:val="21"/>
                <w:lang w:val="zh-CN"/>
              </w:rPr>
              <w:t>满足磋商文件要求且价格最低的最后</w:t>
            </w:r>
            <w:r>
              <w:rPr>
                <w:rFonts w:hint="eastAsia" w:ascii="宋体" w:hAnsi="宋体" w:eastAsia="宋体" w:cs="宋体"/>
                <w:bCs/>
                <w:szCs w:val="21"/>
              </w:rPr>
              <w:t>报价的评审价</w:t>
            </w:r>
            <w:r>
              <w:rPr>
                <w:rFonts w:hint="eastAsia" w:ascii="宋体" w:hAnsi="宋体" w:eastAsia="宋体" w:cs="宋体"/>
                <w:bCs/>
                <w:szCs w:val="21"/>
                <w:lang w:val="zh-CN"/>
              </w:rPr>
              <w:t>为磋商基准价，其价格分为满分。超出最高限价的磋商响应报价为无效报价。</w:t>
            </w:r>
          </w:p>
        </w:tc>
      </w:tr>
      <w:tr w14:paraId="43CE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1060" w:type="pct"/>
            <w:tcMar>
              <w:top w:w="0" w:type="dxa"/>
              <w:left w:w="108" w:type="dxa"/>
              <w:bottom w:w="0" w:type="dxa"/>
              <w:right w:w="108" w:type="dxa"/>
            </w:tcMar>
            <w:vAlign w:val="center"/>
          </w:tcPr>
          <w:p w14:paraId="55DCAD6B">
            <w:pPr>
              <w:widowControl/>
              <w:rPr>
                <w:rFonts w:ascii="宋体" w:hAnsi="宋体" w:eastAsia="宋体" w:cs="宋体"/>
                <w:szCs w:val="21"/>
              </w:rPr>
            </w:pPr>
            <w:r>
              <w:rPr>
                <w:rFonts w:hint="eastAsia" w:ascii="宋体" w:hAnsi="宋体" w:eastAsia="宋体" w:cs="宋体"/>
                <w:szCs w:val="21"/>
              </w:rPr>
              <w:t>评分项目</w:t>
            </w:r>
          </w:p>
        </w:tc>
        <w:tc>
          <w:tcPr>
            <w:tcW w:w="786" w:type="pct"/>
            <w:tcMar>
              <w:top w:w="0" w:type="dxa"/>
              <w:left w:w="108" w:type="dxa"/>
              <w:bottom w:w="0" w:type="dxa"/>
              <w:right w:w="108" w:type="dxa"/>
            </w:tcMar>
            <w:vAlign w:val="center"/>
          </w:tcPr>
          <w:p w14:paraId="6CBB207C">
            <w:pPr>
              <w:widowControl/>
              <w:rPr>
                <w:rFonts w:ascii="宋体" w:hAnsi="宋体" w:eastAsia="宋体" w:cs="宋体"/>
                <w:szCs w:val="21"/>
              </w:rPr>
            </w:pPr>
            <w:r>
              <w:rPr>
                <w:rFonts w:hint="eastAsia" w:ascii="宋体" w:hAnsi="宋体" w:eastAsia="宋体" w:cs="宋体"/>
                <w:szCs w:val="21"/>
              </w:rPr>
              <w:t>基准分值</w:t>
            </w:r>
          </w:p>
        </w:tc>
        <w:tc>
          <w:tcPr>
            <w:tcW w:w="3153" w:type="pct"/>
            <w:tcMar>
              <w:top w:w="0" w:type="dxa"/>
              <w:left w:w="108" w:type="dxa"/>
              <w:bottom w:w="0" w:type="dxa"/>
              <w:right w:w="108" w:type="dxa"/>
            </w:tcMar>
            <w:vAlign w:val="center"/>
          </w:tcPr>
          <w:p w14:paraId="11164263">
            <w:pPr>
              <w:widowControl/>
              <w:rPr>
                <w:rFonts w:ascii="宋体" w:hAnsi="宋体" w:eastAsia="宋体" w:cs="宋体"/>
                <w:szCs w:val="21"/>
              </w:rPr>
            </w:pPr>
            <w:r>
              <w:rPr>
                <w:rFonts w:hint="eastAsia" w:ascii="宋体" w:hAnsi="宋体" w:eastAsia="宋体" w:cs="宋体"/>
                <w:szCs w:val="21"/>
              </w:rPr>
              <w:t>评分标准</w:t>
            </w:r>
          </w:p>
        </w:tc>
      </w:tr>
      <w:tr w14:paraId="7417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trPr>
        <w:tc>
          <w:tcPr>
            <w:tcW w:w="1060" w:type="pct"/>
            <w:tcMar>
              <w:top w:w="0" w:type="dxa"/>
              <w:left w:w="108" w:type="dxa"/>
              <w:bottom w:w="0" w:type="dxa"/>
              <w:right w:w="108" w:type="dxa"/>
            </w:tcMar>
            <w:vAlign w:val="center"/>
          </w:tcPr>
          <w:p w14:paraId="166BC359">
            <w:pPr>
              <w:widowControl/>
              <w:rPr>
                <w:rFonts w:ascii="宋体" w:hAnsi="宋体" w:eastAsia="宋体" w:cs="宋体"/>
                <w:szCs w:val="21"/>
              </w:rPr>
            </w:pPr>
            <w:r>
              <w:rPr>
                <w:rFonts w:hint="eastAsia" w:ascii="宋体" w:hAnsi="宋体" w:eastAsia="宋体" w:cs="宋体"/>
                <w:szCs w:val="21"/>
              </w:rPr>
              <w:t>价格分</w:t>
            </w:r>
          </w:p>
          <w:p w14:paraId="1801F4E8">
            <w:pPr>
              <w:widowControl/>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30</w:t>
            </w:r>
            <w:r>
              <w:rPr>
                <w:rFonts w:hint="eastAsia" w:ascii="宋体" w:hAnsi="宋体" w:eastAsia="宋体" w:cs="宋体"/>
                <w:szCs w:val="21"/>
              </w:rPr>
              <w:t>分）</w:t>
            </w:r>
          </w:p>
        </w:tc>
        <w:tc>
          <w:tcPr>
            <w:tcW w:w="786" w:type="pct"/>
            <w:tcMar>
              <w:top w:w="0" w:type="dxa"/>
              <w:left w:w="108" w:type="dxa"/>
              <w:bottom w:w="0" w:type="dxa"/>
              <w:right w:w="108" w:type="dxa"/>
            </w:tcMar>
            <w:vAlign w:val="center"/>
          </w:tcPr>
          <w:p w14:paraId="531157FA">
            <w:pPr>
              <w:widowControl/>
              <w:rPr>
                <w:rFonts w:ascii="宋体" w:hAnsi="宋体" w:eastAsia="宋体" w:cs="宋体"/>
                <w:szCs w:val="21"/>
              </w:rPr>
            </w:pPr>
            <w:r>
              <w:rPr>
                <w:rFonts w:hint="eastAsia" w:ascii="宋体" w:hAnsi="宋体" w:eastAsia="宋体" w:cs="宋体"/>
                <w:szCs w:val="21"/>
              </w:rPr>
              <w:t>价格3</w:t>
            </w:r>
            <w:r>
              <w:rPr>
                <w:rFonts w:hint="eastAsia" w:ascii="宋体" w:hAnsi="宋体" w:eastAsia="宋体" w:cs="宋体"/>
                <w:szCs w:val="21"/>
                <w:lang w:val="en-US" w:eastAsia="zh-CN"/>
              </w:rPr>
              <w:t>0</w:t>
            </w:r>
            <w:r>
              <w:rPr>
                <w:rFonts w:hint="eastAsia" w:ascii="宋体" w:hAnsi="宋体" w:eastAsia="宋体" w:cs="宋体"/>
                <w:szCs w:val="21"/>
              </w:rPr>
              <w:t>分</w:t>
            </w:r>
          </w:p>
        </w:tc>
        <w:tc>
          <w:tcPr>
            <w:tcW w:w="3153" w:type="pct"/>
            <w:tcMar>
              <w:top w:w="0" w:type="dxa"/>
              <w:left w:w="108" w:type="dxa"/>
              <w:bottom w:w="0" w:type="dxa"/>
              <w:right w:w="108" w:type="dxa"/>
            </w:tcMar>
            <w:vAlign w:val="center"/>
          </w:tcPr>
          <w:p w14:paraId="090FE947">
            <w:pPr>
              <w:widowControl/>
              <w:rPr>
                <w:rFonts w:ascii="宋体" w:hAnsi="宋体" w:eastAsia="宋体" w:cs="宋体"/>
                <w:szCs w:val="21"/>
              </w:rPr>
            </w:pPr>
            <w:r>
              <w:rPr>
                <w:rFonts w:hint="eastAsia" w:ascii="宋体" w:hAnsi="宋体" w:eastAsia="宋体" w:cs="宋体"/>
                <w:szCs w:val="21"/>
              </w:rPr>
              <w:t>报价得分：以按照竞争性磋商文件规定修正后的所有合格供应商的评标价的最低价作为评分基准价。价格分按</w:t>
            </w:r>
            <w:r>
              <w:rPr>
                <w:rFonts w:hint="eastAsia" w:ascii="宋体" w:hAnsi="宋体" w:eastAsia="宋体" w:cs="宋体"/>
                <w:szCs w:val="21"/>
                <w:lang w:val="en-US" w:eastAsia="zh-CN"/>
              </w:rPr>
              <w:t>公</w:t>
            </w:r>
            <w:r>
              <w:rPr>
                <w:rFonts w:hint="eastAsia" w:ascii="宋体" w:hAnsi="宋体" w:eastAsia="宋体" w:cs="宋体"/>
                <w:szCs w:val="21"/>
              </w:rPr>
              <w:t>式计算：价格分=（评分基准价/评审价）×3</w:t>
            </w:r>
            <w:r>
              <w:rPr>
                <w:rFonts w:hint="eastAsia" w:ascii="宋体" w:hAnsi="宋体" w:eastAsia="宋体" w:cs="宋体"/>
                <w:szCs w:val="21"/>
                <w:lang w:val="en-US" w:eastAsia="zh-CN"/>
              </w:rPr>
              <w:t>0</w:t>
            </w:r>
            <w:r>
              <w:rPr>
                <w:rFonts w:hint="eastAsia" w:ascii="宋体" w:hAnsi="宋体" w:eastAsia="宋体" w:cs="宋体"/>
                <w:szCs w:val="21"/>
              </w:rPr>
              <w:t>。</w:t>
            </w:r>
          </w:p>
        </w:tc>
      </w:tr>
      <w:tr w14:paraId="1A5A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60" w:type="pct"/>
            <w:vMerge w:val="restart"/>
            <w:tcMar>
              <w:top w:w="0" w:type="dxa"/>
              <w:left w:w="108" w:type="dxa"/>
              <w:bottom w:w="0" w:type="dxa"/>
              <w:right w:w="108" w:type="dxa"/>
            </w:tcMar>
            <w:vAlign w:val="center"/>
          </w:tcPr>
          <w:p w14:paraId="5AE0FDE2">
            <w:pPr>
              <w:widowControl/>
              <w:rPr>
                <w:rFonts w:ascii="宋体" w:hAnsi="宋体" w:eastAsia="宋体" w:cs="宋体"/>
                <w:szCs w:val="21"/>
              </w:rPr>
            </w:pPr>
            <w:r>
              <w:rPr>
                <w:rFonts w:hint="eastAsia" w:ascii="宋体" w:hAnsi="宋体" w:eastAsia="宋体" w:cs="宋体"/>
                <w:szCs w:val="21"/>
              </w:rPr>
              <w:t>项目管理机构</w:t>
            </w:r>
          </w:p>
          <w:p w14:paraId="0EF07086">
            <w:pPr>
              <w:widowControl/>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分）</w:t>
            </w:r>
          </w:p>
        </w:tc>
        <w:tc>
          <w:tcPr>
            <w:tcW w:w="786" w:type="pct"/>
            <w:tcMar>
              <w:top w:w="0" w:type="dxa"/>
              <w:left w:w="108" w:type="dxa"/>
              <w:bottom w:w="0" w:type="dxa"/>
              <w:right w:w="108" w:type="dxa"/>
            </w:tcMar>
            <w:vAlign w:val="center"/>
          </w:tcPr>
          <w:p w14:paraId="7B2CE74C">
            <w:pPr>
              <w:widowControl/>
              <w:rPr>
                <w:rFonts w:hint="default" w:ascii="宋体" w:hAnsi="宋体" w:eastAsia="宋体" w:cs="宋体"/>
                <w:szCs w:val="21"/>
                <w:lang w:val="en-US" w:eastAsia="zh-CN"/>
              </w:rPr>
            </w:pPr>
            <w:r>
              <w:rPr>
                <w:rFonts w:hint="eastAsia" w:ascii="宋体" w:hAnsi="宋体" w:eastAsia="宋体" w:cs="宋体"/>
                <w:szCs w:val="21"/>
              </w:rPr>
              <w:t>项目管理机构</w:t>
            </w:r>
            <w:r>
              <w:rPr>
                <w:rFonts w:hint="eastAsia" w:ascii="宋体" w:hAnsi="宋体" w:eastAsia="宋体" w:cs="宋体"/>
                <w:szCs w:val="21"/>
                <w:lang w:val="en-US" w:eastAsia="zh-CN"/>
              </w:rPr>
              <w:t>8分</w:t>
            </w:r>
          </w:p>
        </w:tc>
        <w:tc>
          <w:tcPr>
            <w:tcW w:w="3153" w:type="pct"/>
            <w:tcMar>
              <w:top w:w="0" w:type="dxa"/>
              <w:left w:w="108" w:type="dxa"/>
              <w:bottom w:w="0" w:type="dxa"/>
              <w:right w:w="108" w:type="dxa"/>
            </w:tcMar>
            <w:vAlign w:val="center"/>
          </w:tcPr>
          <w:p w14:paraId="18798F56">
            <w:pPr>
              <w:widowControl/>
              <w:rPr>
                <w:rFonts w:ascii="宋体" w:hAnsi="宋体" w:eastAsia="宋体" w:cs="宋体"/>
                <w:szCs w:val="21"/>
              </w:rPr>
            </w:pPr>
            <w:r>
              <w:rPr>
                <w:rFonts w:hint="eastAsia" w:ascii="宋体" w:hAnsi="宋体" w:eastAsia="宋体" w:cs="宋体"/>
                <w:szCs w:val="21"/>
              </w:rPr>
              <w:t>①项目管理机构具备项目经理1人、技术负责人1人、施工员1人、质量员1人、材料员1人、安全员1人</w:t>
            </w:r>
            <w:r>
              <w:rPr>
                <w:rFonts w:hint="eastAsia" w:ascii="宋体" w:hAnsi="宋体"/>
                <w:highlight w:val="none"/>
                <w:lang w:val="en-US" w:eastAsia="zh-CN"/>
              </w:rPr>
              <w:t>，</w:t>
            </w:r>
            <w:r>
              <w:rPr>
                <w:rFonts w:hint="eastAsia" w:ascii="宋体" w:hAnsi="宋体" w:eastAsia="宋体" w:cs="宋体"/>
                <w:szCs w:val="21"/>
              </w:rPr>
              <w:t>具有相应人员的岗位证书</w:t>
            </w:r>
            <w:r>
              <w:rPr>
                <w:rFonts w:hint="eastAsia" w:ascii="宋体" w:hAnsi="宋体" w:eastAsia="宋体" w:cs="宋体"/>
                <w:szCs w:val="21"/>
                <w:lang w:eastAsia="zh-CN"/>
              </w:rPr>
              <w:t>（</w:t>
            </w:r>
            <w:r>
              <w:rPr>
                <w:rFonts w:hint="eastAsia" w:ascii="宋体" w:hAnsi="宋体" w:eastAsia="宋体" w:cs="宋体"/>
                <w:szCs w:val="21"/>
                <w:lang w:val="en-US" w:eastAsia="zh-CN"/>
              </w:rPr>
              <w:t>技术负责人具有职称证书</w:t>
            </w:r>
            <w:r>
              <w:rPr>
                <w:rFonts w:hint="eastAsia" w:ascii="宋体" w:hAnsi="宋体" w:eastAsia="宋体" w:cs="宋体"/>
                <w:szCs w:val="21"/>
                <w:lang w:eastAsia="zh-CN"/>
              </w:rPr>
              <w:t>）</w:t>
            </w:r>
            <w:r>
              <w:rPr>
                <w:rFonts w:hint="eastAsia" w:ascii="宋体" w:hAnsi="宋体" w:eastAsia="宋体" w:cs="宋体"/>
                <w:szCs w:val="21"/>
              </w:rPr>
              <w:t>，得基本分</w:t>
            </w:r>
            <w:r>
              <w:rPr>
                <w:rFonts w:hint="eastAsia" w:ascii="宋体" w:hAnsi="宋体" w:eastAsia="宋体" w:cs="宋体"/>
                <w:szCs w:val="21"/>
                <w:lang w:val="en-US" w:eastAsia="zh-CN"/>
              </w:rPr>
              <w:t>3</w:t>
            </w:r>
            <w:r>
              <w:rPr>
                <w:rFonts w:hint="eastAsia" w:ascii="宋体" w:hAnsi="宋体" w:eastAsia="宋体" w:cs="宋体"/>
                <w:szCs w:val="21"/>
              </w:rPr>
              <w:t>分，不符合要求不得分；</w:t>
            </w:r>
          </w:p>
          <w:p w14:paraId="2E9087E4">
            <w:pPr>
              <w:widowControl/>
              <w:rPr>
                <w:rFonts w:ascii="宋体" w:hAnsi="宋体" w:eastAsia="宋体" w:cs="宋体"/>
                <w:szCs w:val="21"/>
              </w:rPr>
            </w:pPr>
            <w:r>
              <w:rPr>
                <w:rFonts w:hint="eastAsia" w:ascii="宋体" w:hAnsi="宋体" w:eastAsia="宋体" w:cs="宋体"/>
                <w:szCs w:val="21"/>
              </w:rPr>
              <w:t>②在满足上述人员基础上每增加</w:t>
            </w:r>
            <w:r>
              <w:rPr>
                <w:rFonts w:hint="eastAsia" w:ascii="宋体" w:hAnsi="宋体" w:eastAsia="宋体" w:cs="宋体"/>
                <w:szCs w:val="21"/>
                <w:lang w:val="en-US" w:eastAsia="zh-CN"/>
              </w:rPr>
              <w:t>1名</w:t>
            </w:r>
            <w:r>
              <w:rPr>
                <w:rFonts w:hint="eastAsia" w:ascii="宋体" w:hAnsi="宋体" w:eastAsia="宋体" w:cs="宋体"/>
                <w:szCs w:val="21"/>
                <w:highlight w:val="none"/>
                <w:lang w:val="en-US" w:eastAsia="zh-CN"/>
              </w:rPr>
              <w:t>岗位人员</w:t>
            </w:r>
            <w:r>
              <w:rPr>
                <w:rFonts w:hint="eastAsia" w:ascii="宋体" w:hAnsi="宋体" w:eastAsia="宋体" w:cs="宋体"/>
                <w:szCs w:val="21"/>
              </w:rPr>
              <w:t>得1分，最多得</w:t>
            </w:r>
            <w:r>
              <w:rPr>
                <w:rFonts w:hint="eastAsia" w:ascii="宋体" w:hAnsi="宋体" w:eastAsia="宋体" w:cs="宋体"/>
                <w:szCs w:val="21"/>
                <w:lang w:val="en-US" w:eastAsia="zh-CN"/>
              </w:rPr>
              <w:t>5</w:t>
            </w:r>
            <w:r>
              <w:rPr>
                <w:rFonts w:hint="eastAsia" w:ascii="宋体" w:hAnsi="宋体" w:eastAsia="宋体" w:cs="宋体"/>
                <w:szCs w:val="21"/>
              </w:rPr>
              <w:t>分，不符合要求不得分。</w:t>
            </w:r>
          </w:p>
          <w:p w14:paraId="65D5606B">
            <w:pPr>
              <w:widowControl/>
              <w:rPr>
                <w:rFonts w:hint="eastAsia" w:ascii="宋体" w:hAnsi="宋体" w:eastAsia="宋体" w:cs="宋体"/>
                <w:szCs w:val="21"/>
                <w:lang w:eastAsia="zh-CN"/>
              </w:rPr>
            </w:pPr>
            <w:r>
              <w:rPr>
                <w:rFonts w:hint="eastAsia" w:ascii="宋体" w:hAnsi="宋体" w:eastAsia="宋体" w:cs="宋体"/>
                <w:b/>
                <w:bCs/>
                <w:szCs w:val="21"/>
                <w:lang w:eastAsia="zh-CN"/>
              </w:rPr>
              <w:t>响应文件中须附人员身份证、职称证或岗位证书复印件，若使用电子证书，需同时附电子证书及有效查询方式</w:t>
            </w:r>
            <w:r>
              <w:rPr>
                <w:rFonts w:hint="eastAsia" w:ascii="宋体" w:hAnsi="宋体" w:eastAsia="宋体" w:cs="宋体"/>
                <w:b/>
                <w:bCs/>
                <w:color w:val="auto"/>
                <w:szCs w:val="21"/>
                <w:lang w:eastAsia="zh-CN"/>
              </w:rPr>
              <w:t>；另须附近一年内（2025年4月至今）任意一个月相关材料的复印件，并加盖企</w:t>
            </w:r>
            <w:r>
              <w:rPr>
                <w:rFonts w:hint="eastAsia" w:ascii="宋体" w:hAnsi="宋体" w:eastAsia="宋体" w:cs="宋体"/>
                <w:b/>
                <w:bCs/>
                <w:szCs w:val="21"/>
                <w:lang w:eastAsia="zh-CN"/>
              </w:rPr>
              <w:t>业电子印章，材料不全或不符合要求的，该项不计分。</w:t>
            </w:r>
          </w:p>
        </w:tc>
      </w:tr>
      <w:tr w14:paraId="77AD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1" w:hRule="atLeast"/>
        </w:trPr>
        <w:tc>
          <w:tcPr>
            <w:tcW w:w="1060" w:type="pct"/>
            <w:vMerge w:val="restart"/>
            <w:tcMar>
              <w:top w:w="0" w:type="dxa"/>
              <w:left w:w="108" w:type="dxa"/>
              <w:bottom w:w="0" w:type="dxa"/>
              <w:right w:w="108" w:type="dxa"/>
            </w:tcMar>
            <w:vAlign w:val="center"/>
          </w:tcPr>
          <w:p w14:paraId="6632BD20">
            <w:pPr>
              <w:widowControl/>
              <w:rPr>
                <w:rFonts w:ascii="宋体" w:hAnsi="宋体" w:eastAsia="宋体" w:cs="宋体"/>
                <w:szCs w:val="21"/>
              </w:rPr>
            </w:pPr>
            <w:r>
              <w:rPr>
                <w:rFonts w:hint="eastAsia" w:ascii="宋体" w:hAnsi="宋体" w:eastAsia="宋体" w:cs="宋体"/>
                <w:szCs w:val="21"/>
              </w:rPr>
              <w:t>其他评分因素</w:t>
            </w:r>
          </w:p>
          <w:p w14:paraId="3F2F0AA2">
            <w:pPr>
              <w:widowControl/>
              <w:rPr>
                <w:rFonts w:ascii="宋体" w:hAnsi="宋体" w:eastAsia="宋体" w:cs="宋体"/>
                <w:szCs w:val="21"/>
              </w:rPr>
            </w:pPr>
            <w:r>
              <w:rPr>
                <w:rFonts w:hint="eastAsia" w:ascii="宋体" w:hAnsi="宋体" w:eastAsia="宋体" w:cs="宋体"/>
                <w:szCs w:val="21"/>
              </w:rPr>
              <w:t>（12分）</w:t>
            </w:r>
          </w:p>
        </w:tc>
        <w:tc>
          <w:tcPr>
            <w:tcW w:w="786" w:type="pct"/>
            <w:shd w:val="clear" w:color="auto" w:fill="auto"/>
            <w:tcMar>
              <w:top w:w="0" w:type="dxa"/>
              <w:left w:w="108" w:type="dxa"/>
              <w:bottom w:w="0" w:type="dxa"/>
              <w:right w:w="108" w:type="dxa"/>
            </w:tcMar>
            <w:vAlign w:val="center"/>
          </w:tcPr>
          <w:p w14:paraId="2639D2A0">
            <w:pPr>
              <w:widowControl/>
              <w:rPr>
                <w:rFonts w:ascii="宋体" w:hAnsi="宋体" w:eastAsia="宋体" w:cs="宋体"/>
                <w:szCs w:val="21"/>
              </w:rPr>
            </w:pPr>
            <w:r>
              <w:rPr>
                <w:rFonts w:hint="eastAsia" w:ascii="宋体" w:hAnsi="宋体" w:eastAsia="宋体" w:cs="宋体"/>
                <w:szCs w:val="21"/>
              </w:rPr>
              <w:t>企业类似项目业绩</w:t>
            </w:r>
            <w:r>
              <w:rPr>
                <w:rFonts w:hint="eastAsia" w:ascii="宋体" w:hAnsi="宋体" w:eastAsia="宋体" w:cs="宋体"/>
                <w:szCs w:val="21"/>
                <w:lang w:val="en-US" w:eastAsia="zh-CN"/>
              </w:rPr>
              <w:t>6</w:t>
            </w:r>
            <w:r>
              <w:rPr>
                <w:rFonts w:hint="eastAsia" w:ascii="宋体" w:hAnsi="宋体" w:eastAsia="宋体" w:cs="宋体"/>
                <w:szCs w:val="21"/>
              </w:rPr>
              <w:t>分</w:t>
            </w:r>
          </w:p>
        </w:tc>
        <w:tc>
          <w:tcPr>
            <w:tcW w:w="3153" w:type="pct"/>
            <w:shd w:val="clear" w:color="auto" w:fill="auto"/>
            <w:tcMar>
              <w:top w:w="0" w:type="dxa"/>
              <w:left w:w="108" w:type="dxa"/>
              <w:bottom w:w="0" w:type="dxa"/>
              <w:right w:w="108" w:type="dxa"/>
            </w:tcMar>
            <w:vAlign w:val="center"/>
          </w:tcPr>
          <w:p w14:paraId="576E3852">
            <w:pPr>
              <w:pStyle w:val="7"/>
              <w:rPr>
                <w:rFonts w:hint="eastAsia" w:eastAsia="宋体"/>
                <w:lang w:eastAsia="zh-CN"/>
              </w:rPr>
            </w:pPr>
            <w:r>
              <w:rPr>
                <w:rFonts w:hint="eastAsia" w:ascii="宋体" w:hAnsi="宋体" w:cs="宋体"/>
                <w:kern w:val="0"/>
                <w:sz w:val="21"/>
                <w:szCs w:val="21"/>
                <w:lang w:val="en-US" w:eastAsia="zh-CN"/>
              </w:rPr>
              <w:t>企业</w:t>
            </w:r>
            <w:r>
              <w:rPr>
                <w:rFonts w:hint="eastAsia" w:ascii="宋体" w:hAnsi="宋体" w:cs="宋体"/>
                <w:bCs/>
                <w:sz w:val="21"/>
                <w:szCs w:val="21"/>
                <w:lang w:val="en-US" w:eastAsia="zh-CN"/>
              </w:rPr>
              <w:t>2023年1月1日至响应文件递交截止日期间竣工的</w:t>
            </w:r>
            <w:r>
              <w:rPr>
                <w:rFonts w:hint="eastAsia" w:ascii="宋体" w:hAnsi="宋体" w:cs="宋体"/>
                <w:sz w:val="21"/>
                <w:szCs w:val="21"/>
                <w:lang w:val="en-US" w:eastAsia="zh-CN"/>
              </w:rPr>
              <w:t>同类或类似已完成项目业绩</w:t>
            </w:r>
            <w:r>
              <w:rPr>
                <w:rFonts w:hint="eastAsia" w:ascii="宋体" w:hAnsi="宋体" w:cs="宋体"/>
                <w:kern w:val="0"/>
                <w:sz w:val="21"/>
                <w:szCs w:val="21"/>
                <w:lang w:val="en-US" w:eastAsia="zh-CN"/>
              </w:rPr>
              <w:t>，每有一项符合要求的</w:t>
            </w:r>
            <w:r>
              <w:rPr>
                <w:rFonts w:hint="eastAsia" w:ascii="宋体" w:hAnsi="宋体" w:cs="宋体"/>
                <w:sz w:val="21"/>
                <w:szCs w:val="21"/>
                <w:lang w:val="en-US" w:eastAsia="zh-CN"/>
              </w:rPr>
              <w:t>同类或类似工程</w:t>
            </w:r>
            <w:r>
              <w:rPr>
                <w:rFonts w:hint="eastAsia" w:ascii="宋体" w:hAnsi="宋体" w:cs="宋体"/>
                <w:bCs/>
                <w:sz w:val="21"/>
                <w:szCs w:val="21"/>
                <w:lang w:val="en-US" w:eastAsia="zh-CN"/>
              </w:rPr>
              <w:t>业绩得2分，满分6分，</w:t>
            </w:r>
            <w:r>
              <w:rPr>
                <w:rFonts w:hint="eastAsia" w:ascii="宋体" w:hAnsi="宋体" w:eastAsia="宋体" w:cs="宋体"/>
                <w:sz w:val="21"/>
                <w:szCs w:val="21"/>
                <w:lang w:val="en-US" w:eastAsia="zh-CN"/>
              </w:rPr>
              <w:t>未提供符合要求业绩的不得分。</w:t>
            </w:r>
          </w:p>
          <w:p w14:paraId="571463CA">
            <w:pPr>
              <w:pStyle w:val="7"/>
              <w:rPr>
                <w:rFonts w:ascii="宋体" w:hAnsi="宋体" w:eastAsia="宋体" w:cs="宋体"/>
                <w:sz w:val="21"/>
                <w:szCs w:val="21"/>
              </w:rPr>
            </w:pPr>
            <w:r>
              <w:rPr>
                <w:rFonts w:hint="eastAsia" w:ascii="宋体" w:hAnsi="宋体" w:cs="宋体"/>
                <w:b/>
                <w:bCs/>
                <w:sz w:val="21"/>
                <w:szCs w:val="21"/>
                <w:lang w:val="en-US" w:eastAsia="zh-CN"/>
              </w:rPr>
              <w:t>响应文件内</w:t>
            </w:r>
            <w:r>
              <w:rPr>
                <w:rFonts w:hint="eastAsia" w:ascii="宋体" w:hAnsi="宋体" w:eastAsia="宋体" w:cs="宋体"/>
                <w:b/>
                <w:bCs/>
                <w:sz w:val="21"/>
                <w:szCs w:val="21"/>
                <w:lang w:eastAsia="zh-CN"/>
              </w:rPr>
              <w:t>须附同类或类似工程业绩的中标通知书或合同协议书</w:t>
            </w:r>
            <w:r>
              <w:rPr>
                <w:rFonts w:hint="eastAsia" w:ascii="宋体" w:hAnsi="宋体" w:cs="宋体"/>
                <w:b/>
                <w:bCs/>
                <w:sz w:val="21"/>
                <w:szCs w:val="21"/>
                <w:lang w:eastAsia="zh-CN"/>
              </w:rPr>
              <w:t>，同时提供</w:t>
            </w:r>
            <w:r>
              <w:rPr>
                <w:rFonts w:hint="eastAsia" w:ascii="宋体" w:hAnsi="宋体" w:cs="宋体"/>
                <w:b/>
                <w:bCs/>
                <w:sz w:val="21"/>
                <w:szCs w:val="21"/>
                <w:lang w:val="en-US" w:eastAsia="zh-CN"/>
              </w:rPr>
              <w:t>已完成项目的</w:t>
            </w:r>
            <w:r>
              <w:rPr>
                <w:rFonts w:hint="eastAsia" w:ascii="宋体" w:hAnsi="宋体" w:eastAsia="宋体" w:cs="宋体"/>
                <w:b/>
                <w:bCs/>
                <w:sz w:val="21"/>
                <w:szCs w:val="21"/>
                <w:lang w:val="en-US" w:eastAsia="zh-CN"/>
              </w:rPr>
              <w:t>竣工验收报告复印件、业绩查询网址及查询网页截图，所有材料均需加盖企业电子印章，材料不齐全的</w:t>
            </w:r>
            <w:r>
              <w:rPr>
                <w:rFonts w:hint="eastAsia" w:ascii="宋体" w:hAnsi="宋体" w:cs="宋体"/>
                <w:b/>
                <w:bCs/>
                <w:sz w:val="21"/>
                <w:szCs w:val="21"/>
                <w:lang w:val="en-US" w:eastAsia="zh-CN"/>
              </w:rPr>
              <w:t>，该项</w:t>
            </w:r>
            <w:r>
              <w:rPr>
                <w:rFonts w:hint="eastAsia" w:ascii="宋体" w:hAnsi="宋体" w:eastAsia="宋体" w:cs="宋体"/>
                <w:b/>
                <w:bCs/>
                <w:sz w:val="21"/>
                <w:szCs w:val="21"/>
                <w:lang w:val="en-US" w:eastAsia="zh-CN"/>
              </w:rPr>
              <w:t>不</w:t>
            </w:r>
            <w:r>
              <w:rPr>
                <w:rFonts w:hint="eastAsia" w:ascii="宋体" w:hAnsi="宋体" w:cs="宋体"/>
                <w:b/>
                <w:bCs/>
                <w:sz w:val="21"/>
                <w:szCs w:val="21"/>
                <w:lang w:val="en-US" w:eastAsia="zh-CN"/>
              </w:rPr>
              <w:t>予</w:t>
            </w:r>
            <w:r>
              <w:rPr>
                <w:rFonts w:hint="eastAsia" w:ascii="宋体" w:hAnsi="宋体" w:eastAsia="宋体" w:cs="宋体"/>
                <w:b/>
                <w:bCs/>
                <w:sz w:val="21"/>
                <w:szCs w:val="21"/>
                <w:lang w:val="en-US" w:eastAsia="zh-CN"/>
              </w:rPr>
              <w:t>计分。业绩证明材料中需</w:t>
            </w:r>
            <w:r>
              <w:rPr>
                <w:rFonts w:hint="eastAsia" w:ascii="宋体" w:hAnsi="宋体" w:cs="宋体"/>
                <w:b/>
                <w:bCs/>
                <w:sz w:val="21"/>
                <w:szCs w:val="21"/>
                <w:lang w:val="en-US" w:eastAsia="zh-CN"/>
              </w:rPr>
              <w:t>明确</w:t>
            </w:r>
            <w:r>
              <w:rPr>
                <w:rFonts w:hint="eastAsia" w:ascii="宋体" w:hAnsi="宋体" w:eastAsia="宋体" w:cs="宋体"/>
                <w:b/>
                <w:bCs/>
                <w:sz w:val="21"/>
                <w:szCs w:val="21"/>
                <w:lang w:val="en-US" w:eastAsia="zh-CN"/>
              </w:rPr>
              <w:t>体现竣工日期、工程类型、工程规模等相关信息，其中竣工日期以验收报告载明的验收日期为准，以便评标委员会核查该业绩是否符合本竞争性</w:t>
            </w:r>
            <w:r>
              <w:rPr>
                <w:rFonts w:hint="eastAsia" w:ascii="宋体" w:hAnsi="宋体" w:eastAsia="宋体" w:cs="宋体"/>
                <w:b/>
                <w:bCs/>
                <w:color w:val="auto"/>
                <w:sz w:val="21"/>
                <w:szCs w:val="21"/>
                <w:lang w:val="en-US" w:eastAsia="zh-CN"/>
              </w:rPr>
              <w:t>磋商文件的要求</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eastAsia="zh-CN"/>
              </w:rPr>
              <w:t>通过互联网且不需任何权限即可在工程所在地的省级</w:t>
            </w:r>
            <w:r>
              <w:rPr>
                <w:rFonts w:hint="eastAsia" w:ascii="宋体" w:hAnsi="宋体" w:cs="宋体"/>
                <w:bCs/>
                <w:color w:val="auto"/>
                <w:sz w:val="21"/>
                <w:szCs w:val="21"/>
                <w:lang w:val="en-US" w:eastAsia="zh-CN"/>
              </w:rPr>
              <w:t>或国家</w:t>
            </w:r>
            <w:r>
              <w:rPr>
                <w:rFonts w:hint="eastAsia" w:ascii="宋体" w:hAnsi="宋体" w:cs="宋体"/>
                <w:bCs/>
                <w:color w:val="auto"/>
                <w:sz w:val="21"/>
                <w:szCs w:val="21"/>
                <w:lang w:eastAsia="zh-CN"/>
              </w:rPr>
              <w:t>建筑市场监管一体化工作平台查询得到，其它网站查询的业绩不予认定。投标人应在投标文件中附有关业绩的查询网址及查询网页截图，否则不予以认定。</w:t>
            </w:r>
            <w:r>
              <w:rPr>
                <w:rFonts w:hint="eastAsia" w:ascii="宋体" w:hAnsi="宋体" w:cs="宋体"/>
                <w:bCs/>
                <w:color w:val="auto"/>
                <w:sz w:val="21"/>
                <w:szCs w:val="21"/>
              </w:rPr>
              <w:t>关于涉密工程招标评标业绩执行吉建招[2017]12号文件《吉林省住房和城乡建设厅关于涉密工程招标评标业绩认定的补充通知》的规定。</w:t>
            </w:r>
          </w:p>
        </w:tc>
      </w:tr>
      <w:tr w14:paraId="6307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1060" w:type="pct"/>
            <w:vMerge w:val="continue"/>
            <w:tcMar>
              <w:top w:w="0" w:type="dxa"/>
              <w:left w:w="108" w:type="dxa"/>
              <w:bottom w:w="0" w:type="dxa"/>
              <w:right w:w="108" w:type="dxa"/>
            </w:tcMar>
            <w:vAlign w:val="center"/>
          </w:tcPr>
          <w:p w14:paraId="68579241">
            <w:pPr>
              <w:widowControl/>
              <w:rPr>
                <w:rFonts w:ascii="宋体" w:hAnsi="宋体" w:eastAsia="宋体" w:cs="宋体"/>
                <w:szCs w:val="21"/>
              </w:rPr>
            </w:pPr>
          </w:p>
        </w:tc>
        <w:tc>
          <w:tcPr>
            <w:tcW w:w="786" w:type="pct"/>
            <w:shd w:val="clear" w:color="auto" w:fill="auto"/>
            <w:tcMar>
              <w:top w:w="0" w:type="dxa"/>
              <w:left w:w="108" w:type="dxa"/>
              <w:bottom w:w="0" w:type="dxa"/>
              <w:right w:w="108" w:type="dxa"/>
            </w:tcMar>
            <w:vAlign w:val="center"/>
          </w:tcPr>
          <w:p w14:paraId="74BEBB47">
            <w:pPr>
              <w:widowControl/>
              <w:autoSpaceDE w:val="0"/>
              <w:rPr>
                <w:rFonts w:ascii="宋体" w:hAnsi="宋体" w:eastAsiaTheme="minorEastAsia" w:cstheme="minorBidi"/>
                <w:kern w:val="2"/>
                <w:sz w:val="21"/>
                <w:szCs w:val="24"/>
                <w:lang w:val="en-US" w:eastAsia="zh-CN" w:bidi="ar-SA"/>
              </w:rPr>
            </w:pPr>
            <w:r>
              <w:rPr>
                <w:rFonts w:hint="eastAsia" w:ascii="宋体" w:hAnsi="宋体"/>
              </w:rPr>
              <w:t>优惠条件</w:t>
            </w:r>
            <w:r>
              <w:rPr>
                <w:rFonts w:hint="eastAsia" w:ascii="宋体" w:hAnsi="宋体"/>
                <w:lang w:val="en-US" w:eastAsia="zh-CN"/>
              </w:rPr>
              <w:t>3</w:t>
            </w:r>
            <w:r>
              <w:rPr>
                <w:rFonts w:hint="eastAsia" w:ascii="宋体" w:hAnsi="宋体"/>
              </w:rPr>
              <w:t>分</w:t>
            </w:r>
          </w:p>
        </w:tc>
        <w:tc>
          <w:tcPr>
            <w:tcW w:w="3153" w:type="pct"/>
            <w:shd w:val="clear" w:color="auto" w:fill="auto"/>
            <w:tcMar>
              <w:top w:w="0" w:type="dxa"/>
              <w:left w:w="108" w:type="dxa"/>
              <w:bottom w:w="0" w:type="dxa"/>
              <w:right w:w="108" w:type="dxa"/>
            </w:tcMar>
            <w:vAlign w:val="center"/>
          </w:tcPr>
          <w:p w14:paraId="557A6C07">
            <w:pPr>
              <w:widowControl/>
              <w:autoSpaceDE w:val="0"/>
              <w:rPr>
                <w:rFonts w:ascii="宋体" w:hAnsi="宋体" w:eastAsiaTheme="minorEastAsia" w:cstheme="minorBidi"/>
                <w:kern w:val="2"/>
                <w:sz w:val="21"/>
                <w:szCs w:val="24"/>
                <w:lang w:val="en-US" w:eastAsia="zh-CN" w:bidi="ar-SA"/>
              </w:rPr>
            </w:pPr>
            <w:r>
              <w:rPr>
                <w:rFonts w:hint="eastAsia" w:ascii="宋体" w:hAnsi="宋体"/>
                <w:lang w:eastAsia="zh-CN"/>
              </w:rPr>
              <w:t>供应商提出的、可为采购人接受的实质性优惠条件，</w:t>
            </w:r>
            <w:r>
              <w:rPr>
                <w:rFonts w:hint="eastAsia" w:ascii="宋体" w:hAnsi="宋体" w:eastAsia="宋体" w:cs="宋体"/>
                <w:color w:val="auto"/>
                <w:sz w:val="21"/>
                <w:szCs w:val="21"/>
                <w:u w:val="none"/>
                <w:lang w:val="en-US" w:eastAsia="zh-CN"/>
              </w:rPr>
              <w:t>包括但不限于</w:t>
            </w:r>
            <w:r>
              <w:rPr>
                <w:rFonts w:hint="eastAsia" w:ascii="宋体" w:hAnsi="宋体" w:eastAsia="宋体" w:cs="宋体"/>
                <w:color w:val="auto"/>
                <w:kern w:val="2"/>
                <w:sz w:val="21"/>
                <w:szCs w:val="21"/>
                <w:u w:val="none"/>
                <w:lang w:val="en-US" w:eastAsia="zh-CN" w:bidi="ar"/>
              </w:rPr>
              <w:t>与本项目相关、对采购人有利的优惠条件等</w:t>
            </w:r>
            <w:r>
              <w:rPr>
                <w:rFonts w:hint="eastAsia" w:ascii="宋体" w:hAnsi="宋体"/>
              </w:rPr>
              <w:t>,每提供一条内容合理可行、切合实际的得1分，最高得</w:t>
            </w:r>
            <w:r>
              <w:rPr>
                <w:rFonts w:hint="eastAsia" w:ascii="宋体" w:hAnsi="宋体"/>
                <w:lang w:val="en-US" w:eastAsia="zh-CN"/>
              </w:rPr>
              <w:t>3</w:t>
            </w:r>
            <w:r>
              <w:rPr>
                <w:rFonts w:hint="eastAsia" w:ascii="宋体" w:hAnsi="宋体"/>
              </w:rPr>
              <w:t>分，未提供或提供的内容不合理不切合实际的不得分。</w:t>
            </w:r>
          </w:p>
        </w:tc>
      </w:tr>
      <w:tr w14:paraId="4435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060" w:type="pct"/>
            <w:vMerge w:val="continue"/>
            <w:tcMar>
              <w:top w:w="0" w:type="dxa"/>
              <w:left w:w="108" w:type="dxa"/>
              <w:bottom w:w="0" w:type="dxa"/>
              <w:right w:w="108" w:type="dxa"/>
            </w:tcMar>
            <w:vAlign w:val="center"/>
          </w:tcPr>
          <w:p w14:paraId="3C47E27E">
            <w:pPr>
              <w:widowControl/>
              <w:rPr>
                <w:rFonts w:ascii="宋体" w:hAnsi="宋体" w:eastAsia="宋体" w:cs="宋体"/>
                <w:szCs w:val="21"/>
              </w:rPr>
            </w:pPr>
          </w:p>
        </w:tc>
        <w:tc>
          <w:tcPr>
            <w:tcW w:w="786" w:type="pct"/>
            <w:shd w:val="clear" w:color="auto" w:fill="auto"/>
            <w:tcMar>
              <w:top w:w="0" w:type="dxa"/>
              <w:left w:w="108" w:type="dxa"/>
              <w:bottom w:w="0" w:type="dxa"/>
              <w:right w:w="108" w:type="dxa"/>
            </w:tcMar>
            <w:vAlign w:val="center"/>
          </w:tcPr>
          <w:p w14:paraId="12FDF277">
            <w:pPr>
              <w:widowControl/>
              <w:autoSpaceDE w:val="0"/>
              <w:rPr>
                <w:rFonts w:ascii="宋体" w:hAnsi="宋体" w:eastAsiaTheme="minorEastAsia" w:cstheme="minorBidi"/>
                <w:kern w:val="2"/>
                <w:sz w:val="21"/>
                <w:szCs w:val="24"/>
                <w:lang w:val="en-US" w:eastAsia="zh-CN" w:bidi="ar-SA"/>
              </w:rPr>
            </w:pPr>
            <w:r>
              <w:rPr>
                <w:rFonts w:hint="eastAsia" w:ascii="宋体" w:hAnsi="宋体"/>
              </w:rPr>
              <w:t>服务承诺</w:t>
            </w:r>
            <w:r>
              <w:rPr>
                <w:rFonts w:hint="eastAsia" w:ascii="宋体" w:hAnsi="宋体"/>
                <w:lang w:val="en-US" w:eastAsia="zh-CN"/>
              </w:rPr>
              <w:t>3</w:t>
            </w:r>
            <w:r>
              <w:rPr>
                <w:rFonts w:hint="eastAsia" w:ascii="宋体" w:hAnsi="宋体"/>
              </w:rPr>
              <w:t>分</w:t>
            </w:r>
          </w:p>
        </w:tc>
        <w:tc>
          <w:tcPr>
            <w:tcW w:w="3153" w:type="pct"/>
            <w:shd w:val="clear" w:color="auto" w:fill="auto"/>
            <w:tcMar>
              <w:top w:w="0" w:type="dxa"/>
              <w:left w:w="108" w:type="dxa"/>
              <w:bottom w:w="0" w:type="dxa"/>
              <w:right w:w="108" w:type="dxa"/>
            </w:tcMar>
            <w:vAlign w:val="center"/>
          </w:tcPr>
          <w:p w14:paraId="352EF3E1">
            <w:pPr>
              <w:widowControl/>
              <w:autoSpaceDE w:val="0"/>
              <w:rPr>
                <w:rFonts w:ascii="宋体" w:hAnsi="宋体" w:eastAsiaTheme="minorEastAsia" w:cstheme="minorBidi"/>
                <w:kern w:val="2"/>
                <w:sz w:val="21"/>
                <w:szCs w:val="24"/>
                <w:lang w:val="en-US" w:eastAsia="zh-CN" w:bidi="ar-SA"/>
              </w:rPr>
            </w:pPr>
            <w:r>
              <w:rPr>
                <w:rFonts w:hint="eastAsia" w:ascii="宋体" w:hAnsi="宋体"/>
              </w:rPr>
              <w:t>供应商提出的</w:t>
            </w:r>
            <w:r>
              <w:rPr>
                <w:rFonts w:hint="eastAsia" w:ascii="宋体" w:hAnsi="宋体"/>
                <w:lang w:eastAsia="zh-CN"/>
              </w:rPr>
              <w:t>、可为</w:t>
            </w:r>
            <w:r>
              <w:rPr>
                <w:rFonts w:hint="eastAsia" w:ascii="宋体" w:hAnsi="宋体"/>
              </w:rPr>
              <w:t>采购人</w:t>
            </w:r>
            <w:r>
              <w:rPr>
                <w:rFonts w:hint="eastAsia" w:ascii="宋体" w:hAnsi="宋体"/>
                <w:lang w:eastAsia="zh-CN"/>
              </w:rPr>
              <w:t>接受</w:t>
            </w:r>
            <w:r>
              <w:rPr>
                <w:rFonts w:hint="eastAsia" w:ascii="宋体" w:hAnsi="宋体"/>
              </w:rPr>
              <w:t>的实质性服务承诺，包括但不限于寒暑期施工工期保证、质量保修期内响应机制等,每提供一条与本项目有关的、内容合理可行、切合实际的得1分，最高</w:t>
            </w:r>
            <w:r>
              <w:rPr>
                <w:rFonts w:hint="eastAsia" w:ascii="宋体" w:hAnsi="宋体"/>
                <w:lang w:val="en-US" w:eastAsia="zh-CN"/>
              </w:rPr>
              <w:t>3</w:t>
            </w:r>
            <w:r>
              <w:rPr>
                <w:rFonts w:hint="eastAsia" w:ascii="宋体" w:hAnsi="宋体"/>
              </w:rPr>
              <w:t>分,未提供或提供的内容不合理不切合实际的不得分。</w:t>
            </w:r>
          </w:p>
        </w:tc>
      </w:tr>
      <w:tr w14:paraId="77B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5" w:hRule="atLeast"/>
        </w:trPr>
        <w:tc>
          <w:tcPr>
            <w:tcW w:w="1060" w:type="pct"/>
            <w:vMerge w:val="restart"/>
            <w:tcMar>
              <w:top w:w="0" w:type="dxa"/>
              <w:left w:w="108" w:type="dxa"/>
              <w:bottom w:w="0" w:type="dxa"/>
              <w:right w:w="108" w:type="dxa"/>
            </w:tcMar>
            <w:vAlign w:val="center"/>
          </w:tcPr>
          <w:p w14:paraId="236CCFF1">
            <w:pPr>
              <w:widowControl/>
              <w:rPr>
                <w:rFonts w:hint="default" w:ascii="宋体" w:hAnsi="宋体" w:eastAsia="宋体" w:cs="宋体"/>
                <w:szCs w:val="21"/>
                <w:lang w:val="en-US" w:eastAsia="zh-CN"/>
              </w:rPr>
            </w:pPr>
            <w:r>
              <w:rPr>
                <w:rFonts w:hint="eastAsia" w:ascii="宋体" w:hAnsi="宋体" w:eastAsia="宋体" w:cs="宋体"/>
                <w:szCs w:val="21"/>
              </w:rPr>
              <w:t xml:space="preserve">施工组织设计（暗标）（ </w:t>
            </w:r>
            <w:r>
              <w:rPr>
                <w:rFonts w:hint="eastAsia" w:ascii="宋体" w:hAnsi="宋体" w:eastAsia="宋体" w:cs="宋体"/>
                <w:szCs w:val="21"/>
                <w:lang w:val="en-US" w:eastAsia="zh-CN"/>
              </w:rPr>
              <w:t>50</w:t>
            </w:r>
            <w:r>
              <w:rPr>
                <w:rFonts w:hint="eastAsia" w:ascii="宋体" w:hAnsi="宋体" w:eastAsia="宋体" w:cs="宋体"/>
                <w:szCs w:val="21"/>
              </w:rPr>
              <w:t>分)</w:t>
            </w:r>
          </w:p>
        </w:tc>
        <w:tc>
          <w:tcPr>
            <w:tcW w:w="786" w:type="pct"/>
            <w:tcMar>
              <w:top w:w="0" w:type="dxa"/>
              <w:left w:w="108" w:type="dxa"/>
              <w:bottom w:w="0" w:type="dxa"/>
              <w:right w:w="108" w:type="dxa"/>
            </w:tcMar>
            <w:vAlign w:val="center"/>
          </w:tcPr>
          <w:p w14:paraId="36DA7653">
            <w:pPr>
              <w:widowControl/>
              <w:rPr>
                <w:rFonts w:ascii="宋体" w:hAnsi="宋体" w:eastAsia="宋体" w:cs="宋体"/>
                <w:szCs w:val="21"/>
              </w:rPr>
            </w:pPr>
            <w:r>
              <w:rPr>
                <w:rFonts w:hint="eastAsia" w:ascii="宋体" w:hAnsi="宋体" w:eastAsia="宋体" w:cs="宋体"/>
                <w:szCs w:val="21"/>
              </w:rPr>
              <w:t>施工方案与技术措施10分</w:t>
            </w:r>
          </w:p>
        </w:tc>
        <w:tc>
          <w:tcPr>
            <w:tcW w:w="3153" w:type="pct"/>
            <w:tcMar>
              <w:top w:w="0" w:type="dxa"/>
              <w:left w:w="108" w:type="dxa"/>
              <w:bottom w:w="0" w:type="dxa"/>
              <w:right w:w="108" w:type="dxa"/>
            </w:tcMar>
            <w:vAlign w:val="center"/>
          </w:tcPr>
          <w:p w14:paraId="3E37B558">
            <w:pPr>
              <w:spacing w:line="400" w:lineRule="exact"/>
              <w:rPr>
                <w:rFonts w:ascii="宋体" w:hAnsi="宋体" w:cs="宋体"/>
                <w:szCs w:val="21"/>
              </w:rPr>
            </w:pPr>
            <w:r>
              <w:rPr>
                <w:rFonts w:hint="eastAsia" w:ascii="宋体" w:hAnsi="宋体" w:eastAsia="宋体" w:cs="宋体"/>
                <w:szCs w:val="21"/>
              </w:rPr>
              <w:t>供应商针对本项目制定施工方案与技术措施，要求包括但不限于：①</w:t>
            </w:r>
            <w:r>
              <w:rPr>
                <w:rFonts w:hint="eastAsia" w:ascii="宋体" w:hAnsi="宋体"/>
                <w:color w:val="auto"/>
                <w:highlight w:val="none"/>
                <w:lang w:val="en-US" w:eastAsia="zh-CN"/>
              </w:rPr>
              <w:t>总体概述及</w:t>
            </w:r>
            <w:r>
              <w:rPr>
                <w:rFonts w:hint="eastAsia"/>
                <w:szCs w:val="21"/>
              </w:rPr>
              <w:t>主要施工工序流程、</w:t>
            </w:r>
            <w:r>
              <w:rPr>
                <w:rFonts w:hint="eastAsia" w:ascii="宋体" w:hAnsi="宋体" w:eastAsia="宋体" w:cs="宋体"/>
                <w:szCs w:val="21"/>
              </w:rPr>
              <w:t>②</w:t>
            </w:r>
            <w:r>
              <w:rPr>
                <w:rFonts w:hint="eastAsia"/>
                <w:szCs w:val="21"/>
              </w:rPr>
              <w:t>主要工种施工方法</w:t>
            </w:r>
            <w:r>
              <w:rPr>
                <w:rFonts w:hint="eastAsia" w:ascii="宋体" w:hAnsi="宋体" w:eastAsia="宋体" w:cs="宋体"/>
                <w:szCs w:val="21"/>
              </w:rPr>
              <w:t>、③分部分项工程施工方案、④现场交叉施工管理方案</w:t>
            </w:r>
            <w:r>
              <w:rPr>
                <w:rFonts w:hint="eastAsia"/>
                <w:szCs w:val="21"/>
              </w:rPr>
              <w:t>、</w:t>
            </w:r>
            <w:r>
              <w:rPr>
                <w:rFonts w:hint="eastAsia" w:ascii="宋体" w:hAnsi="宋体" w:eastAsia="宋体" w:cs="宋体"/>
                <w:szCs w:val="21"/>
              </w:rPr>
              <w:t>⑤</w:t>
            </w:r>
            <w:r>
              <w:rPr>
                <w:rFonts w:hint="eastAsia"/>
                <w:szCs w:val="21"/>
              </w:rPr>
              <w:t>对施工重点、难点的解决方案和可行保证措施等。</w:t>
            </w:r>
          </w:p>
          <w:p w14:paraId="4042B4AD">
            <w:pPr>
              <w:spacing w:line="400" w:lineRule="exact"/>
              <w:rPr>
                <w:rFonts w:ascii="宋体" w:hAnsi="宋体" w:cs="宋体"/>
                <w:szCs w:val="21"/>
              </w:rPr>
            </w:pPr>
            <w:r>
              <w:rPr>
                <w:rFonts w:hint="eastAsia" w:ascii="宋体" w:hAnsi="宋体" w:cs="宋体"/>
                <w:szCs w:val="21"/>
              </w:rPr>
              <w:t>上述小项方案具有针对性和可行性、清晰明确、满足采购人实际需求的每项得2分。</w:t>
            </w:r>
          </w:p>
          <w:p w14:paraId="5BD54055">
            <w:pPr>
              <w:spacing w:line="400" w:lineRule="exact"/>
              <w:rPr>
                <w:rFonts w:ascii="宋体" w:hAnsi="宋体" w:cs="宋体"/>
                <w:szCs w:val="21"/>
              </w:rPr>
            </w:pPr>
            <w:r>
              <w:rPr>
                <w:rFonts w:hint="eastAsia" w:ascii="宋体" w:hAnsi="宋体" w:cs="宋体"/>
                <w:szCs w:val="21"/>
              </w:rPr>
              <w:t>存在一般缺陷的小项方案得1分（一般缺陷是指方案内容前后不一致、前后逻辑错误、内容有缺失，不影响项目的实施）。</w:t>
            </w:r>
          </w:p>
          <w:p w14:paraId="5BCBF157">
            <w:pPr>
              <w:tabs>
                <w:tab w:val="left" w:pos="11160"/>
              </w:tabs>
              <w:rPr>
                <w:rFonts w:ascii="宋体" w:hAnsi="宋体" w:cs="宋体"/>
                <w:szCs w:val="21"/>
              </w:rPr>
            </w:pPr>
            <w:r>
              <w:rPr>
                <w:rFonts w:hint="eastAsia" w:ascii="宋体" w:hAnsi="宋体" w:cs="宋体"/>
                <w:szCs w:val="21"/>
              </w:rPr>
              <w:t>未提供或存在重大缺陷的小项方案不得分（重大缺陷是指方案凭空编造、套用其他方案、与采购项目和采购需求无关，无法指导项目实施）。</w:t>
            </w:r>
          </w:p>
        </w:tc>
      </w:tr>
      <w:tr w14:paraId="30FC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60" w:type="pct"/>
            <w:vMerge w:val="continue"/>
            <w:tcMar>
              <w:top w:w="0" w:type="dxa"/>
              <w:left w:w="108" w:type="dxa"/>
              <w:bottom w:w="0" w:type="dxa"/>
              <w:right w:w="108" w:type="dxa"/>
            </w:tcMar>
            <w:vAlign w:val="center"/>
          </w:tcPr>
          <w:p w14:paraId="22106166">
            <w:pPr>
              <w:widowControl/>
              <w:rPr>
                <w:rFonts w:ascii="宋体" w:hAnsi="宋体" w:eastAsia="宋体" w:cs="宋体"/>
                <w:szCs w:val="21"/>
              </w:rPr>
            </w:pPr>
          </w:p>
        </w:tc>
        <w:tc>
          <w:tcPr>
            <w:tcW w:w="786" w:type="pct"/>
            <w:tcMar>
              <w:top w:w="0" w:type="dxa"/>
              <w:left w:w="108" w:type="dxa"/>
              <w:bottom w:w="0" w:type="dxa"/>
              <w:right w:w="108" w:type="dxa"/>
            </w:tcMar>
            <w:vAlign w:val="center"/>
          </w:tcPr>
          <w:p w14:paraId="55CFB3D7">
            <w:pPr>
              <w:widowControl/>
              <w:rPr>
                <w:rFonts w:ascii="宋体" w:hAnsi="宋体" w:eastAsia="宋体" w:cs="宋体"/>
                <w:szCs w:val="21"/>
              </w:rPr>
            </w:pPr>
            <w:r>
              <w:rPr>
                <w:rFonts w:hint="eastAsia" w:ascii="宋体" w:hAnsi="宋体" w:eastAsia="宋体" w:cs="宋体"/>
                <w:szCs w:val="21"/>
              </w:rPr>
              <w:t>质量管理体系与措施</w:t>
            </w:r>
            <w:r>
              <w:rPr>
                <w:rFonts w:hint="eastAsia" w:ascii="宋体" w:hAnsi="宋体" w:eastAsia="宋体" w:cs="宋体"/>
                <w:szCs w:val="21"/>
                <w:lang w:val="en-US" w:eastAsia="zh-CN"/>
              </w:rPr>
              <w:t>10</w:t>
            </w:r>
            <w:r>
              <w:rPr>
                <w:rFonts w:hint="eastAsia" w:ascii="宋体" w:hAnsi="宋体" w:eastAsia="宋体" w:cs="宋体"/>
                <w:szCs w:val="21"/>
              </w:rPr>
              <w:t>分</w:t>
            </w:r>
          </w:p>
        </w:tc>
        <w:tc>
          <w:tcPr>
            <w:tcW w:w="3153" w:type="pct"/>
            <w:tcMar>
              <w:top w:w="0" w:type="dxa"/>
              <w:left w:w="108" w:type="dxa"/>
              <w:bottom w:w="0" w:type="dxa"/>
              <w:right w:w="108" w:type="dxa"/>
            </w:tcMar>
            <w:vAlign w:val="center"/>
          </w:tcPr>
          <w:p w14:paraId="40305C3B">
            <w:pPr>
              <w:spacing w:line="400" w:lineRule="exact"/>
              <w:rPr>
                <w:rFonts w:ascii="宋体" w:hAnsi="宋体" w:eastAsia="宋体" w:cs="宋体"/>
                <w:szCs w:val="21"/>
              </w:rPr>
            </w:pPr>
            <w:r>
              <w:rPr>
                <w:rFonts w:hint="eastAsia" w:ascii="宋体" w:hAnsi="宋体" w:eastAsia="宋体" w:cs="宋体"/>
                <w:szCs w:val="21"/>
              </w:rPr>
              <w:t>供应商针对本项目制定质量管理体系与措施，要求包括但不限于：</w:t>
            </w:r>
            <w:r>
              <w:rPr>
                <w:rFonts w:hint="eastAsia" w:ascii="宋体" w:hAnsi="宋体" w:eastAsia="宋体" w:cs="宋体"/>
                <w:color w:val="auto"/>
                <w:sz w:val="21"/>
                <w:szCs w:val="21"/>
                <w:highlight w:val="none"/>
                <w:lang w:val="en-US" w:eastAsia="zh-CN"/>
              </w:rPr>
              <w:t>①施工技术质量管理体系、②施工过程质量保障措施、③主要材料质量保障措施、④施工过程</w:t>
            </w:r>
            <w:r>
              <w:rPr>
                <w:rFonts w:hint="eastAsia" w:ascii="宋体" w:hAnsi="宋体"/>
                <w:color w:val="auto"/>
                <w:szCs w:val="21"/>
              </w:rPr>
              <w:t>检验检测</w:t>
            </w:r>
            <w:r>
              <w:rPr>
                <w:rFonts w:hint="eastAsia" w:ascii="宋体" w:hAnsi="宋体" w:eastAsia="宋体" w:cs="宋体"/>
                <w:color w:val="auto"/>
                <w:sz w:val="21"/>
                <w:szCs w:val="21"/>
                <w:highlight w:val="none"/>
                <w:lang w:val="en-US" w:eastAsia="zh-CN"/>
              </w:rPr>
              <w:t>保障措施、⑤质量通病的防治措施等。</w:t>
            </w:r>
          </w:p>
          <w:p w14:paraId="188B4378">
            <w:pPr>
              <w:spacing w:line="400" w:lineRule="exact"/>
              <w:rPr>
                <w:rFonts w:ascii="宋体" w:hAnsi="宋体" w:eastAsia="宋体" w:cs="宋体"/>
                <w:szCs w:val="21"/>
              </w:rPr>
            </w:pPr>
            <w:r>
              <w:rPr>
                <w:rFonts w:hint="eastAsia" w:ascii="宋体" w:hAnsi="宋体" w:eastAsia="宋体" w:cs="宋体"/>
                <w:szCs w:val="21"/>
              </w:rPr>
              <w:t>上述小项方案具有针对性和可行性、清晰明确</w:t>
            </w:r>
            <w:r>
              <w:rPr>
                <w:rFonts w:hint="eastAsia" w:ascii="宋体" w:hAnsi="宋体" w:eastAsia="宋体" w:cs="宋体"/>
                <w:szCs w:val="21"/>
                <w:lang w:eastAsia="zh-CN"/>
              </w:rPr>
              <w:t>、</w:t>
            </w:r>
            <w:r>
              <w:rPr>
                <w:rFonts w:hint="eastAsia" w:ascii="宋体" w:hAnsi="宋体" w:eastAsia="宋体" w:cs="宋体"/>
                <w:szCs w:val="21"/>
              </w:rPr>
              <w:t>满足采购人实际需求的每项得2分。</w:t>
            </w:r>
          </w:p>
          <w:p w14:paraId="5567BF5F">
            <w:pPr>
              <w:spacing w:line="400" w:lineRule="exact"/>
              <w:rPr>
                <w:rFonts w:ascii="宋体" w:hAnsi="宋体" w:eastAsia="宋体" w:cs="宋体"/>
                <w:szCs w:val="21"/>
              </w:rPr>
            </w:pPr>
            <w:r>
              <w:rPr>
                <w:rFonts w:hint="eastAsia" w:ascii="宋体" w:hAnsi="宋体" w:eastAsia="宋体" w:cs="宋体"/>
                <w:szCs w:val="21"/>
              </w:rPr>
              <w:t>存在一般缺陷的小项方案得1分（一般缺陷是指方案内容前后不一致、前后逻辑错误、内容有缺失，不影响项目的实施）。</w:t>
            </w:r>
          </w:p>
          <w:p w14:paraId="55DC5EA0">
            <w:pPr>
              <w:spacing w:line="400" w:lineRule="exact"/>
              <w:rPr>
                <w:rFonts w:ascii="宋体" w:hAnsi="宋体" w:eastAsia="宋体" w:cs="宋体"/>
                <w:szCs w:val="21"/>
              </w:rPr>
            </w:pPr>
            <w:r>
              <w:rPr>
                <w:rFonts w:hint="eastAsia" w:ascii="宋体" w:hAnsi="宋体" w:cs="宋体"/>
                <w:szCs w:val="21"/>
              </w:rPr>
              <w:t>未提供或存在重大缺陷的小项方案不得分（重大缺陷是指方案凭空编造、套用其他方案、与采购项目和采购需求无关，无法指导项目实施）。</w:t>
            </w:r>
          </w:p>
        </w:tc>
      </w:tr>
      <w:tr w14:paraId="69CF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1060" w:type="pct"/>
            <w:vMerge w:val="continue"/>
            <w:tcMar>
              <w:top w:w="0" w:type="dxa"/>
              <w:left w:w="108" w:type="dxa"/>
              <w:bottom w:w="0" w:type="dxa"/>
              <w:right w:w="108" w:type="dxa"/>
            </w:tcMar>
            <w:vAlign w:val="center"/>
          </w:tcPr>
          <w:p w14:paraId="152DD048">
            <w:pPr>
              <w:widowControl/>
              <w:rPr>
                <w:rFonts w:ascii="宋体" w:hAnsi="宋体" w:eastAsia="宋体" w:cs="宋体"/>
                <w:szCs w:val="21"/>
              </w:rPr>
            </w:pPr>
          </w:p>
        </w:tc>
        <w:tc>
          <w:tcPr>
            <w:tcW w:w="786" w:type="pct"/>
            <w:shd w:val="clear" w:color="auto" w:fill="auto"/>
            <w:tcMar>
              <w:top w:w="0" w:type="dxa"/>
              <w:left w:w="108" w:type="dxa"/>
              <w:bottom w:w="0" w:type="dxa"/>
              <w:right w:w="108" w:type="dxa"/>
            </w:tcMar>
            <w:vAlign w:val="center"/>
          </w:tcPr>
          <w:p w14:paraId="7DCF5351">
            <w:pPr>
              <w:widowControl/>
              <w:rPr>
                <w:rFonts w:ascii="宋体" w:hAnsi="宋体" w:eastAsia="宋体" w:cs="宋体"/>
                <w:szCs w:val="21"/>
              </w:rPr>
            </w:pPr>
            <w:r>
              <w:rPr>
                <w:rFonts w:hint="eastAsia" w:ascii="宋体" w:hAnsi="宋体" w:eastAsia="宋体" w:cs="宋体"/>
                <w:szCs w:val="21"/>
              </w:rPr>
              <w:t>工程进度计划与措施4分</w:t>
            </w:r>
          </w:p>
        </w:tc>
        <w:tc>
          <w:tcPr>
            <w:tcW w:w="3153" w:type="pct"/>
            <w:shd w:val="clear" w:color="auto" w:fill="auto"/>
            <w:tcMar>
              <w:top w:w="0" w:type="dxa"/>
              <w:left w:w="108" w:type="dxa"/>
              <w:bottom w:w="0" w:type="dxa"/>
              <w:right w:w="108" w:type="dxa"/>
            </w:tcMar>
            <w:vAlign w:val="center"/>
          </w:tcPr>
          <w:p w14:paraId="4218C7C7">
            <w:pPr>
              <w:spacing w:line="400" w:lineRule="exact"/>
              <w:rPr>
                <w:rFonts w:ascii="宋体" w:hAnsi="宋体" w:eastAsia="宋体" w:cs="宋体"/>
                <w:szCs w:val="21"/>
              </w:rPr>
            </w:pPr>
            <w:r>
              <w:rPr>
                <w:rFonts w:hint="eastAsia" w:ascii="宋体" w:hAnsi="宋体" w:eastAsia="宋体" w:cs="宋体"/>
                <w:szCs w:val="21"/>
              </w:rPr>
              <w:t>供应商针对本项目制定工程进度计划与措施，要求包括但不限于：①</w:t>
            </w:r>
            <w:r>
              <w:rPr>
                <w:rFonts w:hint="eastAsia" w:ascii="宋体" w:hAnsi="宋体" w:eastAsia="宋体"/>
                <w:szCs w:val="21"/>
              </w:rPr>
              <w:t>总体施工</w:t>
            </w:r>
            <w:r>
              <w:rPr>
                <w:rFonts w:hint="eastAsia" w:ascii="宋体" w:hAnsi="宋体" w:eastAsia="宋体" w:cs="宋体"/>
                <w:szCs w:val="21"/>
              </w:rPr>
              <w:t>进度计划</w:t>
            </w:r>
            <w:r>
              <w:rPr>
                <w:rFonts w:hint="eastAsia" w:eastAsia="宋体"/>
                <w:szCs w:val="21"/>
              </w:rPr>
              <w:t>保障措施</w:t>
            </w:r>
            <w:r>
              <w:rPr>
                <w:rFonts w:hint="eastAsia"/>
                <w:szCs w:val="21"/>
              </w:rPr>
              <w:t>、</w:t>
            </w:r>
            <w:r>
              <w:rPr>
                <w:rFonts w:hint="eastAsia" w:ascii="宋体" w:hAnsi="宋体" w:eastAsia="宋体" w:cs="宋体"/>
                <w:szCs w:val="21"/>
              </w:rPr>
              <w:t>②分项工程施工</w:t>
            </w:r>
            <w:r>
              <w:rPr>
                <w:rFonts w:hint="eastAsia" w:ascii="宋体" w:hAnsi="宋体"/>
                <w:szCs w:val="21"/>
              </w:rPr>
              <w:t>进度</w:t>
            </w:r>
            <w:r>
              <w:rPr>
                <w:rFonts w:hint="eastAsia" w:eastAsia="宋体"/>
                <w:szCs w:val="21"/>
              </w:rPr>
              <w:t>保障措施</w:t>
            </w:r>
            <w:r>
              <w:rPr>
                <w:rFonts w:hint="eastAsia" w:ascii="宋体" w:hAnsi="宋体"/>
                <w:szCs w:val="21"/>
              </w:rPr>
              <w:t>。</w:t>
            </w:r>
          </w:p>
          <w:p w14:paraId="3422B878">
            <w:pPr>
              <w:spacing w:line="400" w:lineRule="exact"/>
              <w:rPr>
                <w:rFonts w:ascii="宋体" w:hAnsi="宋体" w:cs="宋体"/>
                <w:szCs w:val="21"/>
              </w:rPr>
            </w:pPr>
            <w:r>
              <w:rPr>
                <w:rFonts w:hint="eastAsia" w:ascii="宋体" w:hAnsi="宋体" w:cs="宋体"/>
                <w:szCs w:val="21"/>
              </w:rPr>
              <w:t>上述小项方案具有针对性和可行性、清晰明确</w:t>
            </w:r>
            <w:r>
              <w:rPr>
                <w:rFonts w:hint="eastAsia" w:ascii="宋体" w:hAnsi="宋体" w:cs="宋体"/>
                <w:szCs w:val="21"/>
                <w:lang w:eastAsia="zh-CN"/>
              </w:rPr>
              <w:t>、</w:t>
            </w:r>
            <w:r>
              <w:rPr>
                <w:rFonts w:hint="eastAsia" w:ascii="宋体" w:hAnsi="宋体" w:cs="宋体"/>
                <w:szCs w:val="21"/>
              </w:rPr>
              <w:t>关键时间节点有明确、深入的表述、满足采购人实际需求的每项得2分。</w:t>
            </w:r>
          </w:p>
          <w:p w14:paraId="28B5ABC8">
            <w:pPr>
              <w:spacing w:line="400" w:lineRule="exact"/>
              <w:rPr>
                <w:rFonts w:ascii="宋体" w:hAnsi="宋体" w:cs="宋体"/>
                <w:szCs w:val="21"/>
              </w:rPr>
            </w:pPr>
            <w:r>
              <w:rPr>
                <w:rFonts w:hint="eastAsia" w:ascii="宋体" w:hAnsi="宋体" w:cs="宋体"/>
                <w:szCs w:val="21"/>
              </w:rPr>
              <w:t>存在一般缺陷的小项方案得1分（一般缺陷是指方案内容前后不一致、前后逻辑错误、内容有缺失，不影响项目的实施）。</w:t>
            </w:r>
          </w:p>
          <w:p w14:paraId="095B3CFC">
            <w:pPr>
              <w:widowControl/>
              <w:jc w:val="left"/>
              <w:rPr>
                <w:rFonts w:ascii="宋体" w:hAnsi="宋体" w:cs="宋体"/>
                <w:szCs w:val="21"/>
              </w:rPr>
            </w:pPr>
            <w:r>
              <w:rPr>
                <w:rFonts w:hint="eastAsia" w:ascii="宋体" w:hAnsi="宋体" w:cs="宋体"/>
                <w:szCs w:val="21"/>
              </w:rPr>
              <w:t>未提供或存在重大缺陷的小项方案不得分（重大缺陷是指方案凭空编造、套用其他方案、与采购项目和采购需求无关，无法指导项目实施）。</w:t>
            </w:r>
          </w:p>
        </w:tc>
      </w:tr>
      <w:tr w14:paraId="6F2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1060" w:type="pct"/>
            <w:vMerge w:val="continue"/>
            <w:tcMar>
              <w:top w:w="0" w:type="dxa"/>
              <w:left w:w="108" w:type="dxa"/>
              <w:bottom w:w="0" w:type="dxa"/>
              <w:right w:w="108" w:type="dxa"/>
            </w:tcMar>
            <w:vAlign w:val="center"/>
          </w:tcPr>
          <w:p w14:paraId="56DC5B9A">
            <w:pPr>
              <w:widowControl/>
              <w:rPr>
                <w:rFonts w:ascii="宋体" w:hAnsi="宋体" w:eastAsia="宋体" w:cs="宋体"/>
                <w:szCs w:val="21"/>
              </w:rPr>
            </w:pPr>
          </w:p>
        </w:tc>
        <w:tc>
          <w:tcPr>
            <w:tcW w:w="786" w:type="pct"/>
            <w:tcMar>
              <w:top w:w="0" w:type="dxa"/>
              <w:left w:w="108" w:type="dxa"/>
              <w:bottom w:w="0" w:type="dxa"/>
              <w:right w:w="108" w:type="dxa"/>
            </w:tcMar>
            <w:vAlign w:val="center"/>
          </w:tcPr>
          <w:p w14:paraId="472C45C0">
            <w:pPr>
              <w:widowControl/>
              <w:rPr>
                <w:rFonts w:hint="default" w:ascii="宋体" w:hAnsi="宋体" w:eastAsia="宋体" w:cs="宋体"/>
                <w:szCs w:val="21"/>
                <w:lang w:val="en-US" w:eastAsia="zh-CN"/>
              </w:rPr>
            </w:pPr>
            <w:r>
              <w:rPr>
                <w:rFonts w:hint="eastAsia" w:ascii="宋体" w:hAnsi="宋体" w:eastAsia="宋体" w:cs="宋体"/>
                <w:szCs w:val="21"/>
              </w:rPr>
              <w:t>安全管理体系与措施6分</w:t>
            </w:r>
          </w:p>
        </w:tc>
        <w:tc>
          <w:tcPr>
            <w:tcW w:w="3153" w:type="pct"/>
            <w:tcMar>
              <w:top w:w="0" w:type="dxa"/>
              <w:left w:w="108" w:type="dxa"/>
              <w:bottom w:w="0" w:type="dxa"/>
              <w:right w:w="108" w:type="dxa"/>
            </w:tcMar>
            <w:vAlign w:val="center"/>
          </w:tcPr>
          <w:p w14:paraId="2C6319D2">
            <w:pPr>
              <w:spacing w:line="400" w:lineRule="exact"/>
              <w:rPr>
                <w:rFonts w:ascii="宋体" w:hAnsi="宋体" w:eastAsia="宋体" w:cs="宋体"/>
                <w:szCs w:val="21"/>
              </w:rPr>
            </w:pPr>
            <w:r>
              <w:rPr>
                <w:rFonts w:hint="eastAsia" w:ascii="宋体" w:hAnsi="宋体" w:eastAsia="宋体" w:cs="宋体"/>
                <w:szCs w:val="21"/>
              </w:rPr>
              <w:t>供应商针对本项目制定安全管理体系与措施，要求包括但不限于：①现场安全管理措施</w:t>
            </w:r>
            <w:r>
              <w:rPr>
                <w:rFonts w:hint="eastAsia"/>
                <w:szCs w:val="21"/>
              </w:rPr>
              <w:t>、</w:t>
            </w:r>
            <w:r>
              <w:rPr>
                <w:rFonts w:hint="eastAsia" w:ascii="宋体" w:hAnsi="宋体" w:eastAsia="宋体" w:cs="宋体"/>
                <w:szCs w:val="21"/>
              </w:rPr>
              <w:t>②现场</w:t>
            </w:r>
            <w:r>
              <w:rPr>
                <w:rFonts w:hint="eastAsia" w:ascii="宋体" w:hAnsi="宋体" w:cs="宋体"/>
                <w:szCs w:val="21"/>
              </w:rPr>
              <w:t>安全围挡保护措施</w:t>
            </w:r>
            <w:r>
              <w:rPr>
                <w:rFonts w:hint="eastAsia" w:ascii="宋体" w:hAnsi="宋体" w:eastAsia="宋体" w:cs="宋体"/>
                <w:szCs w:val="21"/>
              </w:rPr>
              <w:t>、③现场人员</w:t>
            </w:r>
            <w:r>
              <w:rPr>
                <w:rFonts w:hint="eastAsia" w:ascii="宋体" w:hAnsi="宋体" w:cs="宋体"/>
                <w:szCs w:val="21"/>
              </w:rPr>
              <w:t>安全培训方案及安全考核方案等</w:t>
            </w:r>
            <w:r>
              <w:rPr>
                <w:rFonts w:hint="eastAsia" w:ascii="宋体" w:hAnsi="宋体" w:eastAsia="宋体" w:cs="宋体"/>
                <w:szCs w:val="21"/>
              </w:rPr>
              <w:t>。</w:t>
            </w:r>
          </w:p>
          <w:p w14:paraId="0EED7857">
            <w:pPr>
              <w:spacing w:line="400" w:lineRule="exact"/>
              <w:rPr>
                <w:rFonts w:ascii="宋体" w:hAnsi="宋体" w:cs="宋体"/>
                <w:szCs w:val="21"/>
              </w:rPr>
            </w:pPr>
            <w:r>
              <w:rPr>
                <w:rFonts w:hint="eastAsia" w:ascii="宋体" w:hAnsi="宋体" w:cs="宋体"/>
                <w:szCs w:val="21"/>
              </w:rPr>
              <w:t>上述小项方案具有针对性和可行性、清晰明确、满足采购人实际需求的每项得2分。</w:t>
            </w:r>
          </w:p>
          <w:p w14:paraId="1EDD862C">
            <w:pPr>
              <w:spacing w:line="400" w:lineRule="exact"/>
              <w:rPr>
                <w:rFonts w:ascii="宋体" w:hAnsi="宋体" w:cs="宋体"/>
                <w:szCs w:val="21"/>
              </w:rPr>
            </w:pPr>
            <w:r>
              <w:rPr>
                <w:rFonts w:hint="eastAsia" w:ascii="宋体" w:hAnsi="宋体" w:cs="宋体"/>
                <w:szCs w:val="21"/>
              </w:rPr>
              <w:t>存在一般缺陷的小项方案得1分（一般缺陷是指方案内容前后不一致、前后逻辑错误、内容有缺失，不影响项目的实施）。</w:t>
            </w:r>
          </w:p>
          <w:p w14:paraId="17B083F6">
            <w:pPr>
              <w:autoSpaceDE w:val="0"/>
              <w:autoSpaceDN w:val="0"/>
              <w:adjustRightInd w:val="0"/>
              <w:rPr>
                <w:rFonts w:ascii="宋体" w:hAnsi="宋体" w:cs="宋体"/>
                <w:szCs w:val="21"/>
              </w:rPr>
            </w:pPr>
            <w:r>
              <w:rPr>
                <w:rFonts w:hint="eastAsia" w:ascii="宋体" w:hAnsi="宋体" w:cs="宋体"/>
                <w:szCs w:val="21"/>
              </w:rPr>
              <w:t>未提供或存在重大缺陷的小项方案不得分（重大缺陷是指方案凭空编造、套用其他方案、与采购项目和采购需求无关，无法指导项目实施）。</w:t>
            </w:r>
          </w:p>
        </w:tc>
      </w:tr>
      <w:tr w14:paraId="0187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1" w:hRule="atLeast"/>
        </w:trPr>
        <w:tc>
          <w:tcPr>
            <w:tcW w:w="1060" w:type="pct"/>
            <w:vMerge w:val="continue"/>
            <w:tcMar>
              <w:top w:w="0" w:type="dxa"/>
              <w:left w:w="108" w:type="dxa"/>
              <w:bottom w:w="0" w:type="dxa"/>
              <w:right w:w="108" w:type="dxa"/>
            </w:tcMar>
            <w:vAlign w:val="center"/>
          </w:tcPr>
          <w:p w14:paraId="1F18E61A">
            <w:pPr>
              <w:widowControl/>
              <w:rPr>
                <w:rFonts w:ascii="宋体" w:hAnsi="宋体" w:eastAsia="宋体" w:cs="宋体"/>
                <w:szCs w:val="21"/>
              </w:rPr>
            </w:pPr>
          </w:p>
        </w:tc>
        <w:tc>
          <w:tcPr>
            <w:tcW w:w="786" w:type="pct"/>
            <w:tcMar>
              <w:top w:w="0" w:type="dxa"/>
              <w:left w:w="108" w:type="dxa"/>
              <w:bottom w:w="0" w:type="dxa"/>
              <w:right w:w="108" w:type="dxa"/>
            </w:tcMar>
            <w:vAlign w:val="center"/>
          </w:tcPr>
          <w:p w14:paraId="34B5684B">
            <w:pPr>
              <w:widowControl/>
              <w:rPr>
                <w:rFonts w:ascii="宋体" w:hAnsi="宋体" w:eastAsia="宋体" w:cs="宋体"/>
                <w:szCs w:val="21"/>
              </w:rPr>
            </w:pPr>
            <w:r>
              <w:rPr>
                <w:rFonts w:hint="eastAsia" w:ascii="宋体" w:hAnsi="宋体" w:eastAsia="宋体" w:cs="宋体"/>
                <w:szCs w:val="21"/>
              </w:rPr>
              <w:t>环境保护管理体系与措施4分</w:t>
            </w:r>
          </w:p>
        </w:tc>
        <w:tc>
          <w:tcPr>
            <w:tcW w:w="3153" w:type="pct"/>
            <w:tcMar>
              <w:top w:w="0" w:type="dxa"/>
              <w:left w:w="108" w:type="dxa"/>
              <w:bottom w:w="0" w:type="dxa"/>
              <w:right w:w="108" w:type="dxa"/>
            </w:tcMar>
            <w:vAlign w:val="center"/>
          </w:tcPr>
          <w:p w14:paraId="55761F38">
            <w:pPr>
              <w:spacing w:line="400" w:lineRule="exact"/>
              <w:rPr>
                <w:rFonts w:ascii="宋体" w:hAnsi="宋体" w:eastAsia="宋体" w:cs="宋体"/>
                <w:szCs w:val="21"/>
              </w:rPr>
            </w:pPr>
            <w:r>
              <w:rPr>
                <w:rFonts w:hint="eastAsia" w:ascii="宋体" w:hAnsi="宋体" w:eastAsia="宋体" w:cs="宋体"/>
                <w:szCs w:val="21"/>
              </w:rPr>
              <w:t>供应商针对本项目制定环境保护管理体系与措施，要求包括但不限于：①</w:t>
            </w:r>
            <w:r>
              <w:rPr>
                <w:rFonts w:hint="eastAsia" w:eastAsia="宋体"/>
                <w:szCs w:val="21"/>
              </w:rPr>
              <w:t>环境保护</w:t>
            </w:r>
            <w:r>
              <w:rPr>
                <w:rFonts w:hint="eastAsia"/>
                <w:szCs w:val="21"/>
              </w:rPr>
              <w:t>管理体系、</w:t>
            </w:r>
            <w:r>
              <w:rPr>
                <w:rFonts w:hint="eastAsia" w:ascii="宋体" w:hAnsi="宋体" w:eastAsia="宋体" w:cs="宋体"/>
                <w:szCs w:val="21"/>
              </w:rPr>
              <w:t>②</w:t>
            </w:r>
            <w:r>
              <w:rPr>
                <w:rFonts w:hint="eastAsia"/>
                <w:szCs w:val="21"/>
              </w:rPr>
              <w:t>粉尘、噪声、废水、垃圾处理等污染物预防处理方案及措施等</w:t>
            </w:r>
            <w:r>
              <w:rPr>
                <w:rFonts w:hint="eastAsia" w:ascii="宋体" w:hAnsi="宋体" w:eastAsia="宋体" w:cs="宋体"/>
                <w:szCs w:val="21"/>
              </w:rPr>
              <w:t>。</w:t>
            </w:r>
          </w:p>
          <w:p w14:paraId="3F920F29">
            <w:pPr>
              <w:spacing w:line="400" w:lineRule="exact"/>
              <w:rPr>
                <w:rFonts w:ascii="宋体" w:hAnsi="宋体" w:cs="宋体"/>
                <w:szCs w:val="21"/>
              </w:rPr>
            </w:pPr>
            <w:r>
              <w:rPr>
                <w:rFonts w:hint="eastAsia" w:ascii="宋体" w:hAnsi="宋体" w:cs="宋体"/>
                <w:szCs w:val="21"/>
              </w:rPr>
              <w:t>上述小项方案具有针对性和可行性、清晰明确、满足采购人实际需求的每项得2分。</w:t>
            </w:r>
          </w:p>
          <w:p w14:paraId="56B80C0D">
            <w:pPr>
              <w:spacing w:line="400" w:lineRule="exact"/>
              <w:rPr>
                <w:rFonts w:ascii="宋体" w:hAnsi="宋体" w:cs="宋体"/>
                <w:szCs w:val="21"/>
              </w:rPr>
            </w:pPr>
            <w:r>
              <w:rPr>
                <w:rFonts w:hint="eastAsia" w:ascii="宋体" w:hAnsi="宋体" w:cs="宋体"/>
                <w:szCs w:val="21"/>
              </w:rPr>
              <w:t>存在一般缺陷的小项方案得1分（一般缺陷是指方案内容前后不一致、前后逻辑错误、内容有缺失，不影响项目的实施）。</w:t>
            </w:r>
          </w:p>
          <w:p w14:paraId="55D05F2C">
            <w:pPr>
              <w:widowControl/>
              <w:jc w:val="left"/>
              <w:rPr>
                <w:rFonts w:ascii="宋体" w:hAnsi="宋体" w:cs="宋体"/>
                <w:szCs w:val="21"/>
              </w:rPr>
            </w:pPr>
            <w:r>
              <w:rPr>
                <w:rFonts w:hint="eastAsia" w:ascii="宋体" w:hAnsi="宋体" w:cs="宋体"/>
                <w:szCs w:val="21"/>
              </w:rPr>
              <w:t>未提供或存在重大缺陷的小项方案不得分（重大缺陷是指方案凭空编造、套用其他方案、与采购项目和采购需求无关，无法指导项目实施）。</w:t>
            </w:r>
          </w:p>
        </w:tc>
      </w:tr>
      <w:tr w14:paraId="797E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1060" w:type="pct"/>
            <w:vMerge w:val="continue"/>
            <w:tcMar>
              <w:top w:w="0" w:type="dxa"/>
              <w:left w:w="108" w:type="dxa"/>
              <w:bottom w:w="0" w:type="dxa"/>
              <w:right w:w="108" w:type="dxa"/>
            </w:tcMar>
            <w:vAlign w:val="center"/>
          </w:tcPr>
          <w:p w14:paraId="1469FAA7">
            <w:pPr>
              <w:widowControl/>
              <w:rPr>
                <w:rFonts w:ascii="宋体" w:hAnsi="宋体" w:eastAsia="宋体" w:cs="宋体"/>
                <w:szCs w:val="21"/>
              </w:rPr>
            </w:pPr>
          </w:p>
        </w:tc>
        <w:tc>
          <w:tcPr>
            <w:tcW w:w="786" w:type="pct"/>
            <w:tcMar>
              <w:top w:w="0" w:type="dxa"/>
              <w:left w:w="108" w:type="dxa"/>
              <w:bottom w:w="0" w:type="dxa"/>
              <w:right w:w="108" w:type="dxa"/>
            </w:tcMar>
            <w:vAlign w:val="center"/>
          </w:tcPr>
          <w:p w14:paraId="2C893665">
            <w:pPr>
              <w:widowControl/>
              <w:rPr>
                <w:rFonts w:ascii="宋体" w:hAnsi="宋体" w:eastAsia="宋体" w:cs="宋体"/>
                <w:szCs w:val="21"/>
              </w:rPr>
            </w:pPr>
            <w:r>
              <w:rPr>
                <w:rFonts w:hint="eastAsia" w:ascii="宋体" w:hAnsi="宋体" w:eastAsia="宋体" w:cs="宋体"/>
                <w:szCs w:val="21"/>
              </w:rPr>
              <w:t>成品保护和工程保修工作的管理措施4分</w:t>
            </w:r>
          </w:p>
        </w:tc>
        <w:tc>
          <w:tcPr>
            <w:tcW w:w="3153" w:type="pct"/>
            <w:tcMar>
              <w:top w:w="0" w:type="dxa"/>
              <w:left w:w="108" w:type="dxa"/>
              <w:bottom w:w="0" w:type="dxa"/>
              <w:right w:w="108" w:type="dxa"/>
            </w:tcMar>
            <w:vAlign w:val="center"/>
          </w:tcPr>
          <w:p w14:paraId="06F2852E">
            <w:pPr>
              <w:spacing w:line="400" w:lineRule="exact"/>
              <w:rPr>
                <w:rFonts w:ascii="宋体" w:hAnsi="宋体" w:eastAsia="宋体" w:cs="宋体"/>
                <w:szCs w:val="21"/>
              </w:rPr>
            </w:pPr>
            <w:r>
              <w:rPr>
                <w:rFonts w:hint="eastAsia" w:ascii="宋体" w:hAnsi="宋体" w:eastAsia="宋体" w:cs="宋体"/>
                <w:szCs w:val="21"/>
              </w:rPr>
              <w:t>供应商针对本项目制定成品保护和工程保修工作的管理措施和承诺，要求包括但不限于：①成品保护管理措施</w:t>
            </w:r>
            <w:r>
              <w:rPr>
                <w:rFonts w:hint="eastAsia"/>
                <w:szCs w:val="21"/>
              </w:rPr>
              <w:t>、</w:t>
            </w:r>
            <w:r>
              <w:rPr>
                <w:rFonts w:hint="eastAsia" w:ascii="宋体" w:hAnsi="宋体" w:eastAsia="宋体" w:cs="宋体"/>
                <w:szCs w:val="21"/>
              </w:rPr>
              <w:t>②工程保修管理措施等。</w:t>
            </w:r>
          </w:p>
          <w:p w14:paraId="4466C324">
            <w:pPr>
              <w:spacing w:line="400" w:lineRule="exact"/>
              <w:rPr>
                <w:rFonts w:ascii="宋体" w:hAnsi="宋体" w:cs="宋体"/>
                <w:szCs w:val="21"/>
              </w:rPr>
            </w:pPr>
            <w:r>
              <w:rPr>
                <w:rFonts w:hint="eastAsia" w:ascii="宋体" w:hAnsi="宋体" w:cs="宋体"/>
                <w:szCs w:val="21"/>
              </w:rPr>
              <w:t>上述小项方案具有针对性和可行性、清晰明确、满足采购人实际需求的每项得2分。</w:t>
            </w:r>
          </w:p>
          <w:p w14:paraId="12FC8E27">
            <w:pPr>
              <w:spacing w:line="400" w:lineRule="exact"/>
              <w:rPr>
                <w:rFonts w:ascii="宋体" w:hAnsi="宋体" w:cs="宋体"/>
                <w:szCs w:val="21"/>
              </w:rPr>
            </w:pPr>
            <w:r>
              <w:rPr>
                <w:rFonts w:hint="eastAsia" w:ascii="宋体" w:hAnsi="宋体" w:cs="宋体"/>
                <w:szCs w:val="21"/>
              </w:rPr>
              <w:t>存在一般缺陷的小项方案得1分（一般缺陷是指方案内容前后不一致、前后逻辑错误、内容有缺失，不影响项目的实施）。</w:t>
            </w:r>
          </w:p>
          <w:p w14:paraId="01BB6814">
            <w:pPr>
              <w:widowControl/>
              <w:jc w:val="left"/>
              <w:rPr>
                <w:rFonts w:ascii="宋体" w:hAnsi="宋体" w:cs="宋体"/>
                <w:szCs w:val="21"/>
              </w:rPr>
            </w:pPr>
            <w:r>
              <w:rPr>
                <w:rFonts w:hint="eastAsia" w:ascii="宋体" w:hAnsi="宋体" w:cs="宋体"/>
                <w:szCs w:val="21"/>
              </w:rPr>
              <w:t>未提供或存在重大缺陷的小项方案不得分（重大缺陷是指方案凭空编造、套用其他方案、与采购项目和采购需求无关，无法指导项目实施）。</w:t>
            </w:r>
          </w:p>
        </w:tc>
      </w:tr>
      <w:tr w14:paraId="4C0F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1060" w:type="pct"/>
            <w:vMerge w:val="continue"/>
            <w:tcMar>
              <w:top w:w="0" w:type="dxa"/>
              <w:left w:w="108" w:type="dxa"/>
              <w:bottom w:w="0" w:type="dxa"/>
              <w:right w:w="108" w:type="dxa"/>
            </w:tcMar>
            <w:vAlign w:val="center"/>
          </w:tcPr>
          <w:p w14:paraId="52F10DCA">
            <w:pPr>
              <w:widowControl/>
              <w:rPr>
                <w:rFonts w:ascii="宋体" w:hAnsi="宋体" w:eastAsia="宋体" w:cs="宋体"/>
                <w:szCs w:val="21"/>
              </w:rPr>
            </w:pPr>
          </w:p>
        </w:tc>
        <w:tc>
          <w:tcPr>
            <w:tcW w:w="786" w:type="pct"/>
            <w:shd w:val="clear" w:color="auto" w:fill="auto"/>
            <w:tcMar>
              <w:top w:w="0" w:type="dxa"/>
              <w:left w:w="108" w:type="dxa"/>
              <w:bottom w:w="0" w:type="dxa"/>
              <w:right w:w="108" w:type="dxa"/>
            </w:tcMar>
            <w:vAlign w:val="center"/>
          </w:tcPr>
          <w:p w14:paraId="50AF462A">
            <w:pPr>
              <w:widowControl/>
              <w:rPr>
                <w:rFonts w:ascii="宋体" w:hAnsi="宋体" w:eastAsia="宋体" w:cs="宋体"/>
                <w:szCs w:val="21"/>
              </w:rPr>
            </w:pPr>
            <w:r>
              <w:rPr>
                <w:rFonts w:hint="eastAsia" w:ascii="宋体" w:hAnsi="宋体" w:eastAsia="宋体" w:cs="宋体"/>
                <w:szCs w:val="21"/>
              </w:rPr>
              <w:t>紧急情况的处理措施、预案以及抵抗风险的措施6分</w:t>
            </w:r>
          </w:p>
        </w:tc>
        <w:tc>
          <w:tcPr>
            <w:tcW w:w="3153" w:type="pct"/>
            <w:shd w:val="clear" w:color="auto" w:fill="auto"/>
            <w:tcMar>
              <w:top w:w="0" w:type="dxa"/>
              <w:left w:w="108" w:type="dxa"/>
              <w:bottom w:w="0" w:type="dxa"/>
              <w:right w:w="108" w:type="dxa"/>
            </w:tcMar>
            <w:vAlign w:val="center"/>
          </w:tcPr>
          <w:p w14:paraId="42B224FE">
            <w:pPr>
              <w:spacing w:line="400" w:lineRule="exact"/>
              <w:rPr>
                <w:rFonts w:ascii="宋体" w:hAnsi="宋体" w:eastAsia="宋体" w:cs="宋体"/>
                <w:szCs w:val="21"/>
              </w:rPr>
            </w:pPr>
            <w:r>
              <w:rPr>
                <w:rFonts w:hint="eastAsia" w:ascii="宋体" w:hAnsi="宋体" w:eastAsia="宋体" w:cs="宋体"/>
                <w:szCs w:val="21"/>
              </w:rPr>
              <w:t>供应商针对本项目制定紧急情况的处理措施、预案以及抵抗风险的措施，要求包括但不限于：①</w:t>
            </w:r>
            <w:r>
              <w:rPr>
                <w:rFonts w:hint="eastAsia" w:ascii="Times New Roman" w:hAnsi="Times New Roman" w:eastAsia="宋体" w:cs="Times New Roman"/>
                <w:szCs w:val="21"/>
              </w:rPr>
              <w:t>紧急情况的应急预案</w:t>
            </w:r>
            <w:r>
              <w:rPr>
                <w:rFonts w:hint="eastAsia"/>
                <w:szCs w:val="21"/>
              </w:rPr>
              <w:t>、</w:t>
            </w:r>
            <w:r>
              <w:rPr>
                <w:rFonts w:hint="eastAsia" w:ascii="宋体" w:hAnsi="宋体" w:eastAsia="宋体" w:cs="宋体"/>
                <w:szCs w:val="21"/>
              </w:rPr>
              <w:t>②</w:t>
            </w:r>
            <w:r>
              <w:rPr>
                <w:rFonts w:hint="eastAsia" w:ascii="Times New Roman" w:hAnsi="Times New Roman" w:eastAsia="宋体" w:cs="Times New Roman"/>
                <w:szCs w:val="21"/>
              </w:rPr>
              <w:t>紧急情况的处理措施</w:t>
            </w:r>
            <w:r>
              <w:rPr>
                <w:rFonts w:hint="eastAsia" w:ascii="宋体" w:hAnsi="宋体" w:eastAsia="宋体" w:cs="宋体"/>
                <w:szCs w:val="21"/>
              </w:rPr>
              <w:t>、③</w:t>
            </w:r>
            <w:r>
              <w:rPr>
                <w:rFonts w:hint="eastAsia" w:ascii="Times New Roman" w:hAnsi="Times New Roman" w:eastAsia="宋体" w:cs="Times New Roman"/>
                <w:szCs w:val="21"/>
              </w:rPr>
              <w:t>抵抗风险的措施等</w:t>
            </w:r>
            <w:r>
              <w:rPr>
                <w:rFonts w:hint="eastAsia" w:ascii="宋体" w:hAnsi="宋体" w:eastAsia="宋体" w:cs="宋体"/>
                <w:szCs w:val="21"/>
              </w:rPr>
              <w:t>。</w:t>
            </w:r>
          </w:p>
          <w:p w14:paraId="35313D0E">
            <w:pPr>
              <w:spacing w:line="400" w:lineRule="exact"/>
              <w:rPr>
                <w:rFonts w:ascii="宋体" w:hAnsi="宋体" w:cs="宋体"/>
                <w:szCs w:val="21"/>
              </w:rPr>
            </w:pPr>
            <w:r>
              <w:rPr>
                <w:rFonts w:hint="eastAsia" w:ascii="宋体" w:hAnsi="宋体" w:cs="宋体"/>
                <w:szCs w:val="21"/>
              </w:rPr>
              <w:t>上述小项方案具有针对性和可行性、清晰明确、满足采购人实际需求的每项得2分。</w:t>
            </w:r>
          </w:p>
          <w:p w14:paraId="7FC32FF5">
            <w:pPr>
              <w:spacing w:line="400" w:lineRule="exact"/>
              <w:rPr>
                <w:rFonts w:ascii="宋体" w:hAnsi="宋体" w:cs="宋体"/>
                <w:szCs w:val="21"/>
              </w:rPr>
            </w:pPr>
            <w:r>
              <w:rPr>
                <w:rFonts w:hint="eastAsia" w:ascii="宋体" w:hAnsi="宋体" w:cs="宋体"/>
                <w:szCs w:val="21"/>
              </w:rPr>
              <w:t>存在一般缺陷的小项方案得1分（一般缺陷是指方案内容前后不一致、前后逻辑错误、内容有缺失，不影响项目的实施）。</w:t>
            </w:r>
          </w:p>
          <w:p w14:paraId="521E1E4E">
            <w:pPr>
              <w:widowControl/>
              <w:jc w:val="left"/>
              <w:rPr>
                <w:rFonts w:ascii="宋体" w:hAnsi="宋体" w:cs="宋体"/>
                <w:szCs w:val="21"/>
              </w:rPr>
            </w:pPr>
            <w:r>
              <w:rPr>
                <w:rFonts w:hint="eastAsia" w:ascii="宋体" w:hAnsi="宋体" w:cs="宋体"/>
                <w:szCs w:val="21"/>
              </w:rPr>
              <w:t>未提供或存在重大缺陷的小项方案不得分（重大缺陷是指方案凭空编造、套用其他方案、与采购项目和采购需求无关，无法指导项目实施）。</w:t>
            </w:r>
          </w:p>
        </w:tc>
      </w:tr>
      <w:tr w14:paraId="380B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060" w:type="pct"/>
            <w:vMerge w:val="continue"/>
            <w:tcMar>
              <w:top w:w="0" w:type="dxa"/>
              <w:left w:w="108" w:type="dxa"/>
              <w:bottom w:w="0" w:type="dxa"/>
              <w:right w:w="108" w:type="dxa"/>
            </w:tcMar>
            <w:vAlign w:val="center"/>
          </w:tcPr>
          <w:p w14:paraId="5930D50A">
            <w:pPr>
              <w:widowControl/>
              <w:rPr>
                <w:rFonts w:ascii="宋体" w:hAnsi="宋体" w:eastAsia="宋体" w:cs="宋体"/>
                <w:szCs w:val="21"/>
              </w:rPr>
            </w:pPr>
          </w:p>
        </w:tc>
        <w:tc>
          <w:tcPr>
            <w:tcW w:w="786" w:type="pct"/>
            <w:shd w:val="clear" w:color="auto" w:fill="auto"/>
            <w:tcMar>
              <w:top w:w="0" w:type="dxa"/>
              <w:left w:w="108" w:type="dxa"/>
              <w:bottom w:w="0" w:type="dxa"/>
              <w:right w:w="108" w:type="dxa"/>
            </w:tcMar>
            <w:vAlign w:val="center"/>
          </w:tcPr>
          <w:p w14:paraId="036EEFF8">
            <w:pPr>
              <w:widowControl/>
              <w:rPr>
                <w:rFonts w:hint="default" w:ascii="宋体" w:hAnsi="宋体" w:eastAsia="宋体" w:cs="宋体"/>
                <w:szCs w:val="21"/>
                <w:lang w:val="en-US" w:eastAsia="zh-CN"/>
              </w:rPr>
            </w:pPr>
            <w:r>
              <w:rPr>
                <w:rFonts w:hint="eastAsia" w:ascii="宋体" w:hAnsi="宋体" w:eastAsia="宋体" w:cs="宋体"/>
                <w:szCs w:val="21"/>
              </w:rPr>
              <w:t>资源配备计划</w:t>
            </w:r>
            <w:r>
              <w:rPr>
                <w:rFonts w:hint="eastAsia" w:ascii="宋体" w:hAnsi="宋体" w:eastAsia="宋体" w:cs="宋体"/>
                <w:szCs w:val="21"/>
                <w:highlight w:val="none"/>
                <w:lang w:val="en-US" w:eastAsia="zh-CN"/>
              </w:rPr>
              <w:t>6分</w:t>
            </w:r>
          </w:p>
        </w:tc>
        <w:tc>
          <w:tcPr>
            <w:tcW w:w="3153" w:type="pct"/>
            <w:shd w:val="clear" w:color="auto" w:fill="auto"/>
            <w:tcMar>
              <w:top w:w="0" w:type="dxa"/>
              <w:left w:w="108" w:type="dxa"/>
              <w:bottom w:w="0" w:type="dxa"/>
              <w:right w:w="108" w:type="dxa"/>
            </w:tcMar>
            <w:vAlign w:val="center"/>
          </w:tcPr>
          <w:p w14:paraId="4C5FC047">
            <w:pPr>
              <w:spacing w:line="400" w:lineRule="exact"/>
              <w:rPr>
                <w:rFonts w:ascii="宋体" w:hAnsi="宋体" w:eastAsia="宋体" w:cs="宋体"/>
                <w:szCs w:val="21"/>
                <w:highlight w:val="green"/>
              </w:rPr>
            </w:pPr>
            <w:r>
              <w:rPr>
                <w:rFonts w:hint="eastAsia" w:ascii="宋体" w:hAnsi="宋体" w:eastAsia="宋体" w:cs="宋体"/>
                <w:szCs w:val="21"/>
              </w:rPr>
              <w:t>供应商针对本项目制定资源配备计划，要求包括但不限于：①主要施工设备及检测设备配备情况</w:t>
            </w:r>
            <w:r>
              <w:rPr>
                <w:rFonts w:hint="eastAsia"/>
                <w:szCs w:val="21"/>
              </w:rPr>
              <w:t>、</w:t>
            </w:r>
            <w:r>
              <w:rPr>
                <w:rFonts w:hint="eastAsia" w:ascii="宋体" w:hAnsi="宋体" w:eastAsia="宋体" w:cs="宋体"/>
                <w:szCs w:val="21"/>
                <w:highlight w:val="none"/>
              </w:rPr>
              <w:t>②劳动力安排计划</w:t>
            </w:r>
            <w:r>
              <w:rPr>
                <w:rFonts w:hint="eastAsia" w:ascii="宋体" w:hAnsi="宋体" w:eastAsia="宋体" w:cs="宋体"/>
                <w:szCs w:val="21"/>
                <w:highlight w:val="none"/>
                <w:lang w:eastAsia="zh-CN"/>
              </w:rPr>
              <w:t>、</w:t>
            </w:r>
            <w:r>
              <w:rPr>
                <w:rFonts w:hint="eastAsia" w:ascii="微软雅黑" w:hAnsi="微软雅黑" w:eastAsia="微软雅黑" w:cs="微软雅黑"/>
                <w:szCs w:val="21"/>
                <w:highlight w:val="none"/>
                <w:lang w:val="en-US" w:eastAsia="zh-CN"/>
              </w:rPr>
              <w:t>③</w:t>
            </w:r>
            <w:r>
              <w:rPr>
                <w:rFonts w:hint="eastAsia" w:ascii="宋体" w:hAnsi="宋体" w:eastAsia="宋体" w:cs="宋体"/>
                <w:szCs w:val="21"/>
                <w:highlight w:val="none"/>
              </w:rPr>
              <w:t>原材料进场计划等。</w:t>
            </w:r>
          </w:p>
          <w:p w14:paraId="10E608FB">
            <w:pPr>
              <w:spacing w:line="400" w:lineRule="exact"/>
              <w:rPr>
                <w:rFonts w:ascii="宋体" w:hAnsi="宋体" w:cs="宋体"/>
                <w:szCs w:val="21"/>
              </w:rPr>
            </w:pPr>
            <w:r>
              <w:rPr>
                <w:rFonts w:hint="eastAsia" w:ascii="宋体" w:hAnsi="宋体" w:cs="宋体"/>
                <w:szCs w:val="21"/>
              </w:rPr>
              <w:t>上述小项方案具有针对性和可行性、清晰明确、满足采购人实际需求的每项得</w:t>
            </w:r>
            <w:r>
              <w:rPr>
                <w:rFonts w:hint="eastAsia" w:ascii="宋体" w:hAnsi="宋体" w:cs="宋体"/>
                <w:szCs w:val="21"/>
                <w:lang w:val="en-US" w:eastAsia="zh-CN"/>
              </w:rPr>
              <w:t>2</w:t>
            </w:r>
            <w:r>
              <w:rPr>
                <w:rFonts w:hint="eastAsia" w:ascii="宋体" w:hAnsi="宋体" w:cs="宋体"/>
                <w:szCs w:val="21"/>
              </w:rPr>
              <w:t>分。</w:t>
            </w:r>
          </w:p>
          <w:p w14:paraId="4288069E">
            <w:pPr>
              <w:spacing w:line="400" w:lineRule="exact"/>
              <w:rPr>
                <w:rFonts w:ascii="宋体" w:hAnsi="宋体" w:cs="宋体"/>
                <w:szCs w:val="21"/>
              </w:rPr>
            </w:pPr>
            <w:r>
              <w:rPr>
                <w:rFonts w:hint="eastAsia" w:ascii="宋体" w:hAnsi="宋体" w:cs="宋体"/>
                <w:szCs w:val="21"/>
              </w:rPr>
              <w:t>存在一般缺陷的小项方案得</w:t>
            </w:r>
            <w:r>
              <w:rPr>
                <w:rFonts w:hint="eastAsia" w:ascii="宋体" w:hAnsi="宋体" w:cs="宋体"/>
                <w:szCs w:val="21"/>
                <w:lang w:val="en-US" w:eastAsia="zh-CN"/>
              </w:rPr>
              <w:t>1</w:t>
            </w:r>
            <w:r>
              <w:rPr>
                <w:rFonts w:hint="eastAsia" w:ascii="宋体" w:hAnsi="宋体" w:cs="宋体"/>
                <w:szCs w:val="21"/>
              </w:rPr>
              <w:t>分（一般缺陷是指方案内容前后不一致、前后逻辑错误、内容有缺失，不影响项目的实施）。</w:t>
            </w:r>
          </w:p>
          <w:p w14:paraId="19A47518">
            <w:pPr>
              <w:widowControl/>
              <w:jc w:val="left"/>
              <w:rPr>
                <w:rFonts w:ascii="宋体" w:hAnsi="宋体" w:cs="宋体"/>
                <w:szCs w:val="21"/>
              </w:rPr>
            </w:pPr>
            <w:r>
              <w:rPr>
                <w:rFonts w:hint="eastAsia" w:ascii="宋体" w:hAnsi="宋体" w:cs="宋体"/>
                <w:szCs w:val="21"/>
              </w:rPr>
              <w:t>未提供或存在重大缺陷的小项方案不得分（重大缺陷是指方案凭空编造、套用其他方案、与采购项目和采购需求无关，无法指导项目实施）。</w:t>
            </w:r>
          </w:p>
          <w:p w14:paraId="4DBFEAE0">
            <w:pPr>
              <w:pStyle w:val="42"/>
              <w:rPr>
                <w:rFonts w:hint="eastAsia" w:eastAsia="宋体"/>
                <w:lang w:eastAsia="zh-CN"/>
              </w:rPr>
            </w:pPr>
            <w:r>
              <w:rPr>
                <w:rFonts w:hint="eastAsia" w:cs="宋体"/>
                <w:color w:val="auto"/>
                <w:sz w:val="21"/>
                <w:szCs w:val="21"/>
                <w:lang w:eastAsia="zh-CN"/>
              </w:rPr>
              <w:t>注：本项评分将依据施工组织设计附表一、二、三、四的内容开展评审，若供应商有补充文字阐述内容，可添加至对应</w:t>
            </w:r>
            <w:r>
              <w:rPr>
                <w:rFonts w:hint="eastAsia" w:cs="宋体"/>
                <w:color w:val="auto"/>
                <w:sz w:val="21"/>
                <w:szCs w:val="21"/>
                <w:lang w:val="en-US" w:eastAsia="zh-CN"/>
              </w:rPr>
              <w:t>章节，文字阐述的编制要求与技术标正文保持一致。</w:t>
            </w:r>
          </w:p>
        </w:tc>
      </w:tr>
    </w:tbl>
    <w:p w14:paraId="4493703B">
      <w:pPr>
        <w:rPr>
          <w:rFonts w:ascii="宋体" w:hAnsi="宋体" w:eastAsia="宋体" w:cs="宋体"/>
          <w:szCs w:val="21"/>
        </w:rPr>
      </w:pPr>
      <w:r>
        <w:rPr>
          <w:rFonts w:hint="eastAsia" w:ascii="宋体" w:hAnsi="宋体" w:eastAsia="宋体" w:cs="宋体"/>
          <w:szCs w:val="21"/>
        </w:rPr>
        <w:br w:type="page"/>
      </w:r>
    </w:p>
    <w:p w14:paraId="13ED15E8">
      <w:pPr>
        <w:spacing w:line="360" w:lineRule="auto"/>
        <w:jc w:val="left"/>
        <w:rPr>
          <w:rFonts w:ascii="宋体" w:hAnsi="宋体" w:cs="宋体"/>
          <w:b/>
          <w:bCs/>
          <w:sz w:val="28"/>
          <w:szCs w:val="28"/>
        </w:rPr>
      </w:pPr>
      <w:r>
        <w:rPr>
          <w:rFonts w:hint="eastAsia" w:ascii="宋体" w:hAnsi="宋体" w:cs="宋体"/>
          <w:b/>
          <w:bCs/>
          <w:sz w:val="28"/>
          <w:szCs w:val="28"/>
        </w:rPr>
        <w:t xml:space="preserve">附件1： </w:t>
      </w:r>
    </w:p>
    <w:p w14:paraId="5756066D">
      <w:pPr>
        <w:spacing w:line="315" w:lineRule="auto"/>
        <w:jc w:val="center"/>
        <w:rPr>
          <w:rFonts w:ascii="宋体" w:hAnsi="宋体" w:cs="宋体"/>
          <w:b/>
          <w:bCs/>
          <w:sz w:val="32"/>
          <w:szCs w:val="32"/>
        </w:rPr>
      </w:pPr>
      <w:r>
        <w:rPr>
          <w:rFonts w:hint="eastAsia" w:ascii="宋体" w:hAnsi="宋体" w:cs="宋体"/>
          <w:b/>
          <w:bCs/>
          <w:sz w:val="32"/>
          <w:szCs w:val="32"/>
        </w:rPr>
        <w:t>最后报价表</w:t>
      </w:r>
    </w:p>
    <w:p w14:paraId="5043440A">
      <w:pPr>
        <w:spacing w:line="360" w:lineRule="auto"/>
        <w:ind w:firstLine="371" w:firstLineChars="177"/>
        <w:jc w:val="left"/>
        <w:rPr>
          <w:rFonts w:ascii="宋体" w:hAnsi="宋体" w:cs="宋体"/>
          <w:szCs w:val="21"/>
        </w:rPr>
      </w:pPr>
    </w:p>
    <w:p w14:paraId="46510C0A">
      <w:pPr>
        <w:spacing w:line="360" w:lineRule="auto"/>
        <w:ind w:firstLine="371" w:firstLineChars="177"/>
        <w:jc w:val="left"/>
        <w:rPr>
          <w:rFonts w:ascii="宋体" w:hAnsi="宋体" w:cs="宋体"/>
          <w:szCs w:val="21"/>
        </w:rPr>
      </w:pPr>
      <w:r>
        <w:rPr>
          <w:rFonts w:hint="eastAsia" w:ascii="宋体" w:hAnsi="宋体" w:cs="宋体"/>
          <w:szCs w:val="21"/>
        </w:rPr>
        <w:t>供应商通过政府采购云平台（网址：http://www.zcygov.cn）进行最后磋商报价，在采购代理机构发起新一轮报价（即为最后磋商报价）后，供应商应在30分钟内完成新一轮报价（即为最后磋商报价）；供应商如逾期未完成报价的，其视为退出本项目磋商。</w:t>
      </w:r>
      <w:r>
        <w:rPr>
          <w:rFonts w:ascii="宋体" w:hAnsi="宋体" w:cs="宋体"/>
          <w:szCs w:val="21"/>
        </w:rPr>
        <w:br w:type="page"/>
      </w:r>
    </w:p>
    <w:p w14:paraId="7543D1E3">
      <w:pPr>
        <w:pStyle w:val="22"/>
        <w:rPr>
          <w:b/>
          <w:sz w:val="28"/>
          <w:szCs w:val="28"/>
        </w:rPr>
      </w:pPr>
      <w:r>
        <w:rPr>
          <w:rFonts w:hint="eastAsia"/>
          <w:b/>
          <w:sz w:val="28"/>
          <w:szCs w:val="28"/>
        </w:rPr>
        <w:t>附件2：</w:t>
      </w:r>
    </w:p>
    <w:p w14:paraId="5B3EF39E">
      <w:pPr>
        <w:pStyle w:val="28"/>
        <w:ind w:left="0" w:leftChars="0" w:firstLine="420"/>
        <w:rPr>
          <w:lang w:val="zh-CN"/>
        </w:rPr>
      </w:pPr>
    </w:p>
    <w:p w14:paraId="5713E083">
      <w:pPr>
        <w:autoSpaceDE w:val="0"/>
        <w:autoSpaceDN w:val="0"/>
        <w:adjustRightInd w:val="0"/>
        <w:spacing w:line="400" w:lineRule="exact"/>
        <w:rPr>
          <w:rFonts w:ascii="微软雅黑" w:hAnsi="微软雅黑" w:eastAsia="微软雅黑" w:cs="宋体"/>
          <w:bCs/>
          <w:kern w:val="36"/>
          <w:sz w:val="36"/>
          <w:szCs w:val="36"/>
          <w:lang w:val="zh-CN"/>
        </w:rPr>
      </w:pPr>
    </w:p>
    <w:p w14:paraId="62E64000">
      <w:pPr>
        <w:autoSpaceDE w:val="0"/>
        <w:autoSpaceDN w:val="0"/>
        <w:adjustRightInd w:val="0"/>
        <w:spacing w:line="400" w:lineRule="exact"/>
        <w:jc w:val="center"/>
        <w:rPr>
          <w:rFonts w:ascii="微软雅黑" w:hAnsi="微软雅黑" w:eastAsia="微软雅黑" w:cs="宋体"/>
          <w:bCs/>
          <w:kern w:val="36"/>
          <w:sz w:val="36"/>
          <w:szCs w:val="36"/>
          <w:lang w:val="zh-CN"/>
        </w:rPr>
      </w:pPr>
      <w:r>
        <w:rPr>
          <w:rFonts w:hint="eastAsia" w:ascii="微软雅黑" w:hAnsi="微软雅黑" w:eastAsia="微软雅黑" w:cs="宋体"/>
          <w:bCs/>
          <w:kern w:val="36"/>
          <w:sz w:val="36"/>
          <w:szCs w:val="36"/>
          <w:lang w:val="zh-CN"/>
        </w:rPr>
        <w:t>关于印发中小企业划型标准规定的通知</w:t>
      </w:r>
    </w:p>
    <w:p w14:paraId="62597C61">
      <w:pPr>
        <w:autoSpaceDE w:val="0"/>
        <w:autoSpaceDN w:val="0"/>
        <w:adjustRightInd w:val="0"/>
        <w:spacing w:line="400" w:lineRule="exact"/>
        <w:rPr>
          <w:rFonts w:ascii="宋体" w:hAnsi="宋体" w:cs="宋体"/>
          <w:b/>
          <w:szCs w:val="18"/>
          <w:lang w:val="zh-CN"/>
        </w:rPr>
      </w:pPr>
    </w:p>
    <w:p w14:paraId="041E8920">
      <w:pPr>
        <w:autoSpaceDE w:val="0"/>
        <w:autoSpaceDN w:val="0"/>
        <w:adjustRightInd w:val="0"/>
        <w:spacing w:line="400" w:lineRule="exact"/>
        <w:rPr>
          <w:rFonts w:ascii="宋体" w:hAnsi="宋体" w:cs="宋体"/>
          <w:szCs w:val="18"/>
          <w:lang w:val="zh-CN"/>
        </w:rPr>
      </w:pPr>
      <w:r>
        <w:rPr>
          <w:rFonts w:hint="eastAsia" w:ascii="宋体" w:hAnsi="宋体" w:cs="宋体"/>
          <w:szCs w:val="18"/>
          <w:lang w:val="zh-CN"/>
        </w:rPr>
        <w:t>工信部联企业[2011]300号</w:t>
      </w:r>
    </w:p>
    <w:p w14:paraId="4332D589">
      <w:pPr>
        <w:autoSpaceDE w:val="0"/>
        <w:autoSpaceDN w:val="0"/>
        <w:adjustRightInd w:val="0"/>
        <w:spacing w:line="400" w:lineRule="exact"/>
        <w:jc w:val="left"/>
        <w:rPr>
          <w:rFonts w:ascii="宋体" w:hAnsi="宋体" w:cs="宋体"/>
          <w:szCs w:val="18"/>
          <w:lang w:val="zh-CN"/>
        </w:rPr>
      </w:pPr>
      <w:r>
        <w:rPr>
          <w:rFonts w:hint="eastAsia" w:ascii="宋体" w:hAnsi="宋体" w:cs="宋体"/>
          <w:szCs w:val="18"/>
          <w:lang w:val="zh-CN"/>
        </w:rPr>
        <w:t>各省、自治区、直辖市人民政府，国务院各部委、各直属机构及有关单位：</w:t>
      </w:r>
    </w:p>
    <w:p w14:paraId="61EA1626">
      <w:pPr>
        <w:autoSpaceDE w:val="0"/>
        <w:autoSpaceDN w:val="0"/>
        <w:adjustRightInd w:val="0"/>
        <w:spacing w:line="400" w:lineRule="exact"/>
        <w:jc w:val="left"/>
        <w:rPr>
          <w:rFonts w:ascii="宋体" w:hAnsi="宋体" w:cs="宋体"/>
          <w:szCs w:val="18"/>
          <w:lang w:val="zh-CN"/>
        </w:rPr>
      </w:pPr>
    </w:p>
    <w:p w14:paraId="2BE5F625">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3994602">
      <w:pPr>
        <w:autoSpaceDE w:val="0"/>
        <w:autoSpaceDN w:val="0"/>
        <w:adjustRightInd w:val="0"/>
        <w:spacing w:line="400" w:lineRule="exact"/>
        <w:jc w:val="left"/>
        <w:rPr>
          <w:rFonts w:ascii="宋体" w:hAnsi="宋体" w:cs="宋体"/>
          <w:szCs w:val="18"/>
          <w:lang w:val="zh-CN"/>
        </w:rPr>
      </w:pPr>
    </w:p>
    <w:p w14:paraId="14332A53">
      <w:pPr>
        <w:autoSpaceDE w:val="0"/>
        <w:autoSpaceDN w:val="0"/>
        <w:adjustRightInd w:val="0"/>
        <w:spacing w:line="400" w:lineRule="exact"/>
        <w:jc w:val="left"/>
        <w:rPr>
          <w:rFonts w:ascii="宋体" w:hAnsi="宋体" w:cs="宋体"/>
          <w:szCs w:val="18"/>
          <w:lang w:val="zh-CN"/>
        </w:rPr>
      </w:pPr>
    </w:p>
    <w:p w14:paraId="45B13327">
      <w:pPr>
        <w:autoSpaceDE w:val="0"/>
        <w:autoSpaceDN w:val="0"/>
        <w:adjustRightInd w:val="0"/>
        <w:spacing w:line="400" w:lineRule="exact"/>
        <w:jc w:val="left"/>
        <w:rPr>
          <w:rFonts w:ascii="宋体" w:hAnsi="宋体" w:cs="宋体"/>
          <w:szCs w:val="18"/>
          <w:lang w:val="zh-CN"/>
        </w:rPr>
      </w:pPr>
      <w:r>
        <w:rPr>
          <w:rFonts w:hint="eastAsia" w:ascii="宋体" w:hAnsi="宋体" w:cs="宋体"/>
          <w:szCs w:val="18"/>
          <w:lang w:val="zh-CN"/>
        </w:rPr>
        <w:t>                                工业和信息化部          国家统计局</w:t>
      </w:r>
    </w:p>
    <w:p w14:paraId="37CFF18B">
      <w:pPr>
        <w:autoSpaceDE w:val="0"/>
        <w:autoSpaceDN w:val="0"/>
        <w:adjustRightInd w:val="0"/>
        <w:spacing w:line="400" w:lineRule="exact"/>
        <w:jc w:val="left"/>
        <w:rPr>
          <w:rFonts w:ascii="宋体" w:hAnsi="宋体" w:cs="宋体"/>
          <w:szCs w:val="18"/>
          <w:lang w:val="zh-CN"/>
        </w:rPr>
      </w:pPr>
    </w:p>
    <w:p w14:paraId="5B04A585">
      <w:pPr>
        <w:autoSpaceDE w:val="0"/>
        <w:autoSpaceDN w:val="0"/>
        <w:adjustRightInd w:val="0"/>
        <w:spacing w:line="400" w:lineRule="exact"/>
        <w:jc w:val="left"/>
        <w:rPr>
          <w:rFonts w:ascii="宋体" w:hAnsi="宋体" w:cs="宋体"/>
          <w:szCs w:val="18"/>
          <w:lang w:val="zh-CN"/>
        </w:rPr>
      </w:pPr>
      <w:r>
        <w:rPr>
          <w:rFonts w:hint="eastAsia" w:ascii="宋体" w:hAnsi="宋体" w:cs="宋体"/>
          <w:szCs w:val="18"/>
          <w:lang w:val="zh-CN"/>
        </w:rPr>
        <w:t xml:space="preserve">                                   国家发展和改革委员会       财政部</w:t>
      </w:r>
    </w:p>
    <w:p w14:paraId="176EEA91">
      <w:pPr>
        <w:autoSpaceDE w:val="0"/>
        <w:autoSpaceDN w:val="0"/>
        <w:adjustRightInd w:val="0"/>
        <w:spacing w:line="400" w:lineRule="exact"/>
        <w:jc w:val="left"/>
        <w:rPr>
          <w:rFonts w:ascii="宋体" w:hAnsi="宋体" w:cs="宋体"/>
          <w:szCs w:val="18"/>
          <w:lang w:val="zh-CN"/>
        </w:rPr>
      </w:pPr>
    </w:p>
    <w:p w14:paraId="5C2500F9">
      <w:pPr>
        <w:autoSpaceDE w:val="0"/>
        <w:autoSpaceDN w:val="0"/>
        <w:adjustRightInd w:val="0"/>
        <w:spacing w:line="400" w:lineRule="exact"/>
        <w:jc w:val="left"/>
        <w:rPr>
          <w:rFonts w:ascii="宋体" w:hAnsi="宋体" w:cs="宋体"/>
          <w:szCs w:val="18"/>
          <w:lang w:val="zh-CN"/>
        </w:rPr>
      </w:pPr>
      <w:r>
        <w:rPr>
          <w:rFonts w:hint="eastAsia" w:ascii="宋体" w:hAnsi="宋体" w:cs="宋体"/>
          <w:szCs w:val="18"/>
        </w:rPr>
        <w:t xml:space="preserve">                                     </w:t>
      </w:r>
      <w:r>
        <w:rPr>
          <w:rFonts w:hint="eastAsia" w:ascii="宋体" w:hAnsi="宋体" w:cs="宋体"/>
          <w:szCs w:val="18"/>
          <w:lang w:val="zh-CN"/>
        </w:rPr>
        <w:t>二○一一年六月十八日</w:t>
      </w:r>
    </w:p>
    <w:p w14:paraId="51636D77">
      <w:pPr>
        <w:autoSpaceDE w:val="0"/>
        <w:autoSpaceDN w:val="0"/>
        <w:adjustRightInd w:val="0"/>
        <w:spacing w:line="400" w:lineRule="exact"/>
        <w:jc w:val="left"/>
        <w:rPr>
          <w:rFonts w:ascii="宋体" w:hAnsi="宋体" w:cs="宋体"/>
          <w:bCs/>
          <w:szCs w:val="18"/>
        </w:rPr>
      </w:pPr>
      <w:r>
        <w:rPr>
          <w:rFonts w:hint="eastAsia" w:ascii="宋体" w:hAnsi="宋体" w:cs="宋体"/>
          <w:b/>
          <w:szCs w:val="18"/>
        </w:rPr>
        <w:t xml:space="preserve">                            </w:t>
      </w:r>
      <w:r>
        <w:rPr>
          <w:rFonts w:hint="eastAsia" w:ascii="宋体" w:hAnsi="宋体" w:cs="宋体"/>
          <w:bCs/>
          <w:szCs w:val="18"/>
        </w:rPr>
        <w:t xml:space="preserve">   </w:t>
      </w:r>
    </w:p>
    <w:p w14:paraId="4CB87951">
      <w:pPr>
        <w:autoSpaceDE w:val="0"/>
        <w:autoSpaceDN w:val="0"/>
        <w:adjustRightInd w:val="0"/>
        <w:spacing w:line="400" w:lineRule="exact"/>
        <w:jc w:val="left"/>
        <w:rPr>
          <w:rFonts w:ascii="宋体" w:hAnsi="宋体" w:cs="宋体"/>
          <w:bCs/>
          <w:szCs w:val="18"/>
        </w:rPr>
      </w:pPr>
    </w:p>
    <w:p w14:paraId="108F5F58">
      <w:pPr>
        <w:autoSpaceDE w:val="0"/>
        <w:autoSpaceDN w:val="0"/>
        <w:adjustRightInd w:val="0"/>
        <w:spacing w:line="400" w:lineRule="exact"/>
        <w:jc w:val="left"/>
        <w:rPr>
          <w:rFonts w:ascii="宋体" w:hAnsi="宋体" w:cs="宋体"/>
          <w:bCs/>
          <w:szCs w:val="18"/>
        </w:rPr>
      </w:pPr>
    </w:p>
    <w:p w14:paraId="6DAF8D26">
      <w:pPr>
        <w:autoSpaceDE w:val="0"/>
        <w:autoSpaceDN w:val="0"/>
        <w:adjustRightInd w:val="0"/>
        <w:spacing w:line="400" w:lineRule="exact"/>
        <w:jc w:val="left"/>
        <w:rPr>
          <w:rFonts w:ascii="宋体" w:hAnsi="宋体" w:cs="宋体"/>
          <w:bCs/>
          <w:szCs w:val="18"/>
        </w:rPr>
      </w:pPr>
    </w:p>
    <w:p w14:paraId="62722E7F">
      <w:pPr>
        <w:autoSpaceDE w:val="0"/>
        <w:autoSpaceDN w:val="0"/>
        <w:adjustRightInd w:val="0"/>
        <w:spacing w:line="400" w:lineRule="exact"/>
        <w:jc w:val="left"/>
        <w:rPr>
          <w:rFonts w:ascii="宋体" w:hAnsi="宋体" w:cs="宋体"/>
          <w:bCs/>
          <w:szCs w:val="18"/>
        </w:rPr>
      </w:pPr>
    </w:p>
    <w:p w14:paraId="23DDF4AE">
      <w:pPr>
        <w:autoSpaceDE w:val="0"/>
        <w:autoSpaceDN w:val="0"/>
        <w:adjustRightInd w:val="0"/>
        <w:spacing w:line="400" w:lineRule="exact"/>
        <w:jc w:val="left"/>
        <w:rPr>
          <w:rFonts w:ascii="宋体" w:hAnsi="宋体" w:cs="宋体"/>
          <w:bCs/>
          <w:szCs w:val="18"/>
        </w:rPr>
      </w:pPr>
    </w:p>
    <w:p w14:paraId="0A136B2F">
      <w:pPr>
        <w:autoSpaceDE w:val="0"/>
        <w:autoSpaceDN w:val="0"/>
        <w:adjustRightInd w:val="0"/>
        <w:spacing w:line="400" w:lineRule="exact"/>
        <w:jc w:val="left"/>
        <w:rPr>
          <w:rFonts w:ascii="宋体" w:hAnsi="宋体" w:cs="宋体"/>
          <w:bCs/>
          <w:szCs w:val="18"/>
        </w:rPr>
      </w:pPr>
    </w:p>
    <w:p w14:paraId="6575C59C">
      <w:pPr>
        <w:autoSpaceDE w:val="0"/>
        <w:autoSpaceDN w:val="0"/>
        <w:adjustRightInd w:val="0"/>
        <w:spacing w:line="400" w:lineRule="exact"/>
        <w:jc w:val="left"/>
        <w:rPr>
          <w:rFonts w:ascii="宋体" w:hAnsi="宋体" w:cs="宋体"/>
          <w:bCs/>
          <w:szCs w:val="18"/>
        </w:rPr>
      </w:pPr>
    </w:p>
    <w:p w14:paraId="7BB95E89">
      <w:pPr>
        <w:autoSpaceDE w:val="0"/>
        <w:autoSpaceDN w:val="0"/>
        <w:adjustRightInd w:val="0"/>
        <w:spacing w:line="400" w:lineRule="exact"/>
        <w:jc w:val="left"/>
        <w:rPr>
          <w:rFonts w:ascii="宋体" w:hAnsi="宋体" w:cs="宋体"/>
          <w:bCs/>
          <w:szCs w:val="18"/>
        </w:rPr>
      </w:pPr>
      <w:r>
        <w:rPr>
          <w:rFonts w:ascii="宋体" w:hAnsi="宋体" w:cs="宋体"/>
          <w:bCs/>
          <w:szCs w:val="18"/>
        </w:rPr>
        <w:br w:type="page"/>
      </w:r>
    </w:p>
    <w:p w14:paraId="0168D5BC">
      <w:pPr>
        <w:autoSpaceDE w:val="0"/>
        <w:autoSpaceDN w:val="0"/>
        <w:adjustRightInd w:val="0"/>
        <w:spacing w:line="400" w:lineRule="exact"/>
        <w:jc w:val="center"/>
        <w:rPr>
          <w:rFonts w:ascii="微软雅黑" w:hAnsi="微软雅黑" w:eastAsia="微软雅黑" w:cs="宋体"/>
          <w:bCs/>
          <w:kern w:val="36"/>
          <w:sz w:val="36"/>
          <w:szCs w:val="36"/>
          <w:lang w:val="zh-CN"/>
        </w:rPr>
      </w:pPr>
      <w:r>
        <w:rPr>
          <w:rFonts w:hint="eastAsia" w:ascii="微软雅黑" w:hAnsi="微软雅黑" w:eastAsia="微软雅黑" w:cs="宋体"/>
          <w:bCs/>
          <w:kern w:val="36"/>
          <w:sz w:val="36"/>
          <w:szCs w:val="36"/>
          <w:lang w:val="zh-CN"/>
        </w:rPr>
        <w:t>中小企业划型标准规定</w:t>
      </w:r>
    </w:p>
    <w:p w14:paraId="3AAEB5D3">
      <w:pPr>
        <w:autoSpaceDE w:val="0"/>
        <w:autoSpaceDN w:val="0"/>
        <w:adjustRightInd w:val="0"/>
        <w:spacing w:line="400" w:lineRule="exact"/>
        <w:jc w:val="left"/>
        <w:rPr>
          <w:rFonts w:ascii="微软雅黑" w:hAnsi="微软雅黑" w:eastAsia="微软雅黑" w:cs="宋体"/>
          <w:bCs/>
          <w:kern w:val="36"/>
          <w:sz w:val="36"/>
          <w:szCs w:val="36"/>
          <w:lang w:val="zh-CN"/>
        </w:rPr>
      </w:pPr>
    </w:p>
    <w:p w14:paraId="711B47E4">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一、根据《中华人民共和国中小企业促进法》和《国务院关于进一步促进中小企业发展的若干意见》(国发[2009]36号)，制定本规定。</w:t>
      </w:r>
    </w:p>
    <w:p w14:paraId="7C1F4792">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二、中小企业划分为中型、小型、微型三种类型，具体标准根据企业从业人员、营业收入、资产总额等指标，结合行业特点制定。</w:t>
      </w:r>
    </w:p>
    <w:p w14:paraId="67609115">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958AF4">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四、各行业划型标准为：</w:t>
      </w:r>
    </w:p>
    <w:p w14:paraId="55C6A8B2">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（一）农、林、牧、渔业。营业收入20000万元以下的为中小微型企业。其中，营业收入500万元及以上的为中型企业，营业收入50万元及以上的为小型企业，营业收入50万元以下的为微型企业。</w:t>
      </w:r>
    </w:p>
    <w:p w14:paraId="6A5784DC">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D343E63">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A27C9A8">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B184999">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D6FF9A">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0C6FC49">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A832F20">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08A15BA">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B3611A">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A953AC">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780475">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2FDD88B">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0795B5C">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FAD334F">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147CE4A">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（十六）其他未列明行业。从业人员300人以下的为中小微型企业。其中，从业人员100人及以上的为中型企业；从业人员10人及以上的为小型企业；从业人员10人以下的为微型企业。</w:t>
      </w:r>
    </w:p>
    <w:p w14:paraId="06243099">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五、企业类型的划分以统计部门的统计数据为依据。</w:t>
      </w:r>
    </w:p>
    <w:p w14:paraId="41AD2380">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六、本规定适用于在中华人民共和国境内依法设立的各类所有制和各种组织形式的企业。个体工商户和本规定以外的行业，参照本规定进行划型。</w:t>
      </w:r>
    </w:p>
    <w:p w14:paraId="192423FA">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七、本规定的中型企业标准上限即为大型企业标准的下限，国家统计部门据此制定大中小微型企业的统计分类。国务院有关部门据此进行相关数据分析，不得制定与本规定不一致的企业划型标准。</w:t>
      </w:r>
    </w:p>
    <w:p w14:paraId="1FB23428">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八、本规定由工业和信息化部、国家统计局会同有关部门根据《国民经济行业分类》修订情况和企业发展变化情况适时修订。</w:t>
      </w:r>
    </w:p>
    <w:p w14:paraId="243F74BD">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九、本规定由工业和信息化部、国家统计局会同有关部门负责解释。</w:t>
      </w:r>
    </w:p>
    <w:p w14:paraId="1B838FE1">
      <w:pPr>
        <w:autoSpaceDE w:val="0"/>
        <w:autoSpaceDN w:val="0"/>
        <w:adjustRightInd w:val="0"/>
        <w:spacing w:line="400" w:lineRule="exact"/>
        <w:ind w:firstLine="420" w:firstLineChars="200"/>
        <w:jc w:val="left"/>
        <w:rPr>
          <w:rFonts w:ascii="宋体" w:hAnsi="宋体" w:cs="宋体"/>
          <w:szCs w:val="18"/>
          <w:lang w:val="zh-CN"/>
        </w:rPr>
      </w:pPr>
      <w:r>
        <w:rPr>
          <w:rFonts w:hint="eastAsia" w:ascii="宋体" w:hAnsi="宋体" w:cs="宋体"/>
          <w:szCs w:val="18"/>
          <w:lang w:val="zh-CN"/>
        </w:rPr>
        <w:t>十、本规定自发布之日起执行，原国家经贸委、原国家计委、财政部和国家统计局2003年颁布的《中小企业标准暂行规定》同时废止。</w:t>
      </w:r>
    </w:p>
    <w:p w14:paraId="6554F51A">
      <w:pPr>
        <w:widowControl/>
        <w:shd w:val="clear" w:color="auto" w:fill="FFFFFF"/>
        <w:spacing w:line="360" w:lineRule="atLeast"/>
        <w:ind w:firstLine="480"/>
        <w:jc w:val="left"/>
        <w:rPr>
          <w:rFonts w:ascii="宋体" w:hAnsi="宋体"/>
          <w:b/>
          <w:spacing w:val="-6"/>
          <w:sz w:val="24"/>
        </w:rPr>
      </w:pPr>
    </w:p>
    <w:p w14:paraId="18B0F7F8">
      <w:pPr>
        <w:pStyle w:val="66"/>
        <w:snapToGrid w:val="0"/>
        <w:spacing w:line="340" w:lineRule="exact"/>
        <w:jc w:val="center"/>
        <w:rPr>
          <w:rStyle w:val="63"/>
          <w:rFonts w:ascii="宋体" w:hAnsi="宋体"/>
          <w:b/>
          <w:kern w:val="0"/>
          <w:szCs w:val="21"/>
        </w:rPr>
      </w:pPr>
      <w:r>
        <w:rPr>
          <w:rStyle w:val="63"/>
          <w:rFonts w:ascii="宋体" w:hAnsi="宋体"/>
          <w:b/>
          <w:kern w:val="0"/>
          <w:sz w:val="28"/>
          <w:szCs w:val="28"/>
        </w:rPr>
        <w:t>《统计上大中小微型企业划分办法（2017）》修订说明</w:t>
      </w:r>
    </w:p>
    <w:p w14:paraId="7558914B">
      <w:pPr>
        <w:snapToGrid w:val="0"/>
        <w:spacing w:line="400" w:lineRule="exact"/>
        <w:ind w:firstLine="420" w:firstLineChars="200"/>
        <w:jc w:val="left"/>
        <w:textAlignment w:val="baseline"/>
        <w:rPr>
          <w:rStyle w:val="63"/>
          <w:rFonts w:ascii="宋体" w:hAnsi="宋体"/>
          <w:szCs w:val="21"/>
        </w:rPr>
      </w:pPr>
      <w:r>
        <w:rPr>
          <w:rStyle w:val="63"/>
          <w:rFonts w:ascii="宋体" w:hAnsi="宋体"/>
          <w:szCs w:val="21"/>
        </w:rPr>
        <w:t>一、修订背景</w:t>
      </w:r>
    </w:p>
    <w:p w14:paraId="16D740C2">
      <w:pPr>
        <w:snapToGrid w:val="0"/>
        <w:spacing w:line="400" w:lineRule="exact"/>
        <w:ind w:firstLine="420" w:firstLineChars="200"/>
        <w:jc w:val="left"/>
        <w:textAlignment w:val="baseline"/>
        <w:rPr>
          <w:rStyle w:val="63"/>
          <w:rFonts w:ascii="宋体" w:hAnsi="宋体"/>
          <w:szCs w:val="21"/>
        </w:rPr>
      </w:pPr>
      <w:r>
        <w:rPr>
          <w:rStyle w:val="63"/>
          <w:rFonts w:ascii="宋体" w:hAnsi="宋体"/>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03E98328">
      <w:pPr>
        <w:snapToGrid w:val="0"/>
        <w:spacing w:line="400" w:lineRule="exact"/>
        <w:ind w:firstLine="420" w:firstLineChars="200"/>
        <w:jc w:val="left"/>
        <w:textAlignment w:val="baseline"/>
        <w:rPr>
          <w:rStyle w:val="63"/>
          <w:rFonts w:ascii="宋体" w:hAnsi="宋体"/>
          <w:szCs w:val="21"/>
        </w:rPr>
      </w:pPr>
      <w:r>
        <w:rPr>
          <w:rStyle w:val="63"/>
          <w:rFonts w:ascii="宋体" w:hAnsi="宋体"/>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11E156B9">
      <w:pPr>
        <w:snapToGrid w:val="0"/>
        <w:spacing w:line="400" w:lineRule="exact"/>
        <w:ind w:firstLine="420" w:firstLineChars="200"/>
        <w:jc w:val="left"/>
        <w:textAlignment w:val="baseline"/>
        <w:rPr>
          <w:rStyle w:val="63"/>
          <w:rFonts w:ascii="宋体" w:hAnsi="宋体"/>
          <w:szCs w:val="21"/>
        </w:rPr>
      </w:pPr>
      <w:r>
        <w:rPr>
          <w:rStyle w:val="63"/>
          <w:rFonts w:ascii="宋体" w:hAnsi="宋体"/>
          <w:szCs w:val="21"/>
        </w:rPr>
        <w:t>二、修订主要内容</w:t>
      </w:r>
    </w:p>
    <w:p w14:paraId="649BD964">
      <w:pPr>
        <w:snapToGrid w:val="0"/>
        <w:spacing w:line="400" w:lineRule="exact"/>
        <w:ind w:firstLine="420" w:firstLineChars="200"/>
        <w:jc w:val="left"/>
        <w:textAlignment w:val="baseline"/>
        <w:rPr>
          <w:rStyle w:val="63"/>
          <w:rFonts w:ascii="宋体" w:hAnsi="宋体"/>
          <w:szCs w:val="21"/>
        </w:rPr>
      </w:pPr>
      <w:r>
        <w:rPr>
          <w:rStyle w:val="63"/>
          <w:rFonts w:ascii="宋体" w:hAnsi="宋体"/>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99919FB">
      <w:pPr>
        <w:snapToGrid w:val="0"/>
        <w:spacing w:line="400" w:lineRule="exact"/>
        <w:ind w:firstLine="420" w:firstLineChars="200"/>
        <w:jc w:val="left"/>
        <w:textAlignment w:val="baseline"/>
        <w:rPr>
          <w:rStyle w:val="63"/>
          <w:rFonts w:ascii="宋体" w:hAnsi="宋体"/>
          <w:szCs w:val="21"/>
        </w:rPr>
      </w:pPr>
      <w:r>
        <w:rPr>
          <w:rStyle w:val="63"/>
          <w:rFonts w:ascii="宋体" w:hAnsi="宋体"/>
          <w:szCs w:val="21"/>
        </w:rPr>
        <w:t>将交通运输业中包括的“装卸搬运和运输代理业”修改为“多式联运和运输代理业、装卸搬运”。</w:t>
      </w:r>
    </w:p>
    <w:p w14:paraId="6CE72189">
      <w:pPr>
        <w:snapToGrid w:val="0"/>
        <w:spacing w:line="400" w:lineRule="exact"/>
        <w:ind w:firstLine="452" w:firstLineChars="200"/>
        <w:jc w:val="left"/>
        <w:textAlignment w:val="baseline"/>
        <w:rPr>
          <w:rStyle w:val="63"/>
          <w:rFonts w:ascii="宋体" w:hAnsi="宋体"/>
          <w:spacing w:val="8"/>
          <w:szCs w:val="21"/>
        </w:rPr>
      </w:pPr>
      <w:r>
        <w:rPr>
          <w:rStyle w:val="63"/>
          <w:rFonts w:ascii="宋体" w:hAnsi="宋体"/>
          <w:spacing w:val="8"/>
          <w:szCs w:val="21"/>
        </w:rPr>
        <w:t>仓储业所包括的行业中类，根据《国民经济行业分类》</w:t>
      </w:r>
      <w:r>
        <w:rPr>
          <w:rStyle w:val="63"/>
          <w:rFonts w:ascii="宋体" w:hAnsi="宋体"/>
          <w:szCs w:val="21"/>
        </w:rPr>
        <w:t>（GB/T 4754—2017）</w:t>
      </w:r>
      <w:r>
        <w:rPr>
          <w:rStyle w:val="63"/>
          <w:rFonts w:ascii="宋体" w:hAnsi="宋体"/>
          <w:spacing w:val="8"/>
          <w:szCs w:val="21"/>
        </w:rPr>
        <w:t>调整为“通用仓储，低温仓储，危险品仓储，谷物、棉花等农产品仓储，中药材仓储和其他仓储业”。</w:t>
      </w:r>
    </w:p>
    <w:p w14:paraId="467C3456">
      <w:pPr>
        <w:snapToGrid w:val="0"/>
        <w:spacing w:line="400" w:lineRule="exact"/>
        <w:jc w:val="left"/>
        <w:textAlignment w:val="baseline"/>
        <w:rPr>
          <w:rStyle w:val="63"/>
          <w:rFonts w:ascii="宋体" w:hAnsi="宋体"/>
          <w:szCs w:val="21"/>
        </w:rPr>
      </w:pPr>
      <w:r>
        <w:rPr>
          <w:rStyle w:val="63"/>
          <w:rFonts w:ascii="宋体" w:hAnsi="宋体"/>
          <w:szCs w:val="21"/>
        </w:rPr>
        <w:t>附表</w:t>
      </w:r>
    </w:p>
    <w:p w14:paraId="52D7A807">
      <w:pPr>
        <w:snapToGrid w:val="0"/>
        <w:spacing w:line="400" w:lineRule="exact"/>
        <w:jc w:val="left"/>
        <w:textAlignment w:val="baseline"/>
        <w:rPr>
          <w:rStyle w:val="63"/>
          <w:rFonts w:ascii="宋体" w:hAnsi="宋体"/>
          <w:szCs w:val="21"/>
        </w:rPr>
      </w:pPr>
      <w:r>
        <w:rPr>
          <w:rStyle w:val="63"/>
          <w:rFonts w:ascii="宋体" w:hAnsi="宋体"/>
          <w:szCs w:val="21"/>
        </w:rPr>
        <w:t>统计上大中小微型企业划分标准</w:t>
      </w:r>
    </w:p>
    <w:tbl>
      <w:tblPr>
        <w:tblStyle w:val="29"/>
        <w:tblW w:w="51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08"/>
        <w:gridCol w:w="1236"/>
        <w:gridCol w:w="640"/>
        <w:gridCol w:w="1017"/>
        <w:gridCol w:w="1537"/>
        <w:gridCol w:w="1288"/>
        <w:gridCol w:w="895"/>
      </w:tblGrid>
      <w:tr w14:paraId="41BC9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jc w:val="center"/>
        </w:trPr>
        <w:tc>
          <w:tcPr>
            <w:tcW w:w="1119" w:type="pct"/>
            <w:tcBorders>
              <w:top w:val="single" w:color="000000" w:sz="4" w:space="0"/>
              <w:left w:val="single" w:color="000000" w:sz="4" w:space="0"/>
              <w:bottom w:val="single" w:color="000000" w:sz="4" w:space="0"/>
              <w:right w:val="single" w:color="000000" w:sz="4" w:space="0"/>
            </w:tcBorders>
            <w:vAlign w:val="center"/>
          </w:tcPr>
          <w:p w14:paraId="496297D6">
            <w:pPr>
              <w:snapToGrid w:val="0"/>
              <w:spacing w:line="240" w:lineRule="exact"/>
              <w:textAlignment w:val="baseline"/>
              <w:rPr>
                <w:rStyle w:val="63"/>
                <w:rFonts w:ascii="宋体" w:hAnsi="宋体" w:cs="宋体"/>
                <w:bCs/>
                <w:sz w:val="18"/>
                <w:szCs w:val="21"/>
              </w:rPr>
            </w:pPr>
            <w:r>
              <w:rPr>
                <w:rStyle w:val="63"/>
                <w:rFonts w:ascii="宋体" w:hAnsi="宋体" w:cs="宋体"/>
                <w:bCs/>
                <w:sz w:val="18"/>
                <w:szCs w:val="21"/>
              </w:rPr>
              <w:t>行业名称</w:t>
            </w:r>
          </w:p>
        </w:tc>
        <w:tc>
          <w:tcPr>
            <w:tcW w:w="725" w:type="pct"/>
            <w:tcBorders>
              <w:top w:val="single" w:color="000000" w:sz="4" w:space="0"/>
              <w:left w:val="single" w:color="000000" w:sz="4" w:space="0"/>
              <w:bottom w:val="single" w:color="000000" w:sz="4" w:space="0"/>
              <w:right w:val="single" w:color="000000" w:sz="4" w:space="0"/>
            </w:tcBorders>
            <w:vAlign w:val="center"/>
          </w:tcPr>
          <w:p w14:paraId="4A85E210">
            <w:pPr>
              <w:snapToGrid w:val="0"/>
              <w:textAlignment w:val="baseline"/>
              <w:rPr>
                <w:rStyle w:val="63"/>
                <w:rFonts w:ascii="宋体" w:hAnsi="宋体" w:cs="宋体"/>
                <w:bCs/>
                <w:sz w:val="18"/>
                <w:szCs w:val="18"/>
              </w:rPr>
            </w:pPr>
            <w:r>
              <w:rPr>
                <w:rStyle w:val="63"/>
                <w:rFonts w:ascii="宋体" w:hAnsi="宋体" w:cs="宋体"/>
                <w:bCs/>
                <w:sz w:val="18"/>
                <w:szCs w:val="18"/>
              </w:rPr>
              <w:t>指标名称</w:t>
            </w:r>
          </w:p>
        </w:tc>
        <w:tc>
          <w:tcPr>
            <w:tcW w:w="375" w:type="pct"/>
            <w:tcBorders>
              <w:top w:val="single" w:color="000000" w:sz="4" w:space="0"/>
              <w:left w:val="single" w:color="000000" w:sz="4" w:space="0"/>
              <w:bottom w:val="single" w:color="000000" w:sz="4" w:space="0"/>
              <w:right w:val="single" w:color="000000" w:sz="4" w:space="0"/>
            </w:tcBorders>
            <w:vAlign w:val="center"/>
          </w:tcPr>
          <w:p w14:paraId="142AF8B7">
            <w:pPr>
              <w:snapToGrid w:val="0"/>
              <w:textAlignment w:val="baseline"/>
              <w:rPr>
                <w:rStyle w:val="63"/>
                <w:rFonts w:ascii="宋体" w:hAnsi="宋体" w:cs="宋体"/>
                <w:bCs/>
                <w:sz w:val="18"/>
                <w:szCs w:val="18"/>
              </w:rPr>
            </w:pPr>
            <w:r>
              <w:rPr>
                <w:rStyle w:val="63"/>
                <w:rFonts w:ascii="宋体" w:hAnsi="宋体" w:cs="宋体"/>
                <w:bCs/>
                <w:sz w:val="18"/>
                <w:szCs w:val="18"/>
              </w:rPr>
              <w:t>计量</w:t>
            </w:r>
          </w:p>
          <w:p w14:paraId="199DF362">
            <w:pPr>
              <w:snapToGrid w:val="0"/>
              <w:textAlignment w:val="baseline"/>
              <w:rPr>
                <w:rStyle w:val="63"/>
                <w:rFonts w:ascii="宋体" w:hAnsi="宋体" w:cs="宋体"/>
                <w:bCs/>
                <w:sz w:val="18"/>
                <w:szCs w:val="18"/>
              </w:rPr>
            </w:pPr>
            <w:r>
              <w:rPr>
                <w:rStyle w:val="63"/>
                <w:rFonts w:ascii="宋体" w:hAnsi="宋体" w:cs="宋体"/>
                <w:bCs/>
                <w:sz w:val="18"/>
                <w:szCs w:val="18"/>
              </w:rPr>
              <w:t>单位</w:t>
            </w:r>
          </w:p>
        </w:tc>
        <w:tc>
          <w:tcPr>
            <w:tcW w:w="596" w:type="pct"/>
            <w:tcBorders>
              <w:top w:val="single" w:color="000000" w:sz="4" w:space="0"/>
              <w:left w:val="single" w:color="000000" w:sz="4" w:space="0"/>
              <w:bottom w:val="single" w:color="000000" w:sz="4" w:space="0"/>
              <w:right w:val="single" w:color="000000" w:sz="4" w:space="0"/>
            </w:tcBorders>
            <w:vAlign w:val="center"/>
          </w:tcPr>
          <w:p w14:paraId="71D7612A">
            <w:pPr>
              <w:snapToGrid w:val="0"/>
              <w:textAlignment w:val="baseline"/>
              <w:rPr>
                <w:rStyle w:val="63"/>
                <w:rFonts w:ascii="宋体" w:hAnsi="宋体" w:cs="宋体"/>
                <w:bCs/>
                <w:sz w:val="18"/>
                <w:szCs w:val="18"/>
              </w:rPr>
            </w:pPr>
            <w:r>
              <w:rPr>
                <w:rStyle w:val="63"/>
                <w:rFonts w:ascii="宋体" w:hAnsi="宋体" w:cs="宋体"/>
                <w:bCs/>
                <w:sz w:val="18"/>
                <w:szCs w:val="18"/>
              </w:rPr>
              <w:t>大型</w:t>
            </w:r>
          </w:p>
        </w:tc>
        <w:tc>
          <w:tcPr>
            <w:tcW w:w="901" w:type="pct"/>
            <w:tcBorders>
              <w:top w:val="single" w:color="000000" w:sz="4" w:space="0"/>
              <w:left w:val="single" w:color="000000" w:sz="4" w:space="0"/>
              <w:bottom w:val="single" w:color="000000" w:sz="4" w:space="0"/>
              <w:right w:val="single" w:color="000000" w:sz="4" w:space="0"/>
            </w:tcBorders>
            <w:vAlign w:val="center"/>
          </w:tcPr>
          <w:p w14:paraId="0F78D222">
            <w:pPr>
              <w:snapToGrid w:val="0"/>
              <w:textAlignment w:val="baseline"/>
              <w:rPr>
                <w:rStyle w:val="63"/>
                <w:rFonts w:ascii="宋体" w:hAnsi="宋体" w:cs="宋体"/>
                <w:bCs/>
                <w:sz w:val="18"/>
                <w:szCs w:val="18"/>
              </w:rPr>
            </w:pPr>
            <w:r>
              <w:rPr>
                <w:rStyle w:val="63"/>
                <w:rFonts w:ascii="宋体" w:hAnsi="宋体" w:cs="宋体"/>
                <w:bCs/>
                <w:sz w:val="18"/>
                <w:szCs w:val="18"/>
              </w:rPr>
              <w:t>中型</w:t>
            </w:r>
          </w:p>
        </w:tc>
        <w:tc>
          <w:tcPr>
            <w:tcW w:w="755" w:type="pct"/>
            <w:tcBorders>
              <w:top w:val="single" w:color="000000" w:sz="4" w:space="0"/>
              <w:left w:val="single" w:color="000000" w:sz="4" w:space="0"/>
              <w:bottom w:val="single" w:color="000000" w:sz="4" w:space="0"/>
              <w:right w:val="single" w:color="000000" w:sz="4" w:space="0"/>
            </w:tcBorders>
            <w:vAlign w:val="center"/>
          </w:tcPr>
          <w:p w14:paraId="6908308B">
            <w:pPr>
              <w:snapToGrid w:val="0"/>
              <w:textAlignment w:val="baseline"/>
              <w:rPr>
                <w:rStyle w:val="63"/>
                <w:rFonts w:ascii="宋体" w:hAnsi="宋体" w:cs="宋体"/>
                <w:bCs/>
                <w:sz w:val="18"/>
                <w:szCs w:val="18"/>
              </w:rPr>
            </w:pPr>
            <w:r>
              <w:rPr>
                <w:rStyle w:val="63"/>
                <w:rFonts w:ascii="宋体" w:hAnsi="宋体" w:cs="宋体"/>
                <w:bCs/>
                <w:sz w:val="18"/>
                <w:szCs w:val="18"/>
              </w:rPr>
              <w:t>小型</w:t>
            </w:r>
          </w:p>
        </w:tc>
        <w:tc>
          <w:tcPr>
            <w:tcW w:w="525" w:type="pct"/>
            <w:tcBorders>
              <w:top w:val="single" w:color="000000" w:sz="4" w:space="0"/>
              <w:left w:val="single" w:color="000000" w:sz="4" w:space="0"/>
              <w:bottom w:val="single" w:color="000000" w:sz="4" w:space="0"/>
              <w:right w:val="single" w:color="000000" w:sz="4" w:space="0"/>
            </w:tcBorders>
            <w:vAlign w:val="center"/>
          </w:tcPr>
          <w:p w14:paraId="1A04A1E0">
            <w:pPr>
              <w:snapToGrid w:val="0"/>
              <w:textAlignment w:val="baseline"/>
              <w:rPr>
                <w:rStyle w:val="63"/>
                <w:rFonts w:ascii="宋体" w:hAnsi="宋体" w:cs="宋体"/>
                <w:bCs/>
                <w:sz w:val="18"/>
                <w:szCs w:val="18"/>
              </w:rPr>
            </w:pPr>
            <w:r>
              <w:rPr>
                <w:rStyle w:val="63"/>
                <w:rFonts w:ascii="宋体" w:hAnsi="宋体" w:cs="宋体"/>
                <w:bCs/>
                <w:sz w:val="18"/>
                <w:szCs w:val="18"/>
              </w:rPr>
              <w:t>微型</w:t>
            </w:r>
          </w:p>
        </w:tc>
      </w:tr>
      <w:tr w14:paraId="6D16D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tcBorders>
              <w:top w:val="single" w:color="000000" w:sz="4" w:space="0"/>
              <w:left w:val="single" w:color="000000" w:sz="4" w:space="0"/>
              <w:bottom w:val="single" w:color="000000" w:sz="4" w:space="0"/>
              <w:right w:val="single" w:color="000000" w:sz="4" w:space="0"/>
            </w:tcBorders>
            <w:vAlign w:val="center"/>
          </w:tcPr>
          <w:p w14:paraId="49D15D41">
            <w:pPr>
              <w:snapToGrid w:val="0"/>
              <w:spacing w:line="240" w:lineRule="exact"/>
              <w:textAlignment w:val="baseline"/>
              <w:rPr>
                <w:rStyle w:val="63"/>
                <w:rFonts w:ascii="宋体" w:hAnsi="宋体"/>
                <w:sz w:val="18"/>
                <w:szCs w:val="18"/>
              </w:rPr>
            </w:pPr>
            <w:r>
              <w:rPr>
                <w:rStyle w:val="63"/>
                <w:rFonts w:ascii="宋体" w:hAnsi="宋体"/>
                <w:sz w:val="18"/>
                <w:szCs w:val="18"/>
              </w:rPr>
              <w:t>农、林、牧、渔业</w:t>
            </w:r>
          </w:p>
        </w:tc>
        <w:tc>
          <w:tcPr>
            <w:tcW w:w="725" w:type="pct"/>
            <w:tcBorders>
              <w:top w:val="single" w:color="000000" w:sz="4" w:space="0"/>
              <w:left w:val="single" w:color="000000" w:sz="4" w:space="0"/>
              <w:bottom w:val="single" w:color="000000" w:sz="4" w:space="0"/>
              <w:right w:val="single" w:color="000000" w:sz="4" w:space="0"/>
            </w:tcBorders>
            <w:vAlign w:val="center"/>
          </w:tcPr>
          <w:p w14:paraId="4D89C22F">
            <w:pPr>
              <w:snapToGrid w:val="0"/>
              <w:textAlignment w:val="baseline"/>
              <w:rPr>
                <w:rStyle w:val="63"/>
                <w:rFonts w:ascii="宋体" w:hAnsi="宋体"/>
                <w:sz w:val="18"/>
                <w:szCs w:val="18"/>
              </w:rPr>
            </w:pPr>
            <w:r>
              <w:rPr>
                <w:rStyle w:val="63"/>
                <w:rFonts w:ascii="宋体" w:hAnsi="宋体"/>
                <w:sz w:val="18"/>
                <w:szCs w:val="18"/>
              </w:rPr>
              <w:t>营业收入</w:t>
            </w:r>
            <w:r>
              <w:rPr>
                <w:rStyle w:val="63"/>
                <w:rFonts w:hint="eastAsia" w:ascii="宋体" w:hAnsi="宋体"/>
                <w:sz w:val="18"/>
                <w:szCs w:val="18"/>
              </w:rPr>
              <w:t>（</w:t>
            </w:r>
            <w:r>
              <w:rPr>
                <w:rStyle w:val="63"/>
                <w:rFonts w:ascii="宋体" w:hAnsi="宋体"/>
                <w:sz w:val="18"/>
                <w:szCs w:val="18"/>
              </w:rPr>
              <w:t>Y)</w:t>
            </w:r>
          </w:p>
        </w:tc>
        <w:tc>
          <w:tcPr>
            <w:tcW w:w="375" w:type="pct"/>
            <w:tcBorders>
              <w:top w:val="single" w:color="000000" w:sz="4" w:space="0"/>
              <w:left w:val="single" w:color="000000" w:sz="4" w:space="0"/>
              <w:bottom w:val="single" w:color="000000" w:sz="4" w:space="0"/>
              <w:right w:val="single" w:color="000000" w:sz="4" w:space="0"/>
            </w:tcBorders>
            <w:vAlign w:val="center"/>
          </w:tcPr>
          <w:p w14:paraId="52B0A4B6">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09A846F3">
            <w:pPr>
              <w:snapToGrid w:val="0"/>
              <w:textAlignment w:val="baseline"/>
              <w:rPr>
                <w:rStyle w:val="63"/>
                <w:rFonts w:ascii="宋体" w:hAnsi="宋体"/>
                <w:sz w:val="18"/>
                <w:szCs w:val="18"/>
              </w:rPr>
            </w:pPr>
            <w:r>
              <w:rPr>
                <w:rStyle w:val="63"/>
                <w:rFonts w:ascii="宋体" w:hAnsi="宋体"/>
                <w:sz w:val="18"/>
                <w:szCs w:val="18"/>
              </w:rPr>
              <w:t>Y≥20000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2FAD86D0">
            <w:pPr>
              <w:snapToGrid w:val="0"/>
              <w:textAlignment w:val="baseline"/>
              <w:rPr>
                <w:rStyle w:val="63"/>
                <w:rFonts w:ascii="宋体" w:hAnsi="宋体"/>
                <w:sz w:val="18"/>
                <w:szCs w:val="18"/>
              </w:rPr>
            </w:pPr>
            <w:r>
              <w:rPr>
                <w:rStyle w:val="63"/>
                <w:rFonts w:ascii="宋体" w:hAnsi="宋体"/>
                <w:sz w:val="18"/>
                <w:szCs w:val="18"/>
              </w:rPr>
              <w:t xml:space="preserve"> 500≤Y＜20000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732BD289">
            <w:pPr>
              <w:snapToGrid w:val="0"/>
              <w:textAlignment w:val="baseline"/>
              <w:rPr>
                <w:rStyle w:val="63"/>
                <w:rFonts w:ascii="宋体" w:hAnsi="宋体"/>
                <w:sz w:val="18"/>
                <w:szCs w:val="18"/>
              </w:rPr>
            </w:pPr>
            <w:r>
              <w:rPr>
                <w:rStyle w:val="63"/>
                <w:rFonts w:ascii="宋体" w:hAnsi="宋体"/>
                <w:sz w:val="18"/>
                <w:szCs w:val="18"/>
              </w:rPr>
              <w:t xml:space="preserve"> 50≤Y＜500</w:t>
            </w:r>
          </w:p>
        </w:tc>
        <w:tc>
          <w:tcPr>
            <w:tcW w:w="525" w:type="pct"/>
            <w:tcBorders>
              <w:top w:val="single" w:color="000000" w:sz="4" w:space="0"/>
              <w:left w:val="single" w:color="000000" w:sz="4" w:space="0"/>
              <w:bottom w:val="single" w:color="000000" w:sz="4" w:space="0"/>
              <w:right w:val="single" w:color="000000" w:sz="4" w:space="0"/>
            </w:tcBorders>
            <w:vAlign w:val="center"/>
          </w:tcPr>
          <w:p w14:paraId="7483EB0E">
            <w:pPr>
              <w:snapToGrid w:val="0"/>
              <w:textAlignment w:val="baseline"/>
              <w:rPr>
                <w:rStyle w:val="63"/>
                <w:rFonts w:ascii="宋体" w:hAnsi="宋体"/>
                <w:sz w:val="18"/>
                <w:szCs w:val="18"/>
              </w:rPr>
            </w:pPr>
            <w:r>
              <w:rPr>
                <w:rStyle w:val="63"/>
                <w:rFonts w:ascii="宋体" w:hAnsi="宋体"/>
                <w:sz w:val="18"/>
                <w:szCs w:val="18"/>
              </w:rPr>
              <w:t>Y＜50</w:t>
            </w:r>
          </w:p>
        </w:tc>
      </w:tr>
      <w:tr w14:paraId="3122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477AC0A9">
            <w:pPr>
              <w:snapToGrid w:val="0"/>
              <w:spacing w:line="240" w:lineRule="exact"/>
              <w:textAlignment w:val="baseline"/>
              <w:rPr>
                <w:rStyle w:val="63"/>
                <w:rFonts w:ascii="宋体" w:hAnsi="宋体"/>
                <w:sz w:val="18"/>
                <w:szCs w:val="18"/>
              </w:rPr>
            </w:pPr>
            <w:r>
              <w:rPr>
                <w:rStyle w:val="63"/>
                <w:rFonts w:ascii="宋体" w:hAnsi="宋体"/>
                <w:sz w:val="18"/>
                <w:szCs w:val="18"/>
              </w:rPr>
              <w:t>工业 *</w:t>
            </w:r>
          </w:p>
        </w:tc>
        <w:tc>
          <w:tcPr>
            <w:tcW w:w="725" w:type="pct"/>
            <w:tcBorders>
              <w:top w:val="single" w:color="000000" w:sz="4" w:space="0"/>
              <w:left w:val="single" w:color="000000" w:sz="4" w:space="0"/>
              <w:bottom w:val="single" w:color="000000" w:sz="4" w:space="0"/>
              <w:right w:val="single" w:color="000000" w:sz="4" w:space="0"/>
            </w:tcBorders>
            <w:vAlign w:val="center"/>
          </w:tcPr>
          <w:p w14:paraId="525E812D">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1F051E57">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3196163B">
            <w:pPr>
              <w:snapToGrid w:val="0"/>
              <w:textAlignment w:val="baseline"/>
              <w:rPr>
                <w:rStyle w:val="63"/>
                <w:rFonts w:ascii="宋体" w:hAnsi="宋体"/>
                <w:sz w:val="18"/>
                <w:szCs w:val="18"/>
              </w:rPr>
            </w:pPr>
            <w:r>
              <w:rPr>
                <w:rStyle w:val="63"/>
                <w:rFonts w:ascii="宋体" w:hAnsi="宋体"/>
                <w:sz w:val="18"/>
                <w:szCs w:val="18"/>
              </w:rPr>
              <w:t>X≥1000</w:t>
            </w:r>
          </w:p>
        </w:tc>
        <w:tc>
          <w:tcPr>
            <w:tcW w:w="901" w:type="pct"/>
            <w:tcBorders>
              <w:top w:val="single" w:color="000000" w:sz="4" w:space="0"/>
              <w:left w:val="single" w:color="000000" w:sz="4" w:space="0"/>
              <w:bottom w:val="single" w:color="000000" w:sz="4" w:space="0"/>
              <w:right w:val="single" w:color="000000" w:sz="4" w:space="0"/>
            </w:tcBorders>
            <w:vAlign w:val="center"/>
          </w:tcPr>
          <w:p w14:paraId="51C4B42B">
            <w:pPr>
              <w:snapToGrid w:val="0"/>
              <w:textAlignment w:val="baseline"/>
              <w:rPr>
                <w:rStyle w:val="63"/>
                <w:rFonts w:ascii="宋体" w:hAnsi="宋体"/>
                <w:sz w:val="18"/>
                <w:szCs w:val="18"/>
              </w:rPr>
            </w:pPr>
            <w:r>
              <w:rPr>
                <w:rStyle w:val="63"/>
                <w:rFonts w:ascii="宋体" w:hAnsi="宋体"/>
                <w:sz w:val="18"/>
                <w:szCs w:val="18"/>
              </w:rPr>
              <w:t>300≤X＜1000</w:t>
            </w:r>
          </w:p>
        </w:tc>
        <w:tc>
          <w:tcPr>
            <w:tcW w:w="755" w:type="pct"/>
            <w:tcBorders>
              <w:top w:val="single" w:color="000000" w:sz="4" w:space="0"/>
              <w:left w:val="single" w:color="000000" w:sz="4" w:space="0"/>
              <w:bottom w:val="single" w:color="000000" w:sz="4" w:space="0"/>
              <w:right w:val="single" w:color="000000" w:sz="4" w:space="0"/>
            </w:tcBorders>
            <w:vAlign w:val="center"/>
          </w:tcPr>
          <w:p w14:paraId="3D04E494">
            <w:pPr>
              <w:snapToGrid w:val="0"/>
              <w:textAlignment w:val="baseline"/>
              <w:rPr>
                <w:rStyle w:val="63"/>
                <w:rFonts w:ascii="宋体" w:hAnsi="宋体"/>
                <w:sz w:val="18"/>
                <w:szCs w:val="18"/>
              </w:rPr>
            </w:pPr>
            <w:r>
              <w:rPr>
                <w:rStyle w:val="63"/>
                <w:rFonts w:ascii="宋体" w:hAnsi="宋体"/>
                <w:sz w:val="18"/>
                <w:szCs w:val="18"/>
              </w:rPr>
              <w:t xml:space="preserve"> 20≤X＜300</w:t>
            </w:r>
          </w:p>
        </w:tc>
        <w:tc>
          <w:tcPr>
            <w:tcW w:w="525" w:type="pct"/>
            <w:tcBorders>
              <w:top w:val="single" w:color="000000" w:sz="4" w:space="0"/>
              <w:left w:val="single" w:color="000000" w:sz="4" w:space="0"/>
              <w:bottom w:val="single" w:color="000000" w:sz="4" w:space="0"/>
              <w:right w:val="single" w:color="000000" w:sz="4" w:space="0"/>
            </w:tcBorders>
            <w:vAlign w:val="center"/>
          </w:tcPr>
          <w:p w14:paraId="089E33EA">
            <w:pPr>
              <w:snapToGrid w:val="0"/>
              <w:textAlignment w:val="baseline"/>
              <w:rPr>
                <w:rStyle w:val="63"/>
                <w:rFonts w:ascii="宋体" w:hAnsi="宋体"/>
                <w:sz w:val="18"/>
                <w:szCs w:val="18"/>
              </w:rPr>
            </w:pPr>
            <w:r>
              <w:rPr>
                <w:rStyle w:val="63"/>
                <w:rFonts w:ascii="宋体" w:hAnsi="宋体"/>
                <w:sz w:val="18"/>
                <w:szCs w:val="18"/>
              </w:rPr>
              <w:t>X＜20</w:t>
            </w:r>
          </w:p>
        </w:tc>
      </w:tr>
      <w:tr w14:paraId="7C621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61F415C6">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70DC4BA4">
            <w:pPr>
              <w:snapToGrid w:val="0"/>
              <w:spacing w:line="240" w:lineRule="exact"/>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51C39648">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5ABCB959">
            <w:pPr>
              <w:snapToGrid w:val="0"/>
              <w:textAlignment w:val="baseline"/>
              <w:rPr>
                <w:rStyle w:val="63"/>
                <w:rFonts w:ascii="宋体" w:hAnsi="宋体"/>
                <w:sz w:val="18"/>
                <w:szCs w:val="18"/>
              </w:rPr>
            </w:pPr>
            <w:r>
              <w:rPr>
                <w:rStyle w:val="63"/>
                <w:rFonts w:ascii="宋体" w:hAnsi="宋体"/>
                <w:sz w:val="18"/>
                <w:szCs w:val="18"/>
              </w:rPr>
              <w:t>Y≥40000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6CD11F96">
            <w:pPr>
              <w:snapToGrid w:val="0"/>
              <w:textAlignment w:val="baseline"/>
              <w:rPr>
                <w:rStyle w:val="63"/>
                <w:rFonts w:ascii="宋体" w:hAnsi="宋体"/>
                <w:sz w:val="18"/>
                <w:szCs w:val="18"/>
              </w:rPr>
            </w:pPr>
            <w:r>
              <w:rPr>
                <w:rStyle w:val="63"/>
                <w:rFonts w:ascii="宋体" w:hAnsi="宋体"/>
                <w:sz w:val="18"/>
                <w:szCs w:val="18"/>
              </w:rPr>
              <w:t>2000≤Y＜40000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7C5D0161">
            <w:pPr>
              <w:snapToGrid w:val="0"/>
              <w:textAlignment w:val="baseline"/>
              <w:rPr>
                <w:rStyle w:val="63"/>
                <w:rFonts w:ascii="宋体" w:hAnsi="宋体"/>
                <w:sz w:val="18"/>
                <w:szCs w:val="18"/>
              </w:rPr>
            </w:pPr>
            <w:r>
              <w:rPr>
                <w:rStyle w:val="63"/>
                <w:rFonts w:ascii="宋体" w:hAnsi="宋体"/>
                <w:sz w:val="18"/>
                <w:szCs w:val="18"/>
              </w:rPr>
              <w:t xml:space="preserve"> 300≤Y＜2000</w:t>
            </w:r>
          </w:p>
        </w:tc>
        <w:tc>
          <w:tcPr>
            <w:tcW w:w="525" w:type="pct"/>
            <w:tcBorders>
              <w:top w:val="single" w:color="000000" w:sz="4" w:space="0"/>
              <w:left w:val="single" w:color="000000" w:sz="4" w:space="0"/>
              <w:bottom w:val="single" w:color="000000" w:sz="4" w:space="0"/>
              <w:right w:val="single" w:color="000000" w:sz="4" w:space="0"/>
            </w:tcBorders>
            <w:vAlign w:val="center"/>
          </w:tcPr>
          <w:p w14:paraId="43F7D7B9">
            <w:pPr>
              <w:snapToGrid w:val="0"/>
              <w:textAlignment w:val="baseline"/>
              <w:rPr>
                <w:rStyle w:val="63"/>
                <w:rFonts w:ascii="宋体" w:hAnsi="宋体"/>
                <w:sz w:val="18"/>
                <w:szCs w:val="18"/>
              </w:rPr>
            </w:pPr>
            <w:r>
              <w:rPr>
                <w:rStyle w:val="63"/>
                <w:rFonts w:ascii="宋体" w:hAnsi="宋体"/>
                <w:sz w:val="18"/>
                <w:szCs w:val="18"/>
              </w:rPr>
              <w:t>Y＜300</w:t>
            </w:r>
          </w:p>
        </w:tc>
      </w:tr>
      <w:tr w14:paraId="6BC5F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2F088C12">
            <w:pPr>
              <w:snapToGrid w:val="0"/>
              <w:spacing w:line="240" w:lineRule="exact"/>
              <w:textAlignment w:val="baseline"/>
              <w:rPr>
                <w:rStyle w:val="63"/>
                <w:rFonts w:ascii="宋体" w:hAnsi="宋体"/>
                <w:sz w:val="18"/>
                <w:szCs w:val="18"/>
              </w:rPr>
            </w:pPr>
            <w:r>
              <w:rPr>
                <w:rStyle w:val="63"/>
                <w:rFonts w:ascii="宋体" w:hAnsi="宋体"/>
                <w:sz w:val="18"/>
                <w:szCs w:val="18"/>
              </w:rPr>
              <w:t>建筑业</w:t>
            </w:r>
          </w:p>
        </w:tc>
        <w:tc>
          <w:tcPr>
            <w:tcW w:w="725" w:type="pct"/>
            <w:tcBorders>
              <w:top w:val="single" w:color="000000" w:sz="4" w:space="0"/>
              <w:left w:val="single" w:color="000000" w:sz="4" w:space="0"/>
              <w:bottom w:val="single" w:color="000000" w:sz="4" w:space="0"/>
              <w:right w:val="single" w:color="000000" w:sz="4" w:space="0"/>
            </w:tcBorders>
            <w:vAlign w:val="center"/>
          </w:tcPr>
          <w:p w14:paraId="5E01DF09">
            <w:pPr>
              <w:snapToGrid w:val="0"/>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7C9FBF96">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1412E609">
            <w:pPr>
              <w:snapToGrid w:val="0"/>
              <w:textAlignment w:val="baseline"/>
              <w:rPr>
                <w:rStyle w:val="63"/>
                <w:rFonts w:ascii="宋体" w:hAnsi="宋体"/>
                <w:sz w:val="18"/>
                <w:szCs w:val="18"/>
              </w:rPr>
            </w:pPr>
            <w:r>
              <w:rPr>
                <w:rStyle w:val="63"/>
                <w:rFonts w:ascii="宋体" w:hAnsi="宋体"/>
                <w:sz w:val="18"/>
                <w:szCs w:val="18"/>
              </w:rPr>
              <w:t>Y≥80000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5D0911C6">
            <w:pPr>
              <w:snapToGrid w:val="0"/>
              <w:textAlignment w:val="baseline"/>
              <w:rPr>
                <w:rStyle w:val="63"/>
                <w:rFonts w:ascii="宋体" w:hAnsi="宋体"/>
                <w:sz w:val="18"/>
                <w:szCs w:val="18"/>
              </w:rPr>
            </w:pPr>
            <w:r>
              <w:rPr>
                <w:rStyle w:val="63"/>
                <w:rFonts w:ascii="宋体" w:hAnsi="宋体"/>
                <w:sz w:val="18"/>
                <w:szCs w:val="18"/>
              </w:rPr>
              <w:t>6000≤Y＜80000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0BC53A61">
            <w:pPr>
              <w:snapToGrid w:val="0"/>
              <w:textAlignment w:val="baseline"/>
              <w:rPr>
                <w:rStyle w:val="63"/>
                <w:rFonts w:ascii="宋体" w:hAnsi="宋体"/>
                <w:sz w:val="18"/>
                <w:szCs w:val="18"/>
              </w:rPr>
            </w:pPr>
            <w:r>
              <w:rPr>
                <w:rStyle w:val="63"/>
                <w:rFonts w:ascii="宋体" w:hAnsi="宋体"/>
                <w:sz w:val="18"/>
                <w:szCs w:val="18"/>
              </w:rPr>
              <w:t xml:space="preserve"> 300≤Y＜6000</w:t>
            </w:r>
          </w:p>
        </w:tc>
        <w:tc>
          <w:tcPr>
            <w:tcW w:w="525" w:type="pct"/>
            <w:tcBorders>
              <w:top w:val="single" w:color="000000" w:sz="4" w:space="0"/>
              <w:left w:val="single" w:color="000000" w:sz="4" w:space="0"/>
              <w:bottom w:val="single" w:color="000000" w:sz="4" w:space="0"/>
              <w:right w:val="single" w:color="000000" w:sz="4" w:space="0"/>
            </w:tcBorders>
            <w:vAlign w:val="center"/>
          </w:tcPr>
          <w:p w14:paraId="375A95A0">
            <w:pPr>
              <w:snapToGrid w:val="0"/>
              <w:textAlignment w:val="baseline"/>
              <w:rPr>
                <w:rStyle w:val="63"/>
                <w:rFonts w:ascii="宋体" w:hAnsi="宋体"/>
                <w:sz w:val="18"/>
                <w:szCs w:val="18"/>
              </w:rPr>
            </w:pPr>
            <w:r>
              <w:rPr>
                <w:rStyle w:val="63"/>
                <w:rFonts w:ascii="宋体" w:hAnsi="宋体"/>
                <w:sz w:val="18"/>
                <w:szCs w:val="18"/>
              </w:rPr>
              <w:t>Y＜300</w:t>
            </w:r>
          </w:p>
        </w:tc>
      </w:tr>
      <w:tr w14:paraId="2956A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6400633E">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714B5863">
            <w:pPr>
              <w:snapToGrid w:val="0"/>
              <w:spacing w:line="240" w:lineRule="exact"/>
              <w:textAlignment w:val="baseline"/>
              <w:rPr>
                <w:rStyle w:val="63"/>
                <w:rFonts w:ascii="宋体" w:hAnsi="宋体"/>
                <w:sz w:val="18"/>
                <w:szCs w:val="18"/>
              </w:rPr>
            </w:pPr>
            <w:r>
              <w:rPr>
                <w:rStyle w:val="63"/>
                <w:rFonts w:ascii="宋体" w:hAnsi="宋体"/>
                <w:sz w:val="18"/>
                <w:szCs w:val="18"/>
              </w:rPr>
              <w:t>资产总额(Z)</w:t>
            </w:r>
          </w:p>
        </w:tc>
        <w:tc>
          <w:tcPr>
            <w:tcW w:w="375" w:type="pct"/>
            <w:tcBorders>
              <w:top w:val="single" w:color="000000" w:sz="4" w:space="0"/>
              <w:left w:val="single" w:color="000000" w:sz="4" w:space="0"/>
              <w:bottom w:val="single" w:color="000000" w:sz="4" w:space="0"/>
              <w:right w:val="single" w:color="000000" w:sz="4" w:space="0"/>
            </w:tcBorders>
            <w:vAlign w:val="center"/>
          </w:tcPr>
          <w:p w14:paraId="4216108B">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532682A6">
            <w:pPr>
              <w:snapToGrid w:val="0"/>
              <w:textAlignment w:val="baseline"/>
              <w:rPr>
                <w:rStyle w:val="63"/>
                <w:rFonts w:ascii="宋体" w:hAnsi="宋体"/>
                <w:sz w:val="18"/>
                <w:szCs w:val="18"/>
              </w:rPr>
            </w:pPr>
            <w:r>
              <w:rPr>
                <w:rStyle w:val="63"/>
                <w:rFonts w:ascii="宋体" w:hAnsi="宋体"/>
                <w:sz w:val="18"/>
                <w:szCs w:val="18"/>
              </w:rPr>
              <w:t>Z≥80000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5F68DAE5">
            <w:pPr>
              <w:snapToGrid w:val="0"/>
              <w:textAlignment w:val="baseline"/>
              <w:rPr>
                <w:rStyle w:val="63"/>
                <w:rFonts w:ascii="宋体" w:hAnsi="宋体"/>
                <w:sz w:val="18"/>
                <w:szCs w:val="18"/>
              </w:rPr>
            </w:pPr>
            <w:r>
              <w:rPr>
                <w:rStyle w:val="63"/>
                <w:rFonts w:ascii="宋体" w:hAnsi="宋体"/>
                <w:sz w:val="18"/>
                <w:szCs w:val="18"/>
              </w:rPr>
              <w:t>5000≤Z＜80000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0BD4D6E9">
            <w:pPr>
              <w:snapToGrid w:val="0"/>
              <w:textAlignment w:val="baseline"/>
              <w:rPr>
                <w:rStyle w:val="63"/>
                <w:rFonts w:ascii="宋体" w:hAnsi="宋体"/>
                <w:sz w:val="18"/>
                <w:szCs w:val="18"/>
              </w:rPr>
            </w:pPr>
            <w:r>
              <w:rPr>
                <w:rStyle w:val="63"/>
                <w:rFonts w:ascii="宋体" w:hAnsi="宋体"/>
                <w:sz w:val="18"/>
                <w:szCs w:val="18"/>
              </w:rPr>
              <w:t xml:space="preserve"> 300≤Z＜5000</w:t>
            </w:r>
          </w:p>
        </w:tc>
        <w:tc>
          <w:tcPr>
            <w:tcW w:w="525" w:type="pct"/>
            <w:tcBorders>
              <w:top w:val="single" w:color="000000" w:sz="4" w:space="0"/>
              <w:left w:val="single" w:color="000000" w:sz="4" w:space="0"/>
              <w:bottom w:val="single" w:color="000000" w:sz="4" w:space="0"/>
              <w:right w:val="single" w:color="000000" w:sz="4" w:space="0"/>
            </w:tcBorders>
            <w:vAlign w:val="center"/>
          </w:tcPr>
          <w:p w14:paraId="7956A7F0">
            <w:pPr>
              <w:snapToGrid w:val="0"/>
              <w:textAlignment w:val="baseline"/>
              <w:rPr>
                <w:rStyle w:val="63"/>
                <w:rFonts w:ascii="宋体" w:hAnsi="宋体"/>
                <w:sz w:val="18"/>
                <w:szCs w:val="18"/>
              </w:rPr>
            </w:pPr>
            <w:r>
              <w:rPr>
                <w:rStyle w:val="63"/>
                <w:rFonts w:ascii="宋体" w:hAnsi="宋体"/>
                <w:sz w:val="18"/>
                <w:szCs w:val="18"/>
              </w:rPr>
              <w:t>Z＜300</w:t>
            </w:r>
          </w:p>
        </w:tc>
      </w:tr>
      <w:tr w14:paraId="7D93F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32BEE670">
            <w:pPr>
              <w:snapToGrid w:val="0"/>
              <w:spacing w:line="240" w:lineRule="exact"/>
              <w:textAlignment w:val="baseline"/>
              <w:rPr>
                <w:rStyle w:val="63"/>
                <w:rFonts w:ascii="宋体" w:hAnsi="宋体"/>
                <w:sz w:val="18"/>
                <w:szCs w:val="18"/>
              </w:rPr>
            </w:pPr>
            <w:r>
              <w:rPr>
                <w:rStyle w:val="63"/>
                <w:rFonts w:ascii="宋体" w:hAnsi="宋体"/>
                <w:sz w:val="18"/>
                <w:szCs w:val="18"/>
              </w:rPr>
              <w:t>批发业</w:t>
            </w:r>
          </w:p>
        </w:tc>
        <w:tc>
          <w:tcPr>
            <w:tcW w:w="725" w:type="pct"/>
            <w:tcBorders>
              <w:top w:val="single" w:color="000000" w:sz="4" w:space="0"/>
              <w:left w:val="single" w:color="000000" w:sz="4" w:space="0"/>
              <w:bottom w:val="single" w:color="000000" w:sz="4" w:space="0"/>
              <w:right w:val="single" w:color="000000" w:sz="4" w:space="0"/>
            </w:tcBorders>
            <w:vAlign w:val="center"/>
          </w:tcPr>
          <w:p w14:paraId="763C6DD7">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123ED015">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357D06A8">
            <w:pPr>
              <w:snapToGrid w:val="0"/>
              <w:textAlignment w:val="baseline"/>
              <w:rPr>
                <w:rStyle w:val="63"/>
                <w:rFonts w:ascii="宋体" w:hAnsi="宋体"/>
                <w:sz w:val="18"/>
                <w:szCs w:val="18"/>
              </w:rPr>
            </w:pPr>
            <w:r>
              <w:rPr>
                <w:rStyle w:val="63"/>
                <w:rFonts w:ascii="宋体" w:hAnsi="宋体"/>
                <w:sz w:val="18"/>
                <w:szCs w:val="18"/>
              </w:rPr>
              <w:t>X≥200</w:t>
            </w:r>
          </w:p>
        </w:tc>
        <w:tc>
          <w:tcPr>
            <w:tcW w:w="901" w:type="pct"/>
            <w:tcBorders>
              <w:top w:val="single" w:color="000000" w:sz="4" w:space="0"/>
              <w:left w:val="single" w:color="000000" w:sz="4" w:space="0"/>
              <w:bottom w:val="single" w:color="000000" w:sz="4" w:space="0"/>
              <w:right w:val="single" w:color="000000" w:sz="4" w:space="0"/>
            </w:tcBorders>
            <w:vAlign w:val="center"/>
          </w:tcPr>
          <w:p w14:paraId="1C923D24">
            <w:pPr>
              <w:snapToGrid w:val="0"/>
              <w:textAlignment w:val="baseline"/>
              <w:rPr>
                <w:rStyle w:val="63"/>
                <w:rFonts w:ascii="宋体" w:hAnsi="宋体"/>
                <w:sz w:val="18"/>
                <w:szCs w:val="18"/>
              </w:rPr>
            </w:pPr>
            <w:r>
              <w:rPr>
                <w:rStyle w:val="63"/>
                <w:rFonts w:ascii="宋体" w:hAnsi="宋体"/>
                <w:sz w:val="18"/>
                <w:szCs w:val="18"/>
              </w:rPr>
              <w:t>20≤X＜200</w:t>
            </w:r>
          </w:p>
        </w:tc>
        <w:tc>
          <w:tcPr>
            <w:tcW w:w="755" w:type="pct"/>
            <w:tcBorders>
              <w:top w:val="single" w:color="000000" w:sz="4" w:space="0"/>
              <w:left w:val="single" w:color="000000" w:sz="4" w:space="0"/>
              <w:bottom w:val="single" w:color="000000" w:sz="4" w:space="0"/>
              <w:right w:val="single" w:color="000000" w:sz="4" w:space="0"/>
            </w:tcBorders>
            <w:vAlign w:val="center"/>
          </w:tcPr>
          <w:p w14:paraId="10FC0CA3">
            <w:pPr>
              <w:snapToGrid w:val="0"/>
              <w:textAlignment w:val="baseline"/>
              <w:rPr>
                <w:rStyle w:val="63"/>
                <w:rFonts w:ascii="宋体" w:hAnsi="宋体"/>
                <w:sz w:val="18"/>
                <w:szCs w:val="18"/>
              </w:rPr>
            </w:pPr>
            <w:r>
              <w:rPr>
                <w:rStyle w:val="63"/>
                <w:rFonts w:ascii="宋体" w:hAnsi="宋体"/>
                <w:sz w:val="18"/>
                <w:szCs w:val="18"/>
              </w:rPr>
              <w:t xml:space="preserve"> 5≤X＜20</w:t>
            </w:r>
          </w:p>
        </w:tc>
        <w:tc>
          <w:tcPr>
            <w:tcW w:w="525" w:type="pct"/>
            <w:tcBorders>
              <w:top w:val="single" w:color="000000" w:sz="4" w:space="0"/>
              <w:left w:val="single" w:color="000000" w:sz="4" w:space="0"/>
              <w:bottom w:val="single" w:color="000000" w:sz="4" w:space="0"/>
              <w:right w:val="single" w:color="000000" w:sz="4" w:space="0"/>
            </w:tcBorders>
            <w:vAlign w:val="center"/>
          </w:tcPr>
          <w:p w14:paraId="149A792F">
            <w:pPr>
              <w:snapToGrid w:val="0"/>
              <w:textAlignment w:val="baseline"/>
              <w:rPr>
                <w:rStyle w:val="63"/>
                <w:rFonts w:ascii="宋体" w:hAnsi="宋体"/>
                <w:sz w:val="18"/>
                <w:szCs w:val="18"/>
              </w:rPr>
            </w:pPr>
            <w:r>
              <w:rPr>
                <w:rStyle w:val="63"/>
                <w:rFonts w:ascii="宋体" w:hAnsi="宋体"/>
                <w:sz w:val="18"/>
                <w:szCs w:val="18"/>
              </w:rPr>
              <w:t>X＜5</w:t>
            </w:r>
          </w:p>
        </w:tc>
      </w:tr>
      <w:tr w14:paraId="25177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1E9DB887">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764D93DD">
            <w:pPr>
              <w:snapToGrid w:val="0"/>
              <w:spacing w:line="240" w:lineRule="exact"/>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32097120">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5047DE5A">
            <w:pPr>
              <w:snapToGrid w:val="0"/>
              <w:textAlignment w:val="baseline"/>
              <w:rPr>
                <w:rStyle w:val="63"/>
                <w:rFonts w:ascii="宋体" w:hAnsi="宋体"/>
                <w:sz w:val="18"/>
                <w:szCs w:val="18"/>
              </w:rPr>
            </w:pPr>
            <w:r>
              <w:rPr>
                <w:rStyle w:val="63"/>
                <w:rFonts w:ascii="宋体" w:hAnsi="宋体"/>
                <w:sz w:val="18"/>
                <w:szCs w:val="18"/>
              </w:rPr>
              <w:t>Y≥40000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7D065E28">
            <w:pPr>
              <w:snapToGrid w:val="0"/>
              <w:textAlignment w:val="baseline"/>
              <w:rPr>
                <w:rStyle w:val="63"/>
                <w:rFonts w:ascii="宋体" w:hAnsi="宋体"/>
                <w:sz w:val="18"/>
                <w:szCs w:val="18"/>
              </w:rPr>
            </w:pPr>
            <w:r>
              <w:rPr>
                <w:rStyle w:val="63"/>
                <w:rFonts w:ascii="宋体" w:hAnsi="宋体"/>
                <w:sz w:val="18"/>
                <w:szCs w:val="18"/>
              </w:rPr>
              <w:t>5000≤Y＜40000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087C20EB">
            <w:pPr>
              <w:snapToGrid w:val="0"/>
              <w:ind w:left="-1" w:leftChars="-1" w:hanging="1"/>
              <w:textAlignment w:val="baseline"/>
              <w:rPr>
                <w:rStyle w:val="63"/>
                <w:rFonts w:ascii="宋体" w:hAnsi="宋体"/>
                <w:sz w:val="18"/>
                <w:szCs w:val="18"/>
              </w:rPr>
            </w:pPr>
            <w:r>
              <w:rPr>
                <w:rStyle w:val="63"/>
                <w:rFonts w:ascii="宋体" w:hAnsi="宋体"/>
                <w:sz w:val="18"/>
                <w:szCs w:val="18"/>
              </w:rPr>
              <w:t>1000≤Y＜5000</w:t>
            </w:r>
          </w:p>
        </w:tc>
        <w:tc>
          <w:tcPr>
            <w:tcW w:w="525" w:type="pct"/>
            <w:tcBorders>
              <w:top w:val="single" w:color="000000" w:sz="4" w:space="0"/>
              <w:left w:val="single" w:color="000000" w:sz="4" w:space="0"/>
              <w:bottom w:val="single" w:color="000000" w:sz="4" w:space="0"/>
              <w:right w:val="single" w:color="000000" w:sz="4" w:space="0"/>
            </w:tcBorders>
            <w:vAlign w:val="center"/>
          </w:tcPr>
          <w:p w14:paraId="32BFB0A3">
            <w:pPr>
              <w:snapToGrid w:val="0"/>
              <w:textAlignment w:val="baseline"/>
              <w:rPr>
                <w:rStyle w:val="63"/>
                <w:rFonts w:ascii="宋体" w:hAnsi="宋体"/>
                <w:sz w:val="18"/>
                <w:szCs w:val="18"/>
              </w:rPr>
            </w:pPr>
            <w:r>
              <w:rPr>
                <w:rStyle w:val="63"/>
                <w:rFonts w:ascii="宋体" w:hAnsi="宋体"/>
                <w:sz w:val="18"/>
                <w:szCs w:val="18"/>
              </w:rPr>
              <w:t>Y＜1000</w:t>
            </w:r>
          </w:p>
        </w:tc>
      </w:tr>
      <w:tr w14:paraId="7FF8F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4B01DE4F">
            <w:pPr>
              <w:snapToGrid w:val="0"/>
              <w:spacing w:line="240" w:lineRule="exact"/>
              <w:textAlignment w:val="baseline"/>
              <w:rPr>
                <w:rStyle w:val="63"/>
                <w:rFonts w:ascii="宋体" w:hAnsi="宋体"/>
                <w:sz w:val="18"/>
                <w:szCs w:val="18"/>
              </w:rPr>
            </w:pPr>
            <w:r>
              <w:rPr>
                <w:rStyle w:val="63"/>
                <w:rFonts w:ascii="宋体" w:hAnsi="宋体"/>
                <w:sz w:val="18"/>
                <w:szCs w:val="18"/>
              </w:rPr>
              <w:t>零售业</w:t>
            </w:r>
          </w:p>
        </w:tc>
        <w:tc>
          <w:tcPr>
            <w:tcW w:w="725" w:type="pct"/>
            <w:tcBorders>
              <w:top w:val="single" w:color="000000" w:sz="4" w:space="0"/>
              <w:left w:val="single" w:color="000000" w:sz="4" w:space="0"/>
              <w:bottom w:val="single" w:color="000000" w:sz="4" w:space="0"/>
              <w:right w:val="single" w:color="000000" w:sz="4" w:space="0"/>
            </w:tcBorders>
            <w:vAlign w:val="center"/>
          </w:tcPr>
          <w:p w14:paraId="06D0AB8D">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0BD338B7">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6858E0BD">
            <w:pPr>
              <w:snapToGrid w:val="0"/>
              <w:textAlignment w:val="baseline"/>
              <w:rPr>
                <w:rStyle w:val="63"/>
                <w:rFonts w:ascii="宋体" w:hAnsi="宋体"/>
                <w:sz w:val="18"/>
                <w:szCs w:val="18"/>
              </w:rPr>
            </w:pPr>
            <w:r>
              <w:rPr>
                <w:rStyle w:val="63"/>
                <w:rFonts w:ascii="宋体" w:hAnsi="宋体"/>
                <w:sz w:val="18"/>
                <w:szCs w:val="18"/>
              </w:rPr>
              <w:t>X≥300</w:t>
            </w:r>
          </w:p>
        </w:tc>
        <w:tc>
          <w:tcPr>
            <w:tcW w:w="901" w:type="pct"/>
            <w:tcBorders>
              <w:top w:val="single" w:color="000000" w:sz="4" w:space="0"/>
              <w:left w:val="single" w:color="000000" w:sz="4" w:space="0"/>
              <w:bottom w:val="single" w:color="000000" w:sz="4" w:space="0"/>
              <w:right w:val="single" w:color="000000" w:sz="4" w:space="0"/>
            </w:tcBorders>
            <w:vAlign w:val="center"/>
          </w:tcPr>
          <w:p w14:paraId="14818F5D">
            <w:pPr>
              <w:snapToGrid w:val="0"/>
              <w:textAlignment w:val="baseline"/>
              <w:rPr>
                <w:rStyle w:val="63"/>
                <w:rFonts w:ascii="宋体" w:hAnsi="宋体"/>
                <w:sz w:val="18"/>
                <w:szCs w:val="18"/>
              </w:rPr>
            </w:pPr>
            <w:r>
              <w:rPr>
                <w:rStyle w:val="63"/>
                <w:rFonts w:ascii="宋体" w:hAnsi="宋体"/>
                <w:sz w:val="18"/>
                <w:szCs w:val="18"/>
              </w:rPr>
              <w:t>50≤X＜300</w:t>
            </w:r>
          </w:p>
        </w:tc>
        <w:tc>
          <w:tcPr>
            <w:tcW w:w="755" w:type="pct"/>
            <w:tcBorders>
              <w:top w:val="single" w:color="000000" w:sz="4" w:space="0"/>
              <w:left w:val="single" w:color="000000" w:sz="4" w:space="0"/>
              <w:bottom w:val="single" w:color="000000" w:sz="4" w:space="0"/>
              <w:right w:val="single" w:color="000000" w:sz="4" w:space="0"/>
            </w:tcBorders>
            <w:vAlign w:val="center"/>
          </w:tcPr>
          <w:p w14:paraId="5055BA5F">
            <w:pPr>
              <w:snapToGrid w:val="0"/>
              <w:ind w:left="-1" w:leftChars="-1" w:hanging="1"/>
              <w:textAlignment w:val="baseline"/>
              <w:rPr>
                <w:rStyle w:val="63"/>
                <w:rFonts w:ascii="宋体" w:hAnsi="宋体"/>
                <w:sz w:val="18"/>
                <w:szCs w:val="18"/>
              </w:rPr>
            </w:pPr>
            <w:r>
              <w:rPr>
                <w:rStyle w:val="63"/>
                <w:rFonts w:ascii="宋体" w:hAnsi="宋体"/>
                <w:sz w:val="18"/>
                <w:szCs w:val="18"/>
              </w:rPr>
              <w:t xml:space="preserve">10≤X＜50 </w:t>
            </w:r>
          </w:p>
        </w:tc>
        <w:tc>
          <w:tcPr>
            <w:tcW w:w="525" w:type="pct"/>
            <w:tcBorders>
              <w:top w:val="single" w:color="000000" w:sz="4" w:space="0"/>
              <w:left w:val="single" w:color="000000" w:sz="4" w:space="0"/>
              <w:bottom w:val="single" w:color="000000" w:sz="4" w:space="0"/>
              <w:right w:val="single" w:color="000000" w:sz="4" w:space="0"/>
            </w:tcBorders>
            <w:vAlign w:val="center"/>
          </w:tcPr>
          <w:p w14:paraId="1D718C88">
            <w:pPr>
              <w:snapToGrid w:val="0"/>
              <w:textAlignment w:val="baseline"/>
              <w:rPr>
                <w:rStyle w:val="63"/>
                <w:rFonts w:ascii="宋体" w:hAnsi="宋体"/>
                <w:sz w:val="18"/>
                <w:szCs w:val="18"/>
              </w:rPr>
            </w:pPr>
            <w:r>
              <w:rPr>
                <w:rStyle w:val="63"/>
                <w:rFonts w:ascii="宋体" w:hAnsi="宋体"/>
                <w:sz w:val="18"/>
                <w:szCs w:val="18"/>
              </w:rPr>
              <w:t>X＜10</w:t>
            </w:r>
          </w:p>
        </w:tc>
      </w:tr>
      <w:tr w14:paraId="04435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0010622E">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56AE3224">
            <w:pPr>
              <w:snapToGrid w:val="0"/>
              <w:spacing w:line="240" w:lineRule="exact"/>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219F9E09">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098F69FF">
            <w:pPr>
              <w:snapToGrid w:val="0"/>
              <w:textAlignment w:val="baseline"/>
              <w:rPr>
                <w:rStyle w:val="63"/>
                <w:rFonts w:ascii="宋体" w:hAnsi="宋体"/>
                <w:sz w:val="18"/>
                <w:szCs w:val="18"/>
              </w:rPr>
            </w:pPr>
            <w:r>
              <w:rPr>
                <w:rStyle w:val="63"/>
                <w:rFonts w:ascii="宋体" w:hAnsi="宋体"/>
                <w:sz w:val="18"/>
                <w:szCs w:val="18"/>
              </w:rPr>
              <w:t>Y≥20000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55F9DA4E">
            <w:pPr>
              <w:snapToGrid w:val="0"/>
              <w:textAlignment w:val="baseline"/>
              <w:rPr>
                <w:rStyle w:val="63"/>
                <w:rFonts w:ascii="宋体" w:hAnsi="宋体"/>
                <w:sz w:val="18"/>
                <w:szCs w:val="18"/>
              </w:rPr>
            </w:pPr>
            <w:r>
              <w:rPr>
                <w:rStyle w:val="63"/>
                <w:rFonts w:ascii="宋体" w:hAnsi="宋体"/>
                <w:sz w:val="18"/>
                <w:szCs w:val="18"/>
              </w:rPr>
              <w:t xml:space="preserve"> 500≤Y＜20000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68B32816">
            <w:pPr>
              <w:snapToGrid w:val="0"/>
              <w:ind w:left="-1" w:leftChars="-1" w:hanging="1"/>
              <w:textAlignment w:val="baseline"/>
              <w:rPr>
                <w:rStyle w:val="63"/>
                <w:rFonts w:ascii="宋体" w:hAnsi="宋体"/>
                <w:sz w:val="18"/>
                <w:szCs w:val="18"/>
              </w:rPr>
            </w:pPr>
            <w:r>
              <w:rPr>
                <w:rStyle w:val="63"/>
                <w:rFonts w:ascii="宋体" w:hAnsi="宋体"/>
                <w:sz w:val="18"/>
                <w:szCs w:val="18"/>
              </w:rPr>
              <w:t xml:space="preserve">100≤Y＜500 </w:t>
            </w:r>
          </w:p>
        </w:tc>
        <w:tc>
          <w:tcPr>
            <w:tcW w:w="525" w:type="pct"/>
            <w:tcBorders>
              <w:top w:val="single" w:color="000000" w:sz="4" w:space="0"/>
              <w:left w:val="single" w:color="000000" w:sz="4" w:space="0"/>
              <w:bottom w:val="single" w:color="000000" w:sz="4" w:space="0"/>
              <w:right w:val="single" w:color="000000" w:sz="4" w:space="0"/>
            </w:tcBorders>
            <w:vAlign w:val="center"/>
          </w:tcPr>
          <w:p w14:paraId="3F41B82D">
            <w:pPr>
              <w:snapToGrid w:val="0"/>
              <w:textAlignment w:val="baseline"/>
              <w:rPr>
                <w:rStyle w:val="63"/>
                <w:rFonts w:ascii="宋体" w:hAnsi="宋体"/>
                <w:sz w:val="18"/>
                <w:szCs w:val="18"/>
              </w:rPr>
            </w:pPr>
            <w:r>
              <w:rPr>
                <w:rStyle w:val="63"/>
                <w:rFonts w:ascii="宋体" w:hAnsi="宋体"/>
                <w:sz w:val="18"/>
                <w:szCs w:val="18"/>
              </w:rPr>
              <w:t>Y＜100</w:t>
            </w:r>
          </w:p>
        </w:tc>
      </w:tr>
      <w:tr w14:paraId="1842E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542CF66B">
            <w:pPr>
              <w:snapToGrid w:val="0"/>
              <w:spacing w:line="240" w:lineRule="exact"/>
              <w:textAlignment w:val="baseline"/>
              <w:rPr>
                <w:rStyle w:val="63"/>
                <w:rFonts w:ascii="宋体" w:hAnsi="宋体"/>
                <w:sz w:val="18"/>
                <w:szCs w:val="18"/>
              </w:rPr>
            </w:pPr>
            <w:r>
              <w:rPr>
                <w:rStyle w:val="63"/>
                <w:rFonts w:ascii="宋体" w:hAnsi="宋体"/>
                <w:sz w:val="18"/>
                <w:szCs w:val="18"/>
              </w:rPr>
              <w:t>交通运输业 *</w:t>
            </w:r>
          </w:p>
        </w:tc>
        <w:tc>
          <w:tcPr>
            <w:tcW w:w="725" w:type="pct"/>
            <w:tcBorders>
              <w:top w:val="single" w:color="000000" w:sz="4" w:space="0"/>
              <w:left w:val="single" w:color="000000" w:sz="4" w:space="0"/>
              <w:bottom w:val="single" w:color="000000" w:sz="4" w:space="0"/>
              <w:right w:val="single" w:color="000000" w:sz="4" w:space="0"/>
            </w:tcBorders>
            <w:vAlign w:val="center"/>
          </w:tcPr>
          <w:p w14:paraId="5599A946">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2AA910A8">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4B35B077">
            <w:pPr>
              <w:snapToGrid w:val="0"/>
              <w:textAlignment w:val="baseline"/>
              <w:rPr>
                <w:rStyle w:val="63"/>
                <w:rFonts w:ascii="宋体" w:hAnsi="宋体"/>
                <w:sz w:val="18"/>
                <w:szCs w:val="18"/>
              </w:rPr>
            </w:pPr>
            <w:r>
              <w:rPr>
                <w:rStyle w:val="63"/>
                <w:rFonts w:ascii="宋体" w:hAnsi="宋体"/>
                <w:sz w:val="18"/>
                <w:szCs w:val="18"/>
              </w:rPr>
              <w:t>X≥1000</w:t>
            </w:r>
          </w:p>
        </w:tc>
        <w:tc>
          <w:tcPr>
            <w:tcW w:w="901" w:type="pct"/>
            <w:tcBorders>
              <w:top w:val="single" w:color="000000" w:sz="4" w:space="0"/>
              <w:left w:val="single" w:color="000000" w:sz="4" w:space="0"/>
              <w:bottom w:val="single" w:color="000000" w:sz="4" w:space="0"/>
              <w:right w:val="single" w:color="000000" w:sz="4" w:space="0"/>
            </w:tcBorders>
            <w:vAlign w:val="center"/>
          </w:tcPr>
          <w:p w14:paraId="0CEB76D5">
            <w:pPr>
              <w:snapToGrid w:val="0"/>
              <w:textAlignment w:val="baseline"/>
              <w:rPr>
                <w:rStyle w:val="63"/>
                <w:rFonts w:ascii="宋体" w:hAnsi="宋体"/>
                <w:sz w:val="18"/>
                <w:szCs w:val="18"/>
              </w:rPr>
            </w:pPr>
            <w:r>
              <w:rPr>
                <w:rStyle w:val="63"/>
                <w:rFonts w:ascii="宋体" w:hAnsi="宋体"/>
                <w:sz w:val="18"/>
                <w:szCs w:val="18"/>
              </w:rPr>
              <w:t>300≤X＜1000</w:t>
            </w:r>
          </w:p>
        </w:tc>
        <w:tc>
          <w:tcPr>
            <w:tcW w:w="755" w:type="pct"/>
            <w:tcBorders>
              <w:top w:val="single" w:color="000000" w:sz="4" w:space="0"/>
              <w:left w:val="single" w:color="000000" w:sz="4" w:space="0"/>
              <w:bottom w:val="single" w:color="000000" w:sz="4" w:space="0"/>
              <w:right w:val="single" w:color="000000" w:sz="4" w:space="0"/>
            </w:tcBorders>
            <w:vAlign w:val="center"/>
          </w:tcPr>
          <w:p w14:paraId="1D971271">
            <w:pPr>
              <w:snapToGrid w:val="0"/>
              <w:textAlignment w:val="baseline"/>
              <w:rPr>
                <w:rStyle w:val="63"/>
                <w:rFonts w:ascii="宋体" w:hAnsi="宋体"/>
                <w:sz w:val="18"/>
                <w:szCs w:val="18"/>
              </w:rPr>
            </w:pPr>
            <w:r>
              <w:rPr>
                <w:rStyle w:val="63"/>
                <w:rFonts w:ascii="宋体" w:hAnsi="宋体"/>
                <w:sz w:val="18"/>
                <w:szCs w:val="18"/>
              </w:rPr>
              <w:t xml:space="preserve"> 20≤X＜300</w:t>
            </w:r>
          </w:p>
        </w:tc>
        <w:tc>
          <w:tcPr>
            <w:tcW w:w="525" w:type="pct"/>
            <w:tcBorders>
              <w:top w:val="single" w:color="000000" w:sz="4" w:space="0"/>
              <w:left w:val="single" w:color="000000" w:sz="4" w:space="0"/>
              <w:bottom w:val="single" w:color="000000" w:sz="4" w:space="0"/>
              <w:right w:val="single" w:color="000000" w:sz="4" w:space="0"/>
            </w:tcBorders>
            <w:vAlign w:val="center"/>
          </w:tcPr>
          <w:p w14:paraId="1FE930FC">
            <w:pPr>
              <w:snapToGrid w:val="0"/>
              <w:textAlignment w:val="baseline"/>
              <w:rPr>
                <w:rStyle w:val="63"/>
                <w:rFonts w:ascii="宋体" w:hAnsi="宋体"/>
                <w:sz w:val="18"/>
                <w:szCs w:val="18"/>
              </w:rPr>
            </w:pPr>
            <w:r>
              <w:rPr>
                <w:rStyle w:val="63"/>
                <w:rFonts w:ascii="宋体" w:hAnsi="宋体"/>
                <w:sz w:val="18"/>
                <w:szCs w:val="18"/>
              </w:rPr>
              <w:t>X＜20</w:t>
            </w:r>
          </w:p>
        </w:tc>
      </w:tr>
      <w:tr w14:paraId="797A5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220CE3BB">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0C80F58B">
            <w:pPr>
              <w:snapToGrid w:val="0"/>
              <w:spacing w:line="240" w:lineRule="exact"/>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71D139E6">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2B6D884B">
            <w:pPr>
              <w:snapToGrid w:val="0"/>
              <w:textAlignment w:val="baseline"/>
              <w:rPr>
                <w:rStyle w:val="63"/>
                <w:rFonts w:ascii="宋体" w:hAnsi="宋体"/>
                <w:sz w:val="18"/>
                <w:szCs w:val="18"/>
              </w:rPr>
            </w:pPr>
            <w:r>
              <w:rPr>
                <w:rStyle w:val="63"/>
                <w:rFonts w:ascii="宋体" w:hAnsi="宋体"/>
                <w:sz w:val="18"/>
                <w:szCs w:val="18"/>
              </w:rPr>
              <w:t>Y≥30000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1BCCA0BD">
            <w:pPr>
              <w:snapToGrid w:val="0"/>
              <w:textAlignment w:val="baseline"/>
              <w:rPr>
                <w:rStyle w:val="63"/>
                <w:rFonts w:ascii="宋体" w:hAnsi="宋体"/>
                <w:sz w:val="18"/>
                <w:szCs w:val="18"/>
              </w:rPr>
            </w:pPr>
            <w:r>
              <w:rPr>
                <w:rStyle w:val="63"/>
                <w:rFonts w:ascii="宋体" w:hAnsi="宋体"/>
                <w:sz w:val="18"/>
                <w:szCs w:val="18"/>
              </w:rPr>
              <w:t>3000≤Y＜30000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3C7C4CEE">
            <w:pPr>
              <w:snapToGrid w:val="0"/>
              <w:textAlignment w:val="baseline"/>
              <w:rPr>
                <w:rStyle w:val="63"/>
                <w:rFonts w:ascii="宋体" w:hAnsi="宋体"/>
                <w:sz w:val="18"/>
                <w:szCs w:val="18"/>
              </w:rPr>
            </w:pPr>
            <w:r>
              <w:rPr>
                <w:rStyle w:val="63"/>
                <w:rFonts w:ascii="宋体" w:hAnsi="宋体"/>
                <w:sz w:val="18"/>
                <w:szCs w:val="18"/>
              </w:rPr>
              <w:t xml:space="preserve"> 200≤Y＜3000</w:t>
            </w:r>
          </w:p>
        </w:tc>
        <w:tc>
          <w:tcPr>
            <w:tcW w:w="525" w:type="pct"/>
            <w:tcBorders>
              <w:top w:val="single" w:color="000000" w:sz="4" w:space="0"/>
              <w:left w:val="single" w:color="000000" w:sz="4" w:space="0"/>
              <w:bottom w:val="single" w:color="000000" w:sz="4" w:space="0"/>
              <w:right w:val="single" w:color="000000" w:sz="4" w:space="0"/>
            </w:tcBorders>
            <w:vAlign w:val="center"/>
          </w:tcPr>
          <w:p w14:paraId="2C79292E">
            <w:pPr>
              <w:snapToGrid w:val="0"/>
              <w:textAlignment w:val="baseline"/>
              <w:rPr>
                <w:rStyle w:val="63"/>
                <w:rFonts w:ascii="宋体" w:hAnsi="宋体"/>
                <w:sz w:val="18"/>
                <w:szCs w:val="18"/>
              </w:rPr>
            </w:pPr>
            <w:r>
              <w:rPr>
                <w:rStyle w:val="63"/>
                <w:rFonts w:ascii="宋体" w:hAnsi="宋体"/>
                <w:sz w:val="18"/>
                <w:szCs w:val="18"/>
              </w:rPr>
              <w:t>Y＜200</w:t>
            </w:r>
          </w:p>
        </w:tc>
      </w:tr>
      <w:tr w14:paraId="06F8B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3A46A100">
            <w:pPr>
              <w:snapToGrid w:val="0"/>
              <w:spacing w:line="240" w:lineRule="exact"/>
              <w:textAlignment w:val="baseline"/>
              <w:rPr>
                <w:rStyle w:val="63"/>
                <w:rFonts w:ascii="宋体" w:hAnsi="宋体"/>
                <w:sz w:val="18"/>
                <w:szCs w:val="18"/>
              </w:rPr>
            </w:pPr>
            <w:r>
              <w:rPr>
                <w:rStyle w:val="63"/>
                <w:rFonts w:ascii="宋体" w:hAnsi="宋体"/>
                <w:sz w:val="18"/>
                <w:szCs w:val="18"/>
              </w:rPr>
              <w:t>仓储业*</w:t>
            </w:r>
          </w:p>
        </w:tc>
        <w:tc>
          <w:tcPr>
            <w:tcW w:w="725" w:type="pct"/>
            <w:tcBorders>
              <w:top w:val="single" w:color="000000" w:sz="4" w:space="0"/>
              <w:left w:val="single" w:color="000000" w:sz="4" w:space="0"/>
              <w:bottom w:val="single" w:color="000000" w:sz="4" w:space="0"/>
              <w:right w:val="single" w:color="000000" w:sz="4" w:space="0"/>
            </w:tcBorders>
            <w:vAlign w:val="center"/>
          </w:tcPr>
          <w:p w14:paraId="45DE2369">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063BB327">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04E9C487">
            <w:pPr>
              <w:snapToGrid w:val="0"/>
              <w:textAlignment w:val="baseline"/>
              <w:rPr>
                <w:rStyle w:val="63"/>
                <w:rFonts w:ascii="宋体" w:hAnsi="宋体"/>
                <w:sz w:val="18"/>
                <w:szCs w:val="18"/>
              </w:rPr>
            </w:pPr>
            <w:r>
              <w:rPr>
                <w:rStyle w:val="63"/>
                <w:rFonts w:ascii="宋体" w:hAnsi="宋体"/>
                <w:sz w:val="18"/>
                <w:szCs w:val="18"/>
              </w:rPr>
              <w:t>X≥200</w:t>
            </w:r>
          </w:p>
        </w:tc>
        <w:tc>
          <w:tcPr>
            <w:tcW w:w="901" w:type="pct"/>
            <w:tcBorders>
              <w:top w:val="single" w:color="000000" w:sz="4" w:space="0"/>
              <w:left w:val="single" w:color="000000" w:sz="4" w:space="0"/>
              <w:bottom w:val="single" w:color="000000" w:sz="4" w:space="0"/>
              <w:right w:val="single" w:color="000000" w:sz="4" w:space="0"/>
            </w:tcBorders>
            <w:vAlign w:val="center"/>
          </w:tcPr>
          <w:p w14:paraId="11F01576">
            <w:pPr>
              <w:snapToGrid w:val="0"/>
              <w:ind w:left="1" w:leftChars="-51" w:hanging="108"/>
              <w:textAlignment w:val="baseline"/>
              <w:rPr>
                <w:rStyle w:val="63"/>
                <w:rFonts w:ascii="宋体" w:hAnsi="宋体"/>
                <w:sz w:val="18"/>
                <w:szCs w:val="18"/>
              </w:rPr>
            </w:pPr>
            <w:r>
              <w:rPr>
                <w:rStyle w:val="63"/>
                <w:rFonts w:ascii="宋体" w:hAnsi="宋体"/>
                <w:sz w:val="18"/>
                <w:szCs w:val="18"/>
              </w:rPr>
              <w:t>100≤X＜200</w:t>
            </w:r>
          </w:p>
        </w:tc>
        <w:tc>
          <w:tcPr>
            <w:tcW w:w="755" w:type="pct"/>
            <w:tcBorders>
              <w:top w:val="single" w:color="000000" w:sz="4" w:space="0"/>
              <w:left w:val="single" w:color="000000" w:sz="4" w:space="0"/>
              <w:bottom w:val="single" w:color="000000" w:sz="4" w:space="0"/>
              <w:right w:val="single" w:color="000000" w:sz="4" w:space="0"/>
            </w:tcBorders>
            <w:vAlign w:val="center"/>
          </w:tcPr>
          <w:p w14:paraId="7D83C041">
            <w:pPr>
              <w:snapToGrid w:val="0"/>
              <w:textAlignment w:val="baseline"/>
              <w:rPr>
                <w:rStyle w:val="63"/>
                <w:rFonts w:ascii="宋体" w:hAnsi="宋体"/>
                <w:sz w:val="18"/>
                <w:szCs w:val="18"/>
              </w:rPr>
            </w:pPr>
            <w:r>
              <w:rPr>
                <w:rStyle w:val="63"/>
                <w:rFonts w:ascii="宋体" w:hAnsi="宋体"/>
                <w:sz w:val="18"/>
                <w:szCs w:val="18"/>
              </w:rPr>
              <w:t xml:space="preserve"> 20≤X＜100</w:t>
            </w:r>
          </w:p>
        </w:tc>
        <w:tc>
          <w:tcPr>
            <w:tcW w:w="525" w:type="pct"/>
            <w:tcBorders>
              <w:top w:val="single" w:color="000000" w:sz="4" w:space="0"/>
              <w:left w:val="single" w:color="000000" w:sz="4" w:space="0"/>
              <w:bottom w:val="single" w:color="000000" w:sz="4" w:space="0"/>
              <w:right w:val="single" w:color="000000" w:sz="4" w:space="0"/>
            </w:tcBorders>
            <w:vAlign w:val="center"/>
          </w:tcPr>
          <w:p w14:paraId="0C76C498">
            <w:pPr>
              <w:snapToGrid w:val="0"/>
              <w:textAlignment w:val="baseline"/>
              <w:rPr>
                <w:rStyle w:val="63"/>
                <w:rFonts w:ascii="宋体" w:hAnsi="宋体"/>
                <w:sz w:val="18"/>
                <w:szCs w:val="18"/>
              </w:rPr>
            </w:pPr>
            <w:r>
              <w:rPr>
                <w:rStyle w:val="63"/>
                <w:rFonts w:ascii="宋体" w:hAnsi="宋体"/>
                <w:sz w:val="18"/>
                <w:szCs w:val="18"/>
              </w:rPr>
              <w:t>X＜20</w:t>
            </w:r>
          </w:p>
        </w:tc>
      </w:tr>
      <w:tr w14:paraId="2BBDE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071958E8">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379670E9">
            <w:pPr>
              <w:snapToGrid w:val="0"/>
              <w:spacing w:line="240" w:lineRule="exact"/>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37DB775A">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56E07CDA">
            <w:pPr>
              <w:snapToGrid w:val="0"/>
              <w:textAlignment w:val="baseline"/>
              <w:rPr>
                <w:rStyle w:val="63"/>
                <w:rFonts w:ascii="宋体" w:hAnsi="宋体"/>
                <w:sz w:val="18"/>
                <w:szCs w:val="18"/>
              </w:rPr>
            </w:pPr>
            <w:r>
              <w:rPr>
                <w:rStyle w:val="63"/>
                <w:rFonts w:ascii="宋体" w:hAnsi="宋体"/>
                <w:sz w:val="18"/>
                <w:szCs w:val="18"/>
              </w:rPr>
              <w:t>Y≥30000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4989925F">
            <w:pPr>
              <w:snapToGrid w:val="0"/>
              <w:textAlignment w:val="baseline"/>
              <w:rPr>
                <w:rStyle w:val="63"/>
                <w:rFonts w:ascii="宋体" w:hAnsi="宋体"/>
                <w:sz w:val="18"/>
                <w:szCs w:val="18"/>
              </w:rPr>
            </w:pPr>
            <w:r>
              <w:rPr>
                <w:rStyle w:val="63"/>
                <w:rFonts w:ascii="宋体" w:hAnsi="宋体"/>
                <w:sz w:val="18"/>
                <w:szCs w:val="18"/>
              </w:rPr>
              <w:t>1000≤Y＜30000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5B8C7DDB">
            <w:pPr>
              <w:snapToGrid w:val="0"/>
              <w:textAlignment w:val="baseline"/>
              <w:rPr>
                <w:rStyle w:val="63"/>
                <w:rFonts w:ascii="宋体" w:hAnsi="宋体"/>
                <w:sz w:val="18"/>
                <w:szCs w:val="18"/>
              </w:rPr>
            </w:pPr>
            <w:r>
              <w:rPr>
                <w:rStyle w:val="63"/>
                <w:rFonts w:ascii="宋体" w:hAnsi="宋体"/>
                <w:sz w:val="18"/>
                <w:szCs w:val="18"/>
              </w:rPr>
              <w:t xml:space="preserve"> 100≤Y＜1000</w:t>
            </w:r>
          </w:p>
        </w:tc>
        <w:tc>
          <w:tcPr>
            <w:tcW w:w="525" w:type="pct"/>
            <w:tcBorders>
              <w:top w:val="single" w:color="000000" w:sz="4" w:space="0"/>
              <w:left w:val="single" w:color="000000" w:sz="4" w:space="0"/>
              <w:bottom w:val="single" w:color="000000" w:sz="4" w:space="0"/>
              <w:right w:val="single" w:color="000000" w:sz="4" w:space="0"/>
            </w:tcBorders>
            <w:vAlign w:val="center"/>
          </w:tcPr>
          <w:p w14:paraId="640E190A">
            <w:pPr>
              <w:snapToGrid w:val="0"/>
              <w:textAlignment w:val="baseline"/>
              <w:rPr>
                <w:rStyle w:val="63"/>
                <w:rFonts w:ascii="宋体" w:hAnsi="宋体"/>
                <w:sz w:val="18"/>
                <w:szCs w:val="18"/>
              </w:rPr>
            </w:pPr>
            <w:r>
              <w:rPr>
                <w:rStyle w:val="63"/>
                <w:rFonts w:ascii="宋体" w:hAnsi="宋体"/>
                <w:sz w:val="18"/>
                <w:szCs w:val="18"/>
              </w:rPr>
              <w:t>Y＜100</w:t>
            </w:r>
          </w:p>
        </w:tc>
      </w:tr>
      <w:tr w14:paraId="3DE77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5E39471A">
            <w:pPr>
              <w:snapToGrid w:val="0"/>
              <w:spacing w:line="240" w:lineRule="exact"/>
              <w:textAlignment w:val="baseline"/>
              <w:rPr>
                <w:rStyle w:val="63"/>
                <w:rFonts w:ascii="宋体" w:hAnsi="宋体"/>
                <w:sz w:val="18"/>
                <w:szCs w:val="18"/>
              </w:rPr>
            </w:pPr>
            <w:r>
              <w:rPr>
                <w:rStyle w:val="63"/>
                <w:rFonts w:ascii="宋体" w:hAnsi="宋体"/>
                <w:sz w:val="18"/>
                <w:szCs w:val="18"/>
              </w:rPr>
              <w:t>邮政业</w:t>
            </w:r>
          </w:p>
        </w:tc>
        <w:tc>
          <w:tcPr>
            <w:tcW w:w="725" w:type="pct"/>
            <w:tcBorders>
              <w:top w:val="single" w:color="000000" w:sz="4" w:space="0"/>
              <w:left w:val="single" w:color="000000" w:sz="4" w:space="0"/>
              <w:bottom w:val="single" w:color="000000" w:sz="4" w:space="0"/>
              <w:right w:val="single" w:color="000000" w:sz="4" w:space="0"/>
            </w:tcBorders>
            <w:vAlign w:val="center"/>
          </w:tcPr>
          <w:p w14:paraId="61045DD1">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59AA8541">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5D7C5203">
            <w:pPr>
              <w:snapToGrid w:val="0"/>
              <w:textAlignment w:val="baseline"/>
              <w:rPr>
                <w:rStyle w:val="63"/>
                <w:rFonts w:ascii="宋体" w:hAnsi="宋体"/>
                <w:sz w:val="18"/>
                <w:szCs w:val="18"/>
              </w:rPr>
            </w:pPr>
            <w:r>
              <w:rPr>
                <w:rStyle w:val="63"/>
                <w:rFonts w:ascii="宋体" w:hAnsi="宋体"/>
                <w:sz w:val="18"/>
                <w:szCs w:val="18"/>
              </w:rPr>
              <w:t>X≥1000</w:t>
            </w:r>
          </w:p>
        </w:tc>
        <w:tc>
          <w:tcPr>
            <w:tcW w:w="901" w:type="pct"/>
            <w:tcBorders>
              <w:top w:val="single" w:color="000000" w:sz="4" w:space="0"/>
              <w:left w:val="single" w:color="000000" w:sz="4" w:space="0"/>
              <w:bottom w:val="single" w:color="000000" w:sz="4" w:space="0"/>
              <w:right w:val="single" w:color="000000" w:sz="4" w:space="0"/>
            </w:tcBorders>
            <w:vAlign w:val="center"/>
          </w:tcPr>
          <w:p w14:paraId="2EEE9A78">
            <w:pPr>
              <w:snapToGrid w:val="0"/>
              <w:textAlignment w:val="baseline"/>
              <w:rPr>
                <w:rStyle w:val="63"/>
                <w:rFonts w:ascii="宋体" w:hAnsi="宋体"/>
                <w:sz w:val="18"/>
                <w:szCs w:val="18"/>
              </w:rPr>
            </w:pPr>
            <w:r>
              <w:rPr>
                <w:rStyle w:val="63"/>
                <w:rFonts w:ascii="宋体" w:hAnsi="宋体"/>
                <w:sz w:val="18"/>
                <w:szCs w:val="18"/>
              </w:rPr>
              <w:t>300≤X＜1000</w:t>
            </w:r>
          </w:p>
        </w:tc>
        <w:tc>
          <w:tcPr>
            <w:tcW w:w="755" w:type="pct"/>
            <w:tcBorders>
              <w:top w:val="single" w:color="000000" w:sz="4" w:space="0"/>
              <w:left w:val="single" w:color="000000" w:sz="4" w:space="0"/>
              <w:bottom w:val="single" w:color="000000" w:sz="4" w:space="0"/>
              <w:right w:val="single" w:color="000000" w:sz="4" w:space="0"/>
            </w:tcBorders>
            <w:vAlign w:val="center"/>
          </w:tcPr>
          <w:p w14:paraId="31615362">
            <w:pPr>
              <w:snapToGrid w:val="0"/>
              <w:textAlignment w:val="baseline"/>
              <w:rPr>
                <w:rStyle w:val="63"/>
                <w:rFonts w:ascii="宋体" w:hAnsi="宋体"/>
                <w:sz w:val="18"/>
                <w:szCs w:val="18"/>
              </w:rPr>
            </w:pPr>
            <w:r>
              <w:rPr>
                <w:rStyle w:val="63"/>
                <w:rFonts w:ascii="宋体" w:hAnsi="宋体"/>
                <w:sz w:val="18"/>
                <w:szCs w:val="18"/>
              </w:rPr>
              <w:t xml:space="preserve"> 20≤X＜300</w:t>
            </w:r>
          </w:p>
        </w:tc>
        <w:tc>
          <w:tcPr>
            <w:tcW w:w="525" w:type="pct"/>
            <w:tcBorders>
              <w:top w:val="single" w:color="000000" w:sz="4" w:space="0"/>
              <w:left w:val="single" w:color="000000" w:sz="4" w:space="0"/>
              <w:bottom w:val="single" w:color="000000" w:sz="4" w:space="0"/>
              <w:right w:val="single" w:color="000000" w:sz="4" w:space="0"/>
            </w:tcBorders>
            <w:vAlign w:val="center"/>
          </w:tcPr>
          <w:p w14:paraId="65F6B49A">
            <w:pPr>
              <w:snapToGrid w:val="0"/>
              <w:textAlignment w:val="baseline"/>
              <w:rPr>
                <w:rStyle w:val="63"/>
                <w:rFonts w:ascii="宋体" w:hAnsi="宋体"/>
                <w:sz w:val="18"/>
                <w:szCs w:val="18"/>
              </w:rPr>
            </w:pPr>
            <w:r>
              <w:rPr>
                <w:rStyle w:val="63"/>
                <w:rFonts w:ascii="宋体" w:hAnsi="宋体"/>
                <w:sz w:val="18"/>
                <w:szCs w:val="18"/>
              </w:rPr>
              <w:t>X＜20</w:t>
            </w:r>
          </w:p>
        </w:tc>
      </w:tr>
      <w:tr w14:paraId="0D407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46D225A8">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283B9298">
            <w:pPr>
              <w:snapToGrid w:val="0"/>
              <w:spacing w:line="240" w:lineRule="exact"/>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333791CC">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56027772">
            <w:pPr>
              <w:snapToGrid w:val="0"/>
              <w:textAlignment w:val="baseline"/>
              <w:rPr>
                <w:rStyle w:val="63"/>
                <w:rFonts w:ascii="宋体" w:hAnsi="宋体"/>
                <w:sz w:val="18"/>
                <w:szCs w:val="18"/>
              </w:rPr>
            </w:pPr>
            <w:r>
              <w:rPr>
                <w:rStyle w:val="63"/>
                <w:rFonts w:ascii="宋体" w:hAnsi="宋体"/>
                <w:sz w:val="18"/>
                <w:szCs w:val="18"/>
              </w:rPr>
              <w:t>Y≥30000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5AE6526C">
            <w:pPr>
              <w:snapToGrid w:val="0"/>
              <w:textAlignment w:val="baseline"/>
              <w:rPr>
                <w:rStyle w:val="63"/>
                <w:rFonts w:ascii="宋体" w:hAnsi="宋体"/>
                <w:sz w:val="18"/>
                <w:szCs w:val="18"/>
              </w:rPr>
            </w:pPr>
            <w:r>
              <w:rPr>
                <w:rStyle w:val="63"/>
                <w:rFonts w:ascii="宋体" w:hAnsi="宋体"/>
                <w:sz w:val="18"/>
                <w:szCs w:val="18"/>
              </w:rPr>
              <w:t>2000≤Y＜30000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000656DA">
            <w:pPr>
              <w:snapToGrid w:val="0"/>
              <w:textAlignment w:val="baseline"/>
              <w:rPr>
                <w:rStyle w:val="63"/>
                <w:rFonts w:ascii="宋体" w:hAnsi="宋体"/>
                <w:sz w:val="18"/>
                <w:szCs w:val="18"/>
              </w:rPr>
            </w:pPr>
            <w:r>
              <w:rPr>
                <w:rStyle w:val="63"/>
                <w:rFonts w:ascii="宋体" w:hAnsi="宋体"/>
                <w:sz w:val="18"/>
                <w:szCs w:val="18"/>
              </w:rPr>
              <w:t xml:space="preserve"> 100≤Y＜2000</w:t>
            </w:r>
          </w:p>
        </w:tc>
        <w:tc>
          <w:tcPr>
            <w:tcW w:w="525" w:type="pct"/>
            <w:tcBorders>
              <w:top w:val="single" w:color="000000" w:sz="4" w:space="0"/>
              <w:left w:val="single" w:color="000000" w:sz="4" w:space="0"/>
              <w:bottom w:val="single" w:color="000000" w:sz="4" w:space="0"/>
              <w:right w:val="single" w:color="000000" w:sz="4" w:space="0"/>
            </w:tcBorders>
            <w:vAlign w:val="center"/>
          </w:tcPr>
          <w:p w14:paraId="5D3D1D22">
            <w:pPr>
              <w:snapToGrid w:val="0"/>
              <w:textAlignment w:val="baseline"/>
              <w:rPr>
                <w:rStyle w:val="63"/>
                <w:rFonts w:ascii="宋体" w:hAnsi="宋体"/>
                <w:sz w:val="18"/>
                <w:szCs w:val="18"/>
              </w:rPr>
            </w:pPr>
            <w:r>
              <w:rPr>
                <w:rStyle w:val="63"/>
                <w:rFonts w:ascii="宋体" w:hAnsi="宋体"/>
                <w:sz w:val="18"/>
                <w:szCs w:val="18"/>
              </w:rPr>
              <w:t>Y＜100</w:t>
            </w:r>
          </w:p>
        </w:tc>
      </w:tr>
      <w:tr w14:paraId="5F8A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31F428A3">
            <w:pPr>
              <w:snapToGrid w:val="0"/>
              <w:spacing w:line="240" w:lineRule="exact"/>
              <w:textAlignment w:val="baseline"/>
              <w:rPr>
                <w:rStyle w:val="63"/>
                <w:rFonts w:ascii="宋体" w:hAnsi="宋体"/>
                <w:sz w:val="18"/>
                <w:szCs w:val="18"/>
              </w:rPr>
            </w:pPr>
            <w:r>
              <w:rPr>
                <w:rStyle w:val="63"/>
                <w:rFonts w:ascii="宋体" w:hAnsi="宋体"/>
                <w:sz w:val="18"/>
                <w:szCs w:val="18"/>
              </w:rPr>
              <w:t>住宿业</w:t>
            </w:r>
          </w:p>
        </w:tc>
        <w:tc>
          <w:tcPr>
            <w:tcW w:w="725" w:type="pct"/>
            <w:tcBorders>
              <w:top w:val="single" w:color="000000" w:sz="4" w:space="0"/>
              <w:left w:val="single" w:color="000000" w:sz="4" w:space="0"/>
              <w:bottom w:val="single" w:color="000000" w:sz="4" w:space="0"/>
              <w:right w:val="single" w:color="000000" w:sz="4" w:space="0"/>
            </w:tcBorders>
            <w:vAlign w:val="center"/>
          </w:tcPr>
          <w:p w14:paraId="18D559F3">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14D92B6E">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1186ED9B">
            <w:pPr>
              <w:snapToGrid w:val="0"/>
              <w:textAlignment w:val="baseline"/>
              <w:rPr>
                <w:rStyle w:val="63"/>
                <w:rFonts w:ascii="宋体" w:hAnsi="宋体"/>
                <w:sz w:val="18"/>
                <w:szCs w:val="18"/>
              </w:rPr>
            </w:pPr>
            <w:r>
              <w:rPr>
                <w:rStyle w:val="63"/>
                <w:rFonts w:ascii="宋体" w:hAnsi="宋体"/>
                <w:sz w:val="18"/>
                <w:szCs w:val="18"/>
              </w:rPr>
              <w:t>X≥300</w:t>
            </w:r>
          </w:p>
        </w:tc>
        <w:tc>
          <w:tcPr>
            <w:tcW w:w="901" w:type="pct"/>
            <w:tcBorders>
              <w:top w:val="single" w:color="000000" w:sz="4" w:space="0"/>
              <w:left w:val="single" w:color="000000" w:sz="4" w:space="0"/>
              <w:bottom w:val="single" w:color="000000" w:sz="4" w:space="0"/>
              <w:right w:val="single" w:color="000000" w:sz="4" w:space="0"/>
            </w:tcBorders>
            <w:vAlign w:val="center"/>
          </w:tcPr>
          <w:p w14:paraId="680874E2">
            <w:pPr>
              <w:snapToGrid w:val="0"/>
              <w:ind w:left="1" w:leftChars="-51" w:hanging="108"/>
              <w:textAlignment w:val="baseline"/>
              <w:rPr>
                <w:rStyle w:val="63"/>
                <w:rFonts w:ascii="宋体" w:hAnsi="宋体"/>
                <w:sz w:val="18"/>
                <w:szCs w:val="18"/>
              </w:rPr>
            </w:pPr>
            <w:r>
              <w:rPr>
                <w:rStyle w:val="63"/>
                <w:rFonts w:ascii="宋体" w:hAnsi="宋体"/>
                <w:sz w:val="18"/>
                <w:szCs w:val="18"/>
              </w:rPr>
              <w:t xml:space="preserve">100≤X＜300 </w:t>
            </w:r>
          </w:p>
        </w:tc>
        <w:tc>
          <w:tcPr>
            <w:tcW w:w="755" w:type="pct"/>
            <w:tcBorders>
              <w:top w:val="single" w:color="000000" w:sz="4" w:space="0"/>
              <w:left w:val="single" w:color="000000" w:sz="4" w:space="0"/>
              <w:bottom w:val="single" w:color="000000" w:sz="4" w:space="0"/>
              <w:right w:val="single" w:color="000000" w:sz="4" w:space="0"/>
            </w:tcBorders>
            <w:vAlign w:val="center"/>
          </w:tcPr>
          <w:p w14:paraId="2AEDE690">
            <w:pPr>
              <w:snapToGrid w:val="0"/>
              <w:textAlignment w:val="baseline"/>
              <w:rPr>
                <w:rStyle w:val="63"/>
                <w:rFonts w:ascii="宋体" w:hAnsi="宋体"/>
                <w:sz w:val="18"/>
                <w:szCs w:val="18"/>
              </w:rPr>
            </w:pPr>
            <w:r>
              <w:rPr>
                <w:rStyle w:val="63"/>
                <w:rFonts w:ascii="宋体" w:hAnsi="宋体"/>
                <w:sz w:val="18"/>
                <w:szCs w:val="18"/>
              </w:rPr>
              <w:t xml:space="preserve"> 10≤X＜100</w:t>
            </w:r>
          </w:p>
        </w:tc>
        <w:tc>
          <w:tcPr>
            <w:tcW w:w="525" w:type="pct"/>
            <w:tcBorders>
              <w:top w:val="single" w:color="000000" w:sz="4" w:space="0"/>
              <w:left w:val="single" w:color="000000" w:sz="4" w:space="0"/>
              <w:bottom w:val="single" w:color="000000" w:sz="4" w:space="0"/>
              <w:right w:val="single" w:color="000000" w:sz="4" w:space="0"/>
            </w:tcBorders>
            <w:vAlign w:val="center"/>
          </w:tcPr>
          <w:p w14:paraId="40904A4F">
            <w:pPr>
              <w:snapToGrid w:val="0"/>
              <w:textAlignment w:val="baseline"/>
              <w:rPr>
                <w:rStyle w:val="63"/>
                <w:rFonts w:ascii="宋体" w:hAnsi="宋体"/>
                <w:sz w:val="18"/>
                <w:szCs w:val="18"/>
              </w:rPr>
            </w:pPr>
            <w:r>
              <w:rPr>
                <w:rStyle w:val="63"/>
                <w:rFonts w:ascii="宋体" w:hAnsi="宋体"/>
                <w:sz w:val="18"/>
                <w:szCs w:val="18"/>
              </w:rPr>
              <w:t>X＜10</w:t>
            </w:r>
          </w:p>
        </w:tc>
      </w:tr>
      <w:tr w14:paraId="1F4B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118513DE">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4F10DB55">
            <w:pPr>
              <w:snapToGrid w:val="0"/>
              <w:spacing w:line="240" w:lineRule="exact"/>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23694D68">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523B89CD">
            <w:pPr>
              <w:snapToGrid w:val="0"/>
              <w:textAlignment w:val="baseline"/>
              <w:rPr>
                <w:rStyle w:val="63"/>
                <w:rFonts w:ascii="宋体" w:hAnsi="宋体"/>
                <w:sz w:val="18"/>
                <w:szCs w:val="18"/>
              </w:rPr>
            </w:pPr>
            <w:r>
              <w:rPr>
                <w:rStyle w:val="63"/>
                <w:rFonts w:ascii="宋体" w:hAnsi="宋体"/>
                <w:sz w:val="18"/>
                <w:szCs w:val="18"/>
              </w:rPr>
              <w:t>Y≥10000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24F4DF0C">
            <w:pPr>
              <w:snapToGrid w:val="0"/>
              <w:textAlignment w:val="baseline"/>
              <w:rPr>
                <w:rStyle w:val="63"/>
                <w:rFonts w:ascii="宋体" w:hAnsi="宋体"/>
                <w:sz w:val="18"/>
                <w:szCs w:val="18"/>
              </w:rPr>
            </w:pPr>
            <w:r>
              <w:rPr>
                <w:rStyle w:val="63"/>
                <w:rFonts w:ascii="宋体" w:hAnsi="宋体"/>
                <w:sz w:val="18"/>
                <w:szCs w:val="18"/>
              </w:rPr>
              <w:t>2000≤Y＜10000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0B684DD3">
            <w:pPr>
              <w:snapToGrid w:val="0"/>
              <w:textAlignment w:val="baseline"/>
              <w:rPr>
                <w:rStyle w:val="63"/>
                <w:rFonts w:ascii="宋体" w:hAnsi="宋体"/>
                <w:sz w:val="18"/>
                <w:szCs w:val="18"/>
              </w:rPr>
            </w:pPr>
            <w:r>
              <w:rPr>
                <w:rStyle w:val="63"/>
                <w:rFonts w:ascii="宋体" w:hAnsi="宋体"/>
                <w:sz w:val="18"/>
                <w:szCs w:val="18"/>
              </w:rPr>
              <w:t xml:space="preserve"> 100≤Y＜2000</w:t>
            </w:r>
          </w:p>
        </w:tc>
        <w:tc>
          <w:tcPr>
            <w:tcW w:w="525" w:type="pct"/>
            <w:tcBorders>
              <w:top w:val="single" w:color="000000" w:sz="4" w:space="0"/>
              <w:left w:val="single" w:color="000000" w:sz="4" w:space="0"/>
              <w:bottom w:val="single" w:color="000000" w:sz="4" w:space="0"/>
              <w:right w:val="single" w:color="000000" w:sz="4" w:space="0"/>
            </w:tcBorders>
            <w:vAlign w:val="center"/>
          </w:tcPr>
          <w:p w14:paraId="5421B43A">
            <w:pPr>
              <w:snapToGrid w:val="0"/>
              <w:textAlignment w:val="baseline"/>
              <w:rPr>
                <w:rStyle w:val="63"/>
                <w:rFonts w:ascii="宋体" w:hAnsi="宋体"/>
                <w:sz w:val="18"/>
                <w:szCs w:val="18"/>
              </w:rPr>
            </w:pPr>
            <w:r>
              <w:rPr>
                <w:rStyle w:val="63"/>
                <w:rFonts w:ascii="宋体" w:hAnsi="宋体"/>
                <w:sz w:val="18"/>
                <w:szCs w:val="18"/>
              </w:rPr>
              <w:t>Y＜100</w:t>
            </w:r>
          </w:p>
        </w:tc>
      </w:tr>
      <w:tr w14:paraId="66F2F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4D2A194A">
            <w:pPr>
              <w:snapToGrid w:val="0"/>
              <w:spacing w:line="240" w:lineRule="exact"/>
              <w:textAlignment w:val="baseline"/>
              <w:rPr>
                <w:rStyle w:val="63"/>
                <w:rFonts w:ascii="宋体" w:hAnsi="宋体"/>
                <w:sz w:val="18"/>
                <w:szCs w:val="18"/>
              </w:rPr>
            </w:pPr>
            <w:r>
              <w:rPr>
                <w:rStyle w:val="63"/>
                <w:rFonts w:ascii="宋体" w:hAnsi="宋体"/>
                <w:sz w:val="18"/>
                <w:szCs w:val="18"/>
              </w:rPr>
              <w:t>餐饮业</w:t>
            </w:r>
          </w:p>
        </w:tc>
        <w:tc>
          <w:tcPr>
            <w:tcW w:w="725" w:type="pct"/>
            <w:tcBorders>
              <w:top w:val="single" w:color="000000" w:sz="4" w:space="0"/>
              <w:left w:val="single" w:color="000000" w:sz="4" w:space="0"/>
              <w:bottom w:val="single" w:color="000000" w:sz="4" w:space="0"/>
              <w:right w:val="single" w:color="000000" w:sz="4" w:space="0"/>
            </w:tcBorders>
            <w:vAlign w:val="center"/>
          </w:tcPr>
          <w:p w14:paraId="7592E594">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6B74F43C">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1FA15FB9">
            <w:pPr>
              <w:snapToGrid w:val="0"/>
              <w:textAlignment w:val="baseline"/>
              <w:rPr>
                <w:rStyle w:val="63"/>
                <w:rFonts w:ascii="宋体" w:hAnsi="宋体"/>
                <w:sz w:val="18"/>
                <w:szCs w:val="18"/>
              </w:rPr>
            </w:pPr>
            <w:r>
              <w:rPr>
                <w:rStyle w:val="63"/>
                <w:rFonts w:ascii="宋体" w:hAnsi="宋体"/>
                <w:sz w:val="18"/>
                <w:szCs w:val="18"/>
              </w:rPr>
              <w:t>X≥300</w:t>
            </w:r>
          </w:p>
        </w:tc>
        <w:tc>
          <w:tcPr>
            <w:tcW w:w="901" w:type="pct"/>
            <w:tcBorders>
              <w:top w:val="single" w:color="000000" w:sz="4" w:space="0"/>
              <w:left w:val="single" w:color="000000" w:sz="4" w:space="0"/>
              <w:bottom w:val="single" w:color="000000" w:sz="4" w:space="0"/>
              <w:right w:val="single" w:color="000000" w:sz="4" w:space="0"/>
            </w:tcBorders>
            <w:vAlign w:val="center"/>
          </w:tcPr>
          <w:p w14:paraId="549789F0">
            <w:pPr>
              <w:snapToGrid w:val="0"/>
              <w:ind w:left="1" w:leftChars="-51" w:hanging="108"/>
              <w:textAlignment w:val="baseline"/>
              <w:rPr>
                <w:rStyle w:val="63"/>
                <w:rFonts w:ascii="宋体" w:hAnsi="宋体"/>
                <w:sz w:val="18"/>
                <w:szCs w:val="18"/>
              </w:rPr>
            </w:pPr>
            <w:r>
              <w:rPr>
                <w:rStyle w:val="63"/>
                <w:rFonts w:ascii="宋体" w:hAnsi="宋体"/>
                <w:sz w:val="18"/>
                <w:szCs w:val="18"/>
              </w:rPr>
              <w:t xml:space="preserve">100≤X＜300 </w:t>
            </w:r>
          </w:p>
        </w:tc>
        <w:tc>
          <w:tcPr>
            <w:tcW w:w="755" w:type="pct"/>
            <w:tcBorders>
              <w:top w:val="single" w:color="000000" w:sz="4" w:space="0"/>
              <w:left w:val="single" w:color="000000" w:sz="4" w:space="0"/>
              <w:bottom w:val="single" w:color="000000" w:sz="4" w:space="0"/>
              <w:right w:val="single" w:color="000000" w:sz="4" w:space="0"/>
            </w:tcBorders>
            <w:vAlign w:val="center"/>
          </w:tcPr>
          <w:p w14:paraId="6E8C16AB">
            <w:pPr>
              <w:snapToGrid w:val="0"/>
              <w:textAlignment w:val="baseline"/>
              <w:rPr>
                <w:rStyle w:val="63"/>
                <w:rFonts w:ascii="宋体" w:hAnsi="宋体"/>
                <w:sz w:val="18"/>
                <w:szCs w:val="18"/>
              </w:rPr>
            </w:pPr>
            <w:r>
              <w:rPr>
                <w:rStyle w:val="63"/>
                <w:rFonts w:ascii="宋体" w:hAnsi="宋体"/>
                <w:sz w:val="18"/>
                <w:szCs w:val="18"/>
              </w:rPr>
              <w:t xml:space="preserve"> 10≤X＜100</w:t>
            </w:r>
          </w:p>
        </w:tc>
        <w:tc>
          <w:tcPr>
            <w:tcW w:w="525" w:type="pct"/>
            <w:tcBorders>
              <w:top w:val="single" w:color="000000" w:sz="4" w:space="0"/>
              <w:left w:val="single" w:color="000000" w:sz="4" w:space="0"/>
              <w:bottom w:val="single" w:color="000000" w:sz="4" w:space="0"/>
              <w:right w:val="single" w:color="000000" w:sz="4" w:space="0"/>
            </w:tcBorders>
            <w:vAlign w:val="center"/>
          </w:tcPr>
          <w:p w14:paraId="3E11E979">
            <w:pPr>
              <w:snapToGrid w:val="0"/>
              <w:textAlignment w:val="baseline"/>
              <w:rPr>
                <w:rStyle w:val="63"/>
                <w:rFonts w:ascii="宋体" w:hAnsi="宋体"/>
                <w:sz w:val="18"/>
                <w:szCs w:val="18"/>
              </w:rPr>
            </w:pPr>
            <w:r>
              <w:rPr>
                <w:rStyle w:val="63"/>
                <w:rFonts w:ascii="宋体" w:hAnsi="宋体"/>
                <w:sz w:val="18"/>
                <w:szCs w:val="18"/>
              </w:rPr>
              <w:t>X＜10</w:t>
            </w:r>
          </w:p>
        </w:tc>
      </w:tr>
      <w:tr w14:paraId="5A1BA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24FAB6EC">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0E98BCA3">
            <w:pPr>
              <w:snapToGrid w:val="0"/>
              <w:spacing w:line="240" w:lineRule="exact"/>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731C6252">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0894C054">
            <w:pPr>
              <w:snapToGrid w:val="0"/>
              <w:textAlignment w:val="baseline"/>
              <w:rPr>
                <w:rStyle w:val="63"/>
                <w:rFonts w:ascii="宋体" w:hAnsi="宋体"/>
                <w:sz w:val="18"/>
                <w:szCs w:val="18"/>
              </w:rPr>
            </w:pPr>
            <w:r>
              <w:rPr>
                <w:rStyle w:val="63"/>
                <w:rFonts w:ascii="宋体" w:hAnsi="宋体"/>
                <w:sz w:val="18"/>
                <w:szCs w:val="18"/>
              </w:rPr>
              <w:t>Y≥10000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1DCCCAB5">
            <w:pPr>
              <w:snapToGrid w:val="0"/>
              <w:textAlignment w:val="baseline"/>
              <w:rPr>
                <w:rStyle w:val="63"/>
                <w:rFonts w:ascii="宋体" w:hAnsi="宋体"/>
                <w:sz w:val="18"/>
                <w:szCs w:val="18"/>
              </w:rPr>
            </w:pPr>
            <w:r>
              <w:rPr>
                <w:rStyle w:val="63"/>
                <w:rFonts w:ascii="宋体" w:hAnsi="宋体"/>
                <w:sz w:val="18"/>
                <w:szCs w:val="18"/>
              </w:rPr>
              <w:t>2000≤Y＜10000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547D7BA7">
            <w:pPr>
              <w:snapToGrid w:val="0"/>
              <w:textAlignment w:val="baseline"/>
              <w:rPr>
                <w:rStyle w:val="63"/>
                <w:rFonts w:ascii="宋体" w:hAnsi="宋体"/>
                <w:sz w:val="18"/>
                <w:szCs w:val="18"/>
              </w:rPr>
            </w:pPr>
            <w:r>
              <w:rPr>
                <w:rStyle w:val="63"/>
                <w:rFonts w:ascii="宋体" w:hAnsi="宋体"/>
                <w:sz w:val="18"/>
                <w:szCs w:val="18"/>
              </w:rPr>
              <w:t xml:space="preserve"> 100≤Y＜2000</w:t>
            </w:r>
          </w:p>
        </w:tc>
        <w:tc>
          <w:tcPr>
            <w:tcW w:w="525" w:type="pct"/>
            <w:tcBorders>
              <w:top w:val="single" w:color="000000" w:sz="4" w:space="0"/>
              <w:left w:val="single" w:color="000000" w:sz="4" w:space="0"/>
              <w:bottom w:val="single" w:color="000000" w:sz="4" w:space="0"/>
              <w:right w:val="single" w:color="000000" w:sz="4" w:space="0"/>
            </w:tcBorders>
            <w:vAlign w:val="center"/>
          </w:tcPr>
          <w:p w14:paraId="0D912854">
            <w:pPr>
              <w:snapToGrid w:val="0"/>
              <w:textAlignment w:val="baseline"/>
              <w:rPr>
                <w:rStyle w:val="63"/>
                <w:rFonts w:ascii="宋体" w:hAnsi="宋体"/>
                <w:sz w:val="18"/>
                <w:szCs w:val="18"/>
              </w:rPr>
            </w:pPr>
            <w:r>
              <w:rPr>
                <w:rStyle w:val="63"/>
                <w:rFonts w:ascii="宋体" w:hAnsi="宋体"/>
                <w:sz w:val="18"/>
                <w:szCs w:val="18"/>
              </w:rPr>
              <w:t>Y＜100</w:t>
            </w:r>
          </w:p>
        </w:tc>
      </w:tr>
      <w:tr w14:paraId="44A22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64A2D49B">
            <w:pPr>
              <w:snapToGrid w:val="0"/>
              <w:spacing w:line="240" w:lineRule="exact"/>
              <w:textAlignment w:val="baseline"/>
              <w:rPr>
                <w:rStyle w:val="63"/>
                <w:rFonts w:ascii="宋体" w:hAnsi="宋体"/>
                <w:sz w:val="18"/>
                <w:szCs w:val="18"/>
              </w:rPr>
            </w:pPr>
            <w:r>
              <w:rPr>
                <w:rStyle w:val="63"/>
                <w:rFonts w:ascii="宋体" w:hAnsi="宋体"/>
                <w:sz w:val="18"/>
                <w:szCs w:val="18"/>
              </w:rPr>
              <w:t>信息传输业*</w:t>
            </w:r>
          </w:p>
        </w:tc>
        <w:tc>
          <w:tcPr>
            <w:tcW w:w="725" w:type="pct"/>
            <w:tcBorders>
              <w:top w:val="single" w:color="000000" w:sz="4" w:space="0"/>
              <w:left w:val="single" w:color="000000" w:sz="4" w:space="0"/>
              <w:bottom w:val="single" w:color="000000" w:sz="4" w:space="0"/>
              <w:right w:val="single" w:color="000000" w:sz="4" w:space="0"/>
            </w:tcBorders>
            <w:vAlign w:val="center"/>
          </w:tcPr>
          <w:p w14:paraId="065D98C9">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4F8825BD">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18E467D3">
            <w:pPr>
              <w:snapToGrid w:val="0"/>
              <w:textAlignment w:val="baseline"/>
              <w:rPr>
                <w:rStyle w:val="63"/>
                <w:rFonts w:ascii="宋体" w:hAnsi="宋体"/>
                <w:sz w:val="18"/>
                <w:szCs w:val="18"/>
              </w:rPr>
            </w:pPr>
            <w:r>
              <w:rPr>
                <w:rStyle w:val="63"/>
                <w:rFonts w:ascii="宋体" w:hAnsi="宋体"/>
                <w:sz w:val="18"/>
                <w:szCs w:val="18"/>
              </w:rPr>
              <w:t>X≥2000</w:t>
            </w:r>
          </w:p>
        </w:tc>
        <w:tc>
          <w:tcPr>
            <w:tcW w:w="901" w:type="pct"/>
            <w:tcBorders>
              <w:top w:val="single" w:color="000000" w:sz="4" w:space="0"/>
              <w:left w:val="single" w:color="000000" w:sz="4" w:space="0"/>
              <w:bottom w:val="single" w:color="000000" w:sz="4" w:space="0"/>
              <w:right w:val="single" w:color="000000" w:sz="4" w:space="0"/>
            </w:tcBorders>
            <w:vAlign w:val="center"/>
          </w:tcPr>
          <w:p w14:paraId="19764B6E">
            <w:pPr>
              <w:snapToGrid w:val="0"/>
              <w:textAlignment w:val="baseline"/>
              <w:rPr>
                <w:rStyle w:val="63"/>
                <w:rFonts w:ascii="宋体" w:hAnsi="宋体"/>
                <w:sz w:val="18"/>
                <w:szCs w:val="18"/>
              </w:rPr>
            </w:pPr>
            <w:r>
              <w:rPr>
                <w:rStyle w:val="63"/>
                <w:rFonts w:ascii="宋体" w:hAnsi="宋体"/>
                <w:sz w:val="18"/>
                <w:szCs w:val="18"/>
              </w:rPr>
              <w:t>100≤X＜2000</w:t>
            </w:r>
          </w:p>
        </w:tc>
        <w:tc>
          <w:tcPr>
            <w:tcW w:w="755" w:type="pct"/>
            <w:tcBorders>
              <w:top w:val="single" w:color="000000" w:sz="4" w:space="0"/>
              <w:left w:val="single" w:color="000000" w:sz="4" w:space="0"/>
              <w:bottom w:val="single" w:color="000000" w:sz="4" w:space="0"/>
              <w:right w:val="single" w:color="000000" w:sz="4" w:space="0"/>
            </w:tcBorders>
            <w:vAlign w:val="center"/>
          </w:tcPr>
          <w:p w14:paraId="2D53667B">
            <w:pPr>
              <w:snapToGrid w:val="0"/>
              <w:textAlignment w:val="baseline"/>
              <w:rPr>
                <w:rStyle w:val="63"/>
                <w:rFonts w:ascii="宋体" w:hAnsi="宋体"/>
                <w:sz w:val="18"/>
                <w:szCs w:val="18"/>
              </w:rPr>
            </w:pPr>
            <w:r>
              <w:rPr>
                <w:rStyle w:val="63"/>
                <w:rFonts w:ascii="宋体" w:hAnsi="宋体"/>
                <w:sz w:val="18"/>
                <w:szCs w:val="18"/>
              </w:rPr>
              <w:t xml:space="preserve"> 10≤X＜100</w:t>
            </w:r>
          </w:p>
        </w:tc>
        <w:tc>
          <w:tcPr>
            <w:tcW w:w="525" w:type="pct"/>
            <w:tcBorders>
              <w:top w:val="single" w:color="000000" w:sz="4" w:space="0"/>
              <w:left w:val="single" w:color="000000" w:sz="4" w:space="0"/>
              <w:bottom w:val="single" w:color="000000" w:sz="4" w:space="0"/>
              <w:right w:val="single" w:color="000000" w:sz="4" w:space="0"/>
            </w:tcBorders>
            <w:vAlign w:val="center"/>
          </w:tcPr>
          <w:p w14:paraId="22FFA04F">
            <w:pPr>
              <w:snapToGrid w:val="0"/>
              <w:textAlignment w:val="baseline"/>
              <w:rPr>
                <w:rStyle w:val="63"/>
                <w:rFonts w:ascii="宋体" w:hAnsi="宋体"/>
                <w:sz w:val="18"/>
                <w:szCs w:val="18"/>
              </w:rPr>
            </w:pPr>
            <w:r>
              <w:rPr>
                <w:rStyle w:val="63"/>
                <w:rFonts w:ascii="宋体" w:hAnsi="宋体"/>
                <w:sz w:val="18"/>
                <w:szCs w:val="18"/>
              </w:rPr>
              <w:t>X＜10</w:t>
            </w:r>
          </w:p>
        </w:tc>
      </w:tr>
      <w:tr w14:paraId="2DC47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2548F111">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7C68FF61">
            <w:pPr>
              <w:snapToGrid w:val="0"/>
              <w:spacing w:line="240" w:lineRule="exact"/>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338B5DFC">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0B4A1BA8">
            <w:pPr>
              <w:snapToGrid w:val="0"/>
              <w:textAlignment w:val="baseline"/>
              <w:rPr>
                <w:rStyle w:val="63"/>
                <w:rFonts w:ascii="宋体" w:hAnsi="宋体"/>
                <w:sz w:val="18"/>
                <w:szCs w:val="18"/>
              </w:rPr>
            </w:pPr>
            <w:r>
              <w:rPr>
                <w:rStyle w:val="63"/>
                <w:rFonts w:ascii="宋体" w:hAnsi="宋体"/>
                <w:sz w:val="18"/>
                <w:szCs w:val="18"/>
              </w:rPr>
              <w:t>Y≥100000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68D72E23">
            <w:pPr>
              <w:snapToGrid w:val="0"/>
              <w:textAlignment w:val="baseline"/>
              <w:rPr>
                <w:rStyle w:val="63"/>
                <w:rFonts w:ascii="宋体" w:hAnsi="宋体"/>
                <w:sz w:val="18"/>
                <w:szCs w:val="18"/>
              </w:rPr>
            </w:pPr>
            <w:r>
              <w:rPr>
                <w:rStyle w:val="63"/>
                <w:rFonts w:ascii="宋体" w:hAnsi="宋体"/>
                <w:sz w:val="18"/>
                <w:szCs w:val="18"/>
              </w:rPr>
              <w:t xml:space="preserve"> 1000≤Y＜100000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162697E3">
            <w:pPr>
              <w:snapToGrid w:val="0"/>
              <w:textAlignment w:val="baseline"/>
              <w:rPr>
                <w:rStyle w:val="63"/>
                <w:rFonts w:ascii="宋体" w:hAnsi="宋体"/>
                <w:sz w:val="18"/>
                <w:szCs w:val="18"/>
              </w:rPr>
            </w:pPr>
            <w:r>
              <w:rPr>
                <w:rStyle w:val="63"/>
                <w:rFonts w:ascii="宋体" w:hAnsi="宋体"/>
                <w:sz w:val="18"/>
                <w:szCs w:val="18"/>
              </w:rPr>
              <w:t xml:space="preserve"> 100≤Y＜1000</w:t>
            </w:r>
          </w:p>
        </w:tc>
        <w:tc>
          <w:tcPr>
            <w:tcW w:w="525" w:type="pct"/>
            <w:tcBorders>
              <w:top w:val="single" w:color="000000" w:sz="4" w:space="0"/>
              <w:left w:val="single" w:color="000000" w:sz="4" w:space="0"/>
              <w:bottom w:val="single" w:color="000000" w:sz="4" w:space="0"/>
              <w:right w:val="single" w:color="000000" w:sz="4" w:space="0"/>
            </w:tcBorders>
            <w:vAlign w:val="center"/>
          </w:tcPr>
          <w:p w14:paraId="3AE6A260">
            <w:pPr>
              <w:snapToGrid w:val="0"/>
              <w:textAlignment w:val="baseline"/>
              <w:rPr>
                <w:rStyle w:val="63"/>
                <w:rFonts w:ascii="宋体" w:hAnsi="宋体"/>
                <w:sz w:val="18"/>
                <w:szCs w:val="18"/>
              </w:rPr>
            </w:pPr>
            <w:r>
              <w:rPr>
                <w:rStyle w:val="63"/>
                <w:rFonts w:ascii="宋体" w:hAnsi="宋体"/>
                <w:sz w:val="18"/>
                <w:szCs w:val="18"/>
              </w:rPr>
              <w:t>Y＜100</w:t>
            </w:r>
          </w:p>
        </w:tc>
      </w:tr>
      <w:tr w14:paraId="5BB9D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5C0CD4BC">
            <w:pPr>
              <w:snapToGrid w:val="0"/>
              <w:spacing w:line="240" w:lineRule="exact"/>
              <w:textAlignment w:val="baseline"/>
              <w:rPr>
                <w:rStyle w:val="63"/>
                <w:rFonts w:ascii="宋体" w:hAnsi="宋体"/>
                <w:spacing w:val="-12"/>
                <w:sz w:val="18"/>
                <w:szCs w:val="18"/>
              </w:rPr>
            </w:pPr>
            <w:r>
              <w:rPr>
                <w:rStyle w:val="63"/>
                <w:rFonts w:ascii="宋体" w:hAnsi="宋体"/>
                <w:spacing w:val="-12"/>
                <w:sz w:val="18"/>
                <w:szCs w:val="18"/>
              </w:rPr>
              <w:t>软件和信息技术服</w:t>
            </w:r>
            <w:r>
              <w:rPr>
                <w:rStyle w:val="63"/>
                <w:rFonts w:ascii="宋体" w:hAnsi="宋体"/>
                <w:sz w:val="18"/>
                <w:szCs w:val="18"/>
              </w:rPr>
              <w:t>务业</w:t>
            </w:r>
          </w:p>
        </w:tc>
        <w:tc>
          <w:tcPr>
            <w:tcW w:w="725" w:type="pct"/>
            <w:tcBorders>
              <w:top w:val="single" w:color="000000" w:sz="4" w:space="0"/>
              <w:left w:val="single" w:color="000000" w:sz="4" w:space="0"/>
              <w:bottom w:val="single" w:color="000000" w:sz="4" w:space="0"/>
              <w:right w:val="single" w:color="000000" w:sz="4" w:space="0"/>
            </w:tcBorders>
            <w:vAlign w:val="center"/>
          </w:tcPr>
          <w:p w14:paraId="517D1EEC">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09EC5EC6">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0AD35904">
            <w:pPr>
              <w:snapToGrid w:val="0"/>
              <w:textAlignment w:val="baseline"/>
              <w:rPr>
                <w:rStyle w:val="63"/>
                <w:rFonts w:ascii="宋体" w:hAnsi="宋体"/>
                <w:sz w:val="18"/>
                <w:szCs w:val="18"/>
              </w:rPr>
            </w:pPr>
            <w:r>
              <w:rPr>
                <w:rStyle w:val="63"/>
                <w:rFonts w:ascii="宋体" w:hAnsi="宋体"/>
                <w:sz w:val="18"/>
                <w:szCs w:val="18"/>
              </w:rPr>
              <w:t>X≥300</w:t>
            </w:r>
          </w:p>
        </w:tc>
        <w:tc>
          <w:tcPr>
            <w:tcW w:w="901" w:type="pct"/>
            <w:tcBorders>
              <w:top w:val="single" w:color="000000" w:sz="4" w:space="0"/>
              <w:left w:val="single" w:color="000000" w:sz="4" w:space="0"/>
              <w:bottom w:val="single" w:color="000000" w:sz="4" w:space="0"/>
              <w:right w:val="single" w:color="000000" w:sz="4" w:space="0"/>
            </w:tcBorders>
            <w:vAlign w:val="center"/>
          </w:tcPr>
          <w:p w14:paraId="0000B76B">
            <w:pPr>
              <w:snapToGrid w:val="0"/>
              <w:ind w:left="1" w:leftChars="-51" w:hanging="108"/>
              <w:textAlignment w:val="baseline"/>
              <w:rPr>
                <w:rStyle w:val="63"/>
                <w:rFonts w:ascii="宋体" w:hAnsi="宋体"/>
                <w:sz w:val="18"/>
                <w:szCs w:val="18"/>
              </w:rPr>
            </w:pPr>
            <w:r>
              <w:rPr>
                <w:rStyle w:val="63"/>
                <w:rFonts w:ascii="宋体" w:hAnsi="宋体"/>
                <w:sz w:val="18"/>
                <w:szCs w:val="18"/>
              </w:rPr>
              <w:t xml:space="preserve">100≤X＜300 </w:t>
            </w:r>
          </w:p>
        </w:tc>
        <w:tc>
          <w:tcPr>
            <w:tcW w:w="755" w:type="pct"/>
            <w:tcBorders>
              <w:top w:val="single" w:color="000000" w:sz="4" w:space="0"/>
              <w:left w:val="single" w:color="000000" w:sz="4" w:space="0"/>
              <w:bottom w:val="single" w:color="000000" w:sz="4" w:space="0"/>
              <w:right w:val="single" w:color="000000" w:sz="4" w:space="0"/>
            </w:tcBorders>
            <w:vAlign w:val="center"/>
          </w:tcPr>
          <w:p w14:paraId="0DF6772F">
            <w:pPr>
              <w:snapToGrid w:val="0"/>
              <w:textAlignment w:val="baseline"/>
              <w:rPr>
                <w:rStyle w:val="63"/>
                <w:rFonts w:ascii="宋体" w:hAnsi="宋体"/>
                <w:sz w:val="18"/>
                <w:szCs w:val="18"/>
              </w:rPr>
            </w:pPr>
            <w:r>
              <w:rPr>
                <w:rStyle w:val="63"/>
                <w:rFonts w:ascii="宋体" w:hAnsi="宋体"/>
                <w:sz w:val="18"/>
                <w:szCs w:val="18"/>
              </w:rPr>
              <w:t xml:space="preserve"> 10≤X＜100</w:t>
            </w:r>
          </w:p>
        </w:tc>
        <w:tc>
          <w:tcPr>
            <w:tcW w:w="525" w:type="pct"/>
            <w:tcBorders>
              <w:top w:val="single" w:color="000000" w:sz="4" w:space="0"/>
              <w:left w:val="single" w:color="000000" w:sz="4" w:space="0"/>
              <w:bottom w:val="single" w:color="000000" w:sz="4" w:space="0"/>
              <w:right w:val="single" w:color="000000" w:sz="4" w:space="0"/>
            </w:tcBorders>
            <w:vAlign w:val="center"/>
          </w:tcPr>
          <w:p w14:paraId="18F4036A">
            <w:pPr>
              <w:snapToGrid w:val="0"/>
              <w:textAlignment w:val="baseline"/>
              <w:rPr>
                <w:rStyle w:val="63"/>
                <w:rFonts w:ascii="宋体" w:hAnsi="宋体"/>
                <w:sz w:val="18"/>
                <w:szCs w:val="18"/>
              </w:rPr>
            </w:pPr>
            <w:r>
              <w:rPr>
                <w:rStyle w:val="63"/>
                <w:rFonts w:ascii="宋体" w:hAnsi="宋体"/>
                <w:sz w:val="18"/>
                <w:szCs w:val="18"/>
              </w:rPr>
              <w:t>X＜10</w:t>
            </w:r>
          </w:p>
        </w:tc>
      </w:tr>
      <w:tr w14:paraId="41C62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2A95D3BA">
            <w:pPr>
              <w:snapToGrid w:val="0"/>
              <w:textAlignment w:val="baseline"/>
              <w:rPr>
                <w:rStyle w:val="63"/>
                <w:rFonts w:ascii="宋体" w:hAnsi="宋体"/>
                <w:spacing w:val="-12"/>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2CDD057D">
            <w:pPr>
              <w:snapToGrid w:val="0"/>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70A2863B">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356FDB4B">
            <w:pPr>
              <w:snapToGrid w:val="0"/>
              <w:textAlignment w:val="baseline"/>
              <w:rPr>
                <w:rStyle w:val="63"/>
                <w:rFonts w:ascii="宋体" w:hAnsi="宋体"/>
                <w:sz w:val="18"/>
                <w:szCs w:val="18"/>
              </w:rPr>
            </w:pPr>
            <w:r>
              <w:rPr>
                <w:rStyle w:val="63"/>
                <w:rFonts w:ascii="宋体" w:hAnsi="宋体"/>
                <w:sz w:val="18"/>
                <w:szCs w:val="18"/>
              </w:rPr>
              <w:t>Y≥10000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5E593FAF">
            <w:pPr>
              <w:snapToGrid w:val="0"/>
              <w:textAlignment w:val="baseline"/>
              <w:rPr>
                <w:rStyle w:val="63"/>
                <w:rFonts w:ascii="宋体" w:hAnsi="宋体"/>
                <w:sz w:val="18"/>
                <w:szCs w:val="18"/>
              </w:rPr>
            </w:pPr>
            <w:r>
              <w:rPr>
                <w:rStyle w:val="63"/>
                <w:rFonts w:ascii="宋体" w:hAnsi="宋体"/>
                <w:sz w:val="18"/>
                <w:szCs w:val="18"/>
              </w:rPr>
              <w:t>1000≤Y＜10000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339C7D64">
            <w:pPr>
              <w:snapToGrid w:val="0"/>
              <w:textAlignment w:val="baseline"/>
              <w:rPr>
                <w:rStyle w:val="63"/>
                <w:rFonts w:ascii="宋体" w:hAnsi="宋体"/>
                <w:sz w:val="18"/>
                <w:szCs w:val="18"/>
              </w:rPr>
            </w:pPr>
            <w:r>
              <w:rPr>
                <w:rStyle w:val="63"/>
                <w:rFonts w:ascii="宋体" w:hAnsi="宋体"/>
                <w:sz w:val="18"/>
                <w:szCs w:val="18"/>
              </w:rPr>
              <w:t xml:space="preserve">  50≤Y＜1000</w:t>
            </w:r>
          </w:p>
        </w:tc>
        <w:tc>
          <w:tcPr>
            <w:tcW w:w="525" w:type="pct"/>
            <w:tcBorders>
              <w:top w:val="single" w:color="000000" w:sz="4" w:space="0"/>
              <w:left w:val="single" w:color="000000" w:sz="4" w:space="0"/>
              <w:bottom w:val="single" w:color="000000" w:sz="4" w:space="0"/>
              <w:right w:val="single" w:color="000000" w:sz="4" w:space="0"/>
            </w:tcBorders>
            <w:vAlign w:val="center"/>
          </w:tcPr>
          <w:p w14:paraId="639A7187">
            <w:pPr>
              <w:snapToGrid w:val="0"/>
              <w:textAlignment w:val="baseline"/>
              <w:rPr>
                <w:rStyle w:val="63"/>
                <w:rFonts w:ascii="宋体" w:hAnsi="宋体"/>
                <w:sz w:val="18"/>
                <w:szCs w:val="18"/>
              </w:rPr>
            </w:pPr>
            <w:r>
              <w:rPr>
                <w:rStyle w:val="63"/>
                <w:rFonts w:ascii="宋体" w:hAnsi="宋体"/>
                <w:sz w:val="18"/>
                <w:szCs w:val="18"/>
              </w:rPr>
              <w:t>Y＜50</w:t>
            </w:r>
          </w:p>
        </w:tc>
      </w:tr>
      <w:tr w14:paraId="2A70D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34E2722C">
            <w:pPr>
              <w:snapToGrid w:val="0"/>
              <w:spacing w:line="240" w:lineRule="exact"/>
              <w:textAlignment w:val="baseline"/>
              <w:rPr>
                <w:rStyle w:val="63"/>
                <w:rFonts w:ascii="宋体" w:hAnsi="宋体"/>
                <w:sz w:val="18"/>
                <w:szCs w:val="18"/>
              </w:rPr>
            </w:pPr>
            <w:r>
              <w:rPr>
                <w:rStyle w:val="63"/>
                <w:rFonts w:ascii="宋体" w:hAnsi="宋体"/>
                <w:sz w:val="18"/>
                <w:szCs w:val="18"/>
              </w:rPr>
              <w:t>房地产开发经营</w:t>
            </w:r>
          </w:p>
        </w:tc>
        <w:tc>
          <w:tcPr>
            <w:tcW w:w="725" w:type="pct"/>
            <w:tcBorders>
              <w:top w:val="single" w:color="000000" w:sz="4" w:space="0"/>
              <w:left w:val="single" w:color="000000" w:sz="4" w:space="0"/>
              <w:bottom w:val="single" w:color="000000" w:sz="4" w:space="0"/>
              <w:right w:val="single" w:color="000000" w:sz="4" w:space="0"/>
            </w:tcBorders>
            <w:vAlign w:val="center"/>
          </w:tcPr>
          <w:p w14:paraId="2054B91E">
            <w:pPr>
              <w:snapToGrid w:val="0"/>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1196B024">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33B9AB7B">
            <w:pPr>
              <w:snapToGrid w:val="0"/>
              <w:textAlignment w:val="baseline"/>
              <w:rPr>
                <w:rStyle w:val="63"/>
                <w:rFonts w:ascii="宋体" w:hAnsi="宋体"/>
                <w:sz w:val="18"/>
                <w:szCs w:val="18"/>
              </w:rPr>
            </w:pPr>
            <w:r>
              <w:rPr>
                <w:rStyle w:val="63"/>
                <w:rFonts w:ascii="宋体" w:hAnsi="宋体"/>
                <w:sz w:val="18"/>
                <w:szCs w:val="18"/>
              </w:rPr>
              <w:t>Y≥200000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62897EFD">
            <w:pPr>
              <w:snapToGrid w:val="0"/>
              <w:textAlignment w:val="baseline"/>
              <w:rPr>
                <w:rStyle w:val="63"/>
                <w:rFonts w:ascii="宋体" w:hAnsi="宋体"/>
                <w:sz w:val="18"/>
                <w:szCs w:val="18"/>
              </w:rPr>
            </w:pPr>
            <w:r>
              <w:rPr>
                <w:rStyle w:val="63"/>
                <w:rFonts w:ascii="宋体" w:hAnsi="宋体"/>
                <w:sz w:val="18"/>
                <w:szCs w:val="18"/>
              </w:rPr>
              <w:t xml:space="preserve"> 1000≤Y＜200000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1B6D2E26">
            <w:pPr>
              <w:snapToGrid w:val="0"/>
              <w:textAlignment w:val="baseline"/>
              <w:rPr>
                <w:rStyle w:val="63"/>
                <w:rFonts w:ascii="宋体" w:hAnsi="宋体"/>
                <w:sz w:val="18"/>
                <w:szCs w:val="18"/>
              </w:rPr>
            </w:pPr>
            <w:r>
              <w:rPr>
                <w:rStyle w:val="63"/>
                <w:rFonts w:ascii="宋体" w:hAnsi="宋体"/>
                <w:sz w:val="18"/>
                <w:szCs w:val="18"/>
              </w:rPr>
              <w:t xml:space="preserve"> 100≤Y＜1000</w:t>
            </w:r>
          </w:p>
        </w:tc>
        <w:tc>
          <w:tcPr>
            <w:tcW w:w="525" w:type="pct"/>
            <w:tcBorders>
              <w:top w:val="single" w:color="000000" w:sz="4" w:space="0"/>
              <w:left w:val="single" w:color="000000" w:sz="4" w:space="0"/>
              <w:bottom w:val="single" w:color="000000" w:sz="4" w:space="0"/>
              <w:right w:val="single" w:color="000000" w:sz="4" w:space="0"/>
            </w:tcBorders>
            <w:vAlign w:val="center"/>
          </w:tcPr>
          <w:p w14:paraId="620438A9">
            <w:pPr>
              <w:snapToGrid w:val="0"/>
              <w:textAlignment w:val="baseline"/>
              <w:rPr>
                <w:rStyle w:val="63"/>
                <w:rFonts w:ascii="宋体" w:hAnsi="宋体"/>
                <w:sz w:val="18"/>
                <w:szCs w:val="18"/>
              </w:rPr>
            </w:pPr>
            <w:r>
              <w:rPr>
                <w:rStyle w:val="63"/>
                <w:rFonts w:ascii="宋体" w:hAnsi="宋体"/>
                <w:sz w:val="18"/>
                <w:szCs w:val="18"/>
              </w:rPr>
              <w:t>Y＜100</w:t>
            </w:r>
          </w:p>
        </w:tc>
      </w:tr>
      <w:tr w14:paraId="5C1A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591AA636">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2BB57F0F">
            <w:pPr>
              <w:snapToGrid w:val="0"/>
              <w:spacing w:line="240" w:lineRule="exact"/>
              <w:textAlignment w:val="baseline"/>
              <w:rPr>
                <w:rStyle w:val="63"/>
                <w:rFonts w:ascii="宋体" w:hAnsi="宋体"/>
                <w:sz w:val="18"/>
                <w:szCs w:val="18"/>
              </w:rPr>
            </w:pPr>
            <w:r>
              <w:rPr>
                <w:rStyle w:val="63"/>
                <w:rFonts w:ascii="宋体" w:hAnsi="宋体"/>
                <w:sz w:val="18"/>
                <w:szCs w:val="18"/>
              </w:rPr>
              <w:t>资产总额(Z)</w:t>
            </w:r>
          </w:p>
        </w:tc>
        <w:tc>
          <w:tcPr>
            <w:tcW w:w="375" w:type="pct"/>
            <w:tcBorders>
              <w:top w:val="single" w:color="000000" w:sz="4" w:space="0"/>
              <w:left w:val="single" w:color="000000" w:sz="4" w:space="0"/>
              <w:bottom w:val="single" w:color="000000" w:sz="4" w:space="0"/>
              <w:right w:val="single" w:color="000000" w:sz="4" w:space="0"/>
            </w:tcBorders>
            <w:vAlign w:val="center"/>
          </w:tcPr>
          <w:p w14:paraId="02F64148">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0A34536D">
            <w:pPr>
              <w:snapToGrid w:val="0"/>
              <w:textAlignment w:val="baseline"/>
              <w:rPr>
                <w:rStyle w:val="63"/>
                <w:rFonts w:ascii="宋体" w:hAnsi="宋体"/>
                <w:sz w:val="18"/>
                <w:szCs w:val="18"/>
              </w:rPr>
            </w:pPr>
            <w:r>
              <w:rPr>
                <w:rStyle w:val="63"/>
                <w:rFonts w:ascii="宋体" w:hAnsi="宋体"/>
                <w:sz w:val="18"/>
                <w:szCs w:val="18"/>
              </w:rPr>
              <w:t>Z≥10000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5CEF5BD5">
            <w:pPr>
              <w:snapToGrid w:val="0"/>
              <w:textAlignment w:val="baseline"/>
              <w:rPr>
                <w:rStyle w:val="63"/>
                <w:rFonts w:ascii="宋体" w:hAnsi="宋体"/>
                <w:sz w:val="18"/>
                <w:szCs w:val="18"/>
              </w:rPr>
            </w:pPr>
            <w:r>
              <w:rPr>
                <w:rStyle w:val="63"/>
                <w:rFonts w:ascii="宋体" w:hAnsi="宋体"/>
                <w:sz w:val="18"/>
                <w:szCs w:val="18"/>
              </w:rPr>
              <w:t>5000≤Z＜10000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64E3CCCF">
            <w:pPr>
              <w:snapToGrid w:val="0"/>
              <w:textAlignment w:val="baseline"/>
              <w:rPr>
                <w:rStyle w:val="63"/>
                <w:rFonts w:ascii="宋体" w:hAnsi="宋体"/>
                <w:sz w:val="18"/>
                <w:szCs w:val="18"/>
              </w:rPr>
            </w:pPr>
            <w:r>
              <w:rPr>
                <w:rStyle w:val="63"/>
                <w:rFonts w:ascii="宋体" w:hAnsi="宋体"/>
                <w:sz w:val="18"/>
                <w:szCs w:val="18"/>
              </w:rPr>
              <w:t xml:space="preserve">2000≤Z＜5000   </w:t>
            </w:r>
          </w:p>
        </w:tc>
        <w:tc>
          <w:tcPr>
            <w:tcW w:w="525" w:type="pct"/>
            <w:tcBorders>
              <w:top w:val="single" w:color="000000" w:sz="4" w:space="0"/>
              <w:left w:val="single" w:color="000000" w:sz="4" w:space="0"/>
              <w:bottom w:val="single" w:color="000000" w:sz="4" w:space="0"/>
              <w:right w:val="single" w:color="000000" w:sz="4" w:space="0"/>
            </w:tcBorders>
            <w:vAlign w:val="center"/>
          </w:tcPr>
          <w:p w14:paraId="2EC1FA24">
            <w:pPr>
              <w:snapToGrid w:val="0"/>
              <w:textAlignment w:val="baseline"/>
              <w:rPr>
                <w:rStyle w:val="63"/>
                <w:rFonts w:ascii="宋体" w:hAnsi="宋体"/>
                <w:sz w:val="18"/>
                <w:szCs w:val="18"/>
              </w:rPr>
            </w:pPr>
            <w:r>
              <w:rPr>
                <w:rStyle w:val="63"/>
                <w:rFonts w:ascii="宋体" w:hAnsi="宋体"/>
                <w:sz w:val="18"/>
                <w:szCs w:val="18"/>
              </w:rPr>
              <w:t>Z＜2000</w:t>
            </w:r>
          </w:p>
        </w:tc>
      </w:tr>
      <w:tr w14:paraId="07FF8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0B741C65">
            <w:pPr>
              <w:snapToGrid w:val="0"/>
              <w:spacing w:line="240" w:lineRule="exact"/>
              <w:textAlignment w:val="baseline"/>
              <w:rPr>
                <w:rStyle w:val="63"/>
                <w:rFonts w:ascii="宋体" w:hAnsi="宋体"/>
                <w:sz w:val="18"/>
                <w:szCs w:val="18"/>
              </w:rPr>
            </w:pPr>
            <w:r>
              <w:rPr>
                <w:rStyle w:val="63"/>
                <w:rFonts w:ascii="宋体" w:hAnsi="宋体"/>
                <w:sz w:val="18"/>
                <w:szCs w:val="18"/>
              </w:rPr>
              <w:t>物业管理</w:t>
            </w:r>
          </w:p>
        </w:tc>
        <w:tc>
          <w:tcPr>
            <w:tcW w:w="725" w:type="pct"/>
            <w:tcBorders>
              <w:top w:val="single" w:color="000000" w:sz="4" w:space="0"/>
              <w:left w:val="single" w:color="000000" w:sz="4" w:space="0"/>
              <w:bottom w:val="single" w:color="000000" w:sz="4" w:space="0"/>
              <w:right w:val="single" w:color="000000" w:sz="4" w:space="0"/>
            </w:tcBorders>
            <w:vAlign w:val="center"/>
          </w:tcPr>
          <w:p w14:paraId="1CAE9FFB">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28746B0D">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4CEB9356">
            <w:pPr>
              <w:snapToGrid w:val="0"/>
              <w:textAlignment w:val="baseline"/>
              <w:rPr>
                <w:rStyle w:val="63"/>
                <w:rFonts w:ascii="宋体" w:hAnsi="宋体"/>
                <w:sz w:val="18"/>
                <w:szCs w:val="18"/>
              </w:rPr>
            </w:pPr>
            <w:r>
              <w:rPr>
                <w:rStyle w:val="63"/>
                <w:rFonts w:ascii="宋体" w:hAnsi="宋体"/>
                <w:sz w:val="18"/>
                <w:szCs w:val="18"/>
              </w:rPr>
              <w:t>X≥1000</w:t>
            </w:r>
          </w:p>
        </w:tc>
        <w:tc>
          <w:tcPr>
            <w:tcW w:w="901" w:type="pct"/>
            <w:tcBorders>
              <w:top w:val="single" w:color="000000" w:sz="4" w:space="0"/>
              <w:left w:val="single" w:color="000000" w:sz="4" w:space="0"/>
              <w:bottom w:val="single" w:color="000000" w:sz="4" w:space="0"/>
              <w:right w:val="single" w:color="000000" w:sz="4" w:space="0"/>
            </w:tcBorders>
            <w:vAlign w:val="center"/>
          </w:tcPr>
          <w:p w14:paraId="0F0AA130">
            <w:pPr>
              <w:snapToGrid w:val="0"/>
              <w:textAlignment w:val="baseline"/>
              <w:rPr>
                <w:rStyle w:val="63"/>
                <w:rFonts w:ascii="宋体" w:hAnsi="宋体"/>
                <w:sz w:val="18"/>
                <w:szCs w:val="18"/>
              </w:rPr>
            </w:pPr>
            <w:r>
              <w:rPr>
                <w:rStyle w:val="63"/>
                <w:rFonts w:ascii="宋体" w:hAnsi="宋体"/>
                <w:sz w:val="18"/>
                <w:szCs w:val="18"/>
              </w:rPr>
              <w:t>300≤X＜1000</w:t>
            </w:r>
          </w:p>
        </w:tc>
        <w:tc>
          <w:tcPr>
            <w:tcW w:w="755" w:type="pct"/>
            <w:tcBorders>
              <w:top w:val="single" w:color="000000" w:sz="4" w:space="0"/>
              <w:left w:val="single" w:color="000000" w:sz="4" w:space="0"/>
              <w:bottom w:val="single" w:color="000000" w:sz="4" w:space="0"/>
              <w:right w:val="single" w:color="000000" w:sz="4" w:space="0"/>
            </w:tcBorders>
            <w:vAlign w:val="center"/>
          </w:tcPr>
          <w:p w14:paraId="70DBE53E">
            <w:pPr>
              <w:snapToGrid w:val="0"/>
              <w:textAlignment w:val="baseline"/>
              <w:rPr>
                <w:rStyle w:val="63"/>
                <w:rFonts w:ascii="宋体" w:hAnsi="宋体"/>
                <w:sz w:val="18"/>
                <w:szCs w:val="18"/>
              </w:rPr>
            </w:pPr>
            <w:r>
              <w:rPr>
                <w:rStyle w:val="63"/>
                <w:rFonts w:ascii="宋体" w:hAnsi="宋体"/>
                <w:sz w:val="18"/>
                <w:szCs w:val="18"/>
              </w:rPr>
              <w:t xml:space="preserve">100≤X＜300 </w:t>
            </w:r>
          </w:p>
        </w:tc>
        <w:tc>
          <w:tcPr>
            <w:tcW w:w="525" w:type="pct"/>
            <w:tcBorders>
              <w:top w:val="single" w:color="000000" w:sz="4" w:space="0"/>
              <w:left w:val="single" w:color="000000" w:sz="4" w:space="0"/>
              <w:bottom w:val="single" w:color="000000" w:sz="4" w:space="0"/>
              <w:right w:val="single" w:color="000000" w:sz="4" w:space="0"/>
            </w:tcBorders>
            <w:vAlign w:val="center"/>
          </w:tcPr>
          <w:p w14:paraId="4EA54C98">
            <w:pPr>
              <w:snapToGrid w:val="0"/>
              <w:textAlignment w:val="baseline"/>
              <w:rPr>
                <w:rStyle w:val="63"/>
                <w:rFonts w:ascii="宋体" w:hAnsi="宋体"/>
                <w:sz w:val="18"/>
                <w:szCs w:val="18"/>
              </w:rPr>
            </w:pPr>
            <w:r>
              <w:rPr>
                <w:rStyle w:val="63"/>
                <w:rFonts w:ascii="宋体" w:hAnsi="宋体"/>
                <w:sz w:val="18"/>
                <w:szCs w:val="18"/>
              </w:rPr>
              <w:t>X＜100</w:t>
            </w:r>
          </w:p>
        </w:tc>
      </w:tr>
      <w:tr w14:paraId="0E72E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26F82B78">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20823621">
            <w:pPr>
              <w:snapToGrid w:val="0"/>
              <w:spacing w:line="240" w:lineRule="exact"/>
              <w:textAlignment w:val="baseline"/>
              <w:rPr>
                <w:rStyle w:val="63"/>
                <w:rFonts w:ascii="宋体" w:hAnsi="宋体"/>
                <w:sz w:val="18"/>
                <w:szCs w:val="18"/>
              </w:rPr>
            </w:pPr>
            <w:r>
              <w:rPr>
                <w:rStyle w:val="63"/>
                <w:rFonts w:ascii="宋体" w:hAnsi="宋体"/>
                <w:sz w:val="18"/>
                <w:szCs w:val="18"/>
              </w:rPr>
              <w:t>营业收入(Y)</w:t>
            </w:r>
          </w:p>
        </w:tc>
        <w:tc>
          <w:tcPr>
            <w:tcW w:w="375" w:type="pct"/>
            <w:tcBorders>
              <w:top w:val="single" w:color="000000" w:sz="4" w:space="0"/>
              <w:left w:val="single" w:color="000000" w:sz="4" w:space="0"/>
              <w:bottom w:val="single" w:color="000000" w:sz="4" w:space="0"/>
              <w:right w:val="single" w:color="000000" w:sz="4" w:space="0"/>
            </w:tcBorders>
            <w:vAlign w:val="center"/>
          </w:tcPr>
          <w:p w14:paraId="65017543">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388DAB74">
            <w:pPr>
              <w:snapToGrid w:val="0"/>
              <w:textAlignment w:val="baseline"/>
              <w:rPr>
                <w:rStyle w:val="63"/>
                <w:rFonts w:ascii="宋体" w:hAnsi="宋体"/>
                <w:sz w:val="18"/>
                <w:szCs w:val="18"/>
              </w:rPr>
            </w:pPr>
            <w:r>
              <w:rPr>
                <w:rStyle w:val="63"/>
                <w:rFonts w:ascii="宋体" w:hAnsi="宋体"/>
                <w:sz w:val="18"/>
                <w:szCs w:val="18"/>
              </w:rPr>
              <w:t>Y≥5000</w:t>
            </w:r>
          </w:p>
        </w:tc>
        <w:tc>
          <w:tcPr>
            <w:tcW w:w="901" w:type="pct"/>
            <w:tcBorders>
              <w:top w:val="single" w:color="000000" w:sz="4" w:space="0"/>
              <w:left w:val="single" w:color="000000" w:sz="4" w:space="0"/>
              <w:bottom w:val="single" w:color="000000" w:sz="4" w:space="0"/>
              <w:right w:val="single" w:color="000000" w:sz="4" w:space="0"/>
            </w:tcBorders>
            <w:vAlign w:val="center"/>
          </w:tcPr>
          <w:p w14:paraId="797A5A18">
            <w:pPr>
              <w:snapToGrid w:val="0"/>
              <w:ind w:left="1" w:leftChars="-51" w:hanging="108"/>
              <w:textAlignment w:val="baseline"/>
              <w:rPr>
                <w:rStyle w:val="63"/>
                <w:rFonts w:ascii="宋体" w:hAnsi="宋体"/>
                <w:sz w:val="18"/>
                <w:szCs w:val="18"/>
              </w:rPr>
            </w:pPr>
            <w:r>
              <w:rPr>
                <w:rStyle w:val="63"/>
                <w:rFonts w:ascii="宋体" w:hAnsi="宋体"/>
                <w:sz w:val="18"/>
                <w:szCs w:val="18"/>
              </w:rPr>
              <w:t xml:space="preserve">1000≤Y＜5000 </w:t>
            </w:r>
          </w:p>
        </w:tc>
        <w:tc>
          <w:tcPr>
            <w:tcW w:w="755" w:type="pct"/>
            <w:tcBorders>
              <w:top w:val="single" w:color="000000" w:sz="4" w:space="0"/>
              <w:left w:val="single" w:color="000000" w:sz="4" w:space="0"/>
              <w:bottom w:val="single" w:color="000000" w:sz="4" w:space="0"/>
              <w:right w:val="single" w:color="000000" w:sz="4" w:space="0"/>
            </w:tcBorders>
            <w:vAlign w:val="center"/>
          </w:tcPr>
          <w:p w14:paraId="5E6C70E0">
            <w:pPr>
              <w:snapToGrid w:val="0"/>
              <w:textAlignment w:val="baseline"/>
              <w:rPr>
                <w:rStyle w:val="63"/>
                <w:rFonts w:ascii="宋体" w:hAnsi="宋体"/>
                <w:sz w:val="18"/>
                <w:szCs w:val="18"/>
              </w:rPr>
            </w:pPr>
            <w:r>
              <w:rPr>
                <w:rStyle w:val="63"/>
                <w:rFonts w:ascii="宋体" w:hAnsi="宋体"/>
                <w:sz w:val="18"/>
                <w:szCs w:val="18"/>
              </w:rPr>
              <w:t xml:space="preserve"> 500≤Y＜1000</w:t>
            </w:r>
          </w:p>
        </w:tc>
        <w:tc>
          <w:tcPr>
            <w:tcW w:w="525" w:type="pct"/>
            <w:tcBorders>
              <w:top w:val="single" w:color="000000" w:sz="4" w:space="0"/>
              <w:left w:val="single" w:color="000000" w:sz="4" w:space="0"/>
              <w:bottom w:val="single" w:color="000000" w:sz="4" w:space="0"/>
              <w:right w:val="single" w:color="000000" w:sz="4" w:space="0"/>
            </w:tcBorders>
            <w:vAlign w:val="center"/>
          </w:tcPr>
          <w:p w14:paraId="2FA9EEE4">
            <w:pPr>
              <w:snapToGrid w:val="0"/>
              <w:textAlignment w:val="baseline"/>
              <w:rPr>
                <w:rStyle w:val="63"/>
                <w:rFonts w:ascii="宋体" w:hAnsi="宋体"/>
                <w:sz w:val="18"/>
                <w:szCs w:val="18"/>
              </w:rPr>
            </w:pPr>
            <w:r>
              <w:rPr>
                <w:rStyle w:val="63"/>
                <w:rFonts w:ascii="宋体" w:hAnsi="宋体"/>
                <w:sz w:val="18"/>
                <w:szCs w:val="18"/>
              </w:rPr>
              <w:t>Y＜500</w:t>
            </w:r>
          </w:p>
        </w:tc>
      </w:tr>
      <w:tr w14:paraId="1473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119" w:type="pct"/>
            <w:vMerge w:val="restart"/>
            <w:tcBorders>
              <w:top w:val="single" w:color="000000" w:sz="4" w:space="0"/>
              <w:left w:val="single" w:color="000000" w:sz="4" w:space="0"/>
              <w:bottom w:val="single" w:color="000000" w:sz="4" w:space="0"/>
              <w:right w:val="single" w:color="000000" w:sz="4" w:space="0"/>
            </w:tcBorders>
            <w:vAlign w:val="center"/>
          </w:tcPr>
          <w:p w14:paraId="0895DD30">
            <w:pPr>
              <w:snapToGrid w:val="0"/>
              <w:spacing w:line="240" w:lineRule="exact"/>
              <w:textAlignment w:val="baseline"/>
              <w:rPr>
                <w:rStyle w:val="63"/>
                <w:rFonts w:ascii="宋体" w:hAnsi="宋体"/>
                <w:sz w:val="18"/>
                <w:szCs w:val="18"/>
              </w:rPr>
            </w:pPr>
            <w:r>
              <w:rPr>
                <w:rStyle w:val="63"/>
                <w:rFonts w:ascii="宋体" w:hAnsi="宋体"/>
                <w:sz w:val="18"/>
                <w:szCs w:val="18"/>
              </w:rPr>
              <w:t>租赁和商务服务业</w:t>
            </w:r>
          </w:p>
        </w:tc>
        <w:tc>
          <w:tcPr>
            <w:tcW w:w="725" w:type="pct"/>
            <w:tcBorders>
              <w:top w:val="single" w:color="000000" w:sz="4" w:space="0"/>
              <w:left w:val="single" w:color="000000" w:sz="4" w:space="0"/>
              <w:bottom w:val="single" w:color="000000" w:sz="4" w:space="0"/>
              <w:right w:val="single" w:color="000000" w:sz="4" w:space="0"/>
            </w:tcBorders>
            <w:vAlign w:val="center"/>
          </w:tcPr>
          <w:p w14:paraId="3BB5309B">
            <w:pPr>
              <w:snapToGrid w:val="0"/>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4C4BE7C9">
            <w:pPr>
              <w:snapToGrid w:val="0"/>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0B7D7B63">
            <w:pPr>
              <w:snapToGrid w:val="0"/>
              <w:textAlignment w:val="baseline"/>
              <w:rPr>
                <w:rStyle w:val="63"/>
                <w:rFonts w:ascii="宋体" w:hAnsi="宋体"/>
                <w:sz w:val="18"/>
                <w:szCs w:val="18"/>
              </w:rPr>
            </w:pPr>
            <w:r>
              <w:rPr>
                <w:rStyle w:val="63"/>
                <w:rFonts w:ascii="宋体" w:hAnsi="宋体"/>
                <w:sz w:val="18"/>
                <w:szCs w:val="18"/>
              </w:rPr>
              <w:t>X≥300</w:t>
            </w:r>
          </w:p>
        </w:tc>
        <w:tc>
          <w:tcPr>
            <w:tcW w:w="901" w:type="pct"/>
            <w:tcBorders>
              <w:top w:val="single" w:color="000000" w:sz="4" w:space="0"/>
              <w:left w:val="single" w:color="000000" w:sz="4" w:space="0"/>
              <w:bottom w:val="single" w:color="000000" w:sz="4" w:space="0"/>
              <w:right w:val="single" w:color="000000" w:sz="4" w:space="0"/>
            </w:tcBorders>
            <w:vAlign w:val="center"/>
          </w:tcPr>
          <w:p w14:paraId="1EF72116">
            <w:pPr>
              <w:snapToGrid w:val="0"/>
              <w:ind w:left="1" w:leftChars="-51" w:hanging="108"/>
              <w:textAlignment w:val="baseline"/>
              <w:rPr>
                <w:rStyle w:val="63"/>
                <w:rFonts w:ascii="宋体" w:hAnsi="宋体"/>
                <w:sz w:val="18"/>
                <w:szCs w:val="18"/>
              </w:rPr>
            </w:pPr>
            <w:r>
              <w:rPr>
                <w:rStyle w:val="63"/>
                <w:rFonts w:ascii="宋体" w:hAnsi="宋体"/>
                <w:sz w:val="18"/>
                <w:szCs w:val="18"/>
              </w:rPr>
              <w:t xml:space="preserve">100≤X＜300 </w:t>
            </w:r>
          </w:p>
        </w:tc>
        <w:tc>
          <w:tcPr>
            <w:tcW w:w="755" w:type="pct"/>
            <w:tcBorders>
              <w:top w:val="single" w:color="000000" w:sz="4" w:space="0"/>
              <w:left w:val="single" w:color="000000" w:sz="4" w:space="0"/>
              <w:bottom w:val="single" w:color="000000" w:sz="4" w:space="0"/>
              <w:right w:val="single" w:color="000000" w:sz="4" w:space="0"/>
            </w:tcBorders>
            <w:vAlign w:val="center"/>
          </w:tcPr>
          <w:p w14:paraId="0BCB7316">
            <w:pPr>
              <w:snapToGrid w:val="0"/>
              <w:textAlignment w:val="baseline"/>
              <w:rPr>
                <w:rStyle w:val="63"/>
                <w:rFonts w:ascii="宋体" w:hAnsi="宋体"/>
                <w:sz w:val="18"/>
                <w:szCs w:val="18"/>
              </w:rPr>
            </w:pPr>
            <w:r>
              <w:rPr>
                <w:rStyle w:val="63"/>
                <w:rFonts w:ascii="宋体" w:hAnsi="宋体"/>
                <w:sz w:val="18"/>
                <w:szCs w:val="18"/>
              </w:rPr>
              <w:t xml:space="preserve"> 10≤X＜100</w:t>
            </w:r>
          </w:p>
        </w:tc>
        <w:tc>
          <w:tcPr>
            <w:tcW w:w="525" w:type="pct"/>
            <w:tcBorders>
              <w:top w:val="single" w:color="000000" w:sz="4" w:space="0"/>
              <w:left w:val="single" w:color="000000" w:sz="4" w:space="0"/>
              <w:bottom w:val="single" w:color="000000" w:sz="4" w:space="0"/>
              <w:right w:val="single" w:color="000000" w:sz="4" w:space="0"/>
            </w:tcBorders>
            <w:vAlign w:val="center"/>
          </w:tcPr>
          <w:p w14:paraId="7A8E65B5">
            <w:pPr>
              <w:snapToGrid w:val="0"/>
              <w:textAlignment w:val="baseline"/>
              <w:rPr>
                <w:rStyle w:val="63"/>
                <w:rFonts w:ascii="宋体" w:hAnsi="宋体"/>
                <w:sz w:val="18"/>
                <w:szCs w:val="18"/>
              </w:rPr>
            </w:pPr>
            <w:r>
              <w:rPr>
                <w:rStyle w:val="63"/>
                <w:rFonts w:ascii="宋体" w:hAnsi="宋体"/>
                <w:sz w:val="18"/>
                <w:szCs w:val="18"/>
              </w:rPr>
              <w:t>X＜10</w:t>
            </w:r>
          </w:p>
        </w:tc>
      </w:tr>
      <w:tr w14:paraId="3C48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119" w:type="pct"/>
            <w:vMerge w:val="continue"/>
            <w:tcBorders>
              <w:top w:val="single" w:color="000000" w:sz="4" w:space="0"/>
              <w:left w:val="single" w:color="000000" w:sz="4" w:space="0"/>
              <w:bottom w:val="single" w:color="000000" w:sz="4" w:space="0"/>
              <w:right w:val="single" w:color="000000" w:sz="4" w:space="0"/>
            </w:tcBorders>
            <w:vAlign w:val="center"/>
          </w:tcPr>
          <w:p w14:paraId="40CE4AA4">
            <w:pPr>
              <w:snapToGrid w:val="0"/>
              <w:textAlignment w:val="baseline"/>
              <w:rPr>
                <w:rStyle w:val="63"/>
                <w:rFonts w:ascii="宋体" w:hAnsi="宋体"/>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7018D9CE">
            <w:pPr>
              <w:snapToGrid w:val="0"/>
              <w:spacing w:line="240" w:lineRule="exact"/>
              <w:textAlignment w:val="baseline"/>
              <w:rPr>
                <w:rStyle w:val="63"/>
                <w:rFonts w:ascii="宋体" w:hAnsi="宋体"/>
                <w:sz w:val="18"/>
                <w:szCs w:val="18"/>
              </w:rPr>
            </w:pPr>
            <w:r>
              <w:rPr>
                <w:rStyle w:val="63"/>
                <w:rFonts w:ascii="宋体" w:hAnsi="宋体"/>
                <w:sz w:val="18"/>
                <w:szCs w:val="18"/>
              </w:rPr>
              <w:t>资产总额(Z)</w:t>
            </w:r>
          </w:p>
        </w:tc>
        <w:tc>
          <w:tcPr>
            <w:tcW w:w="375" w:type="pct"/>
            <w:tcBorders>
              <w:top w:val="single" w:color="000000" w:sz="4" w:space="0"/>
              <w:left w:val="single" w:color="000000" w:sz="4" w:space="0"/>
              <w:bottom w:val="single" w:color="000000" w:sz="4" w:space="0"/>
              <w:right w:val="single" w:color="000000" w:sz="4" w:space="0"/>
            </w:tcBorders>
            <w:vAlign w:val="center"/>
          </w:tcPr>
          <w:p w14:paraId="59B9A9B4">
            <w:pPr>
              <w:snapToGrid w:val="0"/>
              <w:textAlignment w:val="baseline"/>
              <w:rPr>
                <w:rStyle w:val="63"/>
                <w:rFonts w:ascii="宋体" w:hAnsi="宋体"/>
                <w:sz w:val="18"/>
                <w:szCs w:val="18"/>
              </w:rPr>
            </w:pPr>
            <w:r>
              <w:rPr>
                <w:rStyle w:val="63"/>
                <w:rFonts w:ascii="宋体" w:hAnsi="宋体"/>
                <w:sz w:val="18"/>
                <w:szCs w:val="18"/>
              </w:rPr>
              <w:t>万元</w:t>
            </w:r>
          </w:p>
        </w:tc>
        <w:tc>
          <w:tcPr>
            <w:tcW w:w="596" w:type="pct"/>
            <w:tcBorders>
              <w:top w:val="single" w:color="000000" w:sz="4" w:space="0"/>
              <w:left w:val="single" w:color="000000" w:sz="4" w:space="0"/>
              <w:bottom w:val="single" w:color="000000" w:sz="4" w:space="0"/>
              <w:right w:val="single" w:color="000000" w:sz="4" w:space="0"/>
            </w:tcBorders>
            <w:vAlign w:val="center"/>
          </w:tcPr>
          <w:p w14:paraId="6490D387">
            <w:pPr>
              <w:snapToGrid w:val="0"/>
              <w:textAlignment w:val="baseline"/>
              <w:rPr>
                <w:rStyle w:val="63"/>
                <w:rFonts w:ascii="宋体" w:hAnsi="宋体"/>
                <w:sz w:val="18"/>
                <w:szCs w:val="18"/>
              </w:rPr>
            </w:pPr>
            <w:r>
              <w:rPr>
                <w:rStyle w:val="63"/>
                <w:rFonts w:ascii="宋体" w:hAnsi="宋体"/>
                <w:sz w:val="18"/>
                <w:szCs w:val="18"/>
              </w:rPr>
              <w:t>Z≥120000</w:t>
            </w:r>
          </w:p>
        </w:tc>
        <w:tc>
          <w:tcPr>
            <w:tcW w:w="901" w:type="pct"/>
            <w:tcBorders>
              <w:top w:val="single" w:color="000000" w:sz="4" w:space="0"/>
              <w:left w:val="single" w:color="000000" w:sz="4" w:space="0"/>
              <w:bottom w:val="single" w:color="000000" w:sz="4" w:space="0"/>
              <w:right w:val="single" w:color="000000" w:sz="4" w:space="0"/>
            </w:tcBorders>
            <w:vAlign w:val="center"/>
          </w:tcPr>
          <w:p w14:paraId="2D990F92">
            <w:pPr>
              <w:snapToGrid w:val="0"/>
              <w:textAlignment w:val="baseline"/>
              <w:rPr>
                <w:rStyle w:val="63"/>
                <w:rFonts w:ascii="宋体" w:hAnsi="宋体"/>
                <w:sz w:val="18"/>
                <w:szCs w:val="18"/>
              </w:rPr>
            </w:pPr>
            <w:r>
              <w:rPr>
                <w:rStyle w:val="63"/>
                <w:rFonts w:ascii="宋体" w:hAnsi="宋体"/>
                <w:sz w:val="18"/>
                <w:szCs w:val="18"/>
              </w:rPr>
              <w:t xml:space="preserve"> 8000≤Z＜120000</w:t>
            </w:r>
          </w:p>
        </w:tc>
        <w:tc>
          <w:tcPr>
            <w:tcW w:w="755" w:type="pct"/>
            <w:tcBorders>
              <w:top w:val="single" w:color="000000" w:sz="4" w:space="0"/>
              <w:left w:val="single" w:color="000000" w:sz="4" w:space="0"/>
              <w:bottom w:val="single" w:color="000000" w:sz="4" w:space="0"/>
              <w:right w:val="single" w:color="000000" w:sz="4" w:space="0"/>
            </w:tcBorders>
            <w:vAlign w:val="center"/>
          </w:tcPr>
          <w:p w14:paraId="718709BF">
            <w:pPr>
              <w:snapToGrid w:val="0"/>
              <w:textAlignment w:val="baseline"/>
              <w:rPr>
                <w:rStyle w:val="63"/>
                <w:rFonts w:ascii="宋体" w:hAnsi="宋体"/>
                <w:sz w:val="18"/>
                <w:szCs w:val="18"/>
              </w:rPr>
            </w:pPr>
            <w:r>
              <w:rPr>
                <w:rStyle w:val="63"/>
                <w:rFonts w:ascii="宋体" w:hAnsi="宋体"/>
                <w:sz w:val="18"/>
                <w:szCs w:val="18"/>
              </w:rPr>
              <w:t xml:space="preserve"> 100≤Z＜8000</w:t>
            </w:r>
          </w:p>
        </w:tc>
        <w:tc>
          <w:tcPr>
            <w:tcW w:w="525" w:type="pct"/>
            <w:tcBorders>
              <w:top w:val="single" w:color="000000" w:sz="4" w:space="0"/>
              <w:left w:val="single" w:color="000000" w:sz="4" w:space="0"/>
              <w:bottom w:val="single" w:color="000000" w:sz="4" w:space="0"/>
              <w:right w:val="single" w:color="000000" w:sz="4" w:space="0"/>
            </w:tcBorders>
            <w:vAlign w:val="center"/>
          </w:tcPr>
          <w:p w14:paraId="47FB8707">
            <w:pPr>
              <w:snapToGrid w:val="0"/>
              <w:textAlignment w:val="baseline"/>
              <w:rPr>
                <w:rStyle w:val="63"/>
                <w:rFonts w:ascii="宋体" w:hAnsi="宋体"/>
                <w:sz w:val="18"/>
                <w:szCs w:val="18"/>
              </w:rPr>
            </w:pPr>
            <w:r>
              <w:rPr>
                <w:rStyle w:val="63"/>
                <w:rFonts w:ascii="宋体" w:hAnsi="宋体"/>
                <w:sz w:val="18"/>
                <w:szCs w:val="18"/>
              </w:rPr>
              <w:t>Z＜100</w:t>
            </w:r>
          </w:p>
        </w:tc>
      </w:tr>
      <w:tr w14:paraId="03B07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119" w:type="pct"/>
            <w:tcBorders>
              <w:top w:val="single" w:color="000000" w:sz="4" w:space="0"/>
              <w:left w:val="single" w:color="000000" w:sz="4" w:space="0"/>
              <w:bottom w:val="single" w:color="000000" w:sz="4" w:space="0"/>
              <w:right w:val="single" w:color="000000" w:sz="4" w:space="0"/>
            </w:tcBorders>
            <w:vAlign w:val="center"/>
          </w:tcPr>
          <w:p w14:paraId="0D9B0FEC">
            <w:pPr>
              <w:snapToGrid w:val="0"/>
              <w:spacing w:line="240" w:lineRule="exact"/>
              <w:textAlignment w:val="baseline"/>
              <w:rPr>
                <w:rStyle w:val="63"/>
                <w:rFonts w:ascii="宋体" w:hAnsi="宋体"/>
                <w:szCs w:val="21"/>
              </w:rPr>
            </w:pPr>
            <w:r>
              <w:rPr>
                <w:rStyle w:val="63"/>
                <w:rFonts w:ascii="宋体" w:hAnsi="宋体"/>
                <w:sz w:val="18"/>
                <w:szCs w:val="18"/>
              </w:rPr>
              <w:t>其他未列明行业*</w:t>
            </w:r>
          </w:p>
        </w:tc>
        <w:tc>
          <w:tcPr>
            <w:tcW w:w="725" w:type="pct"/>
            <w:tcBorders>
              <w:top w:val="single" w:color="000000" w:sz="4" w:space="0"/>
              <w:left w:val="single" w:color="000000" w:sz="4" w:space="0"/>
              <w:bottom w:val="single" w:color="000000" w:sz="4" w:space="0"/>
              <w:right w:val="single" w:color="000000" w:sz="4" w:space="0"/>
            </w:tcBorders>
            <w:vAlign w:val="center"/>
          </w:tcPr>
          <w:p w14:paraId="6626B8B6">
            <w:pPr>
              <w:snapToGrid w:val="0"/>
              <w:spacing w:line="240" w:lineRule="exact"/>
              <w:textAlignment w:val="baseline"/>
              <w:rPr>
                <w:rStyle w:val="63"/>
                <w:rFonts w:ascii="宋体" w:hAnsi="宋体"/>
                <w:sz w:val="18"/>
                <w:szCs w:val="18"/>
              </w:rPr>
            </w:pPr>
            <w:r>
              <w:rPr>
                <w:rStyle w:val="63"/>
                <w:rFonts w:ascii="宋体" w:hAnsi="宋体"/>
                <w:sz w:val="18"/>
                <w:szCs w:val="18"/>
              </w:rPr>
              <w:t>从业人员(X)</w:t>
            </w:r>
          </w:p>
        </w:tc>
        <w:tc>
          <w:tcPr>
            <w:tcW w:w="375" w:type="pct"/>
            <w:tcBorders>
              <w:top w:val="single" w:color="000000" w:sz="4" w:space="0"/>
              <w:left w:val="single" w:color="000000" w:sz="4" w:space="0"/>
              <w:bottom w:val="single" w:color="000000" w:sz="4" w:space="0"/>
              <w:right w:val="single" w:color="000000" w:sz="4" w:space="0"/>
            </w:tcBorders>
            <w:vAlign w:val="center"/>
          </w:tcPr>
          <w:p w14:paraId="61FB5B6C">
            <w:pPr>
              <w:snapToGrid w:val="0"/>
              <w:spacing w:line="240" w:lineRule="exact"/>
              <w:textAlignment w:val="baseline"/>
              <w:rPr>
                <w:rStyle w:val="63"/>
                <w:rFonts w:ascii="宋体" w:hAnsi="宋体"/>
                <w:sz w:val="18"/>
                <w:szCs w:val="18"/>
              </w:rPr>
            </w:pPr>
            <w:r>
              <w:rPr>
                <w:rStyle w:val="63"/>
                <w:rFonts w:ascii="宋体" w:hAnsi="宋体"/>
                <w:sz w:val="18"/>
                <w:szCs w:val="18"/>
              </w:rPr>
              <w:t>人</w:t>
            </w:r>
          </w:p>
        </w:tc>
        <w:tc>
          <w:tcPr>
            <w:tcW w:w="596" w:type="pct"/>
            <w:tcBorders>
              <w:top w:val="single" w:color="000000" w:sz="4" w:space="0"/>
              <w:left w:val="single" w:color="000000" w:sz="4" w:space="0"/>
              <w:bottom w:val="single" w:color="000000" w:sz="4" w:space="0"/>
              <w:right w:val="single" w:color="000000" w:sz="4" w:space="0"/>
            </w:tcBorders>
            <w:vAlign w:val="center"/>
          </w:tcPr>
          <w:p w14:paraId="0AAFFDD3">
            <w:pPr>
              <w:snapToGrid w:val="0"/>
              <w:spacing w:line="240" w:lineRule="exact"/>
              <w:textAlignment w:val="baseline"/>
              <w:rPr>
                <w:rStyle w:val="63"/>
                <w:rFonts w:ascii="宋体" w:hAnsi="宋体"/>
                <w:sz w:val="18"/>
                <w:szCs w:val="18"/>
              </w:rPr>
            </w:pPr>
            <w:r>
              <w:rPr>
                <w:rStyle w:val="63"/>
                <w:rFonts w:ascii="宋体" w:hAnsi="宋体"/>
                <w:sz w:val="18"/>
                <w:szCs w:val="18"/>
              </w:rPr>
              <w:t>X≥300</w:t>
            </w:r>
          </w:p>
        </w:tc>
        <w:tc>
          <w:tcPr>
            <w:tcW w:w="901" w:type="pct"/>
            <w:tcBorders>
              <w:top w:val="single" w:color="000000" w:sz="4" w:space="0"/>
              <w:left w:val="single" w:color="000000" w:sz="4" w:space="0"/>
              <w:bottom w:val="single" w:color="000000" w:sz="4" w:space="0"/>
              <w:right w:val="single" w:color="000000" w:sz="4" w:space="0"/>
            </w:tcBorders>
            <w:vAlign w:val="center"/>
          </w:tcPr>
          <w:p w14:paraId="4AC3B43F">
            <w:pPr>
              <w:snapToGrid w:val="0"/>
              <w:spacing w:line="240" w:lineRule="exact"/>
              <w:ind w:left="1" w:leftChars="-51" w:hanging="108"/>
              <w:textAlignment w:val="baseline"/>
              <w:rPr>
                <w:rStyle w:val="63"/>
                <w:rFonts w:ascii="宋体" w:hAnsi="宋体"/>
                <w:sz w:val="18"/>
                <w:szCs w:val="18"/>
              </w:rPr>
            </w:pPr>
            <w:r>
              <w:rPr>
                <w:rStyle w:val="63"/>
                <w:rFonts w:ascii="宋体" w:hAnsi="宋体"/>
                <w:sz w:val="18"/>
                <w:szCs w:val="18"/>
              </w:rPr>
              <w:t xml:space="preserve">100≤X＜300 </w:t>
            </w:r>
          </w:p>
        </w:tc>
        <w:tc>
          <w:tcPr>
            <w:tcW w:w="755" w:type="pct"/>
            <w:tcBorders>
              <w:top w:val="single" w:color="000000" w:sz="4" w:space="0"/>
              <w:left w:val="single" w:color="000000" w:sz="4" w:space="0"/>
              <w:bottom w:val="single" w:color="000000" w:sz="4" w:space="0"/>
              <w:right w:val="single" w:color="000000" w:sz="4" w:space="0"/>
            </w:tcBorders>
            <w:vAlign w:val="center"/>
          </w:tcPr>
          <w:p w14:paraId="389C84FF">
            <w:pPr>
              <w:snapToGrid w:val="0"/>
              <w:spacing w:line="240" w:lineRule="exact"/>
              <w:textAlignment w:val="baseline"/>
              <w:rPr>
                <w:rStyle w:val="63"/>
                <w:rFonts w:ascii="宋体" w:hAnsi="宋体"/>
                <w:sz w:val="18"/>
                <w:szCs w:val="18"/>
              </w:rPr>
            </w:pPr>
            <w:r>
              <w:rPr>
                <w:rStyle w:val="63"/>
                <w:rFonts w:ascii="宋体" w:hAnsi="宋体"/>
                <w:sz w:val="18"/>
                <w:szCs w:val="18"/>
              </w:rPr>
              <w:t xml:space="preserve"> 10≤X＜100</w:t>
            </w:r>
          </w:p>
        </w:tc>
        <w:tc>
          <w:tcPr>
            <w:tcW w:w="525" w:type="pct"/>
            <w:tcBorders>
              <w:top w:val="single" w:color="000000" w:sz="4" w:space="0"/>
              <w:left w:val="single" w:color="000000" w:sz="4" w:space="0"/>
              <w:bottom w:val="single" w:color="000000" w:sz="4" w:space="0"/>
              <w:right w:val="single" w:color="000000" w:sz="4" w:space="0"/>
            </w:tcBorders>
            <w:vAlign w:val="center"/>
          </w:tcPr>
          <w:p w14:paraId="0ADB5122">
            <w:pPr>
              <w:snapToGrid w:val="0"/>
              <w:spacing w:line="240" w:lineRule="exact"/>
              <w:textAlignment w:val="baseline"/>
              <w:rPr>
                <w:rStyle w:val="63"/>
                <w:rFonts w:ascii="宋体" w:hAnsi="宋体"/>
                <w:sz w:val="18"/>
                <w:szCs w:val="18"/>
              </w:rPr>
            </w:pPr>
            <w:r>
              <w:rPr>
                <w:rStyle w:val="63"/>
                <w:rFonts w:ascii="宋体" w:hAnsi="宋体"/>
                <w:sz w:val="18"/>
                <w:szCs w:val="18"/>
              </w:rPr>
              <w:t>X＜10</w:t>
            </w:r>
          </w:p>
        </w:tc>
      </w:tr>
    </w:tbl>
    <w:p w14:paraId="077C4FFD">
      <w:pPr>
        <w:snapToGrid w:val="0"/>
        <w:spacing w:line="400" w:lineRule="exact"/>
        <w:jc w:val="left"/>
        <w:textAlignment w:val="baseline"/>
        <w:rPr>
          <w:rStyle w:val="63"/>
          <w:rFonts w:ascii="宋体" w:hAnsi="宋体"/>
          <w:spacing w:val="8"/>
          <w:szCs w:val="21"/>
        </w:rPr>
      </w:pPr>
      <w:r>
        <w:rPr>
          <w:rStyle w:val="63"/>
          <w:rFonts w:ascii="宋体" w:hAnsi="宋体"/>
          <w:spacing w:val="8"/>
          <w:szCs w:val="21"/>
        </w:rPr>
        <w:t>说明：</w:t>
      </w:r>
    </w:p>
    <w:p w14:paraId="4E9B6CB3">
      <w:pPr>
        <w:snapToGrid w:val="0"/>
        <w:spacing w:line="400" w:lineRule="exact"/>
        <w:jc w:val="left"/>
        <w:textAlignment w:val="baseline"/>
        <w:rPr>
          <w:rStyle w:val="63"/>
          <w:rFonts w:ascii="宋体" w:hAnsi="宋体"/>
          <w:spacing w:val="8"/>
          <w:szCs w:val="21"/>
        </w:rPr>
      </w:pPr>
      <w:r>
        <w:rPr>
          <w:rStyle w:val="63"/>
          <w:rFonts w:ascii="宋体" w:hAnsi="宋体"/>
          <w:spacing w:val="8"/>
          <w:szCs w:val="21"/>
        </w:rPr>
        <w:t>　　1.大型、中型和小型企业须同时满足所列指标的下限，否则下划一档；微型企业只须满足所列指标中的一项即可。</w:t>
      </w:r>
    </w:p>
    <w:p w14:paraId="5CE15570">
      <w:pPr>
        <w:snapToGrid w:val="0"/>
        <w:spacing w:line="360" w:lineRule="auto"/>
        <w:jc w:val="left"/>
        <w:textAlignment w:val="baseline"/>
        <w:rPr>
          <w:rStyle w:val="63"/>
          <w:rFonts w:ascii="宋体" w:hAnsi="宋体"/>
          <w:spacing w:val="8"/>
          <w:szCs w:val="21"/>
        </w:rPr>
      </w:pPr>
      <w:r>
        <w:rPr>
          <w:rStyle w:val="63"/>
          <w:rFonts w:ascii="宋体" w:hAnsi="宋体"/>
          <w:spacing w:val="8"/>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BC28EE7">
      <w:pPr>
        <w:snapToGrid w:val="0"/>
        <w:spacing w:line="360" w:lineRule="auto"/>
        <w:textAlignment w:val="baseline"/>
        <w:rPr>
          <w:rFonts w:ascii="宋体" w:hAnsi="宋体" w:eastAsia="宋体" w:cs="宋体"/>
          <w:szCs w:val="21"/>
        </w:rPr>
      </w:pPr>
      <w:r>
        <w:rPr>
          <w:rStyle w:val="63"/>
          <w:rFonts w:ascii="宋体" w:hAnsi="宋体"/>
          <w:spacing w:val="8"/>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Style w:val="63"/>
          <w:rFonts w:hint="eastAsia" w:ascii="宋体" w:hAnsi="宋体"/>
          <w:spacing w:val="8"/>
          <w:szCs w:val="21"/>
        </w:rPr>
        <w:t>。</w:t>
      </w:r>
      <w:r>
        <w:rPr>
          <w:rFonts w:hint="eastAsia" w:ascii="宋体" w:hAnsi="宋体" w:eastAsia="宋体" w:cs="宋体"/>
          <w:szCs w:val="21"/>
        </w:rPr>
        <w:br w:type="page"/>
      </w:r>
      <w:bookmarkStart w:id="59" w:name="_Toc134790393"/>
    </w:p>
    <w:p w14:paraId="1EACB023">
      <w:pPr>
        <w:pStyle w:val="2"/>
        <w:autoSpaceDN w:val="0"/>
        <w:spacing w:after="120" w:line="520" w:lineRule="exact"/>
        <w:jc w:val="center"/>
        <w:rPr>
          <w:rFonts w:ascii="宋体" w:hAnsi="宋体" w:cs="宋体"/>
        </w:rPr>
      </w:pPr>
    </w:p>
    <w:p w14:paraId="431E0721">
      <w:pPr>
        <w:pStyle w:val="2"/>
        <w:autoSpaceDN w:val="0"/>
        <w:spacing w:after="120" w:line="520" w:lineRule="exact"/>
        <w:jc w:val="center"/>
        <w:rPr>
          <w:rFonts w:ascii="宋体" w:hAnsi="宋体" w:cs="宋体"/>
        </w:rPr>
      </w:pPr>
      <w:bookmarkStart w:id="60" w:name="_Toc6381"/>
      <w:r>
        <w:rPr>
          <w:rFonts w:hint="eastAsia" w:ascii="宋体" w:hAnsi="宋体" w:cs="宋体"/>
        </w:rPr>
        <w:t>第四章 合同条款</w:t>
      </w:r>
      <w:bookmarkEnd w:id="59"/>
      <w:bookmarkEnd w:id="60"/>
    </w:p>
    <w:p w14:paraId="4F8A20D9">
      <w:pPr>
        <w:autoSpaceDN w:val="0"/>
        <w:rPr>
          <w:rFonts w:ascii="宋体" w:hAnsi="宋体" w:eastAsia="宋体" w:cs="宋体"/>
          <w:b/>
          <w:bCs/>
          <w:kern w:val="0"/>
          <w:sz w:val="44"/>
          <w:szCs w:val="44"/>
        </w:rPr>
      </w:pPr>
    </w:p>
    <w:p w14:paraId="63B15326">
      <w:pPr>
        <w:autoSpaceDE w:val="0"/>
        <w:autoSpaceDN w:val="0"/>
        <w:adjustRightInd w:val="0"/>
        <w:spacing w:line="271" w:lineRule="auto"/>
        <w:rPr>
          <w:rFonts w:ascii="宋体" w:hAnsi="宋体" w:eastAsia="宋体" w:cs="宋体"/>
          <w:sz w:val="24"/>
        </w:rPr>
      </w:pPr>
    </w:p>
    <w:p w14:paraId="47573F2D">
      <w:pPr>
        <w:rPr>
          <w:rFonts w:ascii="宋体" w:hAnsi="宋体" w:eastAsia="宋体" w:cs="宋体"/>
          <w:b/>
          <w:bCs/>
          <w:sz w:val="28"/>
          <w:szCs w:val="28"/>
        </w:rPr>
      </w:pPr>
      <w:bookmarkStart w:id="61" w:name="_Toc134790395"/>
      <w:r>
        <w:rPr>
          <w:rFonts w:hint="eastAsia" w:ascii="宋体" w:hAnsi="宋体" w:eastAsia="宋体" w:cs="宋体"/>
          <w:b/>
          <w:bCs/>
          <w:sz w:val="28"/>
          <w:szCs w:val="28"/>
        </w:rPr>
        <w:t>注：执行《建设工程施工合同（示范文本）》(GF</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2017</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0201)，本合同条款最终以甲乙双方协商一致的合同为准。</w:t>
      </w:r>
      <w:bookmarkEnd w:id="61"/>
    </w:p>
    <w:p w14:paraId="74A2533B">
      <w:pPr>
        <w:rPr>
          <w:rFonts w:ascii="宋体" w:hAnsi="宋体" w:eastAsia="宋体" w:cs="宋体"/>
          <w:b/>
          <w:bCs/>
          <w:sz w:val="28"/>
          <w:szCs w:val="28"/>
        </w:rPr>
      </w:pPr>
      <w:r>
        <w:rPr>
          <w:rFonts w:hint="eastAsia" w:ascii="宋体" w:hAnsi="宋体" w:eastAsia="宋体" w:cs="宋体"/>
          <w:b/>
          <w:bCs/>
          <w:sz w:val="28"/>
          <w:szCs w:val="28"/>
        </w:rPr>
        <w:br w:type="page"/>
      </w:r>
    </w:p>
    <w:p w14:paraId="648726A3">
      <w:pPr>
        <w:jc w:val="left"/>
        <w:rPr>
          <w:rFonts w:eastAsia="仿宋_GB2312"/>
          <w:bCs/>
          <w:color w:val="000000"/>
          <w:sz w:val="32"/>
          <w:szCs w:val="32"/>
        </w:rPr>
      </w:pP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07A34571">
      <w:pPr>
        <w:pStyle w:val="22"/>
        <w:rPr>
          <w:rFonts w:hint="eastAsia"/>
          <w:lang w:val="en-US" w:eastAsia="zh-CN"/>
        </w:rPr>
      </w:pPr>
    </w:p>
    <w:p w14:paraId="03D9A26D">
      <w:pPr>
        <w:pStyle w:val="22"/>
        <w:rPr>
          <w:lang w:val="en-US" w:eastAsia="zh-CN"/>
        </w:rPr>
      </w:pPr>
    </w:p>
    <w:p w14:paraId="1314F257">
      <w:pPr>
        <w:jc w:val="center"/>
        <w:rPr>
          <w:rFonts w:eastAsia="华文中宋"/>
          <w:b/>
          <w:color w:val="000000"/>
          <w:sz w:val="52"/>
          <w:szCs w:val="52"/>
        </w:rPr>
      </w:pPr>
    </w:p>
    <w:p w14:paraId="3008979B">
      <w:pPr>
        <w:pStyle w:val="22"/>
        <w:rPr>
          <w:rFonts w:hint="eastAsia"/>
          <w:lang w:val="en-US" w:eastAsia="zh-CN"/>
        </w:rPr>
      </w:pPr>
    </w:p>
    <w:p w14:paraId="7612CCA5">
      <w:pPr>
        <w:pStyle w:val="22"/>
        <w:rPr>
          <w:rFonts w:hint="eastAsia"/>
          <w:lang w:val="en-US" w:eastAsia="zh-CN"/>
        </w:rPr>
      </w:pPr>
    </w:p>
    <w:p w14:paraId="6CFCBDD6">
      <w:pPr>
        <w:pStyle w:val="22"/>
        <w:rPr>
          <w:rFonts w:hint="eastAsia"/>
          <w:lang w:val="en-US" w:eastAsia="zh-CN"/>
        </w:rPr>
      </w:pPr>
    </w:p>
    <w:p w14:paraId="5E55DC64">
      <w:pPr>
        <w:pStyle w:val="22"/>
        <w:rPr>
          <w:rFonts w:hint="eastAsia"/>
          <w:lang w:val="en-US" w:eastAsia="zh-CN"/>
        </w:rPr>
      </w:pPr>
    </w:p>
    <w:p w14:paraId="7FF33181">
      <w:pPr>
        <w:pStyle w:val="22"/>
        <w:rPr>
          <w:rFonts w:hint="eastAsia"/>
          <w:lang w:val="en-US" w:eastAsia="zh-CN"/>
        </w:rPr>
      </w:pPr>
    </w:p>
    <w:p w14:paraId="1FDA0527">
      <w:pPr>
        <w:pStyle w:val="22"/>
        <w:rPr>
          <w:rFonts w:hint="eastAsia"/>
          <w:lang w:val="en-US" w:eastAsia="zh-CN"/>
        </w:rPr>
      </w:pPr>
    </w:p>
    <w:p w14:paraId="3E6702B4">
      <w:pPr>
        <w:pStyle w:val="22"/>
        <w:rPr>
          <w:rFonts w:hint="eastAsia"/>
          <w:lang w:val="en-US" w:eastAsia="zh-CN"/>
        </w:rPr>
      </w:pPr>
    </w:p>
    <w:p w14:paraId="6BAF1355">
      <w:pPr>
        <w:pStyle w:val="22"/>
        <w:rPr>
          <w:rFonts w:hint="eastAsia"/>
          <w:lang w:val="en-US" w:eastAsia="zh-CN"/>
        </w:rPr>
      </w:pPr>
    </w:p>
    <w:p w14:paraId="5BB7290A">
      <w:pPr>
        <w:pStyle w:val="22"/>
        <w:rPr>
          <w:rFonts w:hint="eastAsia"/>
          <w:lang w:val="en-US" w:eastAsia="zh-CN"/>
        </w:rPr>
      </w:pPr>
    </w:p>
    <w:p w14:paraId="7703077B">
      <w:pPr>
        <w:pStyle w:val="22"/>
        <w:rPr>
          <w:rFonts w:hint="eastAsia"/>
          <w:lang w:val="en-US" w:eastAsia="zh-CN"/>
        </w:rPr>
      </w:pPr>
    </w:p>
    <w:p w14:paraId="3BFE21DD">
      <w:pPr>
        <w:pStyle w:val="22"/>
        <w:rPr>
          <w:lang w:val="en-US" w:eastAsia="zh-CN"/>
        </w:rPr>
      </w:pPr>
    </w:p>
    <w:p w14:paraId="4DFF9FB7">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r>
        <w:rPr>
          <w:rFonts w:eastAsia="华文中宋"/>
          <w:b/>
          <w:color w:val="000000"/>
          <w:sz w:val="52"/>
          <w:szCs w:val="52"/>
        </w:rPr>
        <w:t>（示范文本）</w:t>
      </w:r>
    </w:p>
    <w:p w14:paraId="57C493E1">
      <w:pPr>
        <w:jc w:val="center"/>
        <w:rPr>
          <w:rFonts w:eastAsia="华文中宋"/>
          <w:b/>
          <w:color w:val="000000"/>
          <w:sz w:val="52"/>
          <w:szCs w:val="52"/>
        </w:rPr>
      </w:pPr>
    </w:p>
    <w:p w14:paraId="53460765">
      <w:pPr>
        <w:jc w:val="center"/>
        <w:rPr>
          <w:rFonts w:eastAsia="黑体"/>
          <w:b/>
          <w:color w:val="000000"/>
          <w:sz w:val="72"/>
          <w:szCs w:val="72"/>
        </w:rPr>
      </w:pPr>
    </w:p>
    <w:p w14:paraId="7731C104">
      <w:pPr>
        <w:jc w:val="center"/>
        <w:rPr>
          <w:rFonts w:hint="eastAsia" w:eastAsia="楷体_GB2312"/>
          <w:b/>
          <w:color w:val="000000"/>
          <w:sz w:val="72"/>
          <w:szCs w:val="72"/>
        </w:rPr>
      </w:pPr>
    </w:p>
    <w:p w14:paraId="6D24A461">
      <w:pPr>
        <w:pStyle w:val="22"/>
        <w:rPr>
          <w:rFonts w:hint="eastAsia"/>
          <w:lang w:val="en-US" w:eastAsia="zh-CN"/>
        </w:rPr>
      </w:pPr>
    </w:p>
    <w:p w14:paraId="5F05268C">
      <w:pPr>
        <w:pStyle w:val="22"/>
        <w:rPr>
          <w:rFonts w:hint="eastAsia"/>
          <w:lang w:val="en-US" w:eastAsia="zh-CN"/>
        </w:rPr>
      </w:pPr>
    </w:p>
    <w:p w14:paraId="528D9F71">
      <w:pPr>
        <w:pStyle w:val="22"/>
        <w:rPr>
          <w:rFonts w:hint="eastAsia"/>
          <w:lang w:val="en-US" w:eastAsia="zh-CN"/>
        </w:rPr>
      </w:pPr>
    </w:p>
    <w:p w14:paraId="2AED051B">
      <w:pPr>
        <w:pStyle w:val="22"/>
        <w:rPr>
          <w:rFonts w:hint="eastAsia"/>
          <w:lang w:val="en-US" w:eastAsia="zh-CN"/>
        </w:rPr>
      </w:pPr>
    </w:p>
    <w:p w14:paraId="6492959B">
      <w:pPr>
        <w:pStyle w:val="22"/>
        <w:rPr>
          <w:lang w:val="en-US" w:eastAsia="zh-CN"/>
        </w:rPr>
      </w:pPr>
    </w:p>
    <w:p w14:paraId="64C48F5D">
      <w:pPr>
        <w:rPr>
          <w:b/>
          <w:color w:val="000000"/>
          <w:sz w:val="28"/>
          <w:szCs w:val="28"/>
        </w:rPr>
      </w:pPr>
    </w:p>
    <w:p w14:paraId="6D4C2C15">
      <w:pPr>
        <w:rPr>
          <w:b/>
          <w:color w:val="000000"/>
          <w:sz w:val="28"/>
          <w:szCs w:val="28"/>
        </w:rPr>
      </w:pPr>
    </w:p>
    <w:p w14:paraId="210B6C81">
      <w:pPr>
        <w:rPr>
          <w:b/>
          <w:color w:val="000000"/>
          <w:sz w:val="28"/>
          <w:szCs w:val="28"/>
        </w:rPr>
      </w:pPr>
    </w:p>
    <w:p w14:paraId="390120F6">
      <w:pPr>
        <w:ind w:left="0" w:leftChars="0" w:right="2719" w:rightChars="1295" w:firstLine="1898" w:firstLineChars="904"/>
        <w:jc w:val="distribute"/>
        <w:rPr>
          <w:b/>
          <w:color w:val="000000"/>
          <w:sz w:val="32"/>
          <w:szCs w:val="28"/>
        </w:rPr>
      </w:pPr>
      <w:r>
        <mc:AlternateContent>
          <mc:Choice Requires="wps">
            <w:drawing>
              <wp:anchor distT="0" distB="0" distL="114300" distR="114300" simplePos="0" relativeHeight="25166438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6B04E9E3">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438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rjuYvwQCAAAMBAAADgAAAGRycy9lMm9Eb2MueG1srVNL&#10;jhMxEN0jcQfLe9KZk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y9vppjhmJov&#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K47mL8EAgAADAQAAA4AAAAAAAAAAQAgAAAAJwEA&#10;AGRycy9lMm9Eb2MueG1sUEsFBgAAAAAGAAYAWQEAAJ0FAAAAAA==&#10;">
                <v:fill on="f" focussize="0,0"/>
                <v:stroke color="#FFFFFF" joinstyle="miter"/>
                <v:imagedata o:title=""/>
                <o:lock v:ext="edit" aspectratio="f"/>
                <v:textbox>
                  <w:txbxContent>
                    <w:p w14:paraId="6B04E9E3">
                      <w:pPr>
                        <w:rPr>
                          <w:rFonts w:hint="eastAsia"/>
                          <w:b/>
                          <w:bCs/>
                          <w:sz w:val="32"/>
                        </w:rPr>
                      </w:pPr>
                      <w:r>
                        <w:rPr>
                          <w:rFonts w:hint="eastAsia"/>
                          <w:b/>
                          <w:bCs/>
                          <w:sz w:val="32"/>
                        </w:rPr>
                        <w:t>制定</w:t>
                      </w:r>
                    </w:p>
                  </w:txbxContent>
                </v:textbox>
              </v:shape>
            </w:pict>
          </mc:Fallback>
        </mc:AlternateContent>
      </w:r>
      <w:r>
        <w:rPr>
          <w:b/>
          <w:color w:val="000000"/>
          <w:sz w:val="32"/>
          <w:szCs w:val="28"/>
        </w:rPr>
        <w:t>住房城乡建设部</w:t>
      </w:r>
    </w:p>
    <w:p w14:paraId="0F85459D">
      <w:pPr>
        <w:ind w:left="0" w:leftChars="0" w:right="2719" w:rightChars="1295" w:firstLine="1905" w:firstLineChars="593"/>
        <w:jc w:val="distribute"/>
        <w:rPr>
          <w:b/>
          <w:color w:val="000000"/>
          <w:sz w:val="32"/>
          <w:szCs w:val="28"/>
        </w:rPr>
      </w:pPr>
      <w:r>
        <w:rPr>
          <w:b/>
          <w:color w:val="000000"/>
          <w:sz w:val="32"/>
          <w:szCs w:val="28"/>
        </w:rPr>
        <w:t>国家工商行政管理总局</w:t>
      </w:r>
    </w:p>
    <w:p w14:paraId="223091DD">
      <w:pPr>
        <w:rPr>
          <w:b/>
          <w:color w:val="000000"/>
        </w:rPr>
      </w:pPr>
    </w:p>
    <w:p w14:paraId="646F6F7F">
      <w:pPr>
        <w:ind w:firstLine="2811" w:firstLineChars="1000"/>
        <w:jc w:val="left"/>
        <w:rPr>
          <w:rFonts w:hint="eastAsia" w:ascii="宋体" w:hAnsi="宋体"/>
          <w:b/>
          <w:sz w:val="28"/>
          <w:szCs w:val="28"/>
        </w:rPr>
      </w:pPr>
    </w:p>
    <w:p w14:paraId="28A921DF">
      <w:pPr>
        <w:pStyle w:val="4"/>
        <w:jc w:val="center"/>
        <w:rPr>
          <w:rFonts w:eastAsia="华文中宋"/>
          <w:b w:val="0"/>
          <w:color w:val="000000"/>
          <w:sz w:val="32"/>
          <w:szCs w:val="44"/>
        </w:rPr>
      </w:pPr>
      <w:r>
        <w:br w:type="page"/>
      </w:r>
      <w:bookmarkStart w:id="62" w:name="_Toc32279"/>
      <w:bookmarkStart w:id="63" w:name="_Toc26086"/>
      <w:bookmarkStart w:id="64" w:name="_Toc14234"/>
      <w:r>
        <w:rPr>
          <w:rFonts w:ascii="华文中宋" w:hAnsi="华文中宋" w:eastAsia="华文中宋"/>
          <w:sz w:val="32"/>
          <w:szCs w:val="44"/>
        </w:rPr>
        <w:t>第一部分 合同协议书</w:t>
      </w:r>
      <w:bookmarkEnd w:id="62"/>
      <w:bookmarkEnd w:id="63"/>
      <w:bookmarkEnd w:id="64"/>
    </w:p>
    <w:p w14:paraId="67FB76D3">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发包人（全称）：</w:t>
      </w:r>
      <w:r>
        <w:rPr>
          <w:rFonts w:hint="eastAsia" w:ascii="宋体" w:hAnsi="宋体" w:eastAsia="宋体" w:cs="宋体"/>
          <w:b/>
          <w:color w:val="000000"/>
          <w:sz w:val="21"/>
          <w:szCs w:val="21"/>
          <w:u w:val="single"/>
        </w:rPr>
        <w:t>                       </w:t>
      </w:r>
    </w:p>
    <w:p w14:paraId="37C920CD">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承包人（全称）：</w:t>
      </w:r>
      <w:r>
        <w:rPr>
          <w:rFonts w:hint="eastAsia" w:ascii="宋体" w:hAnsi="宋体" w:eastAsia="宋体" w:cs="宋体"/>
          <w:b/>
          <w:color w:val="000000"/>
          <w:sz w:val="21"/>
          <w:szCs w:val="21"/>
          <w:u w:val="single"/>
        </w:rPr>
        <w:t>                      </w:t>
      </w:r>
    </w:p>
    <w:p w14:paraId="44865CE4">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根据《中华人民共和国合同法》、《中华人民共和国建筑法》及有关法律规定，遵循平等、自愿、公平和诚实信用的原则，双方就</w:t>
      </w:r>
    </w:p>
    <w:p w14:paraId="14CF9117">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工程施工及有关事项协商一致，共同达成如下协议：</w:t>
      </w:r>
    </w:p>
    <w:p w14:paraId="65CF01C0">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Cs w:val="0"/>
          <w:color w:val="000000"/>
          <w:sz w:val="21"/>
          <w:szCs w:val="21"/>
        </w:rPr>
      </w:pPr>
      <w:bookmarkStart w:id="65" w:name="_Toc351203481"/>
      <w:r>
        <w:rPr>
          <w:rFonts w:hint="eastAsia" w:ascii="宋体" w:hAnsi="宋体" w:eastAsia="宋体" w:cs="宋体"/>
          <w:b w:val="0"/>
          <w:color w:val="000000"/>
          <w:sz w:val="21"/>
          <w:szCs w:val="21"/>
        </w:rPr>
        <w:t>一、工程概况</w:t>
      </w:r>
      <w:bookmarkEnd w:id="65"/>
    </w:p>
    <w:p w14:paraId="66C33E50">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1.工程名称</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3941D8B3">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2.工程地点：</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6DD6FAAB">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3.工程立项批准文号：</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14:paraId="3E343247">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4.资金来源：</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14:paraId="27EF110E">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5.工程内容：</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14:paraId="693AFB48">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rPr>
      </w:pPr>
      <w:r>
        <w:rPr>
          <w:rFonts w:hint="eastAsia" w:ascii="宋体" w:hAnsi="宋体" w:eastAsia="宋体" w:cs="宋体"/>
          <w:color w:val="000000"/>
          <w:sz w:val="21"/>
          <w:szCs w:val="21"/>
        </w:rPr>
        <w:t>群体工程应附《承包人承揽工程项目一览表》（附件1）。</w:t>
      </w:r>
    </w:p>
    <w:p w14:paraId="41BF6FB0">
      <w:pPr>
        <w:pageBreakBefore w:val="0"/>
        <w:widowControl w:val="0"/>
        <w:kinsoku/>
        <w:wordWrap/>
        <w:overflowPunct/>
        <w:topLinePunct w:val="0"/>
        <w:bidi w:val="0"/>
        <w:snapToGrid/>
        <w:spacing w:line="400" w:lineRule="exact"/>
        <w:ind w:firstLine="411" w:firstLineChars="19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6.工程承包范围：</w:t>
      </w:r>
    </w:p>
    <w:p w14:paraId="57A5C4F5">
      <w:pPr>
        <w:pageBreakBefore w:val="0"/>
        <w:widowControl w:val="0"/>
        <w:kinsoku/>
        <w:wordWrap/>
        <w:overflowPunct/>
        <w:topLinePunct w:val="0"/>
        <w:bidi w:val="0"/>
        <w:snapToGrid/>
        <w:spacing w:line="400" w:lineRule="exact"/>
        <w:ind w:firstLine="405" w:firstLineChars="19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p>
    <w:p w14:paraId="6AA075E7">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1488CB5B">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 w:val="0"/>
          <w:color w:val="000000"/>
          <w:sz w:val="21"/>
          <w:szCs w:val="21"/>
        </w:rPr>
      </w:pPr>
      <w:bookmarkStart w:id="66" w:name="_Toc351203482"/>
      <w:r>
        <w:rPr>
          <w:rFonts w:hint="eastAsia" w:ascii="宋体" w:hAnsi="宋体" w:eastAsia="宋体" w:cs="宋体"/>
          <w:b w:val="0"/>
          <w:color w:val="000000"/>
          <w:sz w:val="21"/>
          <w:szCs w:val="21"/>
        </w:rPr>
        <w:t>二、合同工期</w:t>
      </w:r>
      <w:bookmarkEnd w:id="66"/>
    </w:p>
    <w:p w14:paraId="67DEDAB5">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日。</w:t>
      </w:r>
    </w:p>
    <w:p w14:paraId="1E1D7E87">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日。</w:t>
      </w:r>
    </w:p>
    <w:p w14:paraId="15405804">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天。工期总日历天数与根据前述计划开竣工日期计算的工期天数不一致的，以工期总日历天数为准。</w:t>
      </w:r>
    </w:p>
    <w:p w14:paraId="1716C5D9">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Cs w:val="0"/>
          <w:color w:val="000000"/>
          <w:sz w:val="21"/>
          <w:szCs w:val="21"/>
        </w:rPr>
      </w:pPr>
      <w:bookmarkStart w:id="67" w:name="_Toc351203483"/>
      <w:r>
        <w:rPr>
          <w:rFonts w:hint="eastAsia" w:ascii="宋体" w:hAnsi="宋体" w:eastAsia="宋体" w:cs="宋体"/>
          <w:b w:val="0"/>
          <w:color w:val="000000"/>
          <w:sz w:val="21"/>
          <w:szCs w:val="21"/>
        </w:rPr>
        <w:t>三、质量标准</w:t>
      </w:r>
      <w:bookmarkEnd w:id="67"/>
    </w:p>
    <w:p w14:paraId="24AADE1B">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工程质量符合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标准。</w:t>
      </w:r>
    </w:p>
    <w:p w14:paraId="12AB2C2E">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Cs w:val="0"/>
          <w:color w:val="000000"/>
          <w:sz w:val="21"/>
          <w:szCs w:val="21"/>
        </w:rPr>
      </w:pPr>
      <w:bookmarkStart w:id="68" w:name="_Toc351203484"/>
      <w:r>
        <w:rPr>
          <w:rFonts w:hint="eastAsia" w:ascii="宋体" w:hAnsi="宋体" w:eastAsia="宋体" w:cs="宋体"/>
          <w:b w:val="0"/>
          <w:color w:val="000000"/>
          <w:sz w:val="21"/>
          <w:szCs w:val="21"/>
        </w:rPr>
        <w:t>四、签约合同价与合同价格形式</w:t>
      </w:r>
      <w:bookmarkEnd w:id="68"/>
      <w:r>
        <w:rPr>
          <w:rFonts w:hint="eastAsia" w:ascii="宋体" w:hAnsi="宋体" w:eastAsia="宋体" w:cs="宋体"/>
          <w:b w:val="0"/>
          <w:color w:val="000000"/>
          <w:sz w:val="21"/>
          <w:szCs w:val="21"/>
        </w:rPr>
        <w:tab/>
      </w:r>
    </w:p>
    <w:p w14:paraId="55BA868E">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1.签约合同价为：</w:t>
      </w:r>
    </w:p>
    <w:p w14:paraId="295FE593">
      <w:pPr>
        <w:pageBreakBefore w:val="0"/>
        <w:widowControl w:val="0"/>
        <w:kinsoku/>
        <w:wordWrap/>
        <w:overflowPunct/>
        <w:topLinePunct w:val="0"/>
        <w:bidi w:val="0"/>
        <w:snapToGrid/>
        <w:spacing w:line="400" w:lineRule="exact"/>
        <w:ind w:firstLine="525" w:firstLineChars="2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03530B16">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14:paraId="0C5A433B">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14:paraId="70C7E67B">
      <w:pPr>
        <w:pageBreakBefore w:val="0"/>
        <w:widowControl w:val="0"/>
        <w:kinsoku/>
        <w:wordWrap/>
        <w:overflowPunct/>
        <w:topLinePunct w:val="0"/>
        <w:bidi w:val="0"/>
        <w:snapToGrid/>
        <w:spacing w:line="400" w:lineRule="exact"/>
        <w:ind w:firstLine="945" w:firstLineChars="4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6CB92D11">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14:paraId="54873AB1">
      <w:pPr>
        <w:pageBreakBefore w:val="0"/>
        <w:widowControl w:val="0"/>
        <w:kinsoku/>
        <w:wordWrap/>
        <w:overflowPunct/>
        <w:topLinePunct w:val="0"/>
        <w:bidi w:val="0"/>
        <w:snapToGrid/>
        <w:spacing w:line="400" w:lineRule="exact"/>
        <w:ind w:firstLine="945" w:firstLineChars="4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1E40745">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14:paraId="6C067C1D">
      <w:pPr>
        <w:pageBreakBefore w:val="0"/>
        <w:widowControl w:val="0"/>
        <w:kinsoku/>
        <w:wordWrap/>
        <w:overflowPunct/>
        <w:topLinePunct w:val="0"/>
        <w:bidi w:val="0"/>
        <w:snapToGrid/>
        <w:spacing w:line="400" w:lineRule="exact"/>
        <w:ind w:firstLine="945" w:firstLineChars="4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6CCBE68F">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14:paraId="548A9974">
      <w:pPr>
        <w:pageBreakBefore w:val="0"/>
        <w:widowControl w:val="0"/>
        <w:kinsoku/>
        <w:wordWrap/>
        <w:overflowPunct/>
        <w:topLinePunct w:val="0"/>
        <w:bidi w:val="0"/>
        <w:snapToGrid/>
        <w:spacing w:line="400" w:lineRule="exact"/>
        <w:ind w:firstLine="945" w:firstLineChars="4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740A2896">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2.合同价格形式：</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2CF37710">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 w:val="0"/>
          <w:color w:val="000000"/>
          <w:sz w:val="21"/>
          <w:szCs w:val="21"/>
        </w:rPr>
      </w:pPr>
      <w:bookmarkStart w:id="69" w:name="_Toc351203485"/>
      <w:r>
        <w:rPr>
          <w:rFonts w:hint="eastAsia" w:ascii="宋体" w:hAnsi="宋体" w:eastAsia="宋体" w:cs="宋体"/>
          <w:b w:val="0"/>
          <w:color w:val="000000"/>
          <w:sz w:val="21"/>
          <w:szCs w:val="21"/>
        </w:rPr>
        <w:t>五、</w:t>
      </w:r>
      <w:bookmarkEnd w:id="69"/>
      <w:r>
        <w:rPr>
          <w:rFonts w:hint="eastAsia" w:ascii="宋体" w:hAnsi="宋体" w:eastAsia="宋体" w:cs="宋体"/>
          <w:b w:val="0"/>
          <w:color w:val="000000"/>
          <w:sz w:val="21"/>
          <w:szCs w:val="21"/>
        </w:rPr>
        <w:t>项目经理</w:t>
      </w:r>
    </w:p>
    <w:p w14:paraId="4D775488">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442E03EB">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Cs w:val="0"/>
          <w:color w:val="000000"/>
          <w:sz w:val="21"/>
          <w:szCs w:val="21"/>
        </w:rPr>
      </w:pPr>
      <w:bookmarkStart w:id="70" w:name="_Toc351203486"/>
      <w:r>
        <w:rPr>
          <w:rFonts w:hint="eastAsia" w:ascii="宋体" w:hAnsi="宋体" w:eastAsia="宋体" w:cs="宋体"/>
          <w:b w:val="0"/>
          <w:color w:val="000000"/>
          <w:sz w:val="21"/>
          <w:szCs w:val="21"/>
        </w:rPr>
        <w:t>六、合同文件构成</w:t>
      </w:r>
      <w:bookmarkEnd w:id="70"/>
    </w:p>
    <w:p w14:paraId="21DC66EE">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本协议书与下列文件一起构成合同文件：</w:t>
      </w:r>
    </w:p>
    <w:p w14:paraId="4F5D97D7">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（1）中标通知书（如果有）；</w:t>
      </w:r>
    </w:p>
    <w:p w14:paraId="46077F34">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（2）投标函及其附录（如果有）； </w:t>
      </w:r>
    </w:p>
    <w:p w14:paraId="55832A37">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14:paraId="2C9CF214">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14:paraId="16CCA31D">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14:paraId="1B72AE60">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）已标价工程量清单或预算书；</w:t>
      </w:r>
    </w:p>
    <w:p w14:paraId="6E3245F5">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）其他合同文件。</w:t>
      </w:r>
    </w:p>
    <w:p w14:paraId="28F982A8">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在合同订立及履行过程中形成的与合同有关的文件均构成合同文件组成部分。</w:t>
      </w:r>
    </w:p>
    <w:p w14:paraId="79FB45B1">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上述各项合同文件包括合同当事人就该项合同文件所作出的补充和修改，属于同一类内容的文件，应以最新签署的为准。专用合同条款及其附件须经合同当事人签字或盖章。</w:t>
      </w:r>
    </w:p>
    <w:p w14:paraId="6BC99427">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 w:val="0"/>
          <w:bCs w:val="0"/>
          <w:color w:val="000000"/>
          <w:sz w:val="21"/>
          <w:szCs w:val="21"/>
        </w:rPr>
      </w:pPr>
      <w:bookmarkStart w:id="71" w:name="_Toc351203487"/>
      <w:r>
        <w:rPr>
          <w:rFonts w:hint="eastAsia" w:ascii="宋体" w:hAnsi="宋体" w:eastAsia="宋体" w:cs="宋体"/>
          <w:b w:val="0"/>
          <w:color w:val="000000"/>
          <w:sz w:val="21"/>
          <w:szCs w:val="21"/>
        </w:rPr>
        <w:t>七、承诺</w:t>
      </w:r>
      <w:bookmarkEnd w:id="71"/>
    </w:p>
    <w:p w14:paraId="4D8E7A26">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1.发包人承诺按照法律规定履行项目审批手续、筹集工程建设资金并按照合同约定的期限和方式支付合同价款。</w:t>
      </w:r>
    </w:p>
    <w:p w14:paraId="45456E4A">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2.承包人承诺按照法律规定及合同约定组织完成工程施工，确保工程质量和安全，不进行转包及违法分包，并在缺陷责任期及保修期内承担相应的工程维修责任。</w:t>
      </w:r>
    </w:p>
    <w:p w14:paraId="39749606">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3.发包人和承包人通过招投标形式签订合同的，双方理解并承诺不再就同一工程另行签订与合同实质性内容相背离的协议。</w:t>
      </w:r>
    </w:p>
    <w:p w14:paraId="68B7DE4C">
      <w:pPr>
        <w:pageBreakBefore w:val="0"/>
        <w:widowControl w:val="0"/>
        <w:kinsoku/>
        <w:wordWrap/>
        <w:overflowPunct/>
        <w:topLinePunct w:val="0"/>
        <w:bidi w:val="0"/>
        <w:snapToGrid/>
        <w:spacing w:line="400" w:lineRule="exact"/>
        <w:textAlignment w:val="auto"/>
        <w:rPr>
          <w:rFonts w:hint="eastAsia" w:ascii="宋体" w:hAnsi="宋体" w:eastAsia="宋体" w:cs="宋体"/>
          <w:bCs/>
          <w:color w:val="000000"/>
          <w:sz w:val="21"/>
          <w:szCs w:val="21"/>
        </w:rPr>
      </w:pPr>
      <w:bookmarkStart w:id="72" w:name="_Toc351203488"/>
      <w:r>
        <w:rPr>
          <w:rFonts w:hint="eastAsia" w:ascii="宋体" w:hAnsi="宋体" w:eastAsia="宋体" w:cs="宋体"/>
          <w:b/>
          <w:color w:val="000000"/>
          <w:sz w:val="21"/>
          <w:szCs w:val="21"/>
        </w:rPr>
        <w:t>八、词语含义</w:t>
      </w:r>
      <w:bookmarkEnd w:id="72"/>
    </w:p>
    <w:p w14:paraId="52376266">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本协议书中词语含义与第二部分通用合同条款中赋予的含义相同。</w:t>
      </w:r>
    </w:p>
    <w:p w14:paraId="4A4A6C04">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Cs w:val="0"/>
          <w:color w:val="000000"/>
          <w:sz w:val="21"/>
          <w:szCs w:val="21"/>
        </w:rPr>
      </w:pPr>
      <w:bookmarkStart w:id="73" w:name="_Toc351203489"/>
      <w:r>
        <w:rPr>
          <w:rFonts w:hint="eastAsia" w:ascii="宋体" w:hAnsi="宋体" w:eastAsia="宋体" w:cs="宋体"/>
          <w:b w:val="0"/>
          <w:color w:val="000000"/>
          <w:sz w:val="21"/>
          <w:szCs w:val="21"/>
        </w:rPr>
        <w:t>九、签订时间</w:t>
      </w:r>
      <w:bookmarkEnd w:id="73"/>
    </w:p>
    <w:p w14:paraId="3D588F70">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本合同于</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日签订。</w:t>
      </w:r>
    </w:p>
    <w:p w14:paraId="6B498028">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Cs w:val="0"/>
          <w:color w:val="000000"/>
          <w:sz w:val="21"/>
          <w:szCs w:val="21"/>
        </w:rPr>
      </w:pPr>
      <w:bookmarkStart w:id="74" w:name="_Toc351203490"/>
      <w:r>
        <w:rPr>
          <w:rFonts w:hint="eastAsia" w:ascii="宋体" w:hAnsi="宋体" w:eastAsia="宋体" w:cs="宋体"/>
          <w:b w:val="0"/>
          <w:color w:val="000000"/>
          <w:sz w:val="21"/>
          <w:szCs w:val="21"/>
        </w:rPr>
        <w:t>十、签订地点</w:t>
      </w:r>
      <w:bookmarkEnd w:id="74"/>
    </w:p>
    <w:p w14:paraId="7A4E96CB">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本合同在</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签订。</w:t>
      </w:r>
    </w:p>
    <w:p w14:paraId="0B020959">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Cs w:val="0"/>
          <w:color w:val="000000"/>
          <w:sz w:val="21"/>
          <w:szCs w:val="21"/>
        </w:rPr>
      </w:pPr>
      <w:bookmarkStart w:id="75" w:name="_Toc351203491"/>
      <w:r>
        <w:rPr>
          <w:rFonts w:hint="eastAsia" w:ascii="宋体" w:hAnsi="宋体" w:eastAsia="宋体" w:cs="宋体"/>
          <w:b w:val="0"/>
          <w:color w:val="000000"/>
          <w:sz w:val="21"/>
          <w:szCs w:val="21"/>
        </w:rPr>
        <w:t>十一、补充协议</w:t>
      </w:r>
      <w:bookmarkEnd w:id="75"/>
    </w:p>
    <w:p w14:paraId="6074D7A7">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Cs/>
          <w:color w:val="000000"/>
          <w:sz w:val="21"/>
          <w:szCs w:val="21"/>
        </w:rPr>
        <w:t>合同未尽事宜，合同当事人另行签订补充协议，补充协议是合同的组成部分。</w:t>
      </w:r>
    </w:p>
    <w:p w14:paraId="42420E5C">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Cs w:val="0"/>
          <w:color w:val="000000"/>
          <w:sz w:val="21"/>
          <w:szCs w:val="21"/>
        </w:rPr>
      </w:pPr>
      <w:bookmarkStart w:id="76" w:name="_Toc351203492"/>
      <w:r>
        <w:rPr>
          <w:rFonts w:hint="eastAsia" w:ascii="宋体" w:hAnsi="宋体" w:eastAsia="宋体" w:cs="宋体"/>
          <w:b w:val="0"/>
          <w:color w:val="000000"/>
          <w:sz w:val="21"/>
          <w:szCs w:val="21"/>
        </w:rPr>
        <w:t>十二、合同生效</w:t>
      </w:r>
      <w:bookmarkEnd w:id="76"/>
    </w:p>
    <w:p w14:paraId="5F85382F">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本合同自</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生效。</w:t>
      </w:r>
    </w:p>
    <w:p w14:paraId="747F18EE">
      <w:pPr>
        <w:pStyle w:val="6"/>
        <w:pageBreakBefore w:val="0"/>
        <w:widowControl w:val="0"/>
        <w:kinsoku/>
        <w:wordWrap/>
        <w:overflowPunct/>
        <w:topLinePunct w:val="0"/>
        <w:bidi w:val="0"/>
        <w:snapToGrid/>
        <w:spacing w:before="0" w:after="0" w:line="400" w:lineRule="exact"/>
        <w:textAlignment w:val="auto"/>
        <w:rPr>
          <w:rFonts w:hint="eastAsia" w:ascii="宋体" w:hAnsi="宋体" w:eastAsia="宋体" w:cs="宋体"/>
          <w:bCs w:val="0"/>
          <w:color w:val="000000"/>
          <w:sz w:val="21"/>
          <w:szCs w:val="21"/>
        </w:rPr>
      </w:pPr>
      <w:bookmarkStart w:id="77" w:name="_Toc351203493"/>
      <w:r>
        <w:rPr>
          <w:rFonts w:hint="eastAsia" w:ascii="宋体" w:hAnsi="宋体" w:eastAsia="宋体" w:cs="宋体"/>
          <w:b w:val="0"/>
          <w:color w:val="000000"/>
          <w:sz w:val="21"/>
          <w:szCs w:val="21"/>
        </w:rPr>
        <w:t>十三、合同份数</w:t>
      </w:r>
      <w:bookmarkEnd w:id="77"/>
    </w:p>
    <w:p w14:paraId="64476F7C">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本合同一式</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份，均具有同等法律效力，发包人执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份，承包人执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w:t>
      </w:r>
    </w:p>
    <w:p w14:paraId="2F6404D0">
      <w:pPr>
        <w:pageBreakBefore w:val="0"/>
        <w:widowControl w:val="0"/>
        <w:kinsoku/>
        <w:wordWrap/>
        <w:overflowPunct/>
        <w:topLinePunct w:val="0"/>
        <w:bidi w:val="0"/>
        <w:snapToGrid/>
        <w:spacing w:line="400" w:lineRule="exact"/>
        <w:textAlignment w:val="auto"/>
        <w:rPr>
          <w:rFonts w:hint="eastAsia" w:ascii="宋体" w:hAnsi="宋体" w:eastAsia="宋体" w:cs="宋体"/>
          <w:bCs/>
          <w:color w:val="000000"/>
          <w:sz w:val="21"/>
          <w:szCs w:val="21"/>
        </w:rPr>
      </w:pPr>
    </w:p>
    <w:p w14:paraId="76C19DC5">
      <w:pPr>
        <w:pageBreakBefore w:val="0"/>
        <w:widowControl w:val="0"/>
        <w:kinsoku/>
        <w:wordWrap/>
        <w:overflowPunct/>
        <w:topLinePunct w:val="0"/>
        <w:bidi w:val="0"/>
        <w:snapToGrid/>
        <w:spacing w:line="400" w:lineRule="exact"/>
        <w:textAlignment w:val="auto"/>
        <w:rPr>
          <w:rFonts w:hint="eastAsia" w:ascii="宋体" w:hAnsi="宋体" w:eastAsia="宋体" w:cs="宋体"/>
          <w:bCs/>
          <w:color w:val="000000"/>
          <w:sz w:val="21"/>
          <w:szCs w:val="21"/>
        </w:rPr>
      </w:pPr>
    </w:p>
    <w:p w14:paraId="5E6FD401">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p>
    <w:p w14:paraId="3EAFDADD">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  (公章)             承包人：  (公章)</w:t>
      </w:r>
    </w:p>
    <w:p w14:paraId="12F1BEE6">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w:t>
      </w:r>
    </w:p>
    <w:p w14:paraId="2F2E9021">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  法定代表人或其委托代理人：</w:t>
      </w:r>
    </w:p>
    <w:p w14:paraId="4FD9026C">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（签字）                    （签字）</w:t>
      </w:r>
    </w:p>
    <w:p w14:paraId="27BFE07E">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u w:val="single"/>
        </w:rPr>
      </w:pPr>
    </w:p>
    <w:p w14:paraId="008B2E30">
      <w:pPr>
        <w:pageBreakBefore w:val="0"/>
        <w:widowControl w:val="0"/>
        <w:tabs>
          <w:tab w:val="left" w:pos="4410"/>
        </w:tabs>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w:t>
      </w:r>
    </w:p>
    <w:p w14:paraId="37FC261C">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地  址：</w:t>
      </w:r>
      <w:r>
        <w:rPr>
          <w:rFonts w:hint="eastAsia" w:ascii="宋体" w:hAnsi="宋体" w:eastAsia="宋体" w:cs="宋体"/>
          <w:color w:val="000000"/>
          <w:sz w:val="21"/>
          <w:szCs w:val="21"/>
          <w:u w:val="single"/>
        </w:rPr>
        <w:t xml:space="preserve">        </w:t>
      </w:r>
    </w:p>
    <w:p w14:paraId="36FA6259">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rPr>
        <w:t xml:space="preserve">   </w:t>
      </w:r>
    </w:p>
    <w:p w14:paraId="33F869AC">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u w:val="single"/>
        </w:rPr>
        <w:t xml:space="preserve">             </w:t>
      </w:r>
    </w:p>
    <w:p w14:paraId="418A89F9">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w:t>
      </w:r>
      <w:r>
        <w:rPr>
          <w:rFonts w:hint="eastAsia" w:ascii="宋体" w:hAnsi="宋体" w:eastAsia="宋体" w:cs="宋体"/>
          <w:color w:val="000000"/>
          <w:sz w:val="21"/>
          <w:szCs w:val="21"/>
          <w:u w:val="single"/>
        </w:rPr>
        <w:t xml:space="preserve">             </w:t>
      </w:r>
    </w:p>
    <w:p w14:paraId="6C07ABF2">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w:t>
      </w:r>
    </w:p>
    <w:p w14:paraId="61E3C968">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   </w:t>
      </w:r>
    </w:p>
    <w:p w14:paraId="3A2AADAF">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电子信箱：</w:t>
      </w:r>
      <w:r>
        <w:rPr>
          <w:rFonts w:hint="eastAsia" w:ascii="宋体" w:hAnsi="宋体" w:eastAsia="宋体" w:cs="宋体"/>
          <w:color w:val="000000"/>
          <w:sz w:val="21"/>
          <w:szCs w:val="21"/>
          <w:u w:val="single"/>
        </w:rPr>
        <w:t xml:space="preserve">   </w:t>
      </w:r>
    </w:p>
    <w:p w14:paraId="11A52A7E">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rPr>
        <w:t xml:space="preserve">   </w:t>
      </w:r>
    </w:p>
    <w:p w14:paraId="3B717B43">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rPr>
        <w:t xml:space="preserve">     </w:t>
      </w:r>
    </w:p>
    <w:p w14:paraId="590535C6">
      <w:pPr>
        <w:jc w:val="center"/>
        <w:rPr>
          <w:rFonts w:ascii="华文中宋" w:hAnsi="华文中宋" w:eastAsia="华文中宋"/>
          <w:sz w:val="32"/>
          <w:szCs w:val="44"/>
        </w:rPr>
      </w:pPr>
      <w:r>
        <w:rPr>
          <w:rFonts w:hint="eastAsia" w:ascii="宋体" w:hAnsi="宋体" w:eastAsia="宋体" w:cs="宋体"/>
          <w:sz w:val="21"/>
          <w:szCs w:val="21"/>
        </w:rPr>
        <w:br w:type="page"/>
      </w:r>
      <w:bookmarkStart w:id="78" w:name="_Toc351203494"/>
      <w:r>
        <w:rPr>
          <w:rFonts w:ascii="华文中宋" w:hAnsi="华文中宋" w:eastAsia="华文中宋"/>
          <w:sz w:val="32"/>
          <w:szCs w:val="44"/>
        </w:rPr>
        <w:t>第二部分 通用合同条款</w:t>
      </w:r>
      <w:bookmarkEnd w:id="78"/>
      <w:r>
        <w:rPr>
          <w:rFonts w:hint="eastAsia" w:ascii="华文中宋" w:hAnsi="华文中宋" w:eastAsia="华文中宋"/>
          <w:sz w:val="32"/>
          <w:szCs w:val="44"/>
        </w:rPr>
        <w:t>（略）</w:t>
      </w:r>
    </w:p>
    <w:p w14:paraId="72AB5DF0">
      <w:pPr>
        <w:pStyle w:val="4"/>
        <w:jc w:val="center"/>
        <w:rPr>
          <w:rFonts w:hint="eastAsia" w:ascii="华文中宋" w:hAnsi="华文中宋" w:eastAsia="华文中宋"/>
          <w:sz w:val="44"/>
          <w:szCs w:val="44"/>
        </w:rPr>
      </w:pPr>
      <w:r>
        <w:br w:type="page"/>
      </w:r>
      <w:bookmarkStart w:id="79" w:name="_Toc6080"/>
      <w:bookmarkStart w:id="80" w:name="_Toc14483"/>
      <w:bookmarkStart w:id="81" w:name="_Toc156"/>
      <w:r>
        <w:rPr>
          <w:rFonts w:ascii="华文中宋" w:hAnsi="华文中宋" w:eastAsia="华文中宋"/>
          <w:sz w:val="44"/>
          <w:szCs w:val="44"/>
        </w:rPr>
        <w:t xml:space="preserve">第三部分 </w:t>
      </w:r>
      <w:r>
        <w:rPr>
          <w:rFonts w:hint="eastAsia" w:ascii="华文中宋" w:hAnsi="华文中宋" w:eastAsia="华文中宋"/>
          <w:sz w:val="44"/>
          <w:szCs w:val="44"/>
        </w:rPr>
        <w:t>专用合同条款</w:t>
      </w:r>
      <w:bookmarkEnd w:id="79"/>
      <w:bookmarkEnd w:id="80"/>
      <w:bookmarkEnd w:id="81"/>
    </w:p>
    <w:p w14:paraId="28BF5EEE">
      <w:pPr>
        <w:jc w:val="center"/>
      </w:pPr>
      <w:r>
        <w:rPr>
          <w:rFonts w:hint="eastAsia"/>
        </w:rPr>
        <w:t>（合同的专用条款内容以双方最终签订的合同为准）</w:t>
      </w:r>
    </w:p>
    <w:p w14:paraId="5D308F49">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82" w:name="_Toc351203633"/>
      <w:r>
        <w:rPr>
          <w:rFonts w:hint="eastAsia" w:ascii="宋体" w:hAnsi="宋体" w:eastAsia="宋体" w:cs="宋体"/>
          <w:b w:val="0"/>
          <w:color w:val="000000"/>
          <w:sz w:val="21"/>
          <w:szCs w:val="21"/>
        </w:rPr>
        <w:t>1</w:t>
      </w:r>
      <w:bookmarkStart w:id="83" w:name="_Toc296503156"/>
      <w:bookmarkStart w:id="84" w:name="_Toc297120456"/>
      <w:bookmarkStart w:id="85" w:name="_Toc296891196"/>
      <w:bookmarkStart w:id="86" w:name="_Toc297048342"/>
      <w:bookmarkStart w:id="87" w:name="_Toc296346657"/>
      <w:bookmarkStart w:id="88" w:name="_Toc296944495"/>
      <w:bookmarkStart w:id="89" w:name="_Toc292559361"/>
      <w:bookmarkStart w:id="90" w:name="_Toc296890984"/>
      <w:bookmarkStart w:id="91" w:name="_Toc292559866"/>
      <w:bookmarkStart w:id="92" w:name="_Toc296347155"/>
      <w:r>
        <w:rPr>
          <w:rFonts w:hint="eastAsia" w:ascii="宋体" w:hAnsi="宋体" w:eastAsia="宋体" w:cs="宋体"/>
          <w:b w:val="0"/>
          <w:color w:val="000000"/>
          <w:sz w:val="21"/>
          <w:szCs w:val="21"/>
        </w:rPr>
        <w:t>. 一般约定</w:t>
      </w:r>
      <w:bookmarkEnd w:id="82"/>
    </w:p>
    <w:bookmarkEnd w:id="83"/>
    <w:bookmarkEnd w:id="84"/>
    <w:bookmarkEnd w:id="85"/>
    <w:bookmarkEnd w:id="86"/>
    <w:bookmarkEnd w:id="87"/>
    <w:bookmarkEnd w:id="88"/>
    <w:bookmarkEnd w:id="89"/>
    <w:bookmarkEnd w:id="90"/>
    <w:bookmarkEnd w:id="91"/>
    <w:bookmarkEnd w:id="92"/>
    <w:p w14:paraId="1C2A56B0">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93" w:name="_Toc11809"/>
      <w:bookmarkStart w:id="94" w:name="_Toc16818"/>
      <w:bookmarkStart w:id="95" w:name="_Toc25476"/>
      <w:r>
        <w:rPr>
          <w:rFonts w:hint="eastAsia" w:ascii="宋体" w:hAnsi="宋体" w:eastAsia="宋体" w:cs="宋体"/>
          <w:color w:val="000000"/>
          <w:sz w:val="21"/>
          <w:szCs w:val="21"/>
        </w:rPr>
        <w:t>1.1 词语定义</w:t>
      </w:r>
      <w:bookmarkEnd w:id="93"/>
      <w:bookmarkEnd w:id="94"/>
      <w:bookmarkEnd w:id="95"/>
    </w:p>
    <w:p w14:paraId="02E2E9A8">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1.1.1合同</w:t>
      </w:r>
    </w:p>
    <w:p w14:paraId="5FAB4132">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1.1.1.10其他合同文件包括：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DC246B3">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1.1.2 合同当事人及其他相关方</w:t>
      </w:r>
    </w:p>
    <w:p w14:paraId="4CE7F066">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1.1.2.4监理人：</w:t>
      </w:r>
    </w:p>
    <w:p w14:paraId="52112DF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14:paraId="6CF89138">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6168A47C">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2A1D8CFC">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32EDA7B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2D62B92D">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1.1.2.5 设计人：</w:t>
      </w:r>
    </w:p>
    <w:p w14:paraId="2889FB4B">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14:paraId="0812764C">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07F62C9A">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423EE2AF">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14:paraId="3AA51BBB">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08574923">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1.1.3 工程和设备</w:t>
      </w:r>
    </w:p>
    <w:p w14:paraId="5CCFBC9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1.1.3.7 作为施工现场组成部分的其他场所包括：</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07319D0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1.1.3.9 永久占地包括：</w:t>
      </w:r>
      <w:r>
        <w:rPr>
          <w:rFonts w:hint="eastAsia" w:ascii="宋体" w:hAnsi="宋体" w:eastAsia="宋体" w:cs="宋体"/>
          <w:color w:val="000000"/>
          <w:sz w:val="21"/>
          <w:szCs w:val="21"/>
          <w:u w:val="single"/>
        </w:rPr>
        <w:t xml:space="preserve">                        </w:t>
      </w:r>
      <w:r>
        <w:rPr>
          <w:rFonts w:hint="eastAsia" w:ascii="宋体" w:hAnsi="宋体" w:eastAsia="宋体" w:cs="宋体"/>
          <w:color w:val="000000"/>
          <w:kern w:val="0"/>
          <w:sz w:val="21"/>
          <w:szCs w:val="21"/>
        </w:rPr>
        <w:t>。</w:t>
      </w:r>
    </w:p>
    <w:p w14:paraId="35273C4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1.1.3.10 临时占地包括：</w:t>
      </w:r>
      <w:r>
        <w:rPr>
          <w:rFonts w:hint="eastAsia" w:ascii="宋体" w:hAnsi="宋体" w:eastAsia="宋体" w:cs="宋体"/>
          <w:color w:val="000000"/>
          <w:sz w:val="21"/>
          <w:szCs w:val="21"/>
          <w:u w:val="single"/>
        </w:rPr>
        <w:t xml:space="preserve">                       </w:t>
      </w:r>
      <w:r>
        <w:rPr>
          <w:rFonts w:hint="eastAsia" w:ascii="宋体" w:hAnsi="宋体" w:eastAsia="宋体" w:cs="宋体"/>
          <w:color w:val="000000"/>
          <w:kern w:val="0"/>
          <w:sz w:val="21"/>
          <w:szCs w:val="21"/>
        </w:rPr>
        <w:t>。</w:t>
      </w:r>
    </w:p>
    <w:p w14:paraId="7BFCA52B">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1.3法律 </w:t>
      </w:r>
    </w:p>
    <w:p w14:paraId="0E5DFF81">
      <w:pPr>
        <w:pageBreakBefore w:val="0"/>
        <w:widowControl w:val="0"/>
        <w:kinsoku/>
        <w:wordWrap/>
        <w:overflowPunct/>
        <w:topLinePunct w:val="0"/>
        <w:autoSpaceDE w:val="0"/>
        <w:autoSpaceDN w:val="0"/>
        <w:bidi w:val="0"/>
        <w:adjustRightInd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适用于合同的其他规范性文件：</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169AB22">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 标准和规范</w:t>
      </w:r>
    </w:p>
    <w:p w14:paraId="02FCC9C5">
      <w:pPr>
        <w:pageBreakBefore w:val="0"/>
        <w:widowControl w:val="0"/>
        <w:kinsoku/>
        <w:wordWrap/>
        <w:overflowPunct/>
        <w:topLinePunct w:val="0"/>
        <w:bidi w:val="0"/>
        <w:snapToGrid/>
        <w:spacing w:line="400" w:lineRule="exact"/>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1.4.1适用于工程的标准规范包括：</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68434BE4">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kern w:val="0"/>
          <w:sz w:val="21"/>
          <w:szCs w:val="21"/>
        </w:rPr>
      </w:pPr>
      <w:bookmarkStart w:id="96" w:name="_Toc18075"/>
      <w:bookmarkStart w:id="97" w:name="_Toc4877"/>
      <w:bookmarkStart w:id="98" w:name="_Toc14580"/>
      <w:r>
        <w:rPr>
          <w:rFonts w:hint="eastAsia" w:ascii="宋体" w:hAnsi="宋体" w:eastAsia="宋体" w:cs="宋体"/>
          <w:color w:val="000000"/>
          <w:kern w:val="0"/>
          <w:sz w:val="21"/>
          <w:szCs w:val="21"/>
        </w:rPr>
        <w:t>1.4.2 发包人提供国外标准、规范的名称：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bookmarkEnd w:id="96"/>
      <w:bookmarkEnd w:id="97"/>
      <w:bookmarkEnd w:id="98"/>
    </w:p>
    <w:p w14:paraId="77A7F2FF">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发包人提供国外标准、规范的份数：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4E5FE85">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发包人提供国外标准、规范的名称：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4636E028">
      <w:pPr>
        <w:pageBreakBefore w:val="0"/>
        <w:widowControl w:val="0"/>
        <w:kinsoku/>
        <w:wordWrap/>
        <w:overflowPunct/>
        <w:topLinePunct w:val="0"/>
        <w:bidi w:val="0"/>
        <w:snapToGrid/>
        <w:spacing w:line="400" w:lineRule="exact"/>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1.4.3发包人对工程的技术标准和功能要求的特殊要求：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6C755B7">
      <w:pPr>
        <w:pageBreakBefore w:val="0"/>
        <w:widowControl w:val="0"/>
        <w:kinsoku/>
        <w:wordWrap/>
        <w:overflowPunct/>
        <w:topLinePunct w:val="0"/>
        <w:bidi w:val="0"/>
        <w:snapToGrid/>
        <w:spacing w:line="400" w:lineRule="exact"/>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 合同文件的优先顺序</w:t>
      </w:r>
    </w:p>
    <w:p w14:paraId="610DBA8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合同文件组成及优先顺序为：</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7AC952BD">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99" w:name="_Toc21896"/>
      <w:bookmarkStart w:id="100" w:name="_Toc3080"/>
      <w:bookmarkStart w:id="101" w:name="_Toc22106"/>
      <w:r>
        <w:rPr>
          <w:rFonts w:hint="eastAsia" w:ascii="宋体" w:hAnsi="宋体" w:eastAsia="宋体" w:cs="宋体"/>
          <w:color w:val="000000"/>
          <w:sz w:val="21"/>
          <w:szCs w:val="21"/>
        </w:rPr>
        <w:t>1.6 承包人文件</w:t>
      </w:r>
      <w:bookmarkEnd w:id="99"/>
      <w:bookmarkEnd w:id="100"/>
      <w:bookmarkEnd w:id="101"/>
      <w:r>
        <w:rPr>
          <w:rFonts w:hint="eastAsia" w:ascii="宋体" w:hAnsi="宋体" w:eastAsia="宋体" w:cs="宋体"/>
          <w:color w:val="000000"/>
          <w:sz w:val="21"/>
          <w:szCs w:val="21"/>
        </w:rPr>
        <w:tab/>
      </w:r>
    </w:p>
    <w:p w14:paraId="2BB0F486">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1.6.4 承包人文件</w:t>
      </w:r>
    </w:p>
    <w:p w14:paraId="454C5751">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需要由承包人提供的文件，包括：</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14:paraId="57BC49C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承包人提供的文件的期限为：</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14:paraId="48B5A9B5">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承包人提供的文件的数量为：</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55CBB2E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承包人提供的文件的形式为：</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4391675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发包人审批承包人文件的期限：</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565E0455">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1.6.5 现场图纸准备</w:t>
      </w:r>
    </w:p>
    <w:p w14:paraId="1FEFD756">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关于现场图纸准备的约定：</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1BF58D74">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102" w:name="_Toc27171"/>
      <w:bookmarkStart w:id="103" w:name="_Toc7283"/>
      <w:bookmarkStart w:id="104" w:name="_Toc13417"/>
      <w:r>
        <w:rPr>
          <w:rFonts w:hint="eastAsia" w:ascii="宋体" w:hAnsi="宋体" w:eastAsia="宋体" w:cs="宋体"/>
          <w:color w:val="000000"/>
          <w:sz w:val="21"/>
          <w:szCs w:val="21"/>
        </w:rPr>
        <w:t>1.7 联络</w:t>
      </w:r>
      <w:bookmarkEnd w:id="102"/>
      <w:bookmarkEnd w:id="103"/>
      <w:bookmarkEnd w:id="104"/>
    </w:p>
    <w:p w14:paraId="4FE60122">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1.7.1发包人和承包人应当在</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天内将与合同有关的通知、批准、证明、证书、指示、指令、要求、请求、同意、意见、确定和决定等书面函件送达对方当事人。</w:t>
      </w:r>
    </w:p>
    <w:p w14:paraId="6F73B463">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1.7.2 发包人接收文件的地点：</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14:paraId="326C69D5">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发包人指定的接收人为：</w:t>
      </w:r>
      <w:r>
        <w:rPr>
          <w:rFonts w:hint="eastAsia" w:ascii="宋体" w:hAnsi="宋体" w:eastAsia="宋体" w:cs="宋体"/>
          <w:color w:val="000000"/>
          <w:sz w:val="21"/>
          <w:szCs w:val="21"/>
          <w:u w:val="single"/>
        </w:rPr>
        <w:t>               </w:t>
      </w:r>
      <w:r>
        <w:rPr>
          <w:rFonts w:hint="eastAsia" w:ascii="宋体" w:hAnsi="宋体" w:eastAsia="宋体" w:cs="宋体"/>
          <w:color w:val="000000"/>
          <w:kern w:val="0"/>
          <w:sz w:val="21"/>
          <w:szCs w:val="21"/>
        </w:rPr>
        <w:t>。</w:t>
      </w:r>
    </w:p>
    <w:p w14:paraId="31EDBF3F">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承包人接收文件的地点：</w:t>
      </w:r>
      <w:r>
        <w:rPr>
          <w:rFonts w:hint="eastAsia" w:ascii="宋体" w:hAnsi="宋体" w:eastAsia="宋体" w:cs="宋体"/>
          <w:color w:val="000000"/>
          <w:sz w:val="21"/>
          <w:szCs w:val="21"/>
          <w:u w:val="single"/>
        </w:rPr>
        <w:t>             </w:t>
      </w:r>
      <w:r>
        <w:rPr>
          <w:rFonts w:hint="eastAsia" w:ascii="宋体" w:hAnsi="宋体" w:eastAsia="宋体" w:cs="宋体"/>
          <w:color w:val="000000"/>
          <w:kern w:val="0"/>
          <w:sz w:val="21"/>
          <w:szCs w:val="21"/>
        </w:rPr>
        <w:t>；</w:t>
      </w:r>
    </w:p>
    <w:p w14:paraId="2B135F2D">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承包人指定的接收人为：</w:t>
      </w:r>
      <w:r>
        <w:rPr>
          <w:rFonts w:hint="eastAsia" w:ascii="宋体" w:hAnsi="宋体" w:eastAsia="宋体" w:cs="宋体"/>
          <w:color w:val="000000"/>
          <w:sz w:val="21"/>
          <w:szCs w:val="21"/>
          <w:u w:val="single"/>
        </w:rPr>
        <w:t>             </w:t>
      </w:r>
      <w:r>
        <w:rPr>
          <w:rFonts w:hint="eastAsia" w:ascii="宋体" w:hAnsi="宋体" w:eastAsia="宋体" w:cs="宋体"/>
          <w:color w:val="000000"/>
          <w:kern w:val="0"/>
          <w:sz w:val="21"/>
          <w:szCs w:val="21"/>
        </w:rPr>
        <w:t>。</w:t>
      </w:r>
    </w:p>
    <w:p w14:paraId="643ACB06">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监理人接收文件的地点：</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14:paraId="6F04AC5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监理人指定的接收人为：</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14:paraId="212CE506">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105" w:name="_Toc29661"/>
      <w:bookmarkStart w:id="106" w:name="_Toc18680"/>
      <w:bookmarkStart w:id="107" w:name="_Toc1787"/>
      <w:r>
        <w:rPr>
          <w:rFonts w:hint="eastAsia" w:ascii="宋体" w:hAnsi="宋体" w:eastAsia="宋体" w:cs="宋体"/>
          <w:color w:val="000000"/>
          <w:sz w:val="21"/>
          <w:szCs w:val="21"/>
        </w:rPr>
        <w:t>1.10 交通运输</w:t>
      </w:r>
      <w:bookmarkEnd w:id="105"/>
      <w:bookmarkEnd w:id="106"/>
      <w:bookmarkEnd w:id="107"/>
    </w:p>
    <w:p w14:paraId="259BE951">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sz w:val="21"/>
          <w:szCs w:val="21"/>
        </w:rPr>
      </w:pPr>
      <w:bookmarkStart w:id="108" w:name="_Toc31210"/>
      <w:bookmarkStart w:id="109" w:name="_Toc23310"/>
      <w:bookmarkStart w:id="110" w:name="_Toc7424"/>
      <w:r>
        <w:rPr>
          <w:rFonts w:hint="eastAsia" w:ascii="宋体" w:hAnsi="宋体" w:eastAsia="宋体" w:cs="宋体"/>
          <w:sz w:val="21"/>
          <w:szCs w:val="21"/>
        </w:rPr>
        <w:t>1</w:t>
      </w:r>
      <w:bookmarkStart w:id="111" w:name="_Toc312677986"/>
      <w:bookmarkStart w:id="112" w:name="_Toc303539100"/>
      <w:bookmarkStart w:id="113" w:name="_Toc318581155"/>
      <w:bookmarkStart w:id="114" w:name="_Toc304295521"/>
      <w:bookmarkStart w:id="115" w:name="_Toc300934943"/>
      <w:r>
        <w:rPr>
          <w:rFonts w:hint="eastAsia" w:ascii="宋体" w:hAnsi="宋体" w:eastAsia="宋体" w:cs="宋体"/>
          <w:sz w:val="21"/>
          <w:szCs w:val="21"/>
        </w:rPr>
        <w:t>.10.1 出入现场的权利</w:t>
      </w:r>
      <w:bookmarkEnd w:id="108"/>
      <w:bookmarkEnd w:id="109"/>
      <w:bookmarkEnd w:id="110"/>
    </w:p>
    <w:p w14:paraId="11371A20">
      <w:pPr>
        <w:pageBreakBefore w:val="0"/>
        <w:widowControl w:val="0"/>
        <w:kinsoku/>
        <w:wordWrap/>
        <w:overflowPunct/>
        <w:topLinePunct w:val="0"/>
        <w:bidi w:val="0"/>
        <w:snapToGrid/>
        <w:spacing w:line="400" w:lineRule="exact"/>
        <w:ind w:left="0"/>
        <w:textAlignment w:val="auto"/>
        <w:rPr>
          <w:rFonts w:hint="eastAsia" w:ascii="宋体" w:hAnsi="宋体" w:eastAsia="宋体" w:cs="宋体"/>
          <w:sz w:val="21"/>
          <w:szCs w:val="21"/>
        </w:rPr>
      </w:pPr>
      <w:r>
        <w:rPr>
          <w:rFonts w:hint="eastAsia" w:ascii="宋体" w:hAnsi="宋体" w:eastAsia="宋体" w:cs="宋体"/>
          <w:sz w:val="21"/>
          <w:szCs w:val="21"/>
        </w:rPr>
        <w:t>关于出入现场的权利的约定：</w:t>
      </w:r>
      <w:r>
        <w:rPr>
          <w:rFonts w:hint="eastAsia" w:ascii="宋体" w:hAnsi="宋体" w:eastAsia="宋体" w:cs="宋体"/>
          <w:color w:val="000000"/>
          <w:sz w:val="21"/>
          <w:szCs w:val="21"/>
          <w:u w:val="single"/>
        </w:rPr>
        <w:t>         </w:t>
      </w:r>
      <w:r>
        <w:rPr>
          <w:rFonts w:hint="eastAsia" w:ascii="宋体" w:hAnsi="宋体" w:eastAsia="宋体" w:cs="宋体"/>
          <w:sz w:val="21"/>
          <w:szCs w:val="21"/>
        </w:rPr>
        <w:t>。</w:t>
      </w:r>
    </w:p>
    <w:bookmarkEnd w:id="111"/>
    <w:bookmarkEnd w:id="112"/>
    <w:bookmarkEnd w:id="113"/>
    <w:bookmarkEnd w:id="114"/>
    <w:bookmarkEnd w:id="115"/>
    <w:p w14:paraId="4F16ECAD">
      <w:pPr>
        <w:pageBreakBefore w:val="0"/>
        <w:widowControl w:val="0"/>
        <w:kinsoku/>
        <w:wordWrap/>
        <w:overflowPunct/>
        <w:topLinePunct w:val="0"/>
        <w:bidi w:val="0"/>
        <w:snapToGrid/>
        <w:spacing w:line="400" w:lineRule="exact"/>
        <w:ind w:left="0" w:firstLine="420" w:firstLineChars="200"/>
        <w:jc w:val="left"/>
        <w:textAlignment w:val="auto"/>
        <w:outlineLvl w:val="0"/>
        <w:rPr>
          <w:rFonts w:hint="eastAsia" w:ascii="宋体" w:hAnsi="宋体" w:eastAsia="宋体" w:cs="宋体"/>
          <w:sz w:val="21"/>
          <w:szCs w:val="21"/>
        </w:rPr>
      </w:pPr>
      <w:bookmarkStart w:id="116" w:name="_Toc27332"/>
      <w:bookmarkStart w:id="117" w:name="_Toc30546"/>
      <w:bookmarkStart w:id="118" w:name="_Toc28459"/>
      <w:r>
        <w:rPr>
          <w:rFonts w:hint="eastAsia" w:ascii="宋体" w:hAnsi="宋体" w:eastAsia="宋体" w:cs="宋体"/>
          <w:sz w:val="21"/>
          <w:szCs w:val="21"/>
        </w:rPr>
        <w:t>1</w:t>
      </w:r>
      <w:bookmarkStart w:id="119" w:name="_Toc318581156"/>
      <w:bookmarkStart w:id="120" w:name="_Toc300934944"/>
      <w:bookmarkStart w:id="121" w:name="_Toc304295522"/>
      <w:bookmarkStart w:id="122" w:name="_Toc312677987"/>
      <w:bookmarkStart w:id="123" w:name="_Toc303539101"/>
      <w:r>
        <w:rPr>
          <w:rFonts w:hint="eastAsia" w:ascii="宋体" w:hAnsi="宋体" w:eastAsia="宋体" w:cs="宋体"/>
          <w:sz w:val="21"/>
          <w:szCs w:val="21"/>
        </w:rPr>
        <w:t>.10.3 场内交通</w:t>
      </w:r>
      <w:bookmarkEnd w:id="116"/>
      <w:bookmarkEnd w:id="117"/>
      <w:bookmarkEnd w:id="118"/>
    </w:p>
    <w:p w14:paraId="4E18A5F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关于场外交通和场内交通的边界的约定：</w:t>
      </w:r>
      <w:r>
        <w:rPr>
          <w:rFonts w:hint="eastAsia" w:ascii="宋体" w:hAnsi="宋体" w:eastAsia="宋体" w:cs="宋体"/>
          <w:color w:val="000000"/>
          <w:sz w:val="21"/>
          <w:szCs w:val="21"/>
          <w:u w:val="single"/>
        </w:rPr>
        <w:t></w:t>
      </w:r>
      <w:r>
        <w:rPr>
          <w:rFonts w:hint="eastAsia" w:ascii="宋体" w:hAnsi="宋体" w:eastAsia="宋体" w:cs="宋体"/>
          <w:sz w:val="21"/>
          <w:szCs w:val="21"/>
        </w:rPr>
        <w:t>。</w:t>
      </w:r>
    </w:p>
    <w:p w14:paraId="4C0CFF8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关于发包人向承包人免费提供满足工程施工需要的场内道路和交通设施的约定：</w:t>
      </w:r>
      <w:r>
        <w:rPr>
          <w:rFonts w:hint="eastAsia" w:ascii="宋体" w:hAnsi="宋体" w:eastAsia="宋体" w:cs="宋体"/>
          <w:color w:val="000000"/>
          <w:sz w:val="21"/>
          <w:szCs w:val="21"/>
          <w:u w:val="single"/>
        </w:rPr>
        <w:t></w:t>
      </w:r>
      <w:r>
        <w:rPr>
          <w:rFonts w:hint="eastAsia" w:ascii="宋体" w:hAnsi="宋体" w:eastAsia="宋体" w:cs="宋体"/>
          <w:sz w:val="21"/>
          <w:szCs w:val="21"/>
        </w:rPr>
        <w:t>。</w:t>
      </w:r>
      <w:bookmarkEnd w:id="119"/>
      <w:bookmarkEnd w:id="120"/>
      <w:bookmarkEnd w:id="121"/>
      <w:bookmarkEnd w:id="122"/>
      <w:bookmarkEnd w:id="123"/>
      <w:bookmarkStart w:id="124" w:name="_Toc318581157"/>
    </w:p>
    <w:p w14:paraId="32D4F53F">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1.10.4超大件和超重件的运输</w:t>
      </w:r>
    </w:p>
    <w:p w14:paraId="03B8E6E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运输超大件或超重件所需的道路和桥梁临时加固改造费用和其他有关费用由</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p>
    <w:bookmarkEnd w:id="124"/>
    <w:p w14:paraId="02B44C91">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125" w:name="_Toc11553"/>
      <w:bookmarkStart w:id="126" w:name="_Toc26312"/>
      <w:bookmarkStart w:id="127" w:name="_Toc22423"/>
      <w:r>
        <w:rPr>
          <w:rFonts w:hint="eastAsia" w:ascii="宋体" w:hAnsi="宋体" w:eastAsia="宋体" w:cs="宋体"/>
          <w:color w:val="000000"/>
          <w:sz w:val="21"/>
          <w:szCs w:val="21"/>
        </w:rPr>
        <w:t>1.11 知识产权</w:t>
      </w:r>
      <w:bookmarkEnd w:id="125"/>
      <w:bookmarkEnd w:id="126"/>
      <w:bookmarkEnd w:id="127"/>
    </w:p>
    <w:p w14:paraId="6ACED42C">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5F5B987">
      <w:pPr>
        <w:pageBreakBefore w:val="0"/>
        <w:widowControl w:val="0"/>
        <w:kinsoku/>
        <w:wordWrap/>
        <w:overflowPunct/>
        <w:topLinePunct w:val="0"/>
        <w:bidi w:val="0"/>
        <w:snapToGrid/>
        <w:spacing w:line="400" w:lineRule="exact"/>
        <w:ind w:lef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关于发包人提供的上述文件的使用限制的要求：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7ABC6F1">
      <w:pPr>
        <w:pageBreakBefore w:val="0"/>
        <w:widowControl w:val="0"/>
        <w:kinsoku/>
        <w:wordWrap/>
        <w:overflowPunct/>
        <w:topLinePunct w:val="0"/>
        <w:bidi w:val="0"/>
        <w:snapToGrid/>
        <w:spacing w:line="400" w:lineRule="exact"/>
        <w:ind w:left="0"/>
        <w:textAlignment w:val="auto"/>
        <w:outlineLvl w:val="0"/>
        <w:rPr>
          <w:rFonts w:hint="eastAsia" w:ascii="宋体" w:hAnsi="宋体" w:eastAsia="宋体" w:cs="宋体"/>
          <w:color w:val="000000"/>
          <w:sz w:val="21"/>
          <w:szCs w:val="21"/>
        </w:rPr>
      </w:pPr>
      <w:bookmarkStart w:id="128" w:name="_Toc13227"/>
      <w:bookmarkStart w:id="129" w:name="_Toc30024"/>
      <w:bookmarkStart w:id="130" w:name="_Toc11153"/>
      <w:r>
        <w:rPr>
          <w:rFonts w:hint="eastAsia" w:ascii="宋体" w:hAnsi="宋体" w:eastAsia="宋体" w:cs="宋体"/>
          <w:color w:val="000000"/>
          <w:sz w:val="21"/>
          <w:szCs w:val="21"/>
        </w:rPr>
        <w:t>1.11.2 关于承包人为实施工程所编制文件的著作权的归属：</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bookmarkEnd w:id="128"/>
      <w:bookmarkEnd w:id="129"/>
      <w:bookmarkEnd w:id="130"/>
    </w:p>
    <w:p w14:paraId="5F74F572">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关于承包人提供的上述文件的使用限制的要求：</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3623BE75">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kern w:val="0"/>
          <w:sz w:val="21"/>
          <w:szCs w:val="21"/>
        </w:rPr>
      </w:pPr>
      <w:bookmarkStart w:id="131" w:name="_Toc21938"/>
      <w:bookmarkStart w:id="132" w:name="_Toc17943"/>
      <w:bookmarkStart w:id="133" w:name="_Toc30254"/>
      <w:r>
        <w:rPr>
          <w:rFonts w:hint="eastAsia" w:ascii="宋体" w:hAnsi="宋体" w:eastAsia="宋体" w:cs="宋体"/>
          <w:color w:val="000000"/>
          <w:sz w:val="21"/>
          <w:szCs w:val="21"/>
        </w:rPr>
        <w:t>1.11.4 承包人在施工过程中所采用的专利、专有技术、技术秘密的使用费的承担方式：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bookmarkEnd w:id="131"/>
      <w:bookmarkEnd w:id="132"/>
      <w:bookmarkEnd w:id="133"/>
    </w:p>
    <w:p w14:paraId="0183B3E3">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1.13工程量清单错误的修正</w:t>
      </w:r>
    </w:p>
    <w:p w14:paraId="7CA48125">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出现工程量清单错误时，是否调整合同价格：</w:t>
      </w:r>
      <w:r>
        <w:rPr>
          <w:rFonts w:hint="eastAsia" w:ascii="宋体" w:hAnsi="宋体" w:eastAsia="宋体" w:cs="宋体"/>
          <w:color w:val="000000"/>
          <w:sz w:val="21"/>
          <w:szCs w:val="21"/>
          <w:u w:val="single"/>
        </w:rPr>
        <w:t xml:space="preserve">            </w:t>
      </w:r>
      <w:r>
        <w:rPr>
          <w:rFonts w:hint="eastAsia" w:ascii="宋体" w:hAnsi="宋体" w:eastAsia="宋体" w:cs="宋体"/>
          <w:color w:val="000000"/>
          <w:kern w:val="0"/>
          <w:sz w:val="21"/>
          <w:szCs w:val="21"/>
        </w:rPr>
        <w:t>。</w:t>
      </w:r>
    </w:p>
    <w:p w14:paraId="743B77E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允许调整合同价格的工程量偏差范围：</w:t>
      </w:r>
      <w:r>
        <w:rPr>
          <w:rFonts w:hint="eastAsia" w:ascii="宋体" w:hAnsi="宋体" w:eastAsia="宋体" w:cs="宋体"/>
          <w:color w:val="000000"/>
          <w:sz w:val="21"/>
          <w:szCs w:val="21"/>
          <w:u w:val="single"/>
        </w:rPr>
        <w:t xml:space="preserve">               </w:t>
      </w:r>
      <w:r>
        <w:rPr>
          <w:rFonts w:hint="eastAsia" w:ascii="宋体" w:hAnsi="宋体" w:eastAsia="宋体" w:cs="宋体"/>
          <w:color w:val="000000"/>
          <w:kern w:val="0"/>
          <w:sz w:val="21"/>
          <w:szCs w:val="21"/>
        </w:rPr>
        <w:t>。</w:t>
      </w:r>
    </w:p>
    <w:p w14:paraId="1AD0365D">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134" w:name="_Toc351203634"/>
      <w:r>
        <w:rPr>
          <w:rFonts w:hint="eastAsia" w:ascii="宋体" w:hAnsi="宋体" w:eastAsia="宋体" w:cs="宋体"/>
          <w:b w:val="0"/>
          <w:color w:val="000000"/>
          <w:sz w:val="21"/>
          <w:szCs w:val="21"/>
        </w:rPr>
        <w:t>2</w:t>
      </w:r>
      <w:bookmarkStart w:id="135" w:name="_Toc297120457"/>
      <w:bookmarkStart w:id="136" w:name="_Toc296503157"/>
      <w:bookmarkStart w:id="137" w:name="_Toc292559362"/>
      <w:bookmarkStart w:id="138" w:name="_Toc292559867"/>
      <w:bookmarkStart w:id="139" w:name="_Toc296944496"/>
      <w:bookmarkStart w:id="140" w:name="_Toc296890985"/>
      <w:bookmarkStart w:id="141" w:name="_Toc296346658"/>
      <w:bookmarkStart w:id="142" w:name="_Toc297048343"/>
      <w:bookmarkStart w:id="143" w:name="_Toc296347156"/>
      <w:bookmarkStart w:id="144" w:name="_Toc296891197"/>
      <w:r>
        <w:rPr>
          <w:rFonts w:hint="eastAsia" w:ascii="宋体" w:hAnsi="宋体" w:eastAsia="宋体" w:cs="宋体"/>
          <w:b w:val="0"/>
          <w:color w:val="000000"/>
          <w:sz w:val="21"/>
          <w:szCs w:val="21"/>
        </w:rPr>
        <w:t>. 发包人</w:t>
      </w:r>
      <w:bookmarkEnd w:id="134"/>
    </w:p>
    <w:bookmarkEnd w:id="135"/>
    <w:bookmarkEnd w:id="136"/>
    <w:bookmarkEnd w:id="137"/>
    <w:bookmarkEnd w:id="138"/>
    <w:bookmarkEnd w:id="139"/>
    <w:bookmarkEnd w:id="140"/>
    <w:bookmarkEnd w:id="141"/>
    <w:bookmarkEnd w:id="142"/>
    <w:bookmarkEnd w:id="143"/>
    <w:bookmarkEnd w:id="144"/>
    <w:p w14:paraId="75563921">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145" w:name="_Toc2295"/>
      <w:bookmarkStart w:id="146" w:name="_Toc5303"/>
      <w:bookmarkStart w:id="147" w:name="_Toc13058"/>
      <w:r>
        <w:rPr>
          <w:rFonts w:hint="eastAsia" w:ascii="宋体" w:hAnsi="宋体" w:eastAsia="宋体" w:cs="宋体"/>
          <w:color w:val="000000"/>
          <w:sz w:val="21"/>
          <w:szCs w:val="21"/>
        </w:rPr>
        <w:t>2.2 发包人代表</w:t>
      </w:r>
      <w:bookmarkEnd w:id="145"/>
      <w:bookmarkEnd w:id="146"/>
      <w:bookmarkEnd w:id="147"/>
    </w:p>
    <w:p w14:paraId="3A6BA5B7">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发包人代表：</w:t>
      </w:r>
    </w:p>
    <w:p w14:paraId="2A1FB0BA">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742365D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5E8615AA">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5B466F5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14:paraId="471FF3F8">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14:paraId="4E22440F">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4ED5F626">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发包人对发包人代表的授权范围如下：</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0FF9F73">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148" w:name="_Toc28"/>
      <w:bookmarkStart w:id="149" w:name="_Toc28461"/>
      <w:bookmarkStart w:id="150" w:name="_Toc24149"/>
      <w:r>
        <w:rPr>
          <w:rFonts w:hint="eastAsia" w:ascii="宋体" w:hAnsi="宋体" w:eastAsia="宋体" w:cs="宋体"/>
          <w:color w:val="000000"/>
          <w:sz w:val="21"/>
          <w:szCs w:val="21"/>
        </w:rPr>
        <w:t>2.4 施工现场、施工条件和基础资料的提供</w:t>
      </w:r>
      <w:bookmarkEnd w:id="148"/>
      <w:bookmarkEnd w:id="149"/>
      <w:bookmarkEnd w:id="150"/>
    </w:p>
    <w:p w14:paraId="1A89B7ED">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2.4.1 提供施工现场</w:t>
      </w:r>
    </w:p>
    <w:p w14:paraId="1E0A260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关于发包人移交施工现场的期限要求：</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4DE55424">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2.4.2 提供施工条件</w:t>
      </w:r>
    </w:p>
    <w:p w14:paraId="18C1B797">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关于发包人应负责提供施工所需要的条件，包括：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689D7DE">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151" w:name="_Toc10821"/>
      <w:bookmarkStart w:id="152" w:name="_Toc31841"/>
      <w:bookmarkStart w:id="153" w:name="_Toc27129"/>
      <w:r>
        <w:rPr>
          <w:rFonts w:hint="eastAsia" w:ascii="宋体" w:hAnsi="宋体" w:eastAsia="宋体" w:cs="宋体"/>
          <w:color w:val="000000"/>
          <w:sz w:val="21"/>
          <w:szCs w:val="21"/>
        </w:rPr>
        <w:t>2.5 资金来源证明及支付担保</w:t>
      </w:r>
      <w:bookmarkEnd w:id="151"/>
      <w:bookmarkEnd w:id="152"/>
      <w:bookmarkEnd w:id="153"/>
    </w:p>
    <w:p w14:paraId="5BBF1E98">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发包人提供资金来源证明的期限要求：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6A45F67">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发包人是否提供支付担保：</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1F4939A6">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发包人提供支付担保的形式：</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40E3062B">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154" w:name="_Toc351203635"/>
      <w:r>
        <w:rPr>
          <w:rFonts w:hint="eastAsia" w:ascii="宋体" w:hAnsi="宋体" w:eastAsia="宋体" w:cs="宋体"/>
          <w:b w:val="0"/>
          <w:color w:val="000000"/>
          <w:sz w:val="21"/>
          <w:szCs w:val="21"/>
        </w:rPr>
        <w:t>3</w:t>
      </w:r>
      <w:bookmarkStart w:id="155" w:name="_Toc297120458"/>
      <w:bookmarkStart w:id="156" w:name="_Toc296503158"/>
      <w:bookmarkStart w:id="157" w:name="_Toc296346659"/>
      <w:bookmarkStart w:id="158" w:name="_Toc296891198"/>
      <w:bookmarkStart w:id="159" w:name="_Toc296890986"/>
      <w:bookmarkStart w:id="160" w:name="_Toc297048344"/>
      <w:bookmarkStart w:id="161" w:name="_Toc296347157"/>
      <w:bookmarkStart w:id="162" w:name="_Toc292559868"/>
      <w:bookmarkStart w:id="163" w:name="_Toc292559363"/>
      <w:bookmarkStart w:id="164" w:name="_Toc296944497"/>
      <w:r>
        <w:rPr>
          <w:rFonts w:hint="eastAsia" w:ascii="宋体" w:hAnsi="宋体" w:eastAsia="宋体" w:cs="宋体"/>
          <w:b w:val="0"/>
          <w:color w:val="000000"/>
          <w:sz w:val="21"/>
          <w:szCs w:val="21"/>
        </w:rPr>
        <w:t>. 承包人</w:t>
      </w:r>
      <w:bookmarkEnd w:id="154"/>
    </w:p>
    <w:bookmarkEnd w:id="155"/>
    <w:bookmarkEnd w:id="156"/>
    <w:bookmarkEnd w:id="157"/>
    <w:bookmarkEnd w:id="158"/>
    <w:bookmarkEnd w:id="159"/>
    <w:bookmarkEnd w:id="160"/>
    <w:bookmarkEnd w:id="161"/>
    <w:bookmarkEnd w:id="162"/>
    <w:bookmarkEnd w:id="163"/>
    <w:bookmarkEnd w:id="164"/>
    <w:p w14:paraId="7DD7B75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3.1 承包人的一般义务</w:t>
      </w:r>
    </w:p>
    <w:p w14:paraId="4D54CE1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r>
        <w:rPr>
          <w:rFonts w:hint="eastAsia" w:ascii="宋体" w:hAnsi="宋体" w:eastAsia="宋体" w:cs="宋体"/>
          <w:color w:val="000000"/>
          <w:sz w:val="21"/>
          <w:szCs w:val="21"/>
        </w:rPr>
        <w:t>承包人提交的竣工资料的内容：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D27A51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承包人需要提交的竣工资料套数：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055B9AF">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承包人提交的竣工资料的费用承担：</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F0FCBCD">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承包人提交的竣工资料移交时间：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F4BF81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承包人提交的竣工资料形式要求：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17D8322">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（10）承包人应履行的其他义务：</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9D5A9F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 项目经理</w:t>
      </w:r>
    </w:p>
    <w:p w14:paraId="0064DBB2">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3.2.1 </w:t>
      </w:r>
      <w:r>
        <w:rPr>
          <w:rFonts w:hint="eastAsia" w:ascii="宋体" w:hAnsi="宋体" w:eastAsia="宋体" w:cs="宋体"/>
          <w:color w:val="000000"/>
          <w:sz w:val="21"/>
          <w:szCs w:val="21"/>
        </w:rPr>
        <w:t>项目经理：</w:t>
      </w:r>
    </w:p>
    <w:p w14:paraId="1B732CB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71A4E59F">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660A23A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建造师执业资格等级：</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2146850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建造师注册证书号：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1536275B">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建造师执业印章号：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305607D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安全生产考核合格证书号：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32D5628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6AAFC01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1924E313">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2B2992D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承包人对项目经理的授权范围如下：</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795196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关于项目经理每月在施工现场的时间要求：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C18BE8B">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承包人未提交劳动合同，以及没有为项目经理缴纳社会保险证明的违约责任：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w:t>
      </w:r>
    </w:p>
    <w:p w14:paraId="0EFD7C55">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项目经理未经批准，擅自离开施工现场的违约责任：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5874205">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3.2.3 承包人擅自更换项目经理的违约责任：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62E586C">
      <w:pPr>
        <w:pageBreakBefore w:val="0"/>
        <w:widowControl w:val="0"/>
        <w:kinsoku/>
        <w:wordWrap/>
        <w:overflowPunct/>
        <w:topLinePunct w:val="0"/>
        <w:bidi w:val="0"/>
        <w:snapToGrid/>
        <w:spacing w:line="400" w:lineRule="exact"/>
        <w:ind w:left="0"/>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bookmarkStart w:id="165" w:name="_Toc889"/>
      <w:bookmarkStart w:id="166" w:name="_Toc21928"/>
      <w:bookmarkStart w:id="167" w:name="_Toc20963"/>
      <w:r>
        <w:rPr>
          <w:rFonts w:hint="eastAsia" w:ascii="宋体" w:hAnsi="宋体" w:eastAsia="宋体" w:cs="宋体"/>
          <w:color w:val="000000"/>
          <w:sz w:val="21"/>
          <w:szCs w:val="21"/>
        </w:rPr>
        <w:t>3.2.4 承包人无正当理由拒绝更换项目经理的违约责任：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bookmarkEnd w:id="165"/>
      <w:bookmarkEnd w:id="166"/>
      <w:bookmarkEnd w:id="167"/>
    </w:p>
    <w:p w14:paraId="1349FF60">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 承包人人员</w:t>
      </w:r>
    </w:p>
    <w:p w14:paraId="35A4806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3.3.1 承包人提交项目管理机构及施工现场管理人员安排报告的期限：</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4850DA5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3.3.3 承包人无正当理由拒绝撤换主要施工管理人员的违约责任：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08014C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3.3.4 承包人主要施工管理人员离开施工现场的批准要求：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A8F87BA">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3.3.5承包人擅自更换主要施工管理人员的违约责任：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045AD5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承包人主要施工管理人员擅自离开施工现场的违约责任：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B346AD6">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bookmarkStart w:id="168" w:name="_Toc296890987"/>
      <w:bookmarkStart w:id="169" w:name="_Toc312677988"/>
      <w:bookmarkStart w:id="170" w:name="_Toc296944498"/>
      <w:bookmarkStart w:id="171" w:name="_Toc296891199"/>
      <w:bookmarkStart w:id="172" w:name="_Toc296503159"/>
      <w:bookmarkStart w:id="173" w:name="_Toc303539102"/>
      <w:bookmarkStart w:id="174" w:name="_Toc292559869"/>
      <w:bookmarkStart w:id="175" w:name="_Toc300934945"/>
      <w:bookmarkStart w:id="176" w:name="_Toc297048345"/>
      <w:bookmarkStart w:id="177" w:name="_Toc296347158"/>
      <w:bookmarkStart w:id="178" w:name="_Toc304295523"/>
      <w:bookmarkStart w:id="179" w:name="_Toc297123492"/>
      <w:bookmarkStart w:id="180" w:name="_Toc296346660"/>
      <w:bookmarkStart w:id="181" w:name="_Toc297120459"/>
      <w:bookmarkStart w:id="182" w:name="_Toc297216151"/>
      <w:bookmarkStart w:id="183" w:name="_Toc292559364"/>
      <w:r>
        <w:rPr>
          <w:rFonts w:hint="eastAsia" w:ascii="宋体" w:hAnsi="宋体" w:eastAsia="宋体" w:cs="宋体"/>
          <w:color w:val="000000"/>
          <w:sz w:val="21"/>
          <w:szCs w:val="21"/>
        </w:rPr>
        <w:t>.5 分包</w:t>
      </w: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327B886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bookmarkStart w:id="184" w:name="_Toc303539103"/>
      <w:bookmarkStart w:id="185" w:name="_Toc296346661"/>
      <w:bookmarkStart w:id="186" w:name="_Toc297216152"/>
      <w:bookmarkStart w:id="187" w:name="_Toc292559870"/>
      <w:bookmarkStart w:id="188" w:name="_Toc296890988"/>
      <w:bookmarkStart w:id="189" w:name="_Toc296347159"/>
      <w:bookmarkStart w:id="190" w:name="_Toc297048346"/>
      <w:bookmarkStart w:id="191" w:name="_Toc296503160"/>
      <w:bookmarkStart w:id="192" w:name="_Toc297123493"/>
      <w:bookmarkStart w:id="193" w:name="_Toc304295524"/>
      <w:bookmarkStart w:id="194" w:name="_Toc300934946"/>
      <w:bookmarkStart w:id="195" w:name="_Toc297120460"/>
      <w:bookmarkStart w:id="196" w:name="_Toc296944499"/>
      <w:bookmarkStart w:id="197" w:name="_Toc296891200"/>
      <w:bookmarkStart w:id="198" w:name="_Toc292559365"/>
      <w:bookmarkStart w:id="199" w:name="_Toc318581158"/>
      <w:bookmarkStart w:id="200" w:name="_Toc312677989"/>
      <w:r>
        <w:rPr>
          <w:rFonts w:hint="eastAsia" w:ascii="宋体" w:hAnsi="宋体" w:eastAsia="宋体" w:cs="宋体"/>
          <w:sz w:val="21"/>
          <w:szCs w:val="21"/>
        </w:rPr>
        <w:t>.5.1 分包的一般约定</w:t>
      </w:r>
    </w:p>
    <w:p w14:paraId="0125CA9E">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禁止分包的工程包括：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E82DAEC">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sz w:val="21"/>
          <w:szCs w:val="21"/>
        </w:rPr>
        <w:t>主体结构、关键性工作的范围：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Start w:id="201" w:name="_Toc296891201"/>
      <w:bookmarkStart w:id="202" w:name="_Toc296347160"/>
      <w:bookmarkStart w:id="203" w:name="_Toc296503161"/>
      <w:bookmarkStart w:id="204" w:name="_Toc304295525"/>
      <w:bookmarkStart w:id="205" w:name="_Toc297120461"/>
      <w:bookmarkStart w:id="206" w:name="_Toc297123494"/>
      <w:bookmarkStart w:id="207" w:name="_Toc297048347"/>
      <w:bookmarkStart w:id="208" w:name="_Toc297216153"/>
      <w:bookmarkStart w:id="209" w:name="_Toc300934947"/>
      <w:bookmarkStart w:id="210" w:name="_Toc296890989"/>
      <w:bookmarkStart w:id="211" w:name="_Toc296346662"/>
      <w:bookmarkStart w:id="212" w:name="_Toc303539104"/>
      <w:bookmarkStart w:id="213" w:name="_Toc296944500"/>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14:paraId="5A65E4BA">
      <w:pPr>
        <w:pageBreakBefore w:val="0"/>
        <w:widowControl w:val="0"/>
        <w:kinsoku/>
        <w:wordWrap/>
        <w:overflowPunct/>
        <w:topLinePunct w:val="0"/>
        <w:bidi w:val="0"/>
        <w:snapToGrid/>
        <w:spacing w:line="400" w:lineRule="exact"/>
        <w:ind w:left="0"/>
        <w:textAlignment w:val="auto"/>
        <w:rPr>
          <w:rFonts w:hint="eastAsia" w:ascii="宋体" w:hAnsi="宋体" w:eastAsia="宋体" w:cs="宋体"/>
          <w:sz w:val="21"/>
          <w:szCs w:val="21"/>
        </w:rPr>
      </w:pPr>
      <w:r>
        <w:rPr>
          <w:rFonts w:hint="eastAsia" w:ascii="宋体" w:hAnsi="宋体" w:eastAsia="宋体" w:cs="宋体"/>
          <w:sz w:val="21"/>
          <w:szCs w:val="21"/>
        </w:rPr>
        <w:t xml:space="preserve">    3</w:t>
      </w:r>
      <w:bookmarkStart w:id="214" w:name="_Toc318581159"/>
      <w:bookmarkStart w:id="215" w:name="_Toc312677990"/>
      <w:r>
        <w:rPr>
          <w:rFonts w:hint="eastAsia" w:ascii="宋体" w:hAnsi="宋体" w:eastAsia="宋体" w:cs="宋体"/>
          <w:sz w:val="21"/>
          <w:szCs w:val="21"/>
        </w:rPr>
        <w:t>.5.2分包的确定</w:t>
      </w:r>
    </w:p>
    <w:p w14:paraId="71C8A15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sz w:val="21"/>
          <w:szCs w:val="21"/>
        </w:rPr>
        <w:t>允许分包的专业工程包括：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2CB920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其他关于分包的约定：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1BEABE6">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3.5.4 分包合同价款</w:t>
      </w:r>
    </w:p>
    <w:p w14:paraId="678F0648">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关于分包合同价款支付的约定：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214"/>
    <w:bookmarkEnd w:id="215"/>
    <w:p w14:paraId="697B60E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3.6 工程照管与成品、半成品保护</w:t>
      </w:r>
    </w:p>
    <w:p w14:paraId="3224F725">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承包人负责照管工程及工程相关的材料、工程设备的起始时间：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24A7CB43">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承包人是否提供履约担保：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1B74FA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承包人提供履约担保的形式、金额及期限的：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92D1AE1">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216" w:name="_Toc351203636"/>
      <w:r>
        <w:rPr>
          <w:rFonts w:hint="eastAsia" w:ascii="宋体" w:hAnsi="宋体" w:eastAsia="宋体" w:cs="宋体"/>
          <w:b w:val="0"/>
          <w:color w:val="000000"/>
          <w:sz w:val="21"/>
          <w:szCs w:val="21"/>
        </w:rPr>
        <w:t>4</w:t>
      </w:r>
      <w:bookmarkStart w:id="217" w:name="_Toc296891202"/>
      <w:bookmarkStart w:id="218" w:name="_Toc296503162"/>
      <w:bookmarkStart w:id="219" w:name="_Toc296346663"/>
      <w:bookmarkStart w:id="220" w:name="_Toc297048348"/>
      <w:bookmarkStart w:id="221" w:name="_Toc296347161"/>
      <w:bookmarkStart w:id="222" w:name="_Toc292559871"/>
      <w:bookmarkStart w:id="223" w:name="_Toc267251413"/>
      <w:bookmarkStart w:id="224" w:name="_Toc296944501"/>
      <w:bookmarkStart w:id="225" w:name="_Toc292559366"/>
      <w:bookmarkStart w:id="226" w:name="_Toc296890990"/>
      <w:bookmarkStart w:id="227" w:name="_Toc297120462"/>
      <w:r>
        <w:rPr>
          <w:rFonts w:hint="eastAsia" w:ascii="宋体" w:hAnsi="宋体" w:eastAsia="宋体" w:cs="宋体"/>
          <w:b w:val="0"/>
          <w:color w:val="000000"/>
          <w:sz w:val="21"/>
          <w:szCs w:val="21"/>
        </w:rPr>
        <w:t>. 监</w:t>
      </w:r>
      <w:bookmarkEnd w:id="217"/>
      <w:bookmarkEnd w:id="218"/>
      <w:bookmarkEnd w:id="219"/>
      <w:bookmarkEnd w:id="220"/>
      <w:bookmarkEnd w:id="221"/>
      <w:bookmarkEnd w:id="222"/>
      <w:bookmarkEnd w:id="223"/>
      <w:bookmarkEnd w:id="224"/>
      <w:bookmarkEnd w:id="225"/>
      <w:bookmarkEnd w:id="226"/>
      <w:bookmarkEnd w:id="227"/>
      <w:r>
        <w:rPr>
          <w:rFonts w:hint="eastAsia" w:ascii="宋体" w:hAnsi="宋体" w:eastAsia="宋体" w:cs="宋体"/>
          <w:b w:val="0"/>
          <w:color w:val="000000"/>
          <w:sz w:val="21"/>
          <w:szCs w:val="21"/>
        </w:rPr>
        <w:t>理人</w:t>
      </w:r>
      <w:bookmarkEnd w:id="216"/>
    </w:p>
    <w:p w14:paraId="4073F902">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4.1监理人的一般规定</w:t>
      </w:r>
    </w:p>
    <w:p w14:paraId="30D39A2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06A03C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关于监理人的监理权限：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275D1E74">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关于监理人在施工现场的办公场所、生活场所的提供和费用承担的约定：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659089A">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4.2 监理人员</w:t>
      </w:r>
    </w:p>
    <w:p w14:paraId="3320C42A">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总监理工程师：</w:t>
      </w:r>
    </w:p>
    <w:p w14:paraId="38F0B41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166B859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4311CA0C">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监理工程师执业资格证书号：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3E3D3B45">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1FFF7E6C">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5206E9DD">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2CB03BF7">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关于监理人的其他约定：</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21CD8FE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4.4 商定或确定</w:t>
      </w:r>
    </w:p>
    <w:p w14:paraId="34AB59EC">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bookmarkStart w:id="228" w:name="_Toc267251418"/>
      <w:r>
        <w:rPr>
          <w:rFonts w:hint="eastAsia" w:ascii="宋体" w:hAnsi="宋体" w:eastAsia="宋体" w:cs="宋体"/>
          <w:color w:val="000000"/>
          <w:sz w:val="21"/>
          <w:szCs w:val="21"/>
        </w:rPr>
        <w:t>在发包人和承包人不能通过协商达成一致意见时，发包人授权监理人对以下事项进行确定：</w:t>
      </w:r>
    </w:p>
    <w:p w14:paraId="2A8F0638">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D35F91A">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2A0BF58">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DC23363">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229" w:name="_Toc351203637"/>
      <w:r>
        <w:rPr>
          <w:rFonts w:hint="eastAsia" w:ascii="宋体" w:hAnsi="宋体" w:eastAsia="宋体" w:cs="宋体"/>
          <w:b w:val="0"/>
          <w:color w:val="000000"/>
          <w:sz w:val="21"/>
          <w:szCs w:val="21"/>
        </w:rPr>
        <w:t>5</w:t>
      </w:r>
      <w:bookmarkEnd w:id="228"/>
      <w:bookmarkStart w:id="230" w:name="_Toc296890991"/>
      <w:bookmarkStart w:id="231" w:name="_Toc292559872"/>
      <w:bookmarkStart w:id="232" w:name="_Toc292559367"/>
      <w:bookmarkStart w:id="233" w:name="_Toc296346664"/>
      <w:bookmarkStart w:id="234" w:name="_Toc296891203"/>
      <w:bookmarkStart w:id="235" w:name="_Toc296503163"/>
      <w:bookmarkStart w:id="236" w:name="_Toc296944502"/>
      <w:bookmarkStart w:id="237" w:name="_Toc297120463"/>
      <w:bookmarkStart w:id="238" w:name="_Toc297048349"/>
      <w:bookmarkStart w:id="239" w:name="_Toc296347162"/>
      <w:r>
        <w:rPr>
          <w:rFonts w:hint="eastAsia" w:ascii="宋体" w:hAnsi="宋体" w:eastAsia="宋体" w:cs="宋体"/>
          <w:b w:val="0"/>
          <w:color w:val="000000"/>
          <w:sz w:val="21"/>
          <w:szCs w:val="21"/>
        </w:rPr>
        <w:t>. 工程质量</w:t>
      </w:r>
      <w:bookmarkEnd w:id="229"/>
    </w:p>
    <w:p w14:paraId="1D0A4735">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240" w:name="_Toc24579"/>
      <w:bookmarkStart w:id="241" w:name="_Toc25629"/>
      <w:bookmarkStart w:id="242" w:name="_Toc31509"/>
      <w:r>
        <w:rPr>
          <w:rFonts w:hint="eastAsia" w:ascii="宋体" w:hAnsi="宋体" w:eastAsia="宋体" w:cs="宋体"/>
          <w:color w:val="000000"/>
          <w:sz w:val="21"/>
          <w:szCs w:val="21"/>
        </w:rPr>
        <w:t>5.1 质量要求</w:t>
      </w:r>
      <w:bookmarkEnd w:id="240"/>
      <w:bookmarkEnd w:id="241"/>
      <w:bookmarkEnd w:id="242"/>
    </w:p>
    <w:p w14:paraId="112D6E31">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w:t>
      </w:r>
      <w:bookmarkStart w:id="243" w:name="_Toc303539106"/>
      <w:bookmarkStart w:id="244" w:name="_Toc300934949"/>
      <w:bookmarkStart w:id="245" w:name="_Toc297216155"/>
      <w:bookmarkStart w:id="246" w:name="_Toc312677997"/>
      <w:bookmarkStart w:id="247" w:name="_Toc318581164"/>
      <w:bookmarkStart w:id="248" w:name="_Toc304295527"/>
      <w:bookmarkStart w:id="249" w:name="_Toc297123496"/>
      <w:r>
        <w:rPr>
          <w:rFonts w:hint="eastAsia" w:ascii="宋体" w:hAnsi="宋体" w:eastAsia="宋体" w:cs="宋体"/>
          <w:sz w:val="21"/>
          <w:szCs w:val="21"/>
        </w:rPr>
        <w:t>.1.1 特殊质量标准和要求：</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3FF152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799BB3F">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250" w:name="_Toc24612"/>
      <w:bookmarkStart w:id="251" w:name="_Toc21630"/>
      <w:bookmarkStart w:id="252" w:name="_Toc15157"/>
      <w:r>
        <w:rPr>
          <w:rFonts w:hint="eastAsia" w:ascii="宋体" w:hAnsi="宋体" w:eastAsia="宋体" w:cs="宋体"/>
          <w:color w:val="000000"/>
          <w:sz w:val="21"/>
          <w:szCs w:val="21"/>
        </w:rPr>
        <w:t>5.3 隐蔽工程检查</w:t>
      </w:r>
      <w:bookmarkEnd w:id="250"/>
      <w:bookmarkEnd w:id="251"/>
      <w:bookmarkEnd w:id="252"/>
    </w:p>
    <w:p w14:paraId="2E2B1EC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5.3.2承包人提前通知监理人隐蔽工程检查的期限的约定：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EEC5C4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14:paraId="7E628E3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14:paraId="1108ED09">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253" w:name="_Toc351203638"/>
      <w:r>
        <w:rPr>
          <w:rFonts w:hint="eastAsia" w:ascii="宋体" w:hAnsi="宋体" w:eastAsia="宋体" w:cs="宋体"/>
          <w:b w:val="0"/>
          <w:color w:val="000000"/>
          <w:sz w:val="21"/>
          <w:szCs w:val="21"/>
        </w:rPr>
        <w:t>6. 安全文明施工与环境保护</w:t>
      </w:r>
      <w:bookmarkEnd w:id="253"/>
    </w:p>
    <w:p w14:paraId="5B920C59">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6.1安全文明施工</w:t>
      </w:r>
    </w:p>
    <w:p w14:paraId="4E1BE48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6.1.1</w:t>
      </w:r>
      <w:r>
        <w:rPr>
          <w:rFonts w:hint="eastAsia" w:ascii="宋体" w:hAnsi="宋体" w:eastAsia="宋体" w:cs="宋体"/>
          <w:color w:val="000000"/>
          <w:sz w:val="21"/>
          <w:szCs w:val="21"/>
        </w:rPr>
        <w:t xml:space="preserve"> 项目安全生产的达标目标及相应事项的约定：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860E5A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6.1.4 关于治安保卫的特别约定：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C3297A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关于编制施工场地治安管理计划的约定：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0502BA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6.1.5 文明施工</w:t>
      </w:r>
    </w:p>
    <w:p w14:paraId="3D15256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E81159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6.1.6 关于安全文明施工费支付比例和支付期限的约定：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243"/>
    <w:bookmarkEnd w:id="244"/>
    <w:bookmarkEnd w:id="245"/>
    <w:bookmarkEnd w:id="246"/>
    <w:bookmarkEnd w:id="247"/>
    <w:bookmarkEnd w:id="248"/>
    <w:bookmarkEnd w:id="249"/>
    <w:p w14:paraId="23E87187">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254" w:name="_Toc351203639"/>
      <w:r>
        <w:rPr>
          <w:rFonts w:hint="eastAsia" w:ascii="宋体" w:hAnsi="宋体" w:eastAsia="宋体" w:cs="宋体"/>
          <w:b w:val="0"/>
          <w:color w:val="000000"/>
          <w:sz w:val="21"/>
          <w:szCs w:val="21"/>
        </w:rPr>
        <w:t>7. 工期和进度</w:t>
      </w:r>
      <w:bookmarkEnd w:id="254"/>
    </w:p>
    <w:p w14:paraId="795741B8">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7.1 施工组织设计</w:t>
      </w:r>
    </w:p>
    <w:p w14:paraId="25691388">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 xml:space="preserve">7.1.1 </w:t>
      </w:r>
      <w:r>
        <w:rPr>
          <w:rFonts w:hint="eastAsia" w:ascii="宋体" w:hAnsi="宋体" w:eastAsia="宋体" w:cs="宋体"/>
          <w:color w:val="000000"/>
          <w:sz w:val="21"/>
          <w:szCs w:val="21"/>
        </w:rPr>
        <w:t>合</w:t>
      </w:r>
      <w:r>
        <w:rPr>
          <w:rFonts w:hint="eastAsia" w:ascii="宋体" w:hAnsi="宋体" w:eastAsia="宋体" w:cs="宋体"/>
          <w:color w:val="000000"/>
          <w:kern w:val="0"/>
          <w:sz w:val="21"/>
          <w:szCs w:val="21"/>
        </w:rPr>
        <w:t>同当事人约定的施工组织设计应包括的其他内容：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403F47F">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7.1.2</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施工组织设计的提交和修改</w:t>
      </w:r>
    </w:p>
    <w:p w14:paraId="65EC1ABF">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承包人提交详细施工组织设计的期限的约定：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44C24C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发包人和监理人在收到详细的施工组织设计后确认或提出修改意见的期限：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3CF2886">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255" w:name="_Toc303539123"/>
      <w:bookmarkStart w:id="256" w:name="_Toc297123514"/>
      <w:bookmarkStart w:id="257" w:name="_Toc297216173"/>
      <w:bookmarkStart w:id="258" w:name="_Toc312677479"/>
      <w:bookmarkStart w:id="259" w:name="_Toc300934966"/>
      <w:bookmarkStart w:id="260" w:name="_Toc312678005"/>
      <w:bookmarkStart w:id="261" w:name="_Toc304295541"/>
      <w:r>
        <w:rPr>
          <w:rFonts w:hint="eastAsia" w:ascii="宋体" w:hAnsi="宋体" w:eastAsia="宋体" w:cs="宋体"/>
          <w:color w:val="000000"/>
          <w:sz w:val="21"/>
          <w:szCs w:val="21"/>
        </w:rPr>
        <w:t>.2 施工进度计划</w:t>
      </w:r>
    </w:p>
    <w:p w14:paraId="69CE5D5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7.2.2 施工进度计划的修订</w:t>
      </w:r>
    </w:p>
    <w:p w14:paraId="677BBE5C">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发包人和监理人在收到修订的施工进度计划后确认或提出修改意见的期限：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B27F75A">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7.3 开工</w:t>
      </w:r>
    </w:p>
    <w:p w14:paraId="5A0220C3">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7.3.1 开工准备</w:t>
      </w:r>
    </w:p>
    <w:p w14:paraId="473217C5">
      <w:pPr>
        <w:pageBreakBefore w:val="0"/>
        <w:widowControl w:val="0"/>
        <w:kinsoku/>
        <w:wordWrap/>
        <w:overflowPunct/>
        <w:topLinePunct w:val="0"/>
        <w:bidi w:val="0"/>
        <w:snapToGrid/>
        <w:spacing w:line="400" w:lineRule="exact"/>
        <w:ind w:left="0" w:firstLine="645"/>
        <w:jc w:val="left"/>
        <w:textAlignment w:val="auto"/>
        <w:rPr>
          <w:rFonts w:hint="eastAsia" w:ascii="宋体" w:hAnsi="宋体" w:eastAsia="宋体" w:cs="宋体"/>
          <w:sz w:val="21"/>
          <w:szCs w:val="21"/>
          <w:u w:val="single"/>
        </w:rPr>
      </w:pPr>
      <w:r>
        <w:rPr>
          <w:rFonts w:hint="eastAsia" w:ascii="宋体" w:hAnsi="宋体" w:eastAsia="宋体" w:cs="宋体"/>
          <w:color w:val="000000"/>
          <w:sz w:val="21"/>
          <w:szCs w:val="21"/>
        </w:rPr>
        <w:t>关于承包人提交</w:t>
      </w:r>
      <w:r>
        <w:rPr>
          <w:rFonts w:hint="eastAsia" w:ascii="宋体" w:hAnsi="宋体" w:eastAsia="宋体" w:cs="宋体"/>
          <w:color w:val="000000"/>
          <w:kern w:val="0"/>
          <w:sz w:val="21"/>
          <w:szCs w:val="21"/>
        </w:rPr>
        <w:t>工程开工报审表的期限：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CFA8F22">
      <w:pPr>
        <w:pageBreakBefore w:val="0"/>
        <w:widowControl w:val="0"/>
        <w:kinsoku/>
        <w:wordWrap/>
        <w:overflowPunct/>
        <w:topLinePunct w:val="0"/>
        <w:bidi w:val="0"/>
        <w:snapToGrid/>
        <w:spacing w:line="400" w:lineRule="exact"/>
        <w:ind w:left="0" w:firstLine="645"/>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关于发包人应完成的其他开工准备工作及期限：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D7D444C">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关于承包人应完成的其他开工准备工作及期限：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62F9ED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7.3.2开工通知</w:t>
      </w:r>
    </w:p>
    <w:p w14:paraId="4CB1A67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因发包人原因造成监理人未能在计划开工日期之日起</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天内发出开工通知的，承包人有权提出价格调整要求，或者解除合同。</w:t>
      </w:r>
    </w:p>
    <w:bookmarkEnd w:id="255"/>
    <w:bookmarkEnd w:id="256"/>
    <w:bookmarkEnd w:id="257"/>
    <w:bookmarkEnd w:id="258"/>
    <w:bookmarkEnd w:id="259"/>
    <w:bookmarkEnd w:id="260"/>
    <w:bookmarkEnd w:id="261"/>
    <w:p w14:paraId="3DA80EA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7.4 测量放线</w:t>
      </w:r>
    </w:p>
    <w:p w14:paraId="126F977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1B4A54A">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262" w:name="_Toc300934968"/>
      <w:bookmarkStart w:id="263" w:name="_Toc312677484"/>
      <w:bookmarkStart w:id="264" w:name="_Toc312678010"/>
      <w:bookmarkStart w:id="265" w:name="_Toc303539125"/>
      <w:bookmarkStart w:id="266" w:name="_Toc304295546"/>
      <w:bookmarkStart w:id="267" w:name="_Toc297216175"/>
      <w:bookmarkStart w:id="268" w:name="_Toc297123516"/>
      <w:r>
        <w:rPr>
          <w:rFonts w:hint="eastAsia" w:ascii="宋体" w:hAnsi="宋体" w:eastAsia="宋体" w:cs="宋体"/>
          <w:color w:val="000000"/>
          <w:sz w:val="21"/>
          <w:szCs w:val="21"/>
        </w:rPr>
        <w:t>.5 工期延误</w:t>
      </w:r>
    </w:p>
    <w:bookmarkEnd w:id="262"/>
    <w:bookmarkEnd w:id="263"/>
    <w:bookmarkEnd w:id="264"/>
    <w:bookmarkEnd w:id="265"/>
    <w:bookmarkEnd w:id="266"/>
    <w:bookmarkEnd w:id="267"/>
    <w:bookmarkEnd w:id="268"/>
    <w:p w14:paraId="299EB82C">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14:paraId="6E475A8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（7）因发包人原因导致工期延误的其他情形：</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6BF5FDC">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w:t>
      </w:r>
      <w:bookmarkStart w:id="269" w:name="_Toc318581169"/>
      <w:bookmarkStart w:id="270" w:name="_Toc312678012"/>
      <w:bookmarkStart w:id="271" w:name="_Toc312677486"/>
      <w:bookmarkStart w:id="272" w:name="_Toc297216177"/>
      <w:bookmarkStart w:id="273" w:name="_Toc300934970"/>
      <w:bookmarkStart w:id="274" w:name="_Toc304295548"/>
      <w:bookmarkStart w:id="275" w:name="_Toc303539127"/>
      <w:bookmarkStart w:id="276" w:name="_Toc297123518"/>
      <w:r>
        <w:rPr>
          <w:rFonts w:hint="eastAsia" w:ascii="宋体" w:hAnsi="宋体" w:eastAsia="宋体" w:cs="宋体"/>
          <w:sz w:val="21"/>
          <w:szCs w:val="21"/>
        </w:rPr>
        <w:t>.5.2 因承包人原因导致工期延误</w:t>
      </w:r>
    </w:p>
    <w:bookmarkEnd w:id="269"/>
    <w:bookmarkEnd w:id="270"/>
    <w:bookmarkEnd w:id="271"/>
    <w:p w14:paraId="057BD86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因</w:t>
      </w:r>
      <w:bookmarkStart w:id="277" w:name="_Toc312678013"/>
      <w:bookmarkStart w:id="278" w:name="_Toc312677487"/>
      <w:bookmarkStart w:id="279" w:name="_Toc318581170"/>
      <w:r>
        <w:rPr>
          <w:rFonts w:hint="eastAsia" w:ascii="宋体" w:hAnsi="宋体" w:eastAsia="宋体" w:cs="宋体"/>
          <w:sz w:val="21"/>
          <w:szCs w:val="21"/>
        </w:rPr>
        <w:t>承包人原因造成工期延误，逾期竣工违约金的计算方法为：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bookmarkEnd w:id="272"/>
      <w:bookmarkEnd w:id="273"/>
      <w:bookmarkEnd w:id="274"/>
      <w:bookmarkEnd w:id="275"/>
      <w:bookmarkEnd w:id="276"/>
      <w:bookmarkEnd w:id="277"/>
      <w:bookmarkEnd w:id="278"/>
    </w:p>
    <w:bookmarkEnd w:id="279"/>
    <w:p w14:paraId="1FB9888C">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因承包人原因造成工期延误，逾</w:t>
      </w:r>
      <w:bookmarkStart w:id="280" w:name="_Toc312678014"/>
      <w:bookmarkStart w:id="281" w:name="_Toc318581171"/>
      <w:r>
        <w:rPr>
          <w:rFonts w:hint="eastAsia" w:ascii="宋体" w:hAnsi="宋体" w:eastAsia="宋体" w:cs="宋体"/>
          <w:sz w:val="21"/>
          <w:szCs w:val="21"/>
        </w:rPr>
        <w:t>期竣工违约金的上限：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280"/>
    <w:bookmarkEnd w:id="281"/>
    <w:p w14:paraId="014D96A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282" w:name="_Toc304295549"/>
      <w:bookmarkStart w:id="283" w:name="_Toc303539128"/>
      <w:bookmarkStart w:id="284" w:name="_Toc297216178"/>
      <w:bookmarkStart w:id="285" w:name="_Toc312678015"/>
      <w:bookmarkStart w:id="286" w:name="_Toc300934971"/>
      <w:bookmarkStart w:id="287" w:name="_Toc297123519"/>
      <w:r>
        <w:rPr>
          <w:rFonts w:hint="eastAsia" w:ascii="宋体" w:hAnsi="宋体" w:eastAsia="宋体" w:cs="宋体"/>
          <w:color w:val="000000"/>
          <w:sz w:val="21"/>
          <w:szCs w:val="21"/>
        </w:rPr>
        <w:t>.6 不</w:t>
      </w:r>
      <w:bookmarkEnd w:id="282"/>
      <w:bookmarkEnd w:id="283"/>
      <w:bookmarkEnd w:id="284"/>
      <w:bookmarkEnd w:id="285"/>
      <w:bookmarkEnd w:id="286"/>
      <w:bookmarkEnd w:id="287"/>
      <w:r>
        <w:rPr>
          <w:rFonts w:hint="eastAsia" w:ascii="宋体" w:hAnsi="宋体" w:eastAsia="宋体" w:cs="宋体"/>
          <w:color w:val="000000"/>
          <w:sz w:val="21"/>
          <w:szCs w:val="21"/>
        </w:rPr>
        <w:t>利物质条件</w:t>
      </w:r>
    </w:p>
    <w:p w14:paraId="2E6E4DE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bookmarkStart w:id="288" w:name="_Toc303539129"/>
      <w:bookmarkStart w:id="289" w:name="_Toc304295550"/>
      <w:bookmarkStart w:id="290" w:name="_Toc297216179"/>
      <w:bookmarkStart w:id="291" w:name="_Toc300934972"/>
      <w:bookmarkStart w:id="292" w:name="_Toc297123520"/>
      <w:bookmarkStart w:id="293" w:name="_Toc318581172"/>
      <w:bookmarkStart w:id="294" w:name="_Toc312678016"/>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288"/>
    <w:bookmarkEnd w:id="289"/>
    <w:bookmarkEnd w:id="290"/>
    <w:bookmarkEnd w:id="291"/>
    <w:bookmarkEnd w:id="292"/>
    <w:bookmarkEnd w:id="293"/>
    <w:bookmarkEnd w:id="294"/>
    <w:p w14:paraId="1D1A9928">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295" w:name="_Toc303539130"/>
      <w:bookmarkStart w:id="296" w:name="_Toc300934973"/>
      <w:bookmarkStart w:id="297" w:name="_Toc304295551"/>
      <w:bookmarkStart w:id="298" w:name="_Toc297123521"/>
      <w:bookmarkStart w:id="299" w:name="_Toc297216180"/>
      <w:bookmarkStart w:id="300" w:name="_Toc312678017"/>
      <w:r>
        <w:rPr>
          <w:rFonts w:hint="eastAsia" w:ascii="宋体" w:hAnsi="宋体" w:eastAsia="宋体" w:cs="宋体"/>
          <w:color w:val="000000"/>
          <w:sz w:val="21"/>
          <w:szCs w:val="21"/>
        </w:rPr>
        <w:t>.7异常恶劣的气候条件</w:t>
      </w:r>
    </w:p>
    <w:bookmarkEnd w:id="295"/>
    <w:bookmarkEnd w:id="296"/>
    <w:bookmarkEnd w:id="297"/>
    <w:bookmarkEnd w:id="298"/>
    <w:bookmarkEnd w:id="299"/>
    <w:bookmarkEnd w:id="300"/>
    <w:p w14:paraId="3E3E666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发包人和承包人同意以下情形视为异常恶劣的气候条件：</w:t>
      </w:r>
    </w:p>
    <w:p w14:paraId="0D36F192">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228A58C">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CFCC2E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E6FAAAC">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301" w:name="_Toc27107"/>
      <w:bookmarkStart w:id="302" w:name="_Toc21276"/>
      <w:bookmarkStart w:id="303" w:name="_Toc21340"/>
      <w:r>
        <w:rPr>
          <w:rFonts w:hint="eastAsia" w:ascii="宋体" w:hAnsi="宋体" w:eastAsia="宋体" w:cs="宋体"/>
          <w:color w:val="000000"/>
          <w:sz w:val="21"/>
          <w:szCs w:val="21"/>
        </w:rPr>
        <w:t>7.9 提前竣工的奖励</w:t>
      </w:r>
      <w:bookmarkEnd w:id="301"/>
      <w:bookmarkEnd w:id="302"/>
      <w:bookmarkEnd w:id="303"/>
    </w:p>
    <w:p w14:paraId="403A7D8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7.9.2提前竣工的奖励：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5AE688C">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304" w:name="_Toc351203640"/>
      <w:r>
        <w:rPr>
          <w:rFonts w:hint="eastAsia" w:ascii="宋体" w:hAnsi="宋体" w:eastAsia="宋体" w:cs="宋体"/>
          <w:b w:val="0"/>
          <w:color w:val="000000"/>
          <w:sz w:val="21"/>
          <w:szCs w:val="21"/>
        </w:rPr>
        <w:t>8. 材料与设备</w:t>
      </w:r>
      <w:bookmarkEnd w:id="304"/>
    </w:p>
    <w:bookmarkEnd w:id="230"/>
    <w:bookmarkEnd w:id="231"/>
    <w:bookmarkEnd w:id="232"/>
    <w:bookmarkEnd w:id="233"/>
    <w:bookmarkEnd w:id="234"/>
    <w:bookmarkEnd w:id="235"/>
    <w:bookmarkEnd w:id="236"/>
    <w:bookmarkEnd w:id="237"/>
    <w:bookmarkEnd w:id="238"/>
    <w:bookmarkEnd w:id="239"/>
    <w:p w14:paraId="443D7C4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w:t>
      </w:r>
      <w:bookmarkStart w:id="305" w:name="_Toc300934979"/>
      <w:bookmarkStart w:id="306" w:name="_Toc296347166"/>
      <w:bookmarkStart w:id="307" w:name="_Toc296346668"/>
      <w:bookmarkStart w:id="308" w:name="_Toc312677493"/>
      <w:bookmarkStart w:id="309" w:name="_Toc292559877"/>
      <w:bookmarkStart w:id="310" w:name="_Toc303539136"/>
      <w:bookmarkStart w:id="311" w:name="_Toc297048353"/>
      <w:bookmarkStart w:id="312" w:name="_Toc304295556"/>
      <w:bookmarkStart w:id="313" w:name="_Toc296891207"/>
      <w:bookmarkStart w:id="314" w:name="_Toc297120467"/>
      <w:bookmarkStart w:id="315" w:name="_Toc297216186"/>
      <w:bookmarkStart w:id="316" w:name="_Toc296503167"/>
      <w:bookmarkStart w:id="317" w:name="_Toc292559372"/>
      <w:bookmarkStart w:id="318" w:name="_Toc296944506"/>
      <w:bookmarkStart w:id="319" w:name="_Toc280868654"/>
      <w:bookmarkStart w:id="320" w:name="_Toc297123527"/>
      <w:bookmarkStart w:id="321" w:name="_Toc296890995"/>
      <w:bookmarkStart w:id="322" w:name="_Toc312678019"/>
      <w:bookmarkStart w:id="323" w:name="_Toc267251424"/>
      <w:bookmarkStart w:id="324" w:name="_Toc280868655"/>
      <w:bookmarkStart w:id="325" w:name="_Toc280868656"/>
      <w:r>
        <w:rPr>
          <w:rFonts w:hint="eastAsia" w:ascii="宋体" w:hAnsi="宋体" w:eastAsia="宋体" w:cs="宋体"/>
          <w:color w:val="000000"/>
          <w:sz w:val="21"/>
          <w:szCs w:val="21"/>
        </w:rPr>
        <w:t>.4材料与工程设备的保管与使用</w:t>
      </w:r>
    </w:p>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14:paraId="2E156F0E">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w:t>
      </w:r>
      <w:bookmarkStart w:id="326" w:name="_Toc292559878"/>
      <w:bookmarkStart w:id="327" w:name="_Toc292559373"/>
      <w:bookmarkStart w:id="328" w:name="_Toc312677494"/>
      <w:bookmarkStart w:id="329" w:name="_Toc296346669"/>
      <w:bookmarkStart w:id="330" w:name="_Toc296347167"/>
      <w:bookmarkStart w:id="331" w:name="_Toc296944507"/>
      <w:bookmarkStart w:id="332" w:name="_Toc297120468"/>
      <w:bookmarkStart w:id="333" w:name="_Toc304295557"/>
      <w:bookmarkStart w:id="334" w:name="_Toc296890996"/>
      <w:bookmarkStart w:id="335" w:name="_Toc296503168"/>
      <w:bookmarkStart w:id="336" w:name="_Toc297048354"/>
      <w:bookmarkStart w:id="337" w:name="_Toc303539137"/>
      <w:bookmarkStart w:id="338" w:name="_Toc297216187"/>
      <w:bookmarkStart w:id="339" w:name="_Toc318581173"/>
      <w:bookmarkStart w:id="340" w:name="_Toc296891208"/>
      <w:bookmarkStart w:id="341" w:name="_Toc297123528"/>
      <w:bookmarkStart w:id="342" w:name="_Toc300934980"/>
      <w:bookmarkStart w:id="343" w:name="_Toc312678020"/>
      <w:r>
        <w:rPr>
          <w:rFonts w:hint="eastAsia" w:ascii="宋体" w:hAnsi="宋体" w:eastAsia="宋体" w:cs="宋体"/>
          <w:sz w:val="21"/>
          <w:szCs w:val="21"/>
        </w:rPr>
        <w:t>.4.1发包人供应的材料设备的保管费用的承担：</w:t>
      </w:r>
      <w:r>
        <w:rPr>
          <w:rFonts w:hint="eastAsia" w:ascii="宋体" w:hAnsi="宋体" w:eastAsia="宋体" w:cs="宋体"/>
          <w:sz w:val="21"/>
          <w:szCs w:val="21"/>
          <w:u w:val="single"/>
        </w:rPr>
        <w:t xml:space="preserve">           </w:t>
      </w:r>
      <w:r>
        <w:rPr>
          <w:rFonts w:hint="eastAsia" w:ascii="宋体" w:hAnsi="宋体" w:eastAsia="宋体" w:cs="宋体"/>
          <w:sz w:val="21"/>
          <w:szCs w:val="21"/>
        </w:rPr>
        <w:t>。</w:t>
      </w:r>
      <w:bookmarkEnd w:id="326"/>
      <w:bookmarkEnd w:id="327"/>
    </w:p>
    <w:p w14:paraId="02FFD607">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344" w:name="_Toc1915"/>
      <w:bookmarkStart w:id="345" w:name="_Toc2244"/>
      <w:bookmarkStart w:id="346" w:name="_Toc22818"/>
      <w:r>
        <w:rPr>
          <w:rFonts w:hint="eastAsia" w:ascii="宋体" w:hAnsi="宋体" w:eastAsia="宋体" w:cs="宋体"/>
          <w:color w:val="000000"/>
          <w:sz w:val="21"/>
          <w:szCs w:val="21"/>
        </w:rPr>
        <w:t>8.6 样品</w:t>
      </w:r>
      <w:bookmarkEnd w:id="344"/>
      <w:bookmarkEnd w:id="345"/>
      <w:bookmarkEnd w:id="346"/>
    </w:p>
    <w:p w14:paraId="4C6EA303">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样品的报送与封存</w:t>
      </w:r>
    </w:p>
    <w:p w14:paraId="1C36431A">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需要承包人报送样品的材料或工程设备，样品的种类、名称、规格、数量要求：</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FA72FE8">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347" w:name="_Toc15053"/>
      <w:bookmarkStart w:id="348" w:name="_Toc805"/>
      <w:bookmarkStart w:id="349" w:name="_Toc15163"/>
      <w:r>
        <w:rPr>
          <w:rFonts w:hint="eastAsia" w:ascii="宋体" w:hAnsi="宋体" w:eastAsia="宋体" w:cs="宋体"/>
          <w:color w:val="000000"/>
          <w:sz w:val="21"/>
          <w:szCs w:val="21"/>
        </w:rPr>
        <w:t>8.8 施工设备和临时设施</w:t>
      </w:r>
      <w:bookmarkEnd w:id="347"/>
      <w:bookmarkEnd w:id="348"/>
      <w:bookmarkEnd w:id="349"/>
    </w:p>
    <w:p w14:paraId="2DD4D653">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8.8.1 承包人提供的施工设备和临时设施</w:t>
      </w:r>
    </w:p>
    <w:p w14:paraId="36883EE7">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关于修建临时设施费用承担的约定：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14:paraId="410AED7D">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350" w:name="_Toc351203641"/>
      <w:r>
        <w:rPr>
          <w:rFonts w:hint="eastAsia" w:ascii="宋体" w:hAnsi="宋体" w:eastAsia="宋体" w:cs="宋体"/>
          <w:b w:val="0"/>
          <w:color w:val="000000"/>
          <w:sz w:val="21"/>
          <w:szCs w:val="21"/>
        </w:rPr>
        <w:t>9</w:t>
      </w:r>
      <w:bookmarkEnd w:id="323"/>
      <w:bookmarkEnd w:id="324"/>
      <w:bookmarkEnd w:id="325"/>
      <w:bookmarkStart w:id="351" w:name="_Toc304295559"/>
      <w:bookmarkStart w:id="352" w:name="_Toc300934982"/>
      <w:bookmarkStart w:id="353" w:name="_Toc297123533"/>
      <w:bookmarkStart w:id="354" w:name="_Toc297216192"/>
      <w:bookmarkStart w:id="355" w:name="_Toc312677495"/>
      <w:bookmarkStart w:id="356" w:name="_Toc312678021"/>
      <w:bookmarkStart w:id="357" w:name="_Toc303539139"/>
      <w:bookmarkStart w:id="358" w:name="_Toc292559378"/>
      <w:bookmarkStart w:id="359" w:name="_Toc297048359"/>
      <w:bookmarkStart w:id="360" w:name="_Toc296503173"/>
      <w:bookmarkStart w:id="361" w:name="_Toc292559883"/>
      <w:bookmarkStart w:id="362" w:name="_Toc296891213"/>
      <w:bookmarkStart w:id="363" w:name="_Toc267251428"/>
      <w:bookmarkStart w:id="364" w:name="_Toc296346674"/>
      <w:bookmarkStart w:id="365" w:name="_Toc296944512"/>
      <w:bookmarkStart w:id="366" w:name="_Toc297120473"/>
      <w:bookmarkStart w:id="367" w:name="_Toc296891001"/>
      <w:bookmarkStart w:id="368" w:name="_Toc296347172"/>
      <w:bookmarkStart w:id="369" w:name="_Toc267251427"/>
      <w:r>
        <w:rPr>
          <w:rFonts w:hint="eastAsia" w:ascii="宋体" w:hAnsi="宋体" w:eastAsia="宋体" w:cs="宋体"/>
          <w:b w:val="0"/>
          <w:color w:val="000000"/>
          <w:sz w:val="21"/>
          <w:szCs w:val="21"/>
        </w:rPr>
        <w:t>. 试验与检验</w:t>
      </w:r>
      <w:bookmarkEnd w:id="350"/>
    </w:p>
    <w:bookmarkEnd w:id="351"/>
    <w:bookmarkEnd w:id="352"/>
    <w:bookmarkEnd w:id="353"/>
    <w:bookmarkEnd w:id="354"/>
    <w:bookmarkEnd w:id="355"/>
    <w:bookmarkEnd w:id="356"/>
    <w:bookmarkEnd w:id="357"/>
    <w:p w14:paraId="2D3972BF">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w:t>
      </w:r>
      <w:bookmarkStart w:id="370" w:name="_Toc300934983"/>
      <w:bookmarkStart w:id="371" w:name="_Toc304295560"/>
      <w:bookmarkStart w:id="372" w:name="_Toc297216193"/>
      <w:bookmarkStart w:id="373" w:name="_Toc297123534"/>
      <w:bookmarkStart w:id="374" w:name="_Toc312678022"/>
      <w:bookmarkStart w:id="375" w:name="_Toc312677496"/>
      <w:bookmarkStart w:id="376" w:name="_Toc303539140"/>
      <w:r>
        <w:rPr>
          <w:rFonts w:hint="eastAsia" w:ascii="宋体" w:hAnsi="宋体" w:eastAsia="宋体" w:cs="宋体"/>
          <w:color w:val="000000"/>
          <w:sz w:val="21"/>
          <w:szCs w:val="21"/>
        </w:rPr>
        <w:t>.1试验设备与试验人员</w:t>
      </w:r>
    </w:p>
    <w:bookmarkEnd w:id="370"/>
    <w:bookmarkEnd w:id="371"/>
    <w:bookmarkEnd w:id="372"/>
    <w:bookmarkEnd w:id="373"/>
    <w:bookmarkEnd w:id="374"/>
    <w:bookmarkEnd w:id="375"/>
    <w:bookmarkEnd w:id="376"/>
    <w:p w14:paraId="557D47D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9</w:t>
      </w:r>
      <w:bookmarkStart w:id="377" w:name="_Toc312677497"/>
      <w:bookmarkStart w:id="378" w:name="_Toc304295561"/>
      <w:bookmarkStart w:id="379" w:name="_Toc297123535"/>
      <w:bookmarkStart w:id="380" w:name="_Toc297216194"/>
      <w:bookmarkStart w:id="381" w:name="_Toc300934984"/>
      <w:bookmarkStart w:id="382" w:name="_Toc303539141"/>
      <w:bookmarkStart w:id="383" w:name="_Toc312678023"/>
      <w:bookmarkStart w:id="384" w:name="_Toc318581174"/>
      <w:r>
        <w:rPr>
          <w:rFonts w:hint="eastAsia" w:ascii="宋体" w:hAnsi="宋体" w:eastAsia="宋体" w:cs="宋体"/>
          <w:sz w:val="21"/>
          <w:szCs w:val="21"/>
        </w:rPr>
        <w:t>.1.2 试验设备</w:t>
      </w:r>
    </w:p>
    <w:p w14:paraId="2F3E859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施工现场需要配置的试验场所：</w:t>
      </w:r>
      <w:bookmarkEnd w:id="377"/>
      <w:bookmarkEnd w:id="378"/>
      <w:bookmarkEnd w:id="379"/>
      <w:bookmarkEnd w:id="380"/>
      <w:bookmarkEnd w:id="381"/>
      <w:bookmarkEnd w:id="382"/>
      <w:bookmarkEnd w:id="383"/>
      <w:bookmarkStart w:id="385" w:name="_Toc297123536"/>
      <w:bookmarkStart w:id="386" w:name="_Toc300934985"/>
      <w:bookmarkStart w:id="387" w:name="_Toc304295562"/>
      <w:bookmarkStart w:id="388" w:name="_Toc297216195"/>
      <w:bookmarkStart w:id="389" w:name="_Toc312677498"/>
      <w:bookmarkStart w:id="390" w:name="_Toc303539142"/>
      <w:bookmarkStart w:id="391" w:name="_Toc312678024"/>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F91FAD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58D18F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64CC216">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392" w:name="_Toc29291"/>
      <w:bookmarkStart w:id="393" w:name="_Toc25543"/>
      <w:bookmarkStart w:id="394" w:name="_Toc851"/>
      <w:r>
        <w:rPr>
          <w:rFonts w:hint="eastAsia" w:ascii="宋体" w:hAnsi="宋体" w:eastAsia="宋体" w:cs="宋体"/>
          <w:color w:val="000000"/>
          <w:sz w:val="21"/>
          <w:szCs w:val="21"/>
        </w:rPr>
        <w:t>9.4 现场工艺试验</w:t>
      </w:r>
      <w:bookmarkEnd w:id="392"/>
      <w:bookmarkEnd w:id="393"/>
      <w:bookmarkEnd w:id="394"/>
      <w:r>
        <w:rPr>
          <w:rFonts w:hint="eastAsia" w:ascii="宋体" w:hAnsi="宋体" w:eastAsia="宋体" w:cs="宋体"/>
          <w:color w:val="000000"/>
          <w:sz w:val="21"/>
          <w:szCs w:val="21"/>
        </w:rPr>
        <w:t xml:space="preserve"> </w:t>
      </w:r>
    </w:p>
    <w:p w14:paraId="2363556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384"/>
    <w:bookmarkEnd w:id="385"/>
    <w:bookmarkEnd w:id="386"/>
    <w:bookmarkEnd w:id="387"/>
    <w:bookmarkEnd w:id="388"/>
    <w:bookmarkEnd w:id="389"/>
    <w:bookmarkEnd w:id="390"/>
    <w:bookmarkEnd w:id="391"/>
    <w:p w14:paraId="19C210F2">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395" w:name="_Toc351203642"/>
      <w:r>
        <w:rPr>
          <w:rFonts w:hint="eastAsia" w:ascii="宋体" w:hAnsi="宋体" w:eastAsia="宋体" w:cs="宋体"/>
          <w:b w:val="0"/>
          <w:color w:val="000000"/>
          <w:sz w:val="21"/>
          <w:szCs w:val="21"/>
        </w:rPr>
        <w:t>1</w:t>
      </w:r>
      <w:bookmarkEnd w:id="358"/>
      <w:bookmarkEnd w:id="359"/>
      <w:bookmarkEnd w:id="360"/>
      <w:bookmarkEnd w:id="361"/>
      <w:bookmarkEnd w:id="362"/>
      <w:bookmarkEnd w:id="363"/>
      <w:bookmarkEnd w:id="364"/>
      <w:bookmarkEnd w:id="365"/>
      <w:bookmarkEnd w:id="366"/>
      <w:bookmarkEnd w:id="367"/>
      <w:bookmarkEnd w:id="368"/>
      <w:bookmarkEnd w:id="369"/>
      <w:bookmarkStart w:id="396" w:name="_Toc296503193"/>
      <w:bookmarkStart w:id="397" w:name="_Toc292559398"/>
      <w:bookmarkStart w:id="398" w:name="_Toc297216199"/>
      <w:bookmarkStart w:id="399" w:name="_Toc297123540"/>
      <w:bookmarkStart w:id="400" w:name="_Toc304295566"/>
      <w:bookmarkStart w:id="401" w:name="_Toc296347192"/>
      <w:bookmarkStart w:id="402" w:name="_Toc296346694"/>
      <w:bookmarkStart w:id="403" w:name="_Toc296944532"/>
      <w:bookmarkStart w:id="404" w:name="_Toc297048379"/>
      <w:bookmarkStart w:id="405" w:name="_Toc296891021"/>
      <w:bookmarkStart w:id="406" w:name="_Toc296891233"/>
      <w:bookmarkStart w:id="407" w:name="_Toc303539146"/>
      <w:bookmarkStart w:id="408" w:name="_Toc292559903"/>
      <w:bookmarkStart w:id="409" w:name="_Toc300934989"/>
      <w:bookmarkStart w:id="410" w:name="_Toc297120493"/>
      <w:bookmarkStart w:id="411" w:name="_Toc312678025"/>
      <w:bookmarkStart w:id="412" w:name="_Toc312677499"/>
      <w:bookmarkStart w:id="413" w:name="_Toc267251435"/>
      <w:bookmarkStart w:id="414" w:name="_Toc267251439"/>
      <w:bookmarkStart w:id="415" w:name="_Toc267251440"/>
      <w:bookmarkStart w:id="416" w:name="_Toc267251437"/>
      <w:bookmarkStart w:id="417" w:name="_Toc267251441"/>
      <w:bookmarkStart w:id="418" w:name="_Toc267251433"/>
      <w:bookmarkStart w:id="419" w:name="_Toc267251442"/>
      <w:r>
        <w:rPr>
          <w:rFonts w:hint="eastAsia" w:ascii="宋体" w:hAnsi="宋体" w:eastAsia="宋体" w:cs="宋体"/>
          <w:b w:val="0"/>
          <w:color w:val="000000"/>
          <w:sz w:val="21"/>
          <w:szCs w:val="21"/>
        </w:rPr>
        <w:t>0. 变更</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bookmarkEnd w:id="412"/>
    <w:p w14:paraId="666D4282">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bookmarkStart w:id="420" w:name="_Toc296346695"/>
      <w:bookmarkStart w:id="421" w:name="_Toc297120494"/>
      <w:bookmarkStart w:id="422" w:name="_Toc303539147"/>
      <w:bookmarkStart w:id="423" w:name="_Toc296503194"/>
      <w:bookmarkStart w:id="424" w:name="_Toc296891234"/>
      <w:bookmarkStart w:id="425" w:name="_Toc297048380"/>
      <w:bookmarkStart w:id="426" w:name="_Toc297123541"/>
      <w:bookmarkStart w:id="427" w:name="_Toc297216200"/>
      <w:bookmarkStart w:id="428" w:name="_Toc304295567"/>
      <w:bookmarkStart w:id="429" w:name="_Toc312678026"/>
      <w:bookmarkStart w:id="430" w:name="_Toc312677500"/>
      <w:bookmarkStart w:id="431" w:name="_Toc292559399"/>
      <w:bookmarkStart w:id="432" w:name="_Toc292559904"/>
      <w:bookmarkStart w:id="433" w:name="_Toc296891022"/>
      <w:bookmarkStart w:id="434" w:name="_Toc296944533"/>
      <w:bookmarkStart w:id="435" w:name="_Toc296347193"/>
      <w:bookmarkStart w:id="436" w:name="_Toc300934990"/>
      <w:r>
        <w:rPr>
          <w:rFonts w:hint="eastAsia" w:ascii="宋体" w:hAnsi="宋体" w:eastAsia="宋体" w:cs="宋体"/>
          <w:color w:val="000000"/>
          <w:sz w:val="21"/>
          <w:szCs w:val="21"/>
        </w:rPr>
        <w:t>0.1变更的范围</w:t>
      </w:r>
    </w:p>
    <w:p w14:paraId="1EC59480">
      <w:pPr>
        <w:pageBreakBefore w:val="0"/>
        <w:widowControl w:val="0"/>
        <w:kinsoku/>
        <w:wordWrap/>
        <w:overflowPunct/>
        <w:topLinePunct w:val="0"/>
        <w:bidi w:val="0"/>
        <w:snapToGrid/>
        <w:spacing w:line="400" w:lineRule="exact"/>
        <w:ind w:left="0" w:firstLine="6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关于变更的范围的约定：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86F38F3">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437" w:name="_Toc16174"/>
      <w:bookmarkStart w:id="438" w:name="_Toc18972"/>
      <w:bookmarkStart w:id="439" w:name="_Toc7949"/>
      <w:r>
        <w:rPr>
          <w:rFonts w:hint="eastAsia" w:ascii="宋体" w:hAnsi="宋体" w:eastAsia="宋体" w:cs="宋体"/>
          <w:color w:val="000000"/>
          <w:sz w:val="21"/>
          <w:szCs w:val="21"/>
        </w:rPr>
        <w:t>10.4 变更估价</w:t>
      </w:r>
      <w:bookmarkEnd w:id="437"/>
      <w:bookmarkEnd w:id="438"/>
      <w:bookmarkEnd w:id="439"/>
    </w:p>
    <w:p w14:paraId="49E5CBFF">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10.4.1 变更估价原则</w:t>
      </w:r>
    </w:p>
    <w:p w14:paraId="1C7D47D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关于变更估价的约定: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0700393">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Start w:id="440" w:name="_Toc297048383"/>
      <w:bookmarkStart w:id="441" w:name="_Toc296944536"/>
      <w:bookmarkStart w:id="442" w:name="_Toc296891025"/>
      <w:bookmarkStart w:id="443" w:name="_Toc292559907"/>
      <w:bookmarkStart w:id="444" w:name="_Toc297120497"/>
      <w:bookmarkStart w:id="445" w:name="_Toc296503197"/>
      <w:bookmarkStart w:id="446" w:name="_Toc297216203"/>
      <w:bookmarkStart w:id="447" w:name="_Toc296347196"/>
      <w:bookmarkStart w:id="448" w:name="_Toc292559402"/>
      <w:bookmarkStart w:id="449" w:name="_Toc300934993"/>
      <w:bookmarkStart w:id="450" w:name="_Toc296346698"/>
      <w:bookmarkStart w:id="451" w:name="_Toc297123544"/>
      <w:bookmarkStart w:id="452" w:name="_Toc303539150"/>
      <w:bookmarkStart w:id="453" w:name="_Toc296891237"/>
      <w:bookmarkStart w:id="454" w:name="_Toc312677503"/>
      <w:bookmarkStart w:id="455" w:name="_Toc304295570"/>
      <w:bookmarkStart w:id="456" w:name="_Toc312678029"/>
      <w:r>
        <w:rPr>
          <w:rFonts w:hint="eastAsia" w:ascii="宋体" w:hAnsi="宋体" w:eastAsia="宋体" w:cs="宋体"/>
          <w:color w:val="000000"/>
          <w:sz w:val="21"/>
          <w:szCs w:val="21"/>
        </w:rPr>
        <w:t>0.5承</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Start w:id="457" w:name="_Toc296347202"/>
      <w:bookmarkStart w:id="458" w:name="_Toc296944542"/>
      <w:bookmarkStart w:id="459" w:name="_Toc297216204"/>
      <w:bookmarkStart w:id="460" w:name="_Toc297120503"/>
      <w:bookmarkStart w:id="461" w:name="_Toc292559913"/>
      <w:bookmarkStart w:id="462" w:name="_Toc292559408"/>
      <w:bookmarkStart w:id="463" w:name="_Toc296346704"/>
      <w:bookmarkStart w:id="464" w:name="_Toc297123545"/>
      <w:bookmarkStart w:id="465" w:name="_Toc303539151"/>
      <w:bookmarkStart w:id="466" w:name="_Toc296891031"/>
      <w:bookmarkStart w:id="467" w:name="_Toc297048389"/>
      <w:bookmarkStart w:id="468" w:name="_Toc296891243"/>
      <w:bookmarkStart w:id="469" w:name="_Toc296503203"/>
      <w:bookmarkStart w:id="470" w:name="_Toc300934994"/>
      <w:r>
        <w:rPr>
          <w:rFonts w:hint="eastAsia" w:ascii="宋体" w:hAnsi="宋体" w:eastAsia="宋体" w:cs="宋体"/>
          <w:color w:val="000000"/>
          <w:sz w:val="21"/>
          <w:szCs w:val="21"/>
        </w:rPr>
        <w:t>包人的合理化建议</w:t>
      </w:r>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14:paraId="58996A61">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B76794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22D8C5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承</w:t>
      </w:r>
      <w:bookmarkStart w:id="471" w:name="_Toc312677504"/>
      <w:bookmarkStart w:id="472" w:name="_Toc296944543"/>
      <w:bookmarkStart w:id="473" w:name="_Toc296503204"/>
      <w:bookmarkStart w:id="474" w:name="_Toc296346705"/>
      <w:bookmarkStart w:id="475" w:name="_Toc318581175"/>
      <w:bookmarkStart w:id="476" w:name="_Toc312678030"/>
      <w:bookmarkStart w:id="477" w:name="_Toc304295571"/>
      <w:bookmarkStart w:id="478" w:name="_Toc303539152"/>
      <w:bookmarkStart w:id="479" w:name="_Toc297216205"/>
      <w:bookmarkStart w:id="480" w:name="_Toc300934995"/>
      <w:bookmarkStart w:id="481" w:name="_Toc297120504"/>
      <w:bookmarkStart w:id="482" w:name="_Toc297123546"/>
      <w:bookmarkStart w:id="483" w:name="_Toc296891032"/>
      <w:bookmarkStart w:id="484" w:name="_Toc296347203"/>
      <w:bookmarkStart w:id="485" w:name="_Toc292559914"/>
      <w:bookmarkStart w:id="486" w:name="_Toc297048390"/>
      <w:bookmarkStart w:id="487" w:name="_Toc296891244"/>
      <w:bookmarkStart w:id="488" w:name="_Toc292559409"/>
      <w:r>
        <w:rPr>
          <w:rFonts w:hint="eastAsia" w:ascii="宋体" w:hAnsi="宋体" w:eastAsia="宋体" w:cs="宋体"/>
          <w:sz w:val="21"/>
          <w:szCs w:val="21"/>
        </w:rPr>
        <w:t>包人提出的合理化建议降低了合同价格或者提高了工程经济效益的奖励的方法和金额为：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14:paraId="36967CBD">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489" w:name="_Toc10430"/>
      <w:bookmarkStart w:id="490" w:name="_Toc21671"/>
      <w:bookmarkStart w:id="491" w:name="_Toc20925"/>
      <w:r>
        <w:rPr>
          <w:rFonts w:hint="eastAsia" w:ascii="宋体" w:hAnsi="宋体" w:eastAsia="宋体" w:cs="宋体"/>
          <w:color w:val="000000"/>
          <w:sz w:val="21"/>
          <w:szCs w:val="21"/>
        </w:rPr>
        <w:t>1</w:t>
      </w:r>
      <w:bookmarkStart w:id="492" w:name="_Toc296891239"/>
      <w:bookmarkStart w:id="493" w:name="_Toc297216207"/>
      <w:bookmarkStart w:id="494" w:name="_Toc297123548"/>
      <w:bookmarkStart w:id="495" w:name="_Toc303539154"/>
      <w:bookmarkStart w:id="496" w:name="_Toc292559404"/>
      <w:bookmarkStart w:id="497" w:name="_Toc312677507"/>
      <w:bookmarkStart w:id="498" w:name="_Toc312678033"/>
      <w:bookmarkStart w:id="499" w:name="_Toc300934997"/>
      <w:bookmarkStart w:id="500" w:name="_Toc297048385"/>
      <w:bookmarkStart w:id="501" w:name="_Toc296346700"/>
      <w:bookmarkStart w:id="502" w:name="_Toc296503199"/>
      <w:bookmarkStart w:id="503" w:name="_Toc296944538"/>
      <w:bookmarkStart w:id="504" w:name="_Toc304295574"/>
      <w:bookmarkStart w:id="505" w:name="_Toc296347198"/>
      <w:bookmarkStart w:id="506" w:name="_Toc292559909"/>
      <w:bookmarkStart w:id="507" w:name="_Toc296891027"/>
      <w:bookmarkStart w:id="508" w:name="_Toc297120499"/>
      <w:r>
        <w:rPr>
          <w:rFonts w:hint="eastAsia" w:ascii="宋体" w:hAnsi="宋体" w:eastAsia="宋体" w:cs="宋体"/>
          <w:color w:val="000000"/>
          <w:sz w:val="21"/>
          <w:szCs w:val="21"/>
        </w:rPr>
        <w:t>0.7 暂估价</w:t>
      </w:r>
      <w:bookmarkEnd w:id="489"/>
      <w:bookmarkEnd w:id="490"/>
      <w:bookmarkEnd w:id="491"/>
    </w:p>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14:paraId="509EA30F">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rPr>
        <w:t>暂</w:t>
      </w:r>
      <w:bookmarkStart w:id="509" w:name="_Toc318581176"/>
      <w:bookmarkStart w:id="510" w:name="_Toc312677508"/>
      <w:bookmarkStart w:id="511" w:name="_Toc312678034"/>
      <w:r>
        <w:rPr>
          <w:rFonts w:hint="eastAsia" w:ascii="宋体" w:hAnsi="宋体" w:eastAsia="宋体" w:cs="宋体"/>
          <w:kern w:val="0"/>
          <w:sz w:val="21"/>
          <w:szCs w:val="21"/>
        </w:rPr>
        <w:t>估价材料和工程设备的明细详见附件11：《</w:t>
      </w:r>
      <w:r>
        <w:rPr>
          <w:rFonts w:hint="eastAsia" w:ascii="宋体" w:hAnsi="宋体" w:eastAsia="宋体" w:cs="宋体"/>
          <w:color w:val="000000"/>
          <w:sz w:val="21"/>
          <w:szCs w:val="21"/>
        </w:rPr>
        <w:t>暂估价一览表》</w:t>
      </w:r>
      <w:r>
        <w:rPr>
          <w:rFonts w:hint="eastAsia" w:ascii="宋体" w:hAnsi="宋体" w:eastAsia="宋体" w:cs="宋体"/>
          <w:kern w:val="0"/>
          <w:sz w:val="21"/>
          <w:szCs w:val="21"/>
        </w:rPr>
        <w:t>。</w:t>
      </w:r>
    </w:p>
    <w:bookmarkEnd w:id="509"/>
    <w:bookmarkEnd w:id="510"/>
    <w:bookmarkEnd w:id="511"/>
    <w:p w14:paraId="157CC9F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bookmarkStart w:id="512" w:name="_Toc318581177"/>
      <w:bookmarkStart w:id="513" w:name="_Toc312678035"/>
      <w:bookmarkStart w:id="514" w:name="_Toc312677509"/>
      <w:r>
        <w:rPr>
          <w:rFonts w:hint="eastAsia" w:ascii="宋体" w:hAnsi="宋体" w:eastAsia="宋体" w:cs="宋体"/>
          <w:sz w:val="21"/>
          <w:szCs w:val="21"/>
        </w:rPr>
        <w:t>0.7.1 依法必须招标的暂估价项目</w:t>
      </w:r>
    </w:p>
    <w:bookmarkEnd w:id="512"/>
    <w:bookmarkEnd w:id="513"/>
    <w:bookmarkEnd w:id="514"/>
    <w:p w14:paraId="5B9F842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种方式确定。</w:t>
      </w:r>
    </w:p>
    <w:p w14:paraId="5AD3F4BC">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10.7.2 不属于依法必须招标的暂估价项目</w:t>
      </w:r>
    </w:p>
    <w:p w14:paraId="1F39365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种方式确定。</w:t>
      </w:r>
    </w:p>
    <w:p w14:paraId="5D72B341">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第3种方式：</w:t>
      </w:r>
      <w:r>
        <w:rPr>
          <w:rFonts w:hint="eastAsia" w:ascii="宋体" w:hAnsi="宋体" w:eastAsia="宋体" w:cs="宋体"/>
          <w:color w:val="000000"/>
          <w:kern w:val="0"/>
          <w:sz w:val="21"/>
          <w:szCs w:val="21"/>
        </w:rPr>
        <w:t>承包人直接实施的暂估价项目</w:t>
      </w:r>
    </w:p>
    <w:p w14:paraId="0747D8E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承包人直接实施的暂估价项目的约定：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4697DBA">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10.8 暂列金额</w:t>
      </w:r>
    </w:p>
    <w:p w14:paraId="11391595">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合同当事人关于暂列金额使用的约定：</w:t>
      </w:r>
      <w:r>
        <w:rPr>
          <w:rFonts w:hint="eastAsia" w:ascii="宋体" w:hAnsi="宋体" w:eastAsia="宋体" w:cs="宋体"/>
          <w:sz w:val="21"/>
          <w:szCs w:val="21"/>
          <w:u w:val="single"/>
        </w:rPr>
        <w:t xml:space="preserve">                   </w:t>
      </w:r>
      <w:r>
        <w:rPr>
          <w:rFonts w:hint="eastAsia" w:ascii="宋体" w:hAnsi="宋体" w:eastAsia="宋体" w:cs="宋体"/>
          <w:color w:val="000000"/>
          <w:kern w:val="0"/>
          <w:sz w:val="21"/>
          <w:szCs w:val="21"/>
        </w:rPr>
        <w:t>。</w:t>
      </w:r>
    </w:p>
    <w:p w14:paraId="522FA56A">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515" w:name="_Toc351203643"/>
      <w:r>
        <w:rPr>
          <w:rFonts w:hint="eastAsia" w:ascii="宋体" w:hAnsi="宋体" w:eastAsia="宋体" w:cs="宋体"/>
          <w:b w:val="0"/>
          <w:color w:val="000000"/>
          <w:sz w:val="21"/>
          <w:szCs w:val="21"/>
        </w:rPr>
        <w:t>11. 价格调整</w:t>
      </w:r>
      <w:bookmarkEnd w:id="515"/>
    </w:p>
    <w:p w14:paraId="0D4910F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bookmarkStart w:id="516" w:name="_Toc296347200"/>
      <w:bookmarkStart w:id="517" w:name="_Toc296891241"/>
      <w:bookmarkStart w:id="518" w:name="_Toc297216209"/>
      <w:bookmarkStart w:id="519" w:name="_Toc297048387"/>
      <w:bookmarkStart w:id="520" w:name="_Toc297123550"/>
      <w:bookmarkStart w:id="521" w:name="_Toc300935000"/>
      <w:bookmarkStart w:id="522" w:name="_Toc296346702"/>
      <w:bookmarkStart w:id="523" w:name="_Toc292559911"/>
      <w:bookmarkStart w:id="524" w:name="_Toc304295577"/>
      <w:bookmarkStart w:id="525" w:name="_Toc296503201"/>
      <w:bookmarkStart w:id="526" w:name="_Toc312678039"/>
      <w:bookmarkStart w:id="527" w:name="_Toc292559406"/>
      <w:bookmarkStart w:id="528" w:name="_Toc296891029"/>
      <w:bookmarkStart w:id="529" w:name="_Toc297120501"/>
      <w:bookmarkStart w:id="530" w:name="_Toc303539157"/>
      <w:bookmarkStart w:id="531" w:name="_Toc296944540"/>
      <w:r>
        <w:rPr>
          <w:rFonts w:hint="eastAsia" w:ascii="宋体" w:hAnsi="宋体" w:eastAsia="宋体" w:cs="宋体"/>
          <w:color w:val="000000"/>
          <w:sz w:val="21"/>
          <w:szCs w:val="21"/>
        </w:rPr>
        <w:t>11.1 市场价格波动引起的调整</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1C404AC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市场价格波动是否调整合同价格的约定：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76F6362">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因市场价格波动调整合同价格，采用以下</w:t>
      </w:r>
      <w:r>
        <w:rPr>
          <w:rFonts w:hint="eastAsia" w:ascii="宋体" w:hAnsi="宋体" w:eastAsia="宋体" w:cs="宋体"/>
          <w:sz w:val="21"/>
          <w:szCs w:val="21"/>
        </w:rPr>
        <w:t>第</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种方式对合同价格进行调整：</w:t>
      </w:r>
    </w:p>
    <w:p w14:paraId="32E78951">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第1种方式：采用价格指数进行价格调整。</w:t>
      </w:r>
    </w:p>
    <w:p w14:paraId="7BCC65F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关于各可调因子、定值和变值权重，以及基本价格指数及其来源的约定：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62DEC28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第2种方式：采用造价信息进行价格调整。</w:t>
      </w:r>
    </w:p>
    <w:p w14:paraId="21AB9E5F">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（2）关于基准价格的约定：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F50928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%时，或材料单价跌幅以已标价工程量清单或预算书中载明材料单价为基础超过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14:paraId="5F0E6DB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%时，材料单价涨幅以已标价工程量清单或预算书中载明材料单价为基础超过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14:paraId="409F2A44">
      <w:pPr>
        <w:pageBreakBefore w:val="0"/>
        <w:widowControl w:val="0"/>
        <w:kinsoku/>
        <w:wordWrap/>
        <w:overflowPunct/>
        <w:topLinePunct w:val="0"/>
        <w:bidi w:val="0"/>
        <w:snapToGrid/>
        <w:spacing w:line="400" w:lineRule="exact"/>
        <w:ind w:left="0" w:firstLine="645"/>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14:paraId="2D2D0C98">
      <w:pPr>
        <w:pageBreakBefore w:val="0"/>
        <w:widowControl w:val="0"/>
        <w:kinsoku/>
        <w:wordWrap/>
        <w:overflowPunct/>
        <w:topLinePunct w:val="0"/>
        <w:bidi w:val="0"/>
        <w:snapToGrid/>
        <w:spacing w:line="400" w:lineRule="exact"/>
        <w:ind w:left="0" w:firstLine="645"/>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第3种方式：其他价格调整方式：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413"/>
    <w:bookmarkEnd w:id="414"/>
    <w:bookmarkEnd w:id="415"/>
    <w:bookmarkEnd w:id="416"/>
    <w:bookmarkEnd w:id="417"/>
    <w:bookmarkEnd w:id="418"/>
    <w:p w14:paraId="0ABA6CB8">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532" w:name="_Toc296503205"/>
      <w:bookmarkStart w:id="533" w:name="_Toc292559915"/>
      <w:bookmarkStart w:id="534" w:name="_Toc296891033"/>
      <w:bookmarkStart w:id="535" w:name="_Toc296346706"/>
      <w:bookmarkStart w:id="536" w:name="_Toc296891245"/>
      <w:bookmarkStart w:id="537" w:name="_Toc297048391"/>
      <w:bookmarkStart w:id="538" w:name="_Toc296944544"/>
      <w:bookmarkStart w:id="539" w:name="_Toc292559410"/>
      <w:bookmarkStart w:id="540" w:name="_Toc297120505"/>
      <w:bookmarkStart w:id="541" w:name="_Toc296347204"/>
      <w:bookmarkStart w:id="542" w:name="_Toc351203644"/>
      <w:bookmarkStart w:id="543" w:name="_Toc303539159"/>
      <w:bookmarkStart w:id="544" w:name="_Toc300935002"/>
      <w:bookmarkStart w:id="545" w:name="_Toc312678040"/>
      <w:bookmarkStart w:id="546" w:name="_Toc297216211"/>
      <w:bookmarkStart w:id="547" w:name="_Toc304295579"/>
      <w:bookmarkStart w:id="548" w:name="_Toc297123552"/>
      <w:r>
        <w:rPr>
          <w:rFonts w:hint="eastAsia" w:ascii="宋体" w:hAnsi="宋体" w:eastAsia="宋体" w:cs="宋体"/>
          <w:b w:val="0"/>
          <w:color w:val="000000"/>
          <w:sz w:val="21"/>
          <w:szCs w:val="21"/>
        </w:rPr>
        <w:t xml:space="preserve">12. </w:t>
      </w:r>
      <w:bookmarkEnd w:id="532"/>
      <w:bookmarkEnd w:id="533"/>
      <w:bookmarkEnd w:id="534"/>
      <w:bookmarkEnd w:id="535"/>
      <w:bookmarkEnd w:id="536"/>
      <w:bookmarkEnd w:id="537"/>
      <w:bookmarkEnd w:id="538"/>
      <w:bookmarkEnd w:id="539"/>
      <w:bookmarkEnd w:id="540"/>
      <w:bookmarkEnd w:id="541"/>
      <w:r>
        <w:rPr>
          <w:rFonts w:hint="eastAsia" w:ascii="宋体" w:hAnsi="宋体" w:eastAsia="宋体" w:cs="宋体"/>
          <w:b w:val="0"/>
          <w:color w:val="000000"/>
          <w:sz w:val="21"/>
          <w:szCs w:val="21"/>
        </w:rPr>
        <w:t>合同价格、计量与支付</w:t>
      </w:r>
      <w:bookmarkEnd w:id="542"/>
    </w:p>
    <w:bookmarkEnd w:id="543"/>
    <w:bookmarkEnd w:id="544"/>
    <w:bookmarkEnd w:id="545"/>
    <w:bookmarkEnd w:id="546"/>
    <w:bookmarkEnd w:id="547"/>
    <w:bookmarkEnd w:id="548"/>
    <w:p w14:paraId="7702B4B4">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bookmarkStart w:id="549" w:name="_Toc267251461"/>
      <w:bookmarkStart w:id="550" w:name="_Toc292559411"/>
      <w:bookmarkStart w:id="551" w:name="_Toc292559916"/>
      <w:bookmarkStart w:id="552" w:name="_Toc296503206"/>
      <w:bookmarkStart w:id="553" w:name="_Toc296347205"/>
      <w:bookmarkStart w:id="554" w:name="_Toc297048392"/>
      <w:bookmarkStart w:id="555" w:name="_Toc296891246"/>
      <w:bookmarkStart w:id="556" w:name="_Toc296346707"/>
      <w:bookmarkStart w:id="557" w:name="_Toc296891034"/>
      <w:bookmarkStart w:id="558" w:name="_Toc297120506"/>
      <w:bookmarkStart w:id="559" w:name="_Toc296944545"/>
      <w:bookmarkStart w:id="560" w:name="_Toc303539160"/>
      <w:bookmarkStart w:id="561" w:name="_Toc297216212"/>
      <w:bookmarkStart w:id="562" w:name="_Toc304295580"/>
      <w:bookmarkStart w:id="563" w:name="_Toc312678041"/>
      <w:bookmarkStart w:id="564" w:name="_Toc297123553"/>
      <w:bookmarkStart w:id="565" w:name="_Toc300935003"/>
      <w:r>
        <w:rPr>
          <w:rFonts w:hint="eastAsia" w:ascii="宋体" w:hAnsi="宋体" w:eastAsia="宋体" w:cs="宋体"/>
          <w:color w:val="000000"/>
          <w:sz w:val="21"/>
          <w:szCs w:val="21"/>
        </w:rPr>
        <w:t>12.1 合</w:t>
      </w:r>
      <w:bookmarkEnd w:id="549"/>
      <w:bookmarkEnd w:id="550"/>
      <w:bookmarkEnd w:id="551"/>
      <w:r>
        <w:rPr>
          <w:rFonts w:hint="eastAsia" w:ascii="宋体" w:hAnsi="宋体" w:eastAsia="宋体" w:cs="宋体"/>
          <w:color w:val="000000"/>
          <w:sz w:val="21"/>
          <w:szCs w:val="21"/>
        </w:rPr>
        <w:t>同价</w:t>
      </w:r>
      <w:bookmarkEnd w:id="552"/>
      <w:bookmarkEnd w:id="553"/>
      <w:bookmarkEnd w:id="554"/>
      <w:bookmarkEnd w:id="555"/>
      <w:bookmarkEnd w:id="556"/>
      <w:bookmarkEnd w:id="557"/>
      <w:bookmarkEnd w:id="558"/>
      <w:bookmarkEnd w:id="559"/>
      <w:r>
        <w:rPr>
          <w:rFonts w:hint="eastAsia" w:ascii="宋体" w:hAnsi="宋体" w:eastAsia="宋体" w:cs="宋体"/>
          <w:color w:val="000000"/>
          <w:sz w:val="21"/>
          <w:szCs w:val="21"/>
        </w:rPr>
        <w:t>格形式</w:t>
      </w:r>
    </w:p>
    <w:bookmarkEnd w:id="560"/>
    <w:bookmarkEnd w:id="561"/>
    <w:bookmarkEnd w:id="562"/>
    <w:bookmarkEnd w:id="563"/>
    <w:bookmarkEnd w:id="564"/>
    <w:bookmarkEnd w:id="565"/>
    <w:p w14:paraId="1A177B6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1、单价合同。</w:t>
      </w:r>
    </w:p>
    <w:p w14:paraId="75FBB59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综合单价包含的风险范围：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13D93A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风险费用的计算方法：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06287F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DCBA73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2、总价合同。</w:t>
      </w:r>
    </w:p>
    <w:p w14:paraId="578950AF">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总价包含的风险范围：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03BD75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风险费用的计算方法：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A2B5C1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97F250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3、其他价格方式：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6441DAC">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bookmarkStart w:id="566" w:name="_Toc312678042"/>
      <w:bookmarkStart w:id="567" w:name="_Toc303539161"/>
      <w:bookmarkStart w:id="568" w:name="_Toc300935004"/>
      <w:bookmarkStart w:id="569" w:name="_Toc297123554"/>
      <w:bookmarkStart w:id="570" w:name="_Toc304295581"/>
      <w:bookmarkStart w:id="571" w:name="_Toc297216213"/>
      <w:bookmarkStart w:id="572" w:name="_Toc296503207"/>
      <w:bookmarkStart w:id="573" w:name="_Toc292559412"/>
      <w:bookmarkStart w:id="574" w:name="_Toc296891247"/>
      <w:bookmarkStart w:id="575" w:name="_Toc297120507"/>
      <w:bookmarkStart w:id="576" w:name="_Toc292559917"/>
      <w:bookmarkStart w:id="577" w:name="_Toc296944546"/>
      <w:bookmarkStart w:id="578" w:name="_Toc297048393"/>
      <w:bookmarkStart w:id="579" w:name="_Toc296346708"/>
      <w:bookmarkStart w:id="580" w:name="_Toc296347206"/>
      <w:bookmarkStart w:id="581" w:name="_Toc296891035"/>
      <w:r>
        <w:rPr>
          <w:rFonts w:hint="eastAsia" w:ascii="宋体" w:hAnsi="宋体" w:eastAsia="宋体" w:cs="宋体"/>
          <w:color w:val="000000"/>
          <w:sz w:val="21"/>
          <w:szCs w:val="21"/>
        </w:rPr>
        <w:t>12.2 预付款</w:t>
      </w:r>
    </w:p>
    <w:bookmarkEnd w:id="566"/>
    <w:bookmarkEnd w:id="567"/>
    <w:bookmarkEnd w:id="568"/>
    <w:bookmarkEnd w:id="569"/>
    <w:bookmarkEnd w:id="570"/>
    <w:bookmarkEnd w:id="571"/>
    <w:p w14:paraId="39257BE3">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12.2.1 预付款的支付</w:t>
      </w:r>
    </w:p>
    <w:p w14:paraId="0CE03B2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预付款支付比例或金额：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78C784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预付款支付期限：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6B56D6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预付款扣回的方式：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3BC39E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12.2.2 预付款担保</w:t>
      </w:r>
    </w:p>
    <w:p w14:paraId="67D155E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承包人提交预付款担保的期限：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86C9E3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预付款担保的形式为：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572"/>
    <w:bookmarkEnd w:id="573"/>
    <w:bookmarkEnd w:id="574"/>
    <w:bookmarkEnd w:id="575"/>
    <w:bookmarkEnd w:id="576"/>
    <w:bookmarkEnd w:id="577"/>
    <w:bookmarkEnd w:id="578"/>
    <w:bookmarkEnd w:id="579"/>
    <w:bookmarkEnd w:id="580"/>
    <w:bookmarkEnd w:id="581"/>
    <w:p w14:paraId="14FB2F25">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 计量</w:t>
      </w:r>
    </w:p>
    <w:p w14:paraId="1D8B4B53">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12.3.1 计量原则</w:t>
      </w:r>
    </w:p>
    <w:p w14:paraId="49E20D2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工程量计算规则：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81BFE3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12.3.2 计量周期</w:t>
      </w:r>
    </w:p>
    <w:p w14:paraId="191CDED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关于计量周期的约定：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2BE922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12.3.3 单价合同的计量</w:t>
      </w:r>
    </w:p>
    <w:p w14:paraId="3706CDC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关于单价合同计量的约定：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469A56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12.3.4 总价合同的计量</w:t>
      </w:r>
    </w:p>
    <w:p w14:paraId="35DF477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关于总价合同计量的约定：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08B01E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12.3.5总价合同采用支付分解表计量支付的，是否适用第</w:t>
      </w:r>
      <w:r>
        <w:rPr>
          <w:rFonts w:hint="eastAsia" w:ascii="宋体" w:hAnsi="宋体" w:eastAsia="宋体" w:cs="宋体"/>
          <w:color w:val="000000"/>
          <w:kern w:val="0"/>
          <w:sz w:val="21"/>
          <w:szCs w:val="21"/>
        </w:rPr>
        <w:t xml:space="preserve">12.3.4 </w:t>
      </w:r>
      <w:r>
        <w:rPr>
          <w:rFonts w:hint="eastAsia" w:ascii="宋体" w:hAnsi="宋体" w:eastAsia="宋体" w:cs="宋体"/>
          <w:color w:val="000000"/>
          <w:sz w:val="21"/>
          <w:szCs w:val="21"/>
        </w:rPr>
        <w:t>项</w:t>
      </w:r>
      <w:r>
        <w:rPr>
          <w:rFonts w:hint="eastAsia" w:ascii="宋体" w:hAnsi="宋体" w:eastAsia="宋体" w:cs="宋体"/>
          <w:color w:val="000000"/>
          <w:kern w:val="0"/>
          <w:sz w:val="21"/>
          <w:szCs w:val="21"/>
        </w:rPr>
        <w:t>〔总价合同的计量〕</w:t>
      </w:r>
      <w:r>
        <w:rPr>
          <w:rFonts w:hint="eastAsia" w:ascii="宋体" w:hAnsi="宋体" w:eastAsia="宋体" w:cs="宋体"/>
          <w:color w:val="000000"/>
          <w:sz w:val="21"/>
          <w:szCs w:val="21"/>
        </w:rPr>
        <w:t>约定进行计量：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8B28AB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12.3.6 其他价格形式合同的计量</w:t>
      </w:r>
    </w:p>
    <w:p w14:paraId="165A145F">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其他价格形式的计量方式和程序：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A42D38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12.4 工程进度款支付</w:t>
      </w:r>
    </w:p>
    <w:p w14:paraId="6518AC02">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bookmarkStart w:id="582" w:name="_Toc292559921"/>
      <w:bookmarkStart w:id="583" w:name="_Toc297120511"/>
      <w:bookmarkStart w:id="584" w:name="_Toc296944550"/>
      <w:bookmarkStart w:id="585" w:name="_Toc297048397"/>
      <w:bookmarkStart w:id="586" w:name="_Toc297123556"/>
      <w:bookmarkStart w:id="587" w:name="_Toc296891251"/>
      <w:bookmarkStart w:id="588" w:name="_Toc296891039"/>
      <w:bookmarkStart w:id="589" w:name="_Toc296346712"/>
      <w:bookmarkStart w:id="590" w:name="_Toc292559416"/>
      <w:bookmarkStart w:id="591" w:name="_Toc296347210"/>
      <w:bookmarkStart w:id="592" w:name="_Toc300935006"/>
      <w:bookmarkStart w:id="593" w:name="_Toc297216215"/>
      <w:bookmarkStart w:id="594" w:name="_Toc303539163"/>
      <w:bookmarkStart w:id="595" w:name="_Toc296503211"/>
      <w:r>
        <w:rPr>
          <w:rFonts w:hint="eastAsia" w:ascii="宋体" w:hAnsi="宋体" w:eastAsia="宋体" w:cs="宋体"/>
          <w:color w:val="000000"/>
          <w:sz w:val="21"/>
          <w:szCs w:val="21"/>
        </w:rPr>
        <w:t>12.4.1 付款周期</w:t>
      </w:r>
    </w:p>
    <w:p w14:paraId="055B464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关于付款周期的约定：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06C971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12.4.2 进度付款申请单的编制</w:t>
      </w:r>
    </w:p>
    <w:p w14:paraId="56D3634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关于进度付款申请单编制的约定：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398EAA1">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Pr>
          <w:rFonts w:hint="eastAsia" w:ascii="宋体" w:hAnsi="宋体" w:eastAsia="宋体" w:cs="宋体"/>
          <w:color w:val="000000"/>
          <w:sz w:val="21"/>
          <w:szCs w:val="21"/>
        </w:rPr>
        <w:t>2.4.3 进度付款申请单的提交</w:t>
      </w:r>
    </w:p>
    <w:p w14:paraId="252A1D6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（1）单价合同进度付款申请单提交的约定：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7FB3DB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（2）总价合同进度付款申请单提交的约定：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451EBC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（3）其他价格形式合同进度付款申请单提交的约定：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AE7AB6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12.4.4 进度款审核和支付</w:t>
      </w:r>
    </w:p>
    <w:p w14:paraId="0D42549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（1）监理人审查并报送发包人的期限：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A95AAF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发包人完成审批并签发进度款支付证书的期限：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6D00B2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（2）发包人支付进度款的期限：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6E84050">
      <w:pPr>
        <w:pageBreakBefore w:val="0"/>
        <w:widowControl w:val="0"/>
        <w:kinsoku/>
        <w:wordWrap/>
        <w:overflowPunct/>
        <w:topLinePunct w:val="0"/>
        <w:bidi w:val="0"/>
        <w:snapToGrid/>
        <w:spacing w:line="400" w:lineRule="exact"/>
        <w:ind w:left="0" w:firstLine="525" w:firstLineChars="2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发包人逾期支付进度款的违约金的计算方式：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DDA0DCD">
      <w:pPr>
        <w:pageBreakBefore w:val="0"/>
        <w:widowControl w:val="0"/>
        <w:kinsoku/>
        <w:wordWrap/>
        <w:overflowPunct/>
        <w:topLinePunct w:val="0"/>
        <w:bidi w:val="0"/>
        <w:snapToGrid/>
        <w:spacing w:line="400" w:lineRule="exact"/>
        <w:ind w:left="0" w:firstLine="525" w:firstLineChars="2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12.4.6 支付分解表的编制</w:t>
      </w:r>
    </w:p>
    <w:p w14:paraId="4E5A125C">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2、总价合同支付分解表的编制与审批：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01D0C8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3、单价合同的总价项目支付分解表的编制与审批：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419"/>
    <w:p w14:paraId="4A5CE84A">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596" w:name="_Toc351203645"/>
      <w:bookmarkStart w:id="597" w:name="_Toc300935015"/>
      <w:bookmarkStart w:id="598" w:name="_Toc296346720"/>
      <w:bookmarkStart w:id="599" w:name="_Toc297123564"/>
      <w:bookmarkStart w:id="600" w:name="_Toc312678053"/>
      <w:bookmarkStart w:id="601" w:name="_Toc297120519"/>
      <w:bookmarkStart w:id="602" w:name="_Toc296944558"/>
      <w:bookmarkStart w:id="603" w:name="_Toc303539172"/>
      <w:bookmarkStart w:id="604" w:name="_Toc292559929"/>
      <w:bookmarkStart w:id="605" w:name="_Toc304295593"/>
      <w:bookmarkStart w:id="606" w:name="_Toc296503219"/>
      <w:bookmarkStart w:id="607" w:name="_Toc297216223"/>
      <w:bookmarkStart w:id="608" w:name="_Toc292559424"/>
      <w:bookmarkStart w:id="609" w:name="_Toc297048405"/>
      <w:bookmarkStart w:id="610" w:name="_Toc296891047"/>
      <w:bookmarkStart w:id="611" w:name="_Toc296891259"/>
      <w:bookmarkStart w:id="612" w:name="_Toc296347218"/>
      <w:r>
        <w:rPr>
          <w:rFonts w:hint="eastAsia" w:ascii="宋体" w:hAnsi="宋体" w:eastAsia="宋体" w:cs="宋体"/>
          <w:b w:val="0"/>
          <w:color w:val="000000"/>
          <w:sz w:val="21"/>
          <w:szCs w:val="21"/>
        </w:rPr>
        <w:t>13. 验收和工程试车</w:t>
      </w:r>
      <w:bookmarkEnd w:id="596"/>
    </w:p>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64B8434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13.1 分部分项工程验收</w:t>
      </w:r>
    </w:p>
    <w:p w14:paraId="3435378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13.1.2监理人不能按时进行验收时，应提前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14:paraId="508CB0E1">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b/>
          <w:color w:val="000000"/>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14:paraId="0A4C81FC">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bookmarkStart w:id="613" w:name="_Toc296347222"/>
      <w:bookmarkStart w:id="614" w:name="_Toc303539173"/>
      <w:bookmarkStart w:id="615" w:name="_Toc297048409"/>
      <w:bookmarkStart w:id="616" w:name="_Toc292559428"/>
      <w:bookmarkStart w:id="617" w:name="_Toc292559933"/>
      <w:bookmarkStart w:id="618" w:name="_Toc304295596"/>
      <w:bookmarkStart w:id="619" w:name="_Toc296346724"/>
      <w:bookmarkStart w:id="620" w:name="_Toc297216224"/>
      <w:bookmarkStart w:id="621" w:name="_Toc296891263"/>
      <w:bookmarkStart w:id="622" w:name="_Toc296891051"/>
      <w:bookmarkStart w:id="623" w:name="_Toc312678056"/>
      <w:bookmarkStart w:id="624" w:name="_Toc300935016"/>
      <w:bookmarkStart w:id="625" w:name="_Toc296503223"/>
      <w:bookmarkStart w:id="626" w:name="_Toc297123565"/>
      <w:bookmarkStart w:id="627" w:name="_Toc297120523"/>
      <w:bookmarkStart w:id="628" w:name="_Toc296944562"/>
      <w:bookmarkStart w:id="629" w:name="_Toc267251471"/>
      <w:bookmarkStart w:id="630" w:name="_Toc267251474"/>
      <w:bookmarkStart w:id="631" w:name="_Toc267251476"/>
      <w:bookmarkStart w:id="632" w:name="_Toc267251472"/>
      <w:bookmarkStart w:id="633" w:name="_Toc267251473"/>
      <w:bookmarkStart w:id="634" w:name="_Toc267251470"/>
      <w:bookmarkStart w:id="635" w:name="_Toc267251475"/>
      <w:r>
        <w:rPr>
          <w:rFonts w:hint="eastAsia" w:ascii="宋体" w:hAnsi="宋体" w:eastAsia="宋体" w:cs="宋体"/>
          <w:color w:val="000000"/>
          <w:sz w:val="21"/>
          <w:szCs w:val="21"/>
        </w:rPr>
        <w:t>13.2 竣工验收</w:t>
      </w:r>
    </w:p>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14:paraId="6A4BF59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bookmarkStart w:id="636" w:name="_Toc280868704"/>
      <w:bookmarkStart w:id="637" w:name="_Toc280868705"/>
      <w:bookmarkStart w:id="638" w:name="_Toc280868706"/>
      <w:bookmarkStart w:id="639" w:name="_Toc280868707"/>
      <w:bookmarkStart w:id="640" w:name="_Toc280868708"/>
      <w:bookmarkStart w:id="641" w:name="_Toc280868709"/>
      <w:r>
        <w:rPr>
          <w:rFonts w:hint="eastAsia" w:ascii="宋体" w:hAnsi="宋体" w:eastAsia="宋体" w:cs="宋体"/>
          <w:color w:val="000000"/>
          <w:sz w:val="21"/>
          <w:szCs w:val="21"/>
        </w:rPr>
        <w:t>13.2.2竣工验收程序</w:t>
      </w:r>
    </w:p>
    <w:bookmarkEnd w:id="636"/>
    <w:p w14:paraId="52867092">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关于竣工验收程序的约定：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6F94C7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发包人不按照本项约定组织竣工验收、颁发工程接收证书的违约金的计算方法：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637"/>
    <w:p w14:paraId="1552776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13.2.5移交、接收全部与部分工程</w:t>
      </w:r>
    </w:p>
    <w:bookmarkEnd w:id="638"/>
    <w:p w14:paraId="0B79F5EE">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承包人向发包人移交工程的期限：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EF1A02E">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发包人未按本合同约定接收全部或部分工程的，违约金的计算方法为：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639"/>
    <w:p w14:paraId="590DE3F3">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承包人未按时移交工程的，违约金的计算方法为：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7B8823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13.3 工程试车</w:t>
      </w:r>
    </w:p>
    <w:bookmarkEnd w:id="640"/>
    <w:p w14:paraId="322E6151">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13.3.1 试车程序</w:t>
      </w:r>
    </w:p>
    <w:p w14:paraId="564E1FC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工程试车内容：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755788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（1）单机无负荷试车费用由</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14:paraId="08358BD2">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（2）无负荷联动试车费用由</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14:paraId="24B6104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13.3.3 投料试车</w:t>
      </w:r>
    </w:p>
    <w:p w14:paraId="33E8780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关于投料试车相关事项的约定：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79EE203">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642" w:name="_Toc8213"/>
      <w:bookmarkStart w:id="643" w:name="_Toc12198"/>
      <w:bookmarkStart w:id="644" w:name="_Toc26835"/>
      <w:r>
        <w:rPr>
          <w:rFonts w:hint="eastAsia" w:ascii="宋体" w:hAnsi="宋体" w:eastAsia="宋体" w:cs="宋体"/>
          <w:color w:val="000000"/>
          <w:sz w:val="21"/>
          <w:szCs w:val="21"/>
        </w:rPr>
        <w:t>13.6 竣工退场</w:t>
      </w:r>
      <w:bookmarkEnd w:id="642"/>
      <w:bookmarkEnd w:id="643"/>
      <w:bookmarkEnd w:id="644"/>
    </w:p>
    <w:p w14:paraId="184E32C3">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13.6.1 竣工退场</w:t>
      </w:r>
    </w:p>
    <w:p w14:paraId="35774B7F">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承包人完成竣工退场的期限：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p>
    <w:p w14:paraId="494FA73A">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645" w:name="_Toc351203646"/>
      <w:r>
        <w:rPr>
          <w:rFonts w:hint="eastAsia" w:ascii="宋体" w:hAnsi="宋体" w:eastAsia="宋体" w:cs="宋体"/>
          <w:b w:val="0"/>
          <w:color w:val="000000"/>
          <w:sz w:val="21"/>
          <w:szCs w:val="21"/>
        </w:rPr>
        <w:t>14. 竣工结算</w:t>
      </w:r>
      <w:bookmarkEnd w:id="645"/>
    </w:p>
    <w:p w14:paraId="435B4C1A">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14.1 竣工结算申请</w:t>
      </w:r>
    </w:p>
    <w:p w14:paraId="7D6C406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承包人提交竣工结算申请单的期限：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8CDACD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竣工结算申请单应包括的内容：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EE2EE78">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646" w:name="_Toc2424"/>
      <w:bookmarkStart w:id="647" w:name="_Toc24439"/>
      <w:bookmarkStart w:id="648" w:name="_Toc29501"/>
      <w:r>
        <w:rPr>
          <w:rFonts w:hint="eastAsia" w:ascii="宋体" w:hAnsi="宋体" w:eastAsia="宋体" w:cs="宋体"/>
          <w:color w:val="000000"/>
          <w:sz w:val="21"/>
          <w:szCs w:val="21"/>
        </w:rPr>
        <w:t>14.2 竣工结算审核</w:t>
      </w:r>
      <w:bookmarkEnd w:id="646"/>
      <w:bookmarkEnd w:id="647"/>
      <w:bookmarkEnd w:id="648"/>
    </w:p>
    <w:p w14:paraId="1738792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发包人审批竣工付款申请单的期限：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6E6A5E2">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发包人完成竣工付款的期限：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86854A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关于竣工付款证书异议部分复核的方式和程序：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811A2F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14.4 最终结清</w:t>
      </w:r>
    </w:p>
    <w:p w14:paraId="50B3743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14.4.1 最终结清申请单</w:t>
      </w:r>
    </w:p>
    <w:p w14:paraId="1DA7827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承包人提交最终结清申请单的份数：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DA62151">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承包人提交最终结算申请单的期限：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p>
    <w:p w14:paraId="4FA3A313">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14.4.2 最终结清证书和支付</w:t>
      </w:r>
    </w:p>
    <w:p w14:paraId="1962146E">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217A60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629"/>
    <w:bookmarkEnd w:id="630"/>
    <w:bookmarkEnd w:id="631"/>
    <w:bookmarkEnd w:id="632"/>
    <w:bookmarkEnd w:id="633"/>
    <w:bookmarkEnd w:id="634"/>
    <w:bookmarkEnd w:id="635"/>
    <w:bookmarkEnd w:id="641"/>
    <w:p w14:paraId="1F87C482">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649" w:name="_Toc351203647"/>
      <w:bookmarkStart w:id="650" w:name="_Toc267251483"/>
      <w:bookmarkStart w:id="651" w:name="_Toc267251482"/>
      <w:bookmarkStart w:id="652" w:name="_Toc267251484"/>
      <w:bookmarkStart w:id="653" w:name="_Toc267251485"/>
      <w:bookmarkStart w:id="654" w:name="_Toc267251486"/>
      <w:bookmarkStart w:id="655" w:name="_Toc267251490"/>
      <w:bookmarkStart w:id="656" w:name="_Toc267251489"/>
      <w:bookmarkStart w:id="657" w:name="_Toc267251488"/>
      <w:bookmarkStart w:id="658" w:name="_Toc267251498"/>
      <w:bookmarkStart w:id="659" w:name="_Toc267251501"/>
      <w:bookmarkStart w:id="660" w:name="_Toc267251497"/>
      <w:bookmarkStart w:id="661" w:name="_Toc267251492"/>
      <w:bookmarkStart w:id="662" w:name="_Toc267251503"/>
      <w:bookmarkStart w:id="663" w:name="_Toc267251495"/>
      <w:bookmarkStart w:id="664" w:name="_Toc267251493"/>
      <w:bookmarkStart w:id="665" w:name="_Toc267251502"/>
      <w:bookmarkStart w:id="666" w:name="_Toc267251494"/>
      <w:bookmarkStart w:id="667" w:name="_Toc267251499"/>
      <w:bookmarkStart w:id="668" w:name="_Toc267251491"/>
      <w:bookmarkStart w:id="669" w:name="_Toc267251496"/>
      <w:bookmarkStart w:id="670" w:name="_Toc267251506"/>
      <w:bookmarkStart w:id="671" w:name="_Toc267251504"/>
      <w:bookmarkStart w:id="672" w:name="_Toc267251507"/>
      <w:bookmarkStart w:id="673" w:name="_Toc267251508"/>
      <w:bookmarkStart w:id="674" w:name="_Toc267251509"/>
      <w:bookmarkStart w:id="675" w:name="_Toc267251513"/>
      <w:bookmarkStart w:id="676" w:name="_Toc267251515"/>
      <w:bookmarkStart w:id="677" w:name="_Toc267251514"/>
      <w:bookmarkStart w:id="678" w:name="_Toc267251511"/>
      <w:bookmarkStart w:id="679" w:name="_Toc267251510"/>
      <w:r>
        <w:rPr>
          <w:rFonts w:hint="eastAsia" w:ascii="宋体" w:hAnsi="宋体" w:eastAsia="宋体" w:cs="宋体"/>
          <w:b w:val="0"/>
          <w:color w:val="000000"/>
          <w:sz w:val="21"/>
          <w:szCs w:val="21"/>
        </w:rPr>
        <w:t>15. 缺陷责任期与保修</w:t>
      </w:r>
      <w:bookmarkEnd w:id="649"/>
    </w:p>
    <w:p w14:paraId="32FFC62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15.2缺陷责任期</w:t>
      </w:r>
      <w:bookmarkEnd w:id="650"/>
    </w:p>
    <w:p w14:paraId="61AA169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缺陷责任期的具体期限：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3D6C83E">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680" w:name="_Toc10983"/>
      <w:bookmarkStart w:id="681" w:name="_Toc27533"/>
      <w:bookmarkStart w:id="682" w:name="_Toc3904"/>
      <w:r>
        <w:rPr>
          <w:rFonts w:hint="eastAsia" w:ascii="宋体" w:hAnsi="宋体" w:eastAsia="宋体" w:cs="宋体"/>
          <w:color w:val="000000"/>
          <w:sz w:val="21"/>
          <w:szCs w:val="21"/>
        </w:rPr>
        <w:t>15.3 质量保证金</w:t>
      </w:r>
      <w:bookmarkEnd w:id="680"/>
      <w:bookmarkEnd w:id="681"/>
      <w:bookmarkEnd w:id="682"/>
    </w:p>
    <w:p w14:paraId="34F8C9D0">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关于是否扣留质量保证金的约定：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。在工程项目竣工前，承包人按专用合同条款第3.7条提供履约担保的，发包人不得同时预留工程质量保证金。</w:t>
      </w:r>
    </w:p>
    <w:p w14:paraId="0B337071">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p>
    <w:p w14:paraId="68CE4C4F">
      <w:pPr>
        <w:pageBreakBefore w:val="0"/>
        <w:widowControl w:val="0"/>
        <w:kinsoku/>
        <w:wordWrap/>
        <w:overflowPunct/>
        <w:topLinePunct w:val="0"/>
        <w:bidi w:val="0"/>
        <w:snapToGrid/>
        <w:spacing w:line="400" w:lineRule="exact"/>
        <w:ind w:left="0" w:firstLine="420" w:firstLineChars="200"/>
        <w:jc w:val="left"/>
        <w:textAlignment w:val="auto"/>
        <w:outlineLvl w:val="0"/>
        <w:rPr>
          <w:rFonts w:hint="eastAsia" w:ascii="宋体" w:hAnsi="宋体" w:eastAsia="宋体" w:cs="宋体"/>
          <w:color w:val="000000"/>
          <w:sz w:val="21"/>
          <w:szCs w:val="21"/>
        </w:rPr>
      </w:pPr>
      <w:bookmarkStart w:id="683" w:name="_Toc6773"/>
      <w:bookmarkStart w:id="684" w:name="_Toc32057"/>
      <w:bookmarkStart w:id="685" w:name="_Toc22563"/>
      <w:r>
        <w:rPr>
          <w:rFonts w:hint="eastAsia" w:ascii="宋体" w:hAnsi="宋体" w:eastAsia="宋体" w:cs="宋体"/>
          <w:color w:val="000000"/>
          <w:sz w:val="21"/>
          <w:szCs w:val="21"/>
        </w:rPr>
        <w:t>15.3.1 承包人提供质量保证金的方式</w:t>
      </w:r>
      <w:bookmarkEnd w:id="683"/>
      <w:bookmarkEnd w:id="684"/>
      <w:bookmarkEnd w:id="685"/>
    </w:p>
    <w:p w14:paraId="75628C1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质量保证金采用以下第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w:t>
      </w:r>
    </w:p>
    <w:p w14:paraId="1DFEAB50">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（1）质量保证金保函，保证金额为：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w:t>
      </w:r>
    </w:p>
    <w:p w14:paraId="51FFC2ED">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%的工程款；</w:t>
      </w:r>
    </w:p>
    <w:p w14:paraId="49233C10">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77338CF6">
      <w:pPr>
        <w:pageBreakBefore w:val="0"/>
        <w:widowControl w:val="0"/>
        <w:kinsoku/>
        <w:wordWrap/>
        <w:overflowPunct/>
        <w:topLinePunct w:val="0"/>
        <w:bidi w:val="0"/>
        <w:snapToGrid/>
        <w:spacing w:line="400" w:lineRule="exact"/>
        <w:ind w:left="0" w:firstLine="420" w:firstLineChars="200"/>
        <w:jc w:val="left"/>
        <w:textAlignment w:val="auto"/>
        <w:outlineLvl w:val="0"/>
        <w:rPr>
          <w:rFonts w:hint="eastAsia" w:ascii="宋体" w:hAnsi="宋体" w:eastAsia="宋体" w:cs="宋体"/>
          <w:color w:val="000000"/>
          <w:sz w:val="21"/>
          <w:szCs w:val="21"/>
        </w:rPr>
      </w:pPr>
      <w:bookmarkStart w:id="686" w:name="_Toc20989"/>
      <w:bookmarkStart w:id="687" w:name="_Toc19035"/>
      <w:bookmarkStart w:id="688" w:name="_Toc30103"/>
      <w:r>
        <w:rPr>
          <w:rFonts w:hint="eastAsia" w:ascii="宋体" w:hAnsi="宋体" w:eastAsia="宋体" w:cs="宋体"/>
          <w:color w:val="000000"/>
          <w:sz w:val="21"/>
          <w:szCs w:val="21"/>
        </w:rPr>
        <w:t>15.3.2 质量保证金的扣留</w:t>
      </w:r>
      <w:bookmarkEnd w:id="686"/>
      <w:bookmarkEnd w:id="687"/>
      <w:bookmarkEnd w:id="688"/>
      <w:r>
        <w:rPr>
          <w:rFonts w:hint="eastAsia" w:ascii="宋体" w:hAnsi="宋体" w:eastAsia="宋体" w:cs="宋体"/>
          <w:color w:val="000000"/>
          <w:sz w:val="21"/>
          <w:szCs w:val="21"/>
        </w:rPr>
        <w:t xml:space="preserve"> </w:t>
      </w:r>
    </w:p>
    <w:p w14:paraId="551903B2">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质量保证金的扣留采取以下第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w:t>
      </w:r>
    </w:p>
    <w:p w14:paraId="75402951">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（1）在支付工程进度款时逐次扣留，在此情形下，质量保证金的计算基数不包括预付款的支付、扣回以及价格调整的金额；</w:t>
      </w:r>
    </w:p>
    <w:p w14:paraId="6322B7B5">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outlineLvl w:val="0"/>
        <w:rPr>
          <w:rFonts w:hint="eastAsia" w:ascii="宋体" w:hAnsi="宋体" w:eastAsia="宋体" w:cs="宋体"/>
          <w:color w:val="000000"/>
          <w:kern w:val="0"/>
          <w:sz w:val="21"/>
          <w:szCs w:val="21"/>
        </w:rPr>
      </w:pPr>
      <w:bookmarkStart w:id="689" w:name="_Toc24710"/>
      <w:bookmarkStart w:id="690" w:name="_Toc29592"/>
      <w:bookmarkStart w:id="691" w:name="_Toc14441"/>
      <w:r>
        <w:rPr>
          <w:rFonts w:hint="eastAsia" w:ascii="宋体" w:hAnsi="宋体" w:eastAsia="宋体" w:cs="宋体"/>
          <w:color w:val="000000"/>
          <w:kern w:val="0"/>
          <w:sz w:val="21"/>
          <w:szCs w:val="21"/>
        </w:rPr>
        <w:t>（2）工程竣工结算时一次性扣留质量保证金；</w:t>
      </w:r>
      <w:bookmarkEnd w:id="689"/>
      <w:bookmarkEnd w:id="690"/>
      <w:bookmarkEnd w:id="691"/>
    </w:p>
    <w:p w14:paraId="1CAC8708">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（3）其他扣留方式: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5DC4293E">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关于质量保证金的补充约定：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bookmarkEnd w:id="651"/>
    <w:bookmarkEnd w:id="652"/>
    <w:p w14:paraId="45FEA882">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15.4保修</w:t>
      </w:r>
    </w:p>
    <w:bookmarkEnd w:id="653"/>
    <w:p w14:paraId="142C14A0">
      <w:pPr>
        <w:pageBreakBefore w:val="0"/>
        <w:widowControl w:val="0"/>
        <w:kinsoku/>
        <w:wordWrap/>
        <w:overflowPunct/>
        <w:topLinePunct w:val="0"/>
        <w:bidi w:val="0"/>
        <w:snapToGrid/>
        <w:spacing w:line="400" w:lineRule="exact"/>
        <w:ind w:left="0" w:firstLine="409" w:firstLineChars="195"/>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15.4.1 保修责任</w:t>
      </w:r>
    </w:p>
    <w:p w14:paraId="7FE8BADD">
      <w:pPr>
        <w:pageBreakBefore w:val="0"/>
        <w:widowControl w:val="0"/>
        <w:kinsoku/>
        <w:wordWrap/>
        <w:overflowPunct/>
        <w:topLinePunct w:val="0"/>
        <w:bidi w:val="0"/>
        <w:snapToGrid/>
        <w:spacing w:line="400" w:lineRule="exact"/>
        <w:ind w:left="0" w:firstLine="409" w:firstLineChars="195"/>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工程保修期为：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73AB7847">
      <w:pPr>
        <w:pageBreakBefore w:val="0"/>
        <w:widowControl w:val="0"/>
        <w:kinsoku/>
        <w:wordWrap/>
        <w:overflowPunct/>
        <w:topLinePunct w:val="0"/>
        <w:bidi w:val="0"/>
        <w:snapToGrid/>
        <w:spacing w:line="400" w:lineRule="exact"/>
        <w:ind w:left="0" w:firstLine="409" w:firstLineChars="195"/>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15.4.3 修复通知</w:t>
      </w:r>
    </w:p>
    <w:p w14:paraId="25F94A41">
      <w:pPr>
        <w:pageBreakBefore w:val="0"/>
        <w:widowControl w:val="0"/>
        <w:kinsoku/>
        <w:wordWrap/>
        <w:overflowPunct/>
        <w:topLinePunct w:val="0"/>
        <w:bidi w:val="0"/>
        <w:snapToGrid/>
        <w:spacing w:line="400" w:lineRule="exact"/>
        <w:ind w:left="0" w:firstLine="409" w:firstLineChars="195"/>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承包人收到保修通知并到达工程现场的合理时间：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bookmarkEnd w:id="654"/>
    <w:bookmarkEnd w:id="655"/>
    <w:bookmarkEnd w:id="656"/>
    <w:bookmarkEnd w:id="657"/>
    <w:p w14:paraId="5195E847">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692" w:name="_Toc351203648"/>
      <w:bookmarkStart w:id="693" w:name="_Toc280868717"/>
      <w:bookmarkStart w:id="694" w:name="_Toc280868718"/>
      <w:r>
        <w:rPr>
          <w:rFonts w:hint="eastAsia" w:ascii="宋体" w:hAnsi="宋体" w:eastAsia="宋体" w:cs="宋体"/>
          <w:b w:val="0"/>
          <w:color w:val="000000"/>
          <w:sz w:val="21"/>
          <w:szCs w:val="21"/>
        </w:rPr>
        <w:t>16. 违约</w:t>
      </w:r>
      <w:bookmarkEnd w:id="692"/>
    </w:p>
    <w:p w14:paraId="5232F253">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695" w:name="_Toc20227"/>
      <w:bookmarkStart w:id="696" w:name="_Toc31558"/>
      <w:bookmarkStart w:id="697" w:name="_Toc18603"/>
      <w:r>
        <w:rPr>
          <w:rFonts w:hint="eastAsia" w:ascii="宋体" w:hAnsi="宋体" w:eastAsia="宋体" w:cs="宋体"/>
          <w:color w:val="000000"/>
          <w:sz w:val="21"/>
          <w:szCs w:val="21"/>
        </w:rPr>
        <w:t>16.1 发包人违约</w:t>
      </w:r>
      <w:bookmarkEnd w:id="695"/>
      <w:bookmarkEnd w:id="696"/>
      <w:bookmarkEnd w:id="697"/>
    </w:p>
    <w:p w14:paraId="33932F8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16.1.1发包人违约的情形</w:t>
      </w:r>
    </w:p>
    <w:p w14:paraId="413BF12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发包人违约的其他情形：</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24D289EC">
      <w:pPr>
        <w:pageBreakBefore w:val="0"/>
        <w:widowControl w:val="0"/>
        <w:kinsoku/>
        <w:wordWrap/>
        <w:overflowPunct/>
        <w:topLinePunct w:val="0"/>
        <w:bidi w:val="0"/>
        <w:snapToGrid/>
        <w:spacing w:line="400" w:lineRule="exact"/>
        <w:ind w:left="0" w:hanging="1050" w:hangingChars="5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16.1.2 发包人违约的责任</w:t>
      </w:r>
    </w:p>
    <w:p w14:paraId="4790EFF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发包人违约责任的承担方式和计算方法：</w:t>
      </w:r>
    </w:p>
    <w:p w14:paraId="7E133A5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（1）因发包人原因未能在计划开工日期前7天内下达开工通知的违约责任：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7DFCF67E">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（2）因发包人原因未能按合同约定支付合同价款的违约责任：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1D5AA0F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（3）发包人违反第10.1款〔变更的范围〕第（2）项约定，自行实施被取消的工作或转由他人实施的违约责任：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0A843E4E">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70E30B5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（5）因发包人违反合同约定造成暂停施工的违约责任：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19DEF714">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（6）发包人无正当理由没有在约定期限内发出复工指示，导致承包人无法复工的违约责任：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584ABD86">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（7）其他：</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32F2436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16.1.3 因发包人违约解除合同</w:t>
      </w:r>
    </w:p>
    <w:p w14:paraId="04D81181">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承包人按16.1.1项〔发包人违约的情形〕约定暂停施工满</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天后发包人仍不纠正其违约行为并致使合同目的不能实现的，承包人有权解除合同。</w:t>
      </w:r>
    </w:p>
    <w:p w14:paraId="46932471">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698" w:name="_Toc19857"/>
      <w:bookmarkStart w:id="699" w:name="_Toc31277"/>
      <w:bookmarkStart w:id="700" w:name="_Toc18974"/>
      <w:r>
        <w:rPr>
          <w:rFonts w:hint="eastAsia" w:ascii="宋体" w:hAnsi="宋体" w:eastAsia="宋体" w:cs="宋体"/>
          <w:color w:val="000000"/>
          <w:sz w:val="21"/>
          <w:szCs w:val="21"/>
        </w:rPr>
        <w:t>16.2 承包人违约</w:t>
      </w:r>
      <w:bookmarkEnd w:id="698"/>
      <w:bookmarkEnd w:id="699"/>
      <w:bookmarkEnd w:id="700"/>
    </w:p>
    <w:p w14:paraId="7ECAAE82">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16.2.1 承包人违约的情形</w:t>
      </w:r>
    </w:p>
    <w:p w14:paraId="024A6485">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承包人违约的其他情形：</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51B41A6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16.2.2承包人违约的责任</w:t>
      </w:r>
    </w:p>
    <w:p w14:paraId="00608E7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承包人违约责任的承担方式和计算方法：</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 xml:space="preserve">    </w:t>
      </w:r>
    </w:p>
    <w:p w14:paraId="096F4E5E">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16.2.3 因承包人违约解除合同</w:t>
      </w:r>
    </w:p>
    <w:p w14:paraId="434E8588">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关于承包人违约解除合同的特别约定：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70608A34">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955F2AB">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701" w:name="_Toc351203649"/>
      <w:r>
        <w:rPr>
          <w:rFonts w:hint="eastAsia" w:ascii="宋体" w:hAnsi="宋体" w:eastAsia="宋体" w:cs="宋体"/>
          <w:b w:val="0"/>
          <w:color w:val="000000"/>
          <w:sz w:val="21"/>
          <w:szCs w:val="21"/>
        </w:rPr>
        <w:t>17. 不可抗力</w:t>
      </w:r>
      <w:bookmarkEnd w:id="701"/>
      <w:r>
        <w:rPr>
          <w:rFonts w:hint="eastAsia" w:ascii="宋体" w:hAnsi="宋体" w:eastAsia="宋体" w:cs="宋体"/>
          <w:b w:val="0"/>
          <w:color w:val="000000"/>
          <w:sz w:val="21"/>
          <w:szCs w:val="21"/>
        </w:rPr>
        <w:t xml:space="preserve"> </w:t>
      </w:r>
      <w:bookmarkEnd w:id="693"/>
    </w:p>
    <w:p w14:paraId="00FA946E">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17.1 不可抗力的确认</w:t>
      </w:r>
    </w:p>
    <w:p w14:paraId="1FCE133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sz w:val="21"/>
          <w:szCs w:val="21"/>
        </w:rPr>
        <w:t xml:space="preserve">除通用合同条款约定的不可抗力事件之外，视为不可抗力的其他情形：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40C9D2D5">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702" w:name="_Toc3855"/>
      <w:bookmarkStart w:id="703" w:name="_Toc26968"/>
      <w:bookmarkStart w:id="704" w:name="_Toc18379"/>
      <w:r>
        <w:rPr>
          <w:rFonts w:hint="eastAsia" w:ascii="宋体" w:hAnsi="宋体" w:eastAsia="宋体" w:cs="宋体"/>
          <w:color w:val="000000"/>
          <w:sz w:val="21"/>
          <w:szCs w:val="21"/>
        </w:rPr>
        <w:t>17.4 因不可抗力解除合同</w:t>
      </w:r>
      <w:bookmarkEnd w:id="702"/>
      <w:bookmarkEnd w:id="703"/>
      <w:bookmarkEnd w:id="704"/>
    </w:p>
    <w:p w14:paraId="34C3B0C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合同解除后，发包人应在商定或确定发包人应支付款项后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天内完成款项的支付。</w:t>
      </w:r>
    </w:p>
    <w:p w14:paraId="6541F6C5">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705" w:name="_Toc351203650"/>
      <w:r>
        <w:rPr>
          <w:rFonts w:hint="eastAsia" w:ascii="宋体" w:hAnsi="宋体" w:eastAsia="宋体" w:cs="宋体"/>
          <w:b w:val="0"/>
          <w:color w:val="000000"/>
          <w:sz w:val="21"/>
          <w:szCs w:val="21"/>
        </w:rPr>
        <w:t>18. 保险</w:t>
      </w:r>
      <w:bookmarkEnd w:id="705"/>
    </w:p>
    <w:bookmarkEnd w:id="694"/>
    <w:p w14:paraId="68621867">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18.1 工程保险</w:t>
      </w:r>
    </w:p>
    <w:p w14:paraId="56B66D19">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关于工程保险的特别约定：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926F232">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706" w:name="_Toc31164"/>
      <w:bookmarkStart w:id="707" w:name="_Toc18037"/>
      <w:bookmarkStart w:id="708" w:name="_Toc3875"/>
      <w:r>
        <w:rPr>
          <w:rFonts w:hint="eastAsia" w:ascii="宋体" w:hAnsi="宋体" w:eastAsia="宋体" w:cs="宋体"/>
          <w:color w:val="000000"/>
          <w:sz w:val="21"/>
          <w:szCs w:val="21"/>
        </w:rPr>
        <w:t>18.3 其他保险</w:t>
      </w:r>
      <w:bookmarkEnd w:id="706"/>
      <w:bookmarkEnd w:id="707"/>
      <w:bookmarkEnd w:id="708"/>
    </w:p>
    <w:p w14:paraId="2D657FDF">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关于其他保险的约定：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7E39087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承包人是否应为其施工设备等办理财产保险：</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621ED81">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18.7 通知义务</w:t>
      </w:r>
    </w:p>
    <w:p w14:paraId="1EC2A7B7">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关于变更保险合同时的通知义务的约定：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658"/>
    <w:bookmarkEnd w:id="659"/>
    <w:bookmarkEnd w:id="660"/>
    <w:bookmarkEnd w:id="661"/>
    <w:bookmarkEnd w:id="662"/>
    <w:bookmarkEnd w:id="663"/>
    <w:bookmarkEnd w:id="664"/>
    <w:bookmarkEnd w:id="665"/>
    <w:bookmarkEnd w:id="666"/>
    <w:bookmarkEnd w:id="667"/>
    <w:bookmarkEnd w:id="668"/>
    <w:bookmarkEnd w:id="669"/>
    <w:p w14:paraId="1D4C8393">
      <w:pPr>
        <w:pStyle w:val="6"/>
        <w:pageBreakBefore w:val="0"/>
        <w:widowControl w:val="0"/>
        <w:kinsoku/>
        <w:wordWrap/>
        <w:overflowPunct/>
        <w:topLinePunct w:val="0"/>
        <w:bidi w:val="0"/>
        <w:snapToGrid/>
        <w:spacing w:before="0" w:after="0" w:line="400" w:lineRule="exact"/>
        <w:ind w:left="0"/>
        <w:textAlignment w:val="auto"/>
        <w:rPr>
          <w:rFonts w:hint="eastAsia" w:ascii="宋体" w:hAnsi="宋体" w:eastAsia="宋体" w:cs="宋体"/>
          <w:b w:val="0"/>
          <w:color w:val="000000"/>
          <w:sz w:val="21"/>
          <w:szCs w:val="21"/>
        </w:rPr>
      </w:pPr>
      <w:bookmarkStart w:id="709" w:name="_Toc351203651"/>
      <w:r>
        <w:rPr>
          <w:rFonts w:hint="eastAsia" w:ascii="宋体" w:hAnsi="宋体" w:eastAsia="宋体" w:cs="宋体"/>
          <w:b w:val="0"/>
          <w:color w:val="000000"/>
          <w:sz w:val="21"/>
          <w:szCs w:val="21"/>
        </w:rPr>
        <w:t>20. 争议解决</w:t>
      </w:r>
      <w:bookmarkEnd w:id="709"/>
    </w:p>
    <w:bookmarkEnd w:id="670"/>
    <w:bookmarkEnd w:id="671"/>
    <w:p w14:paraId="145CFB41">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710" w:name="_Toc15151"/>
      <w:bookmarkStart w:id="711" w:name="_Toc24332"/>
      <w:bookmarkStart w:id="712" w:name="_Toc10070"/>
      <w:r>
        <w:rPr>
          <w:rFonts w:hint="eastAsia" w:ascii="宋体" w:hAnsi="宋体" w:eastAsia="宋体" w:cs="宋体"/>
          <w:color w:val="000000"/>
          <w:sz w:val="21"/>
          <w:szCs w:val="21"/>
        </w:rPr>
        <w:t>20.3 争</w:t>
      </w:r>
      <w:bookmarkEnd w:id="672"/>
      <w:r>
        <w:rPr>
          <w:rFonts w:hint="eastAsia" w:ascii="宋体" w:hAnsi="宋体" w:eastAsia="宋体" w:cs="宋体"/>
          <w:color w:val="000000"/>
          <w:sz w:val="21"/>
          <w:szCs w:val="21"/>
        </w:rPr>
        <w:t>议评审</w:t>
      </w:r>
      <w:bookmarkEnd w:id="710"/>
      <w:bookmarkEnd w:id="711"/>
      <w:bookmarkEnd w:id="712"/>
    </w:p>
    <w:p w14:paraId="3729FE24">
      <w:pPr>
        <w:pageBreakBefore w:val="0"/>
        <w:widowControl w:val="0"/>
        <w:kinsoku/>
        <w:wordWrap/>
        <w:overflowPunct/>
        <w:topLinePunct w:val="0"/>
        <w:bidi w:val="0"/>
        <w:snapToGrid/>
        <w:spacing w:line="400" w:lineRule="exact"/>
        <w:ind w:left="0" w:firstLine="315" w:firstLineChars="15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合同当事人是否同意将工程争议提交争议评审小组决定：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6C1D617">
      <w:pPr>
        <w:pageBreakBefore w:val="0"/>
        <w:widowControl w:val="0"/>
        <w:kinsoku/>
        <w:wordWrap/>
        <w:overflowPunct/>
        <w:topLinePunct w:val="0"/>
        <w:bidi w:val="0"/>
        <w:snapToGrid/>
        <w:spacing w:line="400" w:lineRule="exact"/>
        <w:ind w:left="0" w:firstLine="420" w:firstLineChars="200"/>
        <w:jc w:val="left"/>
        <w:textAlignment w:val="auto"/>
        <w:outlineLvl w:val="0"/>
        <w:rPr>
          <w:rFonts w:hint="eastAsia" w:ascii="宋体" w:hAnsi="宋体" w:eastAsia="宋体" w:cs="宋体"/>
          <w:color w:val="000000"/>
          <w:sz w:val="21"/>
          <w:szCs w:val="21"/>
        </w:rPr>
      </w:pPr>
      <w:bookmarkStart w:id="713" w:name="_Toc10354"/>
      <w:bookmarkStart w:id="714" w:name="_Toc16231"/>
      <w:bookmarkStart w:id="715" w:name="_Toc6630"/>
      <w:r>
        <w:rPr>
          <w:rFonts w:hint="eastAsia" w:ascii="宋体" w:hAnsi="宋体" w:eastAsia="宋体" w:cs="宋体"/>
          <w:color w:val="000000"/>
          <w:sz w:val="21"/>
          <w:szCs w:val="21"/>
        </w:rPr>
        <w:t>20.3.1 争议评审小组的确定</w:t>
      </w:r>
      <w:bookmarkEnd w:id="713"/>
      <w:bookmarkEnd w:id="714"/>
      <w:bookmarkEnd w:id="715"/>
    </w:p>
    <w:p w14:paraId="4B2F91BD">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争议评审小组成员的确定：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9EA9A6F">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选定争议评审员的期限：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3161A8B">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争议评审小组成员的报酬承担方式：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074804A">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其他事项的约定：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468E3C9">
      <w:pPr>
        <w:pageBreakBefore w:val="0"/>
        <w:widowControl w:val="0"/>
        <w:kinsoku/>
        <w:wordWrap/>
        <w:overflowPunct/>
        <w:topLinePunct w:val="0"/>
        <w:autoSpaceDE w:val="0"/>
        <w:autoSpaceDN w:val="0"/>
        <w:bidi w:val="0"/>
        <w:adjustRightInd w:val="0"/>
        <w:snapToGrid/>
        <w:spacing w:line="400" w:lineRule="exact"/>
        <w:ind w:left="0" w:firstLine="420" w:firstLineChars="200"/>
        <w:jc w:val="left"/>
        <w:textAlignment w:val="auto"/>
        <w:outlineLvl w:val="0"/>
        <w:rPr>
          <w:rFonts w:hint="eastAsia" w:ascii="宋体" w:hAnsi="宋体" w:eastAsia="宋体" w:cs="宋体"/>
          <w:color w:val="000000"/>
          <w:kern w:val="0"/>
          <w:sz w:val="21"/>
          <w:szCs w:val="21"/>
        </w:rPr>
      </w:pPr>
      <w:bookmarkStart w:id="716" w:name="_Toc5953"/>
      <w:bookmarkStart w:id="717" w:name="_Toc25992"/>
      <w:bookmarkStart w:id="718" w:name="_Toc24134"/>
      <w:r>
        <w:rPr>
          <w:rFonts w:hint="eastAsia" w:ascii="宋体" w:hAnsi="宋体" w:eastAsia="宋体" w:cs="宋体"/>
          <w:color w:val="000000"/>
          <w:kern w:val="0"/>
          <w:sz w:val="21"/>
          <w:szCs w:val="21"/>
        </w:rPr>
        <w:t>20.3.2 争议评审小组的决定</w:t>
      </w:r>
      <w:bookmarkEnd w:id="716"/>
      <w:bookmarkEnd w:id="717"/>
      <w:bookmarkEnd w:id="718"/>
    </w:p>
    <w:p w14:paraId="581E957E">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合同当事人关于本项的约定：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567AF9D">
      <w:pPr>
        <w:pageBreakBefore w:val="0"/>
        <w:widowControl w:val="0"/>
        <w:kinsoku/>
        <w:wordWrap/>
        <w:overflowPunct/>
        <w:topLinePunct w:val="0"/>
        <w:bidi w:val="0"/>
        <w:snapToGrid/>
        <w:spacing w:line="400" w:lineRule="exact"/>
        <w:ind w:left="0" w:firstLine="420" w:firstLineChars="200"/>
        <w:textAlignment w:val="auto"/>
        <w:outlineLvl w:val="0"/>
        <w:rPr>
          <w:rFonts w:hint="eastAsia" w:ascii="宋体" w:hAnsi="宋体" w:eastAsia="宋体" w:cs="宋体"/>
          <w:color w:val="000000"/>
          <w:sz w:val="21"/>
          <w:szCs w:val="21"/>
        </w:rPr>
      </w:pPr>
      <w:bookmarkStart w:id="719" w:name="_Toc4758"/>
      <w:bookmarkStart w:id="720" w:name="_Toc5192"/>
      <w:bookmarkStart w:id="721" w:name="_Toc32508"/>
      <w:r>
        <w:rPr>
          <w:rFonts w:hint="eastAsia" w:ascii="宋体" w:hAnsi="宋体" w:eastAsia="宋体" w:cs="宋体"/>
          <w:color w:val="000000"/>
          <w:sz w:val="21"/>
          <w:szCs w:val="21"/>
        </w:rPr>
        <w:t>20.4仲裁或诉讼</w:t>
      </w:r>
      <w:bookmarkEnd w:id="673"/>
      <w:bookmarkEnd w:id="719"/>
      <w:bookmarkEnd w:id="720"/>
      <w:bookmarkEnd w:id="721"/>
    </w:p>
    <w:p w14:paraId="612BE1DB">
      <w:pPr>
        <w:pageBreakBefore w:val="0"/>
        <w:widowControl w:val="0"/>
        <w:kinsoku/>
        <w:wordWrap/>
        <w:overflowPunct/>
        <w:topLinePunct w:val="0"/>
        <w:bidi w:val="0"/>
        <w:snapToGrid/>
        <w:spacing w:line="40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因合同及合同有关事项发生的争议，按下列第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种方式解决：</w:t>
      </w:r>
    </w:p>
    <w:p w14:paraId="38060D8C">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仲裁委员会申请仲裁；</w:t>
      </w:r>
    </w:p>
    <w:p w14:paraId="3762E0A8">
      <w:pPr>
        <w:pageBreakBefore w:val="0"/>
        <w:widowControl w:val="0"/>
        <w:kinsoku/>
        <w:wordWrap/>
        <w:overflowPunct/>
        <w:topLinePunct w:val="0"/>
        <w:bidi w:val="0"/>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人民法院起诉。</w:t>
      </w:r>
      <w:bookmarkEnd w:id="674"/>
      <w:bookmarkEnd w:id="675"/>
      <w:bookmarkEnd w:id="676"/>
      <w:bookmarkEnd w:id="677"/>
      <w:bookmarkEnd w:id="678"/>
      <w:bookmarkEnd w:id="679"/>
    </w:p>
    <w:p w14:paraId="6F6916D6">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br w:type="page"/>
      </w:r>
      <w:bookmarkStart w:id="722" w:name="_Toc351203652"/>
      <w:r>
        <w:rPr>
          <w:rFonts w:hint="eastAsia" w:ascii="宋体" w:hAnsi="宋体" w:eastAsia="宋体" w:cs="宋体"/>
          <w:b/>
          <w:color w:val="000000"/>
          <w:sz w:val="21"/>
          <w:szCs w:val="21"/>
        </w:rPr>
        <w:t>附件</w:t>
      </w:r>
      <w:bookmarkEnd w:id="722"/>
    </w:p>
    <w:p w14:paraId="378F6D4A">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协议书附件（略）：</w:t>
      </w:r>
    </w:p>
    <w:p w14:paraId="223BD3D2">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附件1：承包人承揽工程项目一览表</w:t>
      </w:r>
    </w:p>
    <w:p w14:paraId="3E9BB045">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专用合同条款附件：</w:t>
      </w:r>
    </w:p>
    <w:p w14:paraId="1440CBB4">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附件2：发包人供应材料设备一览表</w:t>
      </w:r>
    </w:p>
    <w:p w14:paraId="620ED291">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附件3：工程质量保修书</w:t>
      </w:r>
    </w:p>
    <w:p w14:paraId="641807E4">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附件4：主要建设工程文件目录</w:t>
      </w:r>
    </w:p>
    <w:p w14:paraId="0E548B9E">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附件5：承包人用于本工程施工的机械设备表</w:t>
      </w:r>
    </w:p>
    <w:p w14:paraId="79FE2F50">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附件6：承包人主要施工管理人员表</w:t>
      </w:r>
    </w:p>
    <w:p w14:paraId="2154322B">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附件7：分包人主要施工管理人员表</w:t>
      </w:r>
    </w:p>
    <w:p w14:paraId="0F8EFD85">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附件8：履约担保格式</w:t>
      </w:r>
    </w:p>
    <w:p w14:paraId="49A5D39F">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附件9：预付款担保格式</w:t>
      </w:r>
    </w:p>
    <w:p w14:paraId="1379EC9C">
      <w:pPr>
        <w:pageBreakBefore w:val="0"/>
        <w:widowControl w:val="0"/>
        <w:kinsoku/>
        <w:wordWrap/>
        <w:overflowPunct/>
        <w:topLinePunct w:val="0"/>
        <w:bidi w:val="0"/>
        <w:snapToGrid/>
        <w:spacing w:line="400" w:lineRule="exact"/>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附件10：支付担保格式</w:t>
      </w:r>
    </w:p>
    <w:p w14:paraId="6165063D">
      <w:pPr>
        <w:pageBreakBefore w:val="0"/>
        <w:widowControl w:val="0"/>
        <w:kinsoku/>
        <w:wordWrap/>
        <w:overflowPunct/>
        <w:topLinePunct w:val="0"/>
        <w:bidi w:val="0"/>
        <w:snapToGrid/>
        <w:spacing w:line="400" w:lineRule="exact"/>
        <w:ind w:left="0"/>
        <w:textAlignment w:val="auto"/>
        <w:rPr>
          <w:rFonts w:hint="eastAsia" w:ascii="宋体" w:hAnsi="宋体" w:eastAsia="宋体" w:cs="宋体"/>
          <w:color w:val="333333"/>
          <w:kern w:val="0"/>
          <w:sz w:val="21"/>
          <w:szCs w:val="21"/>
          <w:u w:val="single"/>
        </w:rPr>
      </w:pPr>
      <w:r>
        <w:rPr>
          <w:rFonts w:hint="eastAsia" w:ascii="宋体" w:hAnsi="宋体" w:eastAsia="宋体" w:cs="宋体"/>
          <w:color w:val="000000"/>
          <w:sz w:val="21"/>
          <w:szCs w:val="21"/>
        </w:rPr>
        <w:t>附件11：暂估价一览表</w:t>
      </w:r>
    </w:p>
    <w:p w14:paraId="570896DD">
      <w:pPr>
        <w:rPr>
          <w:rFonts w:hint="eastAsia" w:ascii="仿宋_GB2312" w:hAnsi="inherit" w:eastAsia="仿宋_GB2312" w:cs="Tahoma"/>
          <w:kern w:val="0"/>
          <w:sz w:val="28"/>
          <w:szCs w:val="28"/>
          <w:u w:val="single"/>
        </w:rPr>
      </w:pPr>
    </w:p>
    <w:p w14:paraId="13CF7019">
      <w:pPr>
        <w:rPr>
          <w:rFonts w:hint="eastAsia" w:ascii="仿宋_GB2312" w:hAnsi="inherit" w:eastAsia="仿宋_GB2312" w:cs="Tahoma"/>
          <w:kern w:val="0"/>
          <w:sz w:val="28"/>
          <w:szCs w:val="28"/>
          <w:u w:val="single"/>
        </w:rPr>
      </w:pPr>
    </w:p>
    <w:p w14:paraId="43045AFE">
      <w:pPr>
        <w:rPr>
          <w:rFonts w:ascii="宋体" w:hAnsi="宋体" w:eastAsia="宋体" w:cs="宋体"/>
          <w:szCs w:val="21"/>
        </w:rPr>
      </w:pPr>
      <w:r>
        <w:rPr>
          <w:rFonts w:hint="eastAsia" w:ascii="宋体" w:hAnsi="宋体" w:eastAsia="宋体" w:cs="宋体"/>
          <w:szCs w:val="21"/>
        </w:rPr>
        <w:br w:type="page"/>
      </w:r>
      <w:bookmarkStart w:id="723" w:name="_Toc134790396"/>
    </w:p>
    <w:p w14:paraId="7531395E">
      <w:pPr>
        <w:pStyle w:val="2"/>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val="0"/>
          <w:sz w:val="32"/>
          <w:szCs w:val="32"/>
        </w:rPr>
      </w:pPr>
      <w:bookmarkStart w:id="724" w:name="_Toc25450"/>
      <w:r>
        <w:rPr>
          <w:rFonts w:hint="eastAsia" w:ascii="宋体" w:hAnsi="宋体" w:cs="宋体"/>
          <w:sz w:val="32"/>
          <w:szCs w:val="32"/>
        </w:rPr>
        <w:t>第五章 采购需求</w:t>
      </w:r>
      <w:bookmarkEnd w:id="723"/>
      <w:bookmarkEnd w:id="724"/>
    </w:p>
    <w:p w14:paraId="25A03569">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总体要求</w:t>
      </w:r>
    </w:p>
    <w:p w14:paraId="06A4E2D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32"/>
        </w:rPr>
      </w:pPr>
      <w:r>
        <w:rPr>
          <w:rFonts w:hint="eastAsia" w:ascii="Times New Roman" w:hAnsi="Times New Roman" w:eastAsia="宋体" w:cs="Times New Roman"/>
          <w:sz w:val="24"/>
          <w:szCs w:val="32"/>
        </w:rPr>
        <w:t>项目名称：</w:t>
      </w:r>
      <w:r>
        <w:rPr>
          <w:rFonts w:hint="eastAsia" w:ascii="Times New Roman" w:hAnsi="Times New Roman" w:eastAsia="宋体" w:cs="Times New Roman"/>
          <w:sz w:val="24"/>
          <w:szCs w:val="32"/>
          <w:lang w:eastAsia="zh-CN"/>
        </w:rPr>
        <w:t>吉林省阳光学校校园单体楼防水改造项目。</w:t>
      </w:r>
      <w:r>
        <w:rPr>
          <w:rFonts w:hint="eastAsia" w:ascii="Times New Roman" w:hAnsi="Times New Roman" w:eastAsia="宋体" w:cs="Times New Roman"/>
          <w:sz w:val="24"/>
          <w:szCs w:val="32"/>
          <w:lang w:val="en-US" w:eastAsia="zh-CN"/>
        </w:rPr>
        <w:t xml:space="preserve"> </w:t>
      </w:r>
    </w:p>
    <w:p w14:paraId="1BC15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32"/>
        </w:rPr>
      </w:pPr>
      <w:r>
        <w:rPr>
          <w:rFonts w:hint="eastAsia" w:ascii="Times New Roman" w:hAnsi="Times New Roman" w:eastAsia="宋体" w:cs="Times New Roman"/>
          <w:sz w:val="24"/>
          <w:szCs w:val="32"/>
        </w:rPr>
        <w:t>2、资</w:t>
      </w:r>
      <w:r>
        <w:rPr>
          <w:rFonts w:hint="eastAsia" w:ascii="Times New Roman" w:hAnsi="Times New Roman" w:eastAsia="宋体" w:cs="Times New Roman"/>
          <w:color w:val="auto"/>
          <w:sz w:val="24"/>
          <w:szCs w:val="32"/>
        </w:rPr>
        <w:t>金来源：</w:t>
      </w:r>
      <w:r>
        <w:rPr>
          <w:rFonts w:hint="eastAsia" w:ascii="Times New Roman" w:hAnsi="Times New Roman" w:eastAsia="宋体" w:cs="Times New Roman"/>
          <w:color w:val="auto"/>
          <w:sz w:val="24"/>
          <w:szCs w:val="32"/>
          <w:lang w:val="en-US" w:eastAsia="zh-CN"/>
        </w:rPr>
        <w:t>财政资金</w:t>
      </w:r>
      <w:r>
        <w:rPr>
          <w:rFonts w:hint="eastAsia" w:ascii="宋体" w:hAnsi="宋体" w:eastAsia="宋体" w:cs="宋体"/>
          <w:color w:val="auto"/>
          <w:sz w:val="24"/>
        </w:rPr>
        <w:t>。</w:t>
      </w:r>
    </w:p>
    <w:p w14:paraId="1B678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32"/>
        </w:rPr>
      </w:pPr>
      <w:r>
        <w:rPr>
          <w:rFonts w:hint="eastAsia" w:ascii="Times New Roman" w:hAnsi="Times New Roman" w:eastAsia="宋体" w:cs="Times New Roman"/>
          <w:color w:val="auto"/>
          <w:sz w:val="24"/>
          <w:szCs w:val="32"/>
        </w:rPr>
        <w:t>3、工程地点：</w:t>
      </w:r>
      <w:r>
        <w:rPr>
          <w:rFonts w:hint="eastAsia" w:ascii="宋体" w:hAnsi="宋体" w:eastAsia="宋体" w:cs="宋体"/>
          <w:color w:val="auto"/>
          <w:sz w:val="24"/>
          <w:szCs w:val="24"/>
        </w:rPr>
        <w:t>长春市净月开发区梧桐街1555号</w:t>
      </w:r>
      <w:r>
        <w:rPr>
          <w:rFonts w:hint="eastAsia" w:ascii="宋体" w:hAnsi="宋体" w:eastAsia="宋体" w:cs="宋体"/>
          <w:color w:val="auto"/>
          <w:sz w:val="24"/>
        </w:rPr>
        <w:t>。</w:t>
      </w:r>
    </w:p>
    <w:p w14:paraId="42E7EF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32"/>
        </w:rPr>
      </w:pPr>
      <w:r>
        <w:rPr>
          <w:rFonts w:hint="eastAsia" w:ascii="Times New Roman" w:hAnsi="Times New Roman" w:eastAsia="宋体" w:cs="Times New Roman"/>
          <w:color w:val="auto"/>
          <w:sz w:val="24"/>
          <w:szCs w:val="32"/>
        </w:rPr>
        <w:t>4、履约担保金：中标价格的5%。</w:t>
      </w:r>
    </w:p>
    <w:p w14:paraId="63E50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val="en-US" w:eastAsia="zh-CN"/>
        </w:rPr>
        <w:t>5、</w:t>
      </w:r>
      <w:r>
        <w:rPr>
          <w:rFonts w:hint="eastAsia" w:ascii="Times New Roman" w:hAnsi="Times New Roman" w:eastAsia="宋体" w:cs="Times New Roman"/>
          <w:color w:val="auto"/>
          <w:sz w:val="24"/>
          <w:szCs w:val="32"/>
        </w:rPr>
        <w:t>质保期</w:t>
      </w:r>
      <w:r>
        <w:rPr>
          <w:rFonts w:hint="eastAsia" w:ascii="Times New Roman" w:hAnsi="Times New Roman" w:eastAsia="宋体" w:cs="Times New Roman"/>
          <w:color w:val="auto"/>
          <w:sz w:val="24"/>
          <w:szCs w:val="32"/>
          <w:lang w:eastAsia="zh-CN"/>
        </w:rPr>
        <w:t>：自竣工验收合格之日</w:t>
      </w:r>
      <w:r>
        <w:rPr>
          <w:rFonts w:hint="eastAsia" w:ascii="宋体" w:hAnsi="宋体" w:eastAsia="宋体" w:cs="宋体"/>
          <w:bCs/>
          <w:color w:val="auto"/>
          <w:sz w:val="24"/>
          <w:lang w:eastAsia="zh-CN"/>
        </w:rPr>
        <w:t>起</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年</w:t>
      </w:r>
      <w:r>
        <w:rPr>
          <w:rFonts w:hint="eastAsia" w:ascii="宋体" w:hAnsi="宋体" w:eastAsia="宋体" w:cs="宋体"/>
          <w:bCs/>
          <w:color w:val="auto"/>
          <w:sz w:val="24"/>
          <w:lang w:eastAsia="zh-CN"/>
        </w:rPr>
        <w:t>。</w:t>
      </w:r>
    </w:p>
    <w:p w14:paraId="7A89EC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7、工期要求：</w:t>
      </w:r>
      <w:r>
        <w:rPr>
          <w:rFonts w:hint="eastAsia" w:ascii="宋体" w:hAnsi="宋体" w:eastAsia="宋体" w:cs="宋体"/>
          <w:bCs/>
          <w:color w:val="auto"/>
          <w:sz w:val="24"/>
          <w:lang w:val="en-US" w:eastAsia="zh-CN"/>
        </w:rPr>
        <w:t>合同签订后三个月内完成。</w:t>
      </w:r>
    </w:p>
    <w:p w14:paraId="49242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32"/>
        </w:rPr>
      </w:pPr>
      <w:r>
        <w:rPr>
          <w:rFonts w:hint="eastAsia" w:ascii="Times New Roman" w:hAnsi="Times New Roman" w:eastAsia="宋体" w:cs="Times New Roman"/>
          <w:color w:val="auto"/>
          <w:sz w:val="24"/>
          <w:szCs w:val="32"/>
          <w:lang w:val="en-US" w:eastAsia="zh-CN"/>
        </w:rPr>
        <w:t>8</w:t>
      </w:r>
      <w:r>
        <w:rPr>
          <w:rFonts w:hint="eastAsia" w:ascii="Times New Roman" w:hAnsi="Times New Roman" w:eastAsia="宋体" w:cs="Times New Roman"/>
          <w:color w:val="auto"/>
          <w:sz w:val="24"/>
          <w:szCs w:val="32"/>
        </w:rPr>
        <w:t>、是否组织踏勘现场：</w:t>
      </w:r>
      <w:r>
        <w:rPr>
          <w:rFonts w:hint="eastAsia" w:ascii="Times New Roman" w:hAnsi="Times New Roman" w:eastAsia="宋体" w:cs="Times New Roman"/>
          <w:color w:val="auto"/>
          <w:sz w:val="24"/>
          <w:szCs w:val="32"/>
          <w:lang w:val="en-US" w:eastAsia="zh-CN"/>
        </w:rPr>
        <w:t>不</w:t>
      </w:r>
      <w:r>
        <w:rPr>
          <w:rFonts w:hint="eastAsia" w:ascii="Times New Roman" w:hAnsi="Times New Roman" w:eastAsia="宋体" w:cs="Times New Roman"/>
          <w:color w:val="auto"/>
          <w:sz w:val="24"/>
          <w:szCs w:val="32"/>
        </w:rPr>
        <w:t>组织。</w:t>
      </w:r>
    </w:p>
    <w:p w14:paraId="14880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32"/>
          <w:highlight w:val="none"/>
        </w:rPr>
      </w:pPr>
      <w:r>
        <w:rPr>
          <w:rFonts w:hint="eastAsia" w:ascii="Times New Roman" w:hAnsi="Times New Roman" w:eastAsia="宋体" w:cs="Times New Roman"/>
          <w:color w:val="auto"/>
          <w:sz w:val="24"/>
          <w:szCs w:val="32"/>
          <w:highlight w:val="none"/>
          <w:lang w:val="en-US" w:eastAsia="zh-CN"/>
        </w:rPr>
        <w:t>9</w:t>
      </w:r>
      <w:r>
        <w:rPr>
          <w:rFonts w:hint="eastAsia" w:ascii="Times New Roman" w:hAnsi="Times New Roman" w:eastAsia="宋体" w:cs="Times New Roman"/>
          <w:color w:val="auto"/>
          <w:sz w:val="24"/>
          <w:szCs w:val="32"/>
          <w:highlight w:val="none"/>
        </w:rPr>
        <w:t>、本项目</w:t>
      </w:r>
      <w:r>
        <w:rPr>
          <w:rFonts w:hint="eastAsia" w:ascii="Times New Roman" w:hAnsi="Times New Roman" w:eastAsia="宋体" w:cs="Times New Roman"/>
          <w:color w:val="auto"/>
          <w:sz w:val="24"/>
          <w:szCs w:val="32"/>
          <w:highlight w:val="none"/>
          <w:lang w:val="en-US" w:eastAsia="zh-CN"/>
        </w:rPr>
        <w:t>为</w:t>
      </w:r>
      <w:r>
        <w:rPr>
          <w:rFonts w:hint="eastAsia" w:ascii="Times New Roman" w:hAnsi="Times New Roman" w:eastAsia="宋体" w:cs="Times New Roman"/>
          <w:color w:val="auto"/>
          <w:sz w:val="24"/>
          <w:szCs w:val="32"/>
          <w:highlight w:val="none"/>
        </w:rPr>
        <w:t>专门面向中小企业的项目。</w:t>
      </w:r>
    </w:p>
    <w:p w14:paraId="17AD3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32"/>
        </w:rPr>
      </w:pPr>
      <w:r>
        <w:rPr>
          <w:rFonts w:hint="eastAsia" w:ascii="Times New Roman" w:hAnsi="Times New Roman" w:eastAsia="宋体" w:cs="Times New Roman"/>
          <w:color w:val="auto"/>
          <w:sz w:val="24"/>
          <w:szCs w:val="32"/>
          <w:lang w:val="en-US" w:eastAsia="zh-CN"/>
        </w:rPr>
        <w:t>10</w:t>
      </w:r>
      <w:r>
        <w:rPr>
          <w:rFonts w:hint="eastAsia" w:ascii="Times New Roman" w:hAnsi="Times New Roman" w:eastAsia="宋体" w:cs="Times New Roman"/>
          <w:color w:val="auto"/>
          <w:sz w:val="24"/>
          <w:szCs w:val="32"/>
        </w:rPr>
        <w:t>、本项目不接受联合体投标。</w:t>
      </w:r>
    </w:p>
    <w:p w14:paraId="739F26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lang w:val="en-US" w:eastAsia="zh-CN"/>
        </w:rPr>
        <w:t>二、</w:t>
      </w:r>
      <w:r>
        <w:rPr>
          <w:rFonts w:hint="eastAsia" w:ascii="Times New Roman" w:hAnsi="Times New Roman" w:eastAsia="宋体" w:cs="Times New Roman"/>
          <w:b/>
          <w:bCs/>
          <w:color w:val="auto"/>
          <w:sz w:val="28"/>
          <w:szCs w:val="28"/>
        </w:rPr>
        <w:t>维修项目相关要求</w:t>
      </w:r>
    </w:p>
    <w:p w14:paraId="2FB24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32"/>
          <w:highlight w:val="none"/>
        </w:rPr>
      </w:pPr>
      <w:r>
        <w:rPr>
          <w:rFonts w:hint="eastAsia" w:eastAsia="宋体"/>
          <w:color w:val="auto"/>
          <w:sz w:val="24"/>
          <w:szCs w:val="32"/>
          <w:highlight w:val="none"/>
        </w:rPr>
        <w:t>1、现场相关人员着装要求</w:t>
      </w:r>
    </w:p>
    <w:p w14:paraId="52477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32"/>
          <w:highlight w:val="none"/>
        </w:rPr>
      </w:pPr>
      <w:r>
        <w:rPr>
          <w:rFonts w:hint="eastAsia" w:eastAsia="宋体"/>
          <w:color w:val="auto"/>
          <w:sz w:val="24"/>
          <w:szCs w:val="32"/>
          <w:highlight w:val="none"/>
        </w:rPr>
        <w:t>相关工人、管理人员，必须穿戴印有本单位名称的反光背心或相关工装，必须佩戴安全帽和工牌，工牌上写明工作单位姓名并附带照片，严禁空白工牌。</w:t>
      </w:r>
    </w:p>
    <w:p w14:paraId="37B6E7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32"/>
          <w:highlight w:val="none"/>
        </w:rPr>
      </w:pPr>
      <w:r>
        <w:rPr>
          <w:rFonts w:hint="eastAsia" w:eastAsia="宋体"/>
          <w:color w:val="auto"/>
          <w:sz w:val="24"/>
          <w:szCs w:val="32"/>
          <w:highlight w:val="none"/>
        </w:rPr>
        <w:t>2、围挡和公示牌要求</w:t>
      </w:r>
    </w:p>
    <w:p w14:paraId="1D196D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32"/>
          <w:highlight w:val="none"/>
        </w:rPr>
      </w:pPr>
      <w:r>
        <w:rPr>
          <w:rFonts w:hint="eastAsia" w:eastAsia="宋体"/>
          <w:color w:val="auto"/>
          <w:sz w:val="24"/>
          <w:szCs w:val="32"/>
          <w:highlight w:val="none"/>
        </w:rPr>
        <w:t>施工现场必须做好围挡，确保师生安全，入口处树立公示牌，写明工期，工程名称，施工单位，安全负责人，质量负责人，项目经理，总监，专监等相关信息。</w:t>
      </w:r>
    </w:p>
    <w:p w14:paraId="12217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32"/>
          <w:highlight w:val="none"/>
        </w:rPr>
      </w:pPr>
      <w:r>
        <w:rPr>
          <w:rFonts w:hint="eastAsia" w:eastAsia="宋体"/>
          <w:color w:val="auto"/>
          <w:sz w:val="24"/>
          <w:szCs w:val="32"/>
          <w:highlight w:val="none"/>
        </w:rPr>
        <w:t>3、考勤要求</w:t>
      </w:r>
    </w:p>
    <w:p w14:paraId="5110A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32"/>
          <w:highlight w:val="none"/>
        </w:rPr>
      </w:pPr>
      <w:r>
        <w:rPr>
          <w:rFonts w:hint="eastAsia" w:eastAsia="宋体"/>
          <w:color w:val="auto"/>
          <w:sz w:val="24"/>
          <w:szCs w:val="32"/>
          <w:highlight w:val="none"/>
        </w:rPr>
        <w:t>施工单位应用打卡或签到等考勤方式，确保在施工现场的实际项目经理，管理人员，安全员，技术员具备相应资质且与投标文件中所列人员相符并留存记录备查。</w:t>
      </w:r>
    </w:p>
    <w:p w14:paraId="4AE1D0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32"/>
          <w:highlight w:val="none"/>
        </w:rPr>
      </w:pPr>
      <w:r>
        <w:rPr>
          <w:rFonts w:hint="eastAsia" w:eastAsia="宋体"/>
          <w:color w:val="auto"/>
          <w:sz w:val="24"/>
          <w:szCs w:val="32"/>
          <w:highlight w:val="none"/>
        </w:rPr>
        <w:t>4、施工主材要求：</w:t>
      </w:r>
    </w:p>
    <w:p w14:paraId="16DF3F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kern w:val="44"/>
          <w:sz w:val="44"/>
          <w:szCs w:val="44"/>
        </w:rPr>
      </w:pPr>
      <w:r>
        <w:rPr>
          <w:rFonts w:hint="eastAsia" w:eastAsia="宋体"/>
          <w:color w:val="auto"/>
          <w:sz w:val="24"/>
          <w:szCs w:val="32"/>
          <w:highlight w:val="none"/>
        </w:rPr>
        <w:t>所有材料均需要建设单位审批封样后方可使用；工程所有材料符合国家现行工程施工质量验收统一标准及相关标准。规格及质量应符合国家现行产品标准规定，并应有产品出厂合格证。</w:t>
      </w:r>
      <w:bookmarkStart w:id="725" w:name="_Toc134790397"/>
      <w:r>
        <w:rPr>
          <w:rFonts w:ascii="宋体" w:hAnsi="宋体" w:eastAsia="宋体" w:cs="宋体"/>
          <w:b/>
          <w:bCs/>
          <w:kern w:val="44"/>
          <w:sz w:val="44"/>
          <w:szCs w:val="44"/>
        </w:rPr>
        <w:br w:type="page"/>
      </w:r>
    </w:p>
    <w:p w14:paraId="2D25FA0A">
      <w:pPr>
        <w:pStyle w:val="42"/>
        <w:rPr>
          <w:rFonts w:hint="default"/>
        </w:rPr>
      </w:pPr>
    </w:p>
    <w:p w14:paraId="4F137549">
      <w:pPr>
        <w:autoSpaceDN w:val="0"/>
        <w:jc w:val="center"/>
        <w:outlineLvl w:val="0"/>
        <w:rPr>
          <w:rFonts w:ascii="宋体" w:hAnsi="宋体" w:eastAsia="宋体" w:cs="宋体"/>
          <w:b/>
          <w:bCs/>
          <w:kern w:val="44"/>
          <w:sz w:val="44"/>
          <w:szCs w:val="44"/>
        </w:rPr>
      </w:pPr>
    </w:p>
    <w:p w14:paraId="52794BF3">
      <w:pPr>
        <w:autoSpaceDN w:val="0"/>
        <w:jc w:val="center"/>
        <w:outlineLvl w:val="0"/>
        <w:rPr>
          <w:rFonts w:ascii="宋体" w:hAnsi="宋体" w:eastAsia="宋体" w:cs="宋体"/>
          <w:b/>
          <w:bCs/>
          <w:kern w:val="44"/>
          <w:sz w:val="44"/>
          <w:szCs w:val="44"/>
        </w:rPr>
      </w:pPr>
      <w:bookmarkStart w:id="726" w:name="_Toc31461"/>
      <w:r>
        <w:rPr>
          <w:rFonts w:hint="eastAsia" w:ascii="宋体" w:hAnsi="宋体" w:eastAsia="宋体" w:cs="宋体"/>
          <w:b/>
          <w:bCs/>
          <w:kern w:val="44"/>
          <w:sz w:val="44"/>
          <w:szCs w:val="44"/>
        </w:rPr>
        <w:t>第六章  响应文件构成</w:t>
      </w:r>
      <w:bookmarkEnd w:id="725"/>
      <w:bookmarkEnd w:id="726"/>
    </w:p>
    <w:p w14:paraId="7C75ED7C">
      <w:pPr>
        <w:widowControl/>
        <w:jc w:val="left"/>
        <w:rPr>
          <w:rFonts w:ascii="宋体" w:hAnsi="宋体" w:eastAsia="宋体" w:cs="宋体"/>
          <w:sz w:val="32"/>
          <w:szCs w:val="32"/>
        </w:rPr>
      </w:pPr>
      <w:r>
        <w:rPr>
          <w:rFonts w:ascii="宋体" w:hAnsi="宋体" w:eastAsia="宋体" w:cs="宋体"/>
          <w:sz w:val="32"/>
          <w:szCs w:val="32"/>
        </w:rPr>
        <w:br w:type="page"/>
      </w:r>
    </w:p>
    <w:p w14:paraId="0872C633">
      <w:pPr>
        <w:spacing w:line="360" w:lineRule="auto"/>
        <w:ind w:firstLine="1440" w:firstLineChars="450"/>
        <w:jc w:val="right"/>
        <w:rPr>
          <w:rFonts w:ascii="宋体" w:hAnsi="宋体"/>
          <w:sz w:val="32"/>
          <w:szCs w:val="32"/>
        </w:rPr>
      </w:pPr>
      <w:r>
        <w:rPr>
          <w:rFonts w:hint="eastAsia" w:ascii="宋体" w:hAnsi="宋体"/>
          <w:sz w:val="32"/>
          <w:szCs w:val="32"/>
        </w:rPr>
        <w:t>正本或副本</w:t>
      </w:r>
    </w:p>
    <w:p w14:paraId="2F1BCEC4">
      <w:pPr>
        <w:spacing w:line="360" w:lineRule="auto"/>
        <w:ind w:firstLine="1446" w:firstLineChars="450"/>
        <w:rPr>
          <w:rFonts w:ascii="宋体" w:hAnsi="宋体"/>
          <w:b/>
          <w:sz w:val="32"/>
          <w:szCs w:val="32"/>
          <w:u w:val="single"/>
        </w:rPr>
      </w:pPr>
    </w:p>
    <w:p w14:paraId="1780A2CD">
      <w:pPr>
        <w:ind w:firstLine="1446" w:firstLineChars="450"/>
        <w:rPr>
          <w:rFonts w:ascii="宋体" w:hAnsi="宋体"/>
          <w:b/>
          <w:sz w:val="32"/>
          <w:szCs w:val="32"/>
          <w:u w:val="single"/>
        </w:rPr>
      </w:pPr>
    </w:p>
    <w:p w14:paraId="09F6ACCD">
      <w:pPr>
        <w:ind w:firstLine="1446" w:firstLineChars="450"/>
        <w:rPr>
          <w:rFonts w:ascii="宋体" w:hAnsi="宋体"/>
          <w:b/>
          <w:sz w:val="32"/>
          <w:szCs w:val="32"/>
          <w:u w:val="single"/>
        </w:rPr>
      </w:pPr>
    </w:p>
    <w:p w14:paraId="7BD6365D">
      <w:pPr>
        <w:ind w:firstLine="1606" w:firstLineChars="500"/>
        <w:rPr>
          <w:rFonts w:ascii="宋体" w:hAnsi="宋体"/>
          <w:b/>
          <w:sz w:val="32"/>
          <w:szCs w:val="32"/>
        </w:rPr>
      </w:pPr>
      <w:r>
        <w:rPr>
          <w:rFonts w:hint="eastAsia" w:ascii="宋体" w:hAnsi="宋体"/>
          <w:b/>
          <w:sz w:val="32"/>
          <w:szCs w:val="32"/>
          <w:u w:val="single"/>
        </w:rPr>
        <w:t xml:space="preserve">               </w:t>
      </w:r>
      <w:r>
        <w:rPr>
          <w:rFonts w:hint="eastAsia" w:ascii="宋体" w:hAnsi="宋体"/>
          <w:b/>
          <w:sz w:val="32"/>
          <w:szCs w:val="32"/>
        </w:rPr>
        <w:t>（项目名称）</w:t>
      </w:r>
    </w:p>
    <w:p w14:paraId="3D2E8D6C">
      <w:pPr>
        <w:ind w:firstLine="420" w:firstLineChars="200"/>
        <w:rPr>
          <w:rFonts w:ascii="宋体" w:hAnsi="宋体"/>
          <w:szCs w:val="21"/>
        </w:rPr>
      </w:pPr>
    </w:p>
    <w:p w14:paraId="2BB31091">
      <w:pPr>
        <w:jc w:val="center"/>
        <w:rPr>
          <w:rFonts w:ascii="宋体" w:hAnsi="宋体"/>
          <w:sz w:val="72"/>
          <w:szCs w:val="72"/>
        </w:rPr>
      </w:pPr>
      <w:bookmarkStart w:id="727" w:name="_Toc31530_WPSOffice_Level1"/>
      <w:bookmarkStart w:id="728" w:name="OLE_LINK19"/>
      <w:bookmarkStart w:id="729" w:name="_Toc8932_WPSOffice_Level1"/>
      <w:r>
        <w:rPr>
          <w:rFonts w:hint="eastAsia"/>
          <w:b/>
          <w:bCs/>
          <w:sz w:val="80"/>
        </w:rPr>
        <w:t>竞争性磋商响应</w:t>
      </w:r>
      <w:r>
        <w:rPr>
          <w:rFonts w:hint="eastAsia"/>
          <w:b/>
          <w:bCs/>
          <w:sz w:val="80"/>
          <w:lang w:val="zh-CN"/>
        </w:rPr>
        <w:t>文件</w:t>
      </w:r>
      <w:bookmarkEnd w:id="727"/>
      <w:bookmarkEnd w:id="728"/>
      <w:bookmarkEnd w:id="729"/>
    </w:p>
    <w:p w14:paraId="0AEC2C69">
      <w:pPr>
        <w:jc w:val="center"/>
        <w:rPr>
          <w:rFonts w:ascii="宋体" w:hAnsi="宋体"/>
          <w:b/>
          <w:sz w:val="44"/>
          <w:szCs w:val="44"/>
        </w:rPr>
      </w:pPr>
    </w:p>
    <w:p w14:paraId="4AEFC708">
      <w:pPr>
        <w:ind w:firstLine="1890" w:firstLineChars="675"/>
        <w:rPr>
          <w:rFonts w:ascii="宋体" w:hAnsi="宋体"/>
          <w:b/>
          <w:sz w:val="44"/>
          <w:szCs w:val="44"/>
        </w:rPr>
      </w:pPr>
      <w:bookmarkStart w:id="730" w:name="_Toc459_WPSOffice_Level1"/>
      <w:bookmarkStart w:id="731" w:name="_Toc20780_WPSOffice_Level1"/>
      <w:r>
        <w:rPr>
          <w:rFonts w:hint="eastAsia" w:ascii="宋体" w:hAnsi="宋体" w:cs="宋体"/>
          <w:sz w:val="28"/>
          <w:szCs w:val="28"/>
          <w:lang w:val="zh-CN"/>
        </w:rPr>
        <w:t>项目编号：</w:t>
      </w:r>
      <w:bookmarkEnd w:id="730"/>
      <w:bookmarkEnd w:id="731"/>
      <w:r>
        <w:rPr>
          <w:rFonts w:hint="eastAsia" w:ascii="宋体" w:hAnsi="宋体" w:cs="宋体"/>
          <w:sz w:val="28"/>
          <w:szCs w:val="28"/>
          <w:u w:val="single"/>
        </w:rPr>
        <w:t xml:space="preserve">                       </w:t>
      </w:r>
    </w:p>
    <w:p w14:paraId="6FCE0713">
      <w:pPr>
        <w:ind w:firstLine="420" w:firstLineChars="200"/>
        <w:rPr>
          <w:rFonts w:ascii="宋体" w:hAnsi="宋体"/>
          <w:szCs w:val="21"/>
        </w:rPr>
      </w:pPr>
    </w:p>
    <w:p w14:paraId="0AD60785">
      <w:pPr>
        <w:ind w:firstLine="420" w:firstLineChars="200"/>
        <w:rPr>
          <w:rFonts w:ascii="宋体" w:hAnsi="宋体"/>
          <w:szCs w:val="21"/>
        </w:rPr>
      </w:pPr>
    </w:p>
    <w:p w14:paraId="372C1C0B">
      <w:pPr>
        <w:ind w:firstLine="420" w:firstLineChars="200"/>
        <w:rPr>
          <w:rFonts w:ascii="宋体" w:hAnsi="宋体"/>
          <w:szCs w:val="21"/>
        </w:rPr>
      </w:pPr>
    </w:p>
    <w:p w14:paraId="25B0537A">
      <w:pPr>
        <w:ind w:firstLine="420" w:firstLineChars="200"/>
        <w:rPr>
          <w:rFonts w:ascii="宋体" w:hAnsi="宋体"/>
          <w:szCs w:val="21"/>
        </w:rPr>
      </w:pPr>
    </w:p>
    <w:p w14:paraId="565CEAFF">
      <w:pPr>
        <w:ind w:firstLine="420" w:firstLineChars="200"/>
        <w:rPr>
          <w:rFonts w:ascii="宋体" w:hAnsi="宋体"/>
          <w:szCs w:val="21"/>
        </w:rPr>
      </w:pPr>
    </w:p>
    <w:p w14:paraId="7E772E0E">
      <w:pPr>
        <w:ind w:firstLine="420" w:firstLineChars="200"/>
        <w:rPr>
          <w:rFonts w:ascii="宋体" w:hAnsi="宋体"/>
          <w:szCs w:val="21"/>
        </w:rPr>
      </w:pPr>
    </w:p>
    <w:p w14:paraId="62A6C28B">
      <w:pPr>
        <w:ind w:firstLine="420" w:firstLineChars="200"/>
        <w:rPr>
          <w:rFonts w:ascii="宋体" w:hAnsi="宋体"/>
          <w:szCs w:val="21"/>
        </w:rPr>
      </w:pPr>
    </w:p>
    <w:p w14:paraId="3B01955C">
      <w:pPr>
        <w:ind w:firstLine="420" w:firstLineChars="200"/>
        <w:rPr>
          <w:rFonts w:ascii="宋体" w:hAnsi="宋体"/>
          <w:szCs w:val="21"/>
        </w:rPr>
      </w:pPr>
    </w:p>
    <w:p w14:paraId="682458E8">
      <w:pPr>
        <w:ind w:firstLine="420" w:firstLineChars="200"/>
        <w:rPr>
          <w:rFonts w:ascii="宋体" w:hAnsi="宋体"/>
          <w:szCs w:val="21"/>
        </w:rPr>
      </w:pPr>
    </w:p>
    <w:p w14:paraId="5A5E7B33">
      <w:pPr>
        <w:spacing w:line="360" w:lineRule="auto"/>
        <w:jc w:val="center"/>
        <w:rPr>
          <w:rFonts w:ascii="宋体" w:hAnsi="宋体"/>
          <w:sz w:val="28"/>
          <w:szCs w:val="28"/>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（单位盖章）</w:t>
      </w:r>
    </w:p>
    <w:p w14:paraId="2D8A94C6">
      <w:pPr>
        <w:spacing w:line="360" w:lineRule="auto"/>
        <w:ind w:firstLine="560" w:firstLineChars="200"/>
        <w:rPr>
          <w:rFonts w:ascii="宋体" w:hAnsi="宋体"/>
          <w:sz w:val="28"/>
          <w:szCs w:val="28"/>
        </w:rPr>
      </w:pPr>
    </w:p>
    <w:p w14:paraId="46E2E2EC">
      <w:pPr>
        <w:spacing w:line="360" w:lineRule="auto"/>
        <w:ind w:firstLine="840" w:firstLineChars="300"/>
        <w:rPr>
          <w:rFonts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（印章或签字）</w:t>
      </w:r>
    </w:p>
    <w:p w14:paraId="20026264">
      <w:pPr>
        <w:spacing w:line="360" w:lineRule="auto"/>
        <w:jc w:val="center"/>
        <w:rPr>
          <w:rFonts w:ascii="宋体" w:hAnsi="宋体"/>
          <w:szCs w:val="21"/>
          <w:u w:val="single"/>
        </w:rPr>
      </w:pPr>
    </w:p>
    <w:p w14:paraId="22970414">
      <w:pPr>
        <w:autoSpaceDE w:val="0"/>
        <w:autoSpaceDN w:val="0"/>
        <w:adjustRightInd w:val="0"/>
        <w:spacing w:line="400" w:lineRule="exact"/>
        <w:ind w:firstLine="1381" w:firstLineChars="658"/>
        <w:rPr>
          <w:rFonts w:ascii="宋体" w:hAnsi="宋体" w:eastAsia="宋体" w:cs="宋体"/>
          <w:sz w:val="28"/>
          <w:szCs w:val="28"/>
        </w:rPr>
      </w:pPr>
      <w:r>
        <w:rPr>
          <w:rFonts w:hint="eastAsia" w:ascii="宋体" w:hAnsi="宋体"/>
          <w:szCs w:val="21"/>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73F9997B">
      <w:pPr>
        <w:autoSpaceDE w:val="0"/>
        <w:autoSpaceDN w:val="0"/>
        <w:adjustRightInd w:val="0"/>
        <w:spacing w:line="400" w:lineRule="exact"/>
        <w:rPr>
          <w:rFonts w:ascii="宋体" w:hAnsi="宋体" w:eastAsia="宋体" w:cs="宋体"/>
          <w:sz w:val="24"/>
        </w:rPr>
      </w:pPr>
    </w:p>
    <w:p w14:paraId="35ADF306">
      <w:pPr>
        <w:widowControl/>
        <w:jc w:val="left"/>
        <w:rPr>
          <w:rFonts w:ascii="宋体" w:hAnsi="宋体" w:eastAsia="宋体" w:cs="宋体"/>
          <w:b/>
          <w:bCs/>
          <w:sz w:val="28"/>
          <w:szCs w:val="28"/>
        </w:rPr>
      </w:pPr>
      <w:r>
        <w:rPr>
          <w:rFonts w:ascii="宋体" w:hAnsi="宋体" w:eastAsia="宋体" w:cs="宋体"/>
          <w:b/>
          <w:bCs/>
          <w:sz w:val="28"/>
          <w:szCs w:val="28"/>
        </w:rPr>
        <w:br w:type="page"/>
      </w:r>
    </w:p>
    <w:p w14:paraId="23BD0672">
      <w:pPr>
        <w:autoSpaceDN w:val="0"/>
        <w:spacing w:line="460" w:lineRule="exact"/>
        <w:ind w:firstLine="3907" w:firstLineChars="1390"/>
        <w:rPr>
          <w:rFonts w:ascii="宋体" w:hAnsi="宋体" w:eastAsia="宋体" w:cs="宋体"/>
          <w:b/>
          <w:bCs/>
          <w:sz w:val="28"/>
          <w:szCs w:val="28"/>
        </w:rPr>
      </w:pPr>
      <w:r>
        <w:rPr>
          <w:rFonts w:hint="eastAsia" w:ascii="宋体" w:hAnsi="宋体" w:eastAsia="宋体" w:cs="宋体"/>
          <w:b/>
          <w:bCs/>
          <w:sz w:val="28"/>
          <w:szCs w:val="28"/>
        </w:rPr>
        <w:t>目录</w:t>
      </w:r>
    </w:p>
    <w:p w14:paraId="145456F4">
      <w:pPr>
        <w:autoSpaceDN w:val="0"/>
        <w:spacing w:line="360" w:lineRule="auto"/>
        <w:rPr>
          <w:rFonts w:ascii="宋体" w:hAnsi="宋体" w:eastAsia="宋体" w:cs="宋体"/>
          <w:sz w:val="24"/>
        </w:rPr>
      </w:pPr>
    </w:p>
    <w:p w14:paraId="53E60A00">
      <w:pPr>
        <w:autoSpaceDN w:val="0"/>
        <w:spacing w:line="360" w:lineRule="auto"/>
        <w:rPr>
          <w:rFonts w:ascii="宋体" w:hAnsi="宋体" w:eastAsia="宋体" w:cs="宋体"/>
          <w:sz w:val="24"/>
        </w:rPr>
      </w:pPr>
      <w:r>
        <w:rPr>
          <w:rFonts w:hint="eastAsia" w:ascii="宋体" w:hAnsi="宋体" w:eastAsia="宋体" w:cs="宋体"/>
          <w:sz w:val="24"/>
        </w:rPr>
        <w:t>商务部分</w:t>
      </w:r>
    </w:p>
    <w:p w14:paraId="5A8237DE">
      <w:pPr>
        <w:autoSpaceDN w:val="0"/>
        <w:spacing w:line="360" w:lineRule="auto"/>
        <w:rPr>
          <w:rFonts w:ascii="宋体" w:hAnsi="宋体" w:eastAsia="宋体" w:cs="宋体"/>
          <w:sz w:val="24"/>
        </w:rPr>
      </w:pPr>
      <w:r>
        <w:rPr>
          <w:rFonts w:hint="eastAsia" w:ascii="宋体" w:hAnsi="宋体" w:eastAsia="宋体" w:cs="宋体"/>
          <w:sz w:val="24"/>
        </w:rPr>
        <w:t>一、磋商函、磋商函附录及磋商报价函</w:t>
      </w:r>
    </w:p>
    <w:p w14:paraId="473D86EC">
      <w:pPr>
        <w:autoSpaceDN w:val="0"/>
        <w:spacing w:line="360" w:lineRule="auto"/>
        <w:rPr>
          <w:rFonts w:ascii="宋体" w:hAnsi="宋体" w:eastAsia="宋体" w:cs="宋体"/>
          <w:sz w:val="24"/>
        </w:rPr>
      </w:pPr>
      <w:r>
        <w:rPr>
          <w:rFonts w:hint="eastAsia" w:ascii="宋体" w:hAnsi="宋体" w:eastAsia="宋体" w:cs="宋体"/>
          <w:sz w:val="24"/>
        </w:rPr>
        <w:t>二、法定代表人身份证明及授权委托书</w:t>
      </w:r>
    </w:p>
    <w:p w14:paraId="18F8B923">
      <w:pPr>
        <w:autoSpaceDN w:val="0"/>
        <w:spacing w:line="360" w:lineRule="auto"/>
        <w:rPr>
          <w:rFonts w:hint="eastAsia" w:ascii="宋体" w:hAnsi="宋体" w:eastAsia="宋体" w:cs="宋体"/>
          <w:sz w:val="24"/>
        </w:rPr>
      </w:pPr>
      <w:r>
        <w:rPr>
          <w:rFonts w:hint="eastAsia" w:ascii="宋体" w:hAnsi="宋体" w:eastAsia="宋体" w:cs="宋体"/>
          <w:sz w:val="24"/>
        </w:rPr>
        <w:t>三、磋商响应保证金</w:t>
      </w:r>
    </w:p>
    <w:p w14:paraId="5B557ECD">
      <w:pPr>
        <w:autoSpaceDN w:val="0"/>
        <w:spacing w:line="360" w:lineRule="auto"/>
        <w:rPr>
          <w:rFonts w:hint="eastAsia" w:ascii="宋体" w:hAnsi="宋体" w:eastAsia="宋体" w:cs="宋体"/>
          <w:color w:val="auto"/>
          <w:sz w:val="24"/>
        </w:rPr>
      </w:pPr>
      <w:r>
        <w:rPr>
          <w:rFonts w:hint="eastAsia" w:ascii="宋体" w:hAnsi="宋体" w:eastAsia="宋体" w:cs="宋体"/>
          <w:color w:val="auto"/>
          <w:sz w:val="24"/>
        </w:rPr>
        <w:t>四、已标价工程量清单</w:t>
      </w:r>
    </w:p>
    <w:p w14:paraId="1D98D5DC">
      <w:pPr>
        <w:autoSpaceDN w:val="0"/>
        <w:spacing w:line="360" w:lineRule="auto"/>
        <w:rPr>
          <w:rFonts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、资格审查资料</w:t>
      </w:r>
    </w:p>
    <w:p w14:paraId="02D0990D">
      <w:pPr>
        <w:autoSpaceDN w:val="0"/>
        <w:spacing w:line="360" w:lineRule="auto"/>
        <w:rPr>
          <w:rFonts w:ascii="宋体" w:hAnsi="宋体" w:eastAsia="宋体" w:cs="宋体"/>
          <w:sz w:val="24"/>
        </w:rPr>
      </w:pPr>
      <w:r>
        <w:rPr>
          <w:rFonts w:hint="eastAsia" w:ascii="宋体" w:hAnsi="宋体" w:eastAsia="宋体" w:cs="宋体"/>
          <w:sz w:val="24"/>
          <w:lang w:val="en-US" w:eastAsia="zh-CN"/>
        </w:rPr>
        <w:t>六</w:t>
      </w:r>
      <w:r>
        <w:rPr>
          <w:rFonts w:hint="eastAsia" w:ascii="宋体" w:hAnsi="宋体" w:eastAsia="宋体" w:cs="宋体"/>
          <w:sz w:val="24"/>
        </w:rPr>
        <w:t>、近年完成的类似项目情况</w:t>
      </w:r>
    </w:p>
    <w:p w14:paraId="3BCC5CED">
      <w:pPr>
        <w:autoSpaceDN w:val="0"/>
        <w:spacing w:line="360" w:lineRule="auto"/>
        <w:rPr>
          <w:rFonts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、其他材料</w:t>
      </w:r>
    </w:p>
    <w:p w14:paraId="0DA37385">
      <w:pPr>
        <w:autoSpaceDN w:val="0"/>
        <w:spacing w:line="360" w:lineRule="auto"/>
        <w:rPr>
          <w:rFonts w:ascii="宋体" w:hAnsi="宋体" w:eastAsia="宋体" w:cs="宋体"/>
          <w:sz w:val="24"/>
        </w:rPr>
      </w:pPr>
    </w:p>
    <w:p w14:paraId="65052FE1">
      <w:pPr>
        <w:autoSpaceDN w:val="0"/>
        <w:spacing w:line="360" w:lineRule="auto"/>
        <w:rPr>
          <w:rFonts w:ascii="宋体" w:hAnsi="宋体" w:eastAsia="宋体" w:cs="宋体"/>
          <w:sz w:val="24"/>
        </w:rPr>
      </w:pPr>
      <w:r>
        <w:rPr>
          <w:rFonts w:hint="eastAsia" w:ascii="宋体" w:hAnsi="宋体" w:eastAsia="宋体" w:cs="宋体"/>
          <w:sz w:val="24"/>
        </w:rPr>
        <w:t>技术部分</w:t>
      </w:r>
    </w:p>
    <w:p w14:paraId="28B752B4">
      <w:pPr>
        <w:autoSpaceDN w:val="0"/>
        <w:spacing w:line="360" w:lineRule="auto"/>
        <w:rPr>
          <w:rFonts w:ascii="宋体" w:hAnsi="宋体" w:eastAsia="宋体" w:cs="宋体"/>
          <w:sz w:val="24"/>
        </w:rPr>
      </w:pPr>
      <w:r>
        <w:rPr>
          <w:rFonts w:hint="eastAsia" w:ascii="宋体" w:hAnsi="宋体" w:eastAsia="宋体" w:cs="宋体"/>
          <w:sz w:val="24"/>
        </w:rPr>
        <w:t>施工组织设计（暗标）</w:t>
      </w:r>
    </w:p>
    <w:p w14:paraId="05C7741A">
      <w:pPr>
        <w:autoSpaceDN w:val="0"/>
        <w:spacing w:line="360" w:lineRule="auto"/>
        <w:rPr>
          <w:rFonts w:ascii="宋体" w:hAnsi="宋体" w:eastAsia="宋体" w:cs="宋体"/>
          <w:sz w:val="24"/>
        </w:rPr>
      </w:pPr>
    </w:p>
    <w:p w14:paraId="5EAF5AE1">
      <w:pPr>
        <w:autoSpaceDN w:val="0"/>
        <w:spacing w:line="360" w:lineRule="auto"/>
        <w:rPr>
          <w:rFonts w:ascii="宋体" w:hAnsi="宋体" w:eastAsia="宋体" w:cs="宋体"/>
          <w:szCs w:val="21"/>
        </w:rPr>
      </w:pPr>
    </w:p>
    <w:p w14:paraId="5F13CB40">
      <w:pPr>
        <w:sectPr>
          <w:footerReference r:id="rId6" w:type="first"/>
          <w:footerReference r:id="rId5" w:type="default"/>
          <w:pgSz w:w="11907" w:h="16840"/>
          <w:pgMar w:top="1440" w:right="1800" w:bottom="1440" w:left="1800" w:header="680" w:footer="907" w:gutter="1"/>
          <w:pgBorders>
            <w:top w:val="none" w:sz="0" w:space="0"/>
            <w:left w:val="none" w:sz="0" w:space="0"/>
            <w:bottom w:val="none" w:sz="0" w:space="0"/>
            <w:right w:val="none" w:sz="0" w:space="0"/>
          </w:pgBorders>
          <w:cols w:space="425" w:num="1"/>
          <w:titlePg/>
          <w:docGrid w:type="lines" w:linePitch="271" w:charSpace="0"/>
        </w:sectPr>
      </w:pPr>
    </w:p>
    <w:p w14:paraId="50952BBB">
      <w:pPr>
        <w:jc w:val="center"/>
        <w:rPr>
          <w:rFonts w:ascii="宋体" w:hAnsi="宋体"/>
          <w:b/>
          <w:sz w:val="32"/>
          <w:szCs w:val="32"/>
        </w:rPr>
      </w:pPr>
    </w:p>
    <w:p w14:paraId="1D70DD37">
      <w:pPr>
        <w:jc w:val="center"/>
        <w:rPr>
          <w:rFonts w:ascii="宋体" w:hAnsi="宋体"/>
          <w:b/>
          <w:sz w:val="32"/>
          <w:szCs w:val="32"/>
        </w:rPr>
      </w:pPr>
    </w:p>
    <w:p w14:paraId="2B5E7892">
      <w:pPr>
        <w:jc w:val="center"/>
        <w:rPr>
          <w:rFonts w:ascii="宋体" w:hAnsi="宋体"/>
          <w:b/>
          <w:sz w:val="32"/>
          <w:szCs w:val="32"/>
        </w:rPr>
      </w:pPr>
    </w:p>
    <w:p w14:paraId="4351A4AB">
      <w:pPr>
        <w:jc w:val="center"/>
        <w:rPr>
          <w:rFonts w:ascii="宋体" w:hAnsi="宋体"/>
          <w:b/>
          <w:sz w:val="32"/>
          <w:szCs w:val="32"/>
        </w:rPr>
      </w:pPr>
    </w:p>
    <w:p w14:paraId="308F17BC">
      <w:pPr>
        <w:jc w:val="center"/>
        <w:rPr>
          <w:rFonts w:ascii="宋体" w:hAnsi="宋体"/>
          <w:b/>
          <w:sz w:val="28"/>
          <w:szCs w:val="28"/>
        </w:rPr>
      </w:pPr>
      <w:r>
        <w:rPr>
          <w:rFonts w:hint="eastAsia" w:ascii="宋体" w:hAnsi="宋体"/>
          <w:b/>
          <w:sz w:val="44"/>
          <w:szCs w:val="44"/>
        </w:rPr>
        <w:t>商务部分</w:t>
      </w:r>
      <w:r>
        <w:rPr>
          <w:rFonts w:hint="eastAsia" w:ascii="宋体" w:hAnsi="宋体"/>
          <w:b/>
          <w:sz w:val="32"/>
          <w:szCs w:val="32"/>
        </w:rPr>
        <w:br w:type="page"/>
      </w:r>
    </w:p>
    <w:p w14:paraId="6B4F2E3B">
      <w:pPr>
        <w:numPr>
          <w:ilvl w:val="0"/>
          <w:numId w:val="7"/>
        </w:numPr>
        <w:spacing w:line="360" w:lineRule="auto"/>
        <w:jc w:val="center"/>
        <w:rPr>
          <w:rFonts w:ascii="宋体" w:hAnsi="宋体"/>
          <w:b/>
          <w:sz w:val="28"/>
          <w:szCs w:val="28"/>
        </w:rPr>
      </w:pPr>
      <w:r>
        <w:rPr>
          <w:rFonts w:hint="eastAsia" w:ascii="宋体" w:hAnsi="宋体"/>
          <w:b/>
          <w:sz w:val="32"/>
          <w:szCs w:val="32"/>
        </w:rPr>
        <w:t>磋商函、磋商函附录及磋商报价函</w:t>
      </w:r>
    </w:p>
    <w:p w14:paraId="7E33A98B">
      <w:pPr>
        <w:pStyle w:val="5"/>
        <w:ind w:firstLine="643"/>
        <w:rPr>
          <w:sz w:val="28"/>
          <w:szCs w:val="28"/>
        </w:rPr>
      </w:pPr>
      <w:r>
        <w:rPr>
          <w:rFonts w:hint="eastAsia" w:ascii="宋体" w:hAnsi="宋体"/>
          <w:b/>
          <w:sz w:val="32"/>
          <w:szCs w:val="32"/>
        </w:rPr>
        <w:t xml:space="preserve">                 </w:t>
      </w:r>
      <w:r>
        <w:rPr>
          <w:rFonts w:hint="eastAsia" w:ascii="宋体" w:hAnsi="宋体"/>
          <w:b/>
          <w:sz w:val="28"/>
          <w:szCs w:val="28"/>
        </w:rPr>
        <w:t xml:space="preserve">  </w:t>
      </w:r>
      <w:r>
        <w:rPr>
          <w:rFonts w:hint="eastAsia"/>
          <w:b/>
          <w:bCs/>
          <w:sz w:val="28"/>
          <w:szCs w:val="28"/>
        </w:rPr>
        <w:t>（一）磋商函</w:t>
      </w:r>
    </w:p>
    <w:p w14:paraId="36931145">
      <w:pPr>
        <w:spacing w:line="360" w:lineRule="auto"/>
        <w:ind w:firstLine="420" w:firstLineChars="200"/>
        <w:rPr>
          <w:rFonts w:ascii="宋体" w:hAnsi="宋体"/>
          <w:szCs w:val="21"/>
        </w:rPr>
      </w:pPr>
    </w:p>
    <w:p w14:paraId="629D8C98">
      <w:pPr>
        <w:spacing w:line="360" w:lineRule="auto"/>
        <w:ind w:firstLine="420" w:firstLineChars="200"/>
        <w:rPr>
          <w:rFonts w:ascii="宋体" w:hAnsi="宋体"/>
          <w:szCs w:val="21"/>
        </w:rPr>
      </w:pPr>
      <w:bookmarkStart w:id="732" w:name="_Toc262045237"/>
      <w:bookmarkStart w:id="733" w:name="_Toc195331679"/>
      <w:bookmarkStart w:id="734" w:name="_Toc208999276"/>
      <w:bookmarkStart w:id="735" w:name="_Toc259191076"/>
      <w:bookmarkStart w:id="736" w:name="_Toc199384395"/>
      <w:bookmarkStart w:id="737" w:name="_Toc228871316"/>
      <w:bookmarkStart w:id="738" w:name="_Toc208975015"/>
    </w:p>
    <w:p w14:paraId="63FE3163">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 xml:space="preserve">（采购人名称）： </w:t>
      </w:r>
    </w:p>
    <w:p w14:paraId="41405E8C">
      <w:pPr>
        <w:spacing w:line="360" w:lineRule="auto"/>
        <w:ind w:firstLine="420" w:firstLineChars="200"/>
        <w:rPr>
          <w:rFonts w:ascii="宋体" w:hAnsi="宋体"/>
          <w:szCs w:val="21"/>
        </w:rPr>
      </w:pPr>
      <w:r>
        <w:rPr>
          <w:rFonts w:hint="eastAsia" w:ascii="宋体" w:hAnsi="宋体"/>
          <w:szCs w:val="21"/>
        </w:rPr>
        <w:t>1．我方已仔细研究了</w:t>
      </w:r>
      <w:r>
        <w:rPr>
          <w:rFonts w:hint="eastAsia" w:ascii="宋体" w:hAnsi="宋体"/>
          <w:szCs w:val="21"/>
          <w:u w:val="single"/>
        </w:rPr>
        <w:t xml:space="preserve">                     </w:t>
      </w:r>
      <w:r>
        <w:rPr>
          <w:rFonts w:hint="eastAsia" w:ascii="宋体" w:hAnsi="宋体"/>
          <w:szCs w:val="21"/>
        </w:rPr>
        <w:t>（项目名称）竞争性磋商文件的全部内容，愿意以</w:t>
      </w:r>
      <w:r>
        <w:rPr>
          <w:rFonts w:hint="eastAsia"/>
        </w:rPr>
        <w:t>第二轮的最终报价作为本项目的</w:t>
      </w:r>
      <w:r>
        <w:rPr>
          <w:rFonts w:hint="eastAsia" w:ascii="宋体" w:hAnsi="宋体"/>
          <w:szCs w:val="21"/>
        </w:rPr>
        <w:t>磋商最后报价，合同履行期限</w:t>
      </w:r>
      <w:r>
        <w:rPr>
          <w:rFonts w:hint="eastAsia" w:ascii="宋体" w:hAnsi="宋体"/>
          <w:szCs w:val="21"/>
          <w:u w:val="single"/>
        </w:rPr>
        <w:t xml:space="preserve">        </w:t>
      </w:r>
      <w:r>
        <w:rPr>
          <w:rFonts w:hint="eastAsia" w:ascii="宋体" w:hAnsi="宋体"/>
          <w:szCs w:val="21"/>
        </w:rPr>
        <w:t>，按合同约定实施和完成承包工程，修补工程中的任何缺陷，工程质量达到</w:t>
      </w:r>
      <w:r>
        <w:rPr>
          <w:rFonts w:hint="eastAsia" w:ascii="宋体" w:hAnsi="宋体"/>
          <w:szCs w:val="21"/>
          <w:u w:val="single"/>
        </w:rPr>
        <w:t xml:space="preserve">                    </w:t>
      </w:r>
      <w:r>
        <w:rPr>
          <w:rFonts w:hint="eastAsia" w:ascii="宋体" w:hAnsi="宋体"/>
          <w:szCs w:val="21"/>
        </w:rPr>
        <w:t xml:space="preserve"> 。</w:t>
      </w:r>
    </w:p>
    <w:p w14:paraId="556B6C39">
      <w:pPr>
        <w:spacing w:line="360" w:lineRule="auto"/>
        <w:ind w:firstLine="420" w:firstLineChars="200"/>
        <w:rPr>
          <w:rFonts w:ascii="宋体" w:hAnsi="宋体"/>
          <w:szCs w:val="21"/>
        </w:rPr>
      </w:pPr>
      <w:r>
        <w:rPr>
          <w:rFonts w:hint="eastAsia" w:ascii="宋体" w:hAnsi="宋体"/>
          <w:szCs w:val="21"/>
        </w:rPr>
        <w:t>2．我方承诺本项目磋商有效期为</w:t>
      </w:r>
      <w:r>
        <w:rPr>
          <w:rFonts w:hint="eastAsia" w:ascii="宋体" w:hAnsi="宋体"/>
          <w:szCs w:val="21"/>
          <w:u w:val="single"/>
        </w:rPr>
        <w:t>90</w:t>
      </w:r>
      <w:r>
        <w:rPr>
          <w:rFonts w:hint="eastAsia" w:ascii="宋体" w:hAnsi="宋体"/>
          <w:szCs w:val="21"/>
        </w:rPr>
        <w:t>日历天，在磋商有效期内不修改、撤销响应文件。</w:t>
      </w:r>
    </w:p>
    <w:p w14:paraId="73FD8292">
      <w:pPr>
        <w:spacing w:line="360" w:lineRule="auto"/>
        <w:ind w:firstLine="420" w:firstLineChars="200"/>
        <w:rPr>
          <w:rFonts w:ascii="宋体" w:hAnsi="宋体"/>
          <w:szCs w:val="21"/>
        </w:rPr>
      </w:pPr>
      <w:r>
        <w:rPr>
          <w:rFonts w:hint="eastAsia" w:ascii="宋体" w:hAnsi="宋体"/>
          <w:szCs w:val="21"/>
        </w:rPr>
        <w:t>3．随同本磋商函递交磋商响应保证金一份，金额为人民币（大写）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14:paraId="712C66A2">
      <w:pPr>
        <w:spacing w:line="360" w:lineRule="auto"/>
        <w:ind w:firstLine="420" w:firstLineChars="200"/>
        <w:rPr>
          <w:rFonts w:ascii="宋体" w:hAnsi="宋体"/>
          <w:szCs w:val="21"/>
        </w:rPr>
      </w:pPr>
      <w:r>
        <w:rPr>
          <w:rFonts w:hint="eastAsia" w:ascii="宋体" w:hAnsi="宋体"/>
          <w:szCs w:val="21"/>
        </w:rPr>
        <w:t>4．如我方成交：</w:t>
      </w:r>
    </w:p>
    <w:p w14:paraId="5B1A2BCE">
      <w:pPr>
        <w:spacing w:line="360" w:lineRule="auto"/>
        <w:ind w:firstLine="420" w:firstLineChars="200"/>
        <w:rPr>
          <w:rFonts w:ascii="宋体" w:hAnsi="宋体"/>
          <w:szCs w:val="21"/>
        </w:rPr>
      </w:pPr>
      <w:r>
        <w:rPr>
          <w:rFonts w:hint="eastAsia" w:ascii="宋体" w:hAnsi="宋体"/>
          <w:szCs w:val="21"/>
        </w:rPr>
        <w:t>(l）我方承诺在收到成交通知书后，在成交通知书规定的期限内与你方签订合同。</w:t>
      </w:r>
    </w:p>
    <w:p w14:paraId="61223F64">
      <w:pPr>
        <w:spacing w:line="360" w:lineRule="auto"/>
        <w:ind w:firstLine="420" w:firstLineChars="200"/>
        <w:rPr>
          <w:rFonts w:ascii="宋体" w:hAnsi="宋体"/>
          <w:szCs w:val="21"/>
        </w:rPr>
      </w:pPr>
      <w:r>
        <w:rPr>
          <w:rFonts w:hint="eastAsia" w:ascii="宋体" w:hAnsi="宋体"/>
          <w:szCs w:val="21"/>
        </w:rPr>
        <w:t>(2）随同本磋商函递交的磋商函附录属于合同文件的组成部分。</w:t>
      </w:r>
    </w:p>
    <w:p w14:paraId="3C364C6A">
      <w:pPr>
        <w:spacing w:line="360" w:lineRule="auto"/>
        <w:ind w:firstLine="420" w:firstLineChars="200"/>
        <w:rPr>
          <w:rFonts w:ascii="宋体" w:hAnsi="宋体"/>
          <w:szCs w:val="21"/>
        </w:rPr>
      </w:pPr>
      <w:r>
        <w:rPr>
          <w:rFonts w:hint="eastAsia" w:ascii="宋体" w:hAnsi="宋体"/>
          <w:szCs w:val="21"/>
        </w:rPr>
        <w:t>(3）我方承诺在合同约定的期限内完成并移交全部合同工程。</w:t>
      </w:r>
    </w:p>
    <w:p w14:paraId="1980183C">
      <w:pPr>
        <w:spacing w:line="360" w:lineRule="auto"/>
        <w:ind w:firstLine="420" w:firstLineChars="200"/>
        <w:rPr>
          <w:rFonts w:ascii="宋体" w:hAnsi="宋体"/>
          <w:szCs w:val="21"/>
        </w:rPr>
      </w:pPr>
      <w:r>
        <w:rPr>
          <w:rFonts w:hint="eastAsia" w:ascii="宋体" w:hAnsi="宋体"/>
          <w:szCs w:val="21"/>
        </w:rPr>
        <w:t>5．我方在此声明，所递交的响应文件及有关资料内容完整、真实和准确，且不存在竞争性磋商文件第二章“供应商须知”第4.3和4.4条规定的任何一种情形。</w:t>
      </w:r>
    </w:p>
    <w:p w14:paraId="3AA3A307">
      <w:pPr>
        <w:spacing w:line="360" w:lineRule="auto"/>
        <w:ind w:firstLine="420" w:firstLineChars="200"/>
        <w:rPr>
          <w:rFonts w:ascii="宋体" w:hAnsi="宋体"/>
          <w:szCs w:val="21"/>
        </w:rPr>
      </w:pPr>
    </w:p>
    <w:p w14:paraId="34105DA3">
      <w:pPr>
        <w:spacing w:line="360" w:lineRule="auto"/>
        <w:ind w:firstLine="420" w:firstLineChars="200"/>
        <w:rPr>
          <w:rFonts w:ascii="宋体" w:hAnsi="宋体"/>
          <w:szCs w:val="21"/>
        </w:rPr>
      </w:pPr>
    </w:p>
    <w:p w14:paraId="2049B2BC">
      <w:pPr>
        <w:spacing w:line="360" w:lineRule="auto"/>
        <w:ind w:firstLine="4305" w:firstLineChars="2050"/>
        <w:rPr>
          <w:rFonts w:ascii="宋体" w:hAnsi="宋体"/>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（单位盖章）</w:t>
      </w:r>
    </w:p>
    <w:p w14:paraId="640E3E70">
      <w:pPr>
        <w:spacing w:line="360" w:lineRule="auto"/>
        <w:ind w:firstLine="4305" w:firstLineChars="205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w:t>
      </w:r>
      <w:r>
        <w:rPr>
          <w:rFonts w:hint="eastAsia"/>
          <w:szCs w:val="21"/>
        </w:rPr>
        <w:t>印章或签字</w:t>
      </w:r>
      <w:r>
        <w:rPr>
          <w:rFonts w:hint="eastAsia" w:ascii="宋体" w:hAnsi="宋体"/>
          <w:szCs w:val="21"/>
        </w:rPr>
        <w:t>）</w:t>
      </w:r>
    </w:p>
    <w:p w14:paraId="0AFBBF0C">
      <w:pPr>
        <w:spacing w:line="360" w:lineRule="auto"/>
        <w:ind w:firstLine="4305" w:firstLineChars="205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E5A6D17">
      <w:pPr>
        <w:spacing w:line="360" w:lineRule="auto"/>
        <w:ind w:firstLine="420" w:firstLineChars="200"/>
        <w:rPr>
          <w:rFonts w:ascii="宋体" w:hAnsi="宋体"/>
          <w:szCs w:val="21"/>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14:paraId="2B43CF50">
      <w:pPr>
        <w:spacing w:line="360" w:lineRule="auto"/>
        <w:jc w:val="center"/>
        <w:rPr>
          <w:rFonts w:ascii="宋体" w:hAnsi="宋体"/>
          <w:b/>
          <w:sz w:val="28"/>
          <w:szCs w:val="28"/>
        </w:rPr>
      </w:pPr>
      <w:r>
        <w:rPr>
          <w:rFonts w:hint="eastAsia" w:ascii="宋体" w:hAnsi="宋体"/>
          <w:b/>
          <w:sz w:val="28"/>
          <w:szCs w:val="28"/>
        </w:rPr>
        <w:t>（二）磋商函附录</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787"/>
        <w:gridCol w:w="1982"/>
        <w:gridCol w:w="5627"/>
        <w:gridCol w:w="890"/>
      </w:tblGrid>
      <w:tr w14:paraId="5A2ED0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848" w:hRule="atLeast"/>
        </w:trPr>
        <w:tc>
          <w:tcPr>
            <w:tcW w:w="787" w:type="dxa"/>
            <w:vAlign w:val="center"/>
          </w:tcPr>
          <w:p w14:paraId="6D15F955">
            <w:pPr>
              <w:jc w:val="center"/>
              <w:rPr>
                <w:rFonts w:ascii="宋体" w:hAnsi="宋体"/>
                <w:szCs w:val="21"/>
              </w:rPr>
            </w:pPr>
            <w:r>
              <w:rPr>
                <w:rFonts w:hint="eastAsia" w:ascii="宋体" w:hAnsi="宋体"/>
                <w:szCs w:val="21"/>
              </w:rPr>
              <w:t>序号</w:t>
            </w:r>
          </w:p>
        </w:tc>
        <w:tc>
          <w:tcPr>
            <w:tcW w:w="1982" w:type="dxa"/>
            <w:vAlign w:val="center"/>
          </w:tcPr>
          <w:p w14:paraId="0D1AC1FD">
            <w:pPr>
              <w:jc w:val="center"/>
              <w:rPr>
                <w:rFonts w:ascii="宋体" w:hAnsi="宋体"/>
                <w:szCs w:val="21"/>
              </w:rPr>
            </w:pPr>
            <w:r>
              <w:rPr>
                <w:rFonts w:hint="eastAsia" w:ascii="宋体" w:hAnsi="宋体"/>
                <w:szCs w:val="21"/>
              </w:rPr>
              <w:t>条款名称</w:t>
            </w:r>
          </w:p>
        </w:tc>
        <w:tc>
          <w:tcPr>
            <w:tcW w:w="5627" w:type="dxa"/>
            <w:vAlign w:val="center"/>
          </w:tcPr>
          <w:p w14:paraId="65AF0843">
            <w:pPr>
              <w:jc w:val="center"/>
              <w:rPr>
                <w:rFonts w:ascii="宋体" w:hAnsi="宋体"/>
                <w:szCs w:val="21"/>
              </w:rPr>
            </w:pPr>
            <w:r>
              <w:rPr>
                <w:rFonts w:hint="eastAsia" w:ascii="宋体" w:hAnsi="宋体"/>
                <w:szCs w:val="21"/>
              </w:rPr>
              <w:t>约定内容</w:t>
            </w:r>
          </w:p>
        </w:tc>
        <w:tc>
          <w:tcPr>
            <w:tcW w:w="890" w:type="dxa"/>
            <w:vAlign w:val="center"/>
          </w:tcPr>
          <w:p w14:paraId="5D9BD485">
            <w:pPr>
              <w:jc w:val="center"/>
              <w:rPr>
                <w:rFonts w:ascii="宋体" w:hAnsi="宋体"/>
                <w:szCs w:val="21"/>
              </w:rPr>
            </w:pPr>
            <w:r>
              <w:rPr>
                <w:rFonts w:hint="eastAsia" w:ascii="宋体" w:hAnsi="宋体"/>
                <w:szCs w:val="21"/>
              </w:rPr>
              <w:t>是否响应</w:t>
            </w:r>
          </w:p>
        </w:tc>
      </w:tr>
      <w:tr w14:paraId="33786F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776" w:hRule="atLeast"/>
        </w:trPr>
        <w:tc>
          <w:tcPr>
            <w:tcW w:w="787" w:type="dxa"/>
            <w:vAlign w:val="center"/>
          </w:tcPr>
          <w:p w14:paraId="00674B10">
            <w:pPr>
              <w:jc w:val="center"/>
              <w:rPr>
                <w:rFonts w:ascii="宋体" w:hAnsi="宋体"/>
                <w:szCs w:val="21"/>
              </w:rPr>
            </w:pPr>
            <w:r>
              <w:rPr>
                <w:rFonts w:hint="eastAsia" w:ascii="宋体" w:hAnsi="宋体" w:cs="宋体"/>
                <w:szCs w:val="21"/>
              </w:rPr>
              <w:t>1</w:t>
            </w:r>
          </w:p>
        </w:tc>
        <w:tc>
          <w:tcPr>
            <w:tcW w:w="1982" w:type="dxa"/>
            <w:vAlign w:val="center"/>
          </w:tcPr>
          <w:p w14:paraId="044FA9B0">
            <w:pPr>
              <w:jc w:val="center"/>
              <w:rPr>
                <w:rFonts w:ascii="宋体" w:hAnsi="宋体"/>
                <w:szCs w:val="21"/>
              </w:rPr>
            </w:pPr>
            <w:r>
              <w:rPr>
                <w:rFonts w:hint="eastAsia" w:ascii="宋体" w:hAnsi="宋体" w:cs="宋体"/>
                <w:szCs w:val="21"/>
              </w:rPr>
              <w:t>项目经理</w:t>
            </w:r>
          </w:p>
        </w:tc>
        <w:tc>
          <w:tcPr>
            <w:tcW w:w="5627" w:type="dxa"/>
            <w:vAlign w:val="center"/>
          </w:tcPr>
          <w:p w14:paraId="1C3C5236">
            <w:pPr>
              <w:rPr>
                <w:rFonts w:ascii="宋体" w:hAnsi="宋体" w:cs="宋体"/>
                <w:szCs w:val="21"/>
              </w:rPr>
            </w:pPr>
            <w:r>
              <w:rPr>
                <w:rFonts w:hint="eastAsia" w:ascii="宋体" w:hAnsi="宋体" w:cs="宋体"/>
                <w:szCs w:val="21"/>
              </w:rPr>
              <w:t>姓名：</w:t>
            </w:r>
          </w:p>
        </w:tc>
        <w:tc>
          <w:tcPr>
            <w:tcW w:w="890" w:type="dxa"/>
            <w:vAlign w:val="center"/>
          </w:tcPr>
          <w:p w14:paraId="204755B9">
            <w:pPr>
              <w:jc w:val="center"/>
              <w:rPr>
                <w:rFonts w:ascii="宋体" w:hAnsi="宋体"/>
                <w:szCs w:val="21"/>
              </w:rPr>
            </w:pPr>
          </w:p>
        </w:tc>
      </w:tr>
      <w:tr w14:paraId="0A5D49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1031" w:hRule="atLeast"/>
        </w:trPr>
        <w:tc>
          <w:tcPr>
            <w:tcW w:w="787" w:type="dxa"/>
            <w:vAlign w:val="center"/>
          </w:tcPr>
          <w:p w14:paraId="6ED51A0D">
            <w:pPr>
              <w:jc w:val="center"/>
              <w:rPr>
                <w:rFonts w:ascii="宋体" w:hAnsi="宋体"/>
                <w:szCs w:val="21"/>
              </w:rPr>
            </w:pPr>
            <w:r>
              <w:rPr>
                <w:rFonts w:hint="eastAsia" w:ascii="宋体" w:hAnsi="宋体" w:cs="宋体"/>
                <w:szCs w:val="21"/>
              </w:rPr>
              <w:t>2</w:t>
            </w:r>
          </w:p>
        </w:tc>
        <w:tc>
          <w:tcPr>
            <w:tcW w:w="1982" w:type="dxa"/>
            <w:vAlign w:val="center"/>
          </w:tcPr>
          <w:p w14:paraId="736301DE">
            <w:pPr>
              <w:jc w:val="center"/>
              <w:rPr>
                <w:rFonts w:ascii="宋体" w:hAnsi="宋体"/>
                <w:szCs w:val="21"/>
              </w:rPr>
            </w:pPr>
            <w:r>
              <w:rPr>
                <w:rFonts w:hint="eastAsia" w:ascii="宋体" w:hAnsi="宋体" w:cs="宋体"/>
                <w:szCs w:val="21"/>
              </w:rPr>
              <w:t>工期</w:t>
            </w:r>
          </w:p>
        </w:tc>
        <w:tc>
          <w:tcPr>
            <w:tcW w:w="5627" w:type="dxa"/>
            <w:vAlign w:val="center"/>
          </w:tcPr>
          <w:p w14:paraId="2EABA377">
            <w:pPr>
              <w:jc w:val="left"/>
              <w:rPr>
                <w:rFonts w:ascii="宋体" w:hAnsi="宋体"/>
                <w:szCs w:val="21"/>
              </w:rPr>
            </w:pPr>
          </w:p>
        </w:tc>
        <w:tc>
          <w:tcPr>
            <w:tcW w:w="890" w:type="dxa"/>
            <w:vAlign w:val="center"/>
          </w:tcPr>
          <w:p w14:paraId="7647A768">
            <w:pPr>
              <w:jc w:val="center"/>
              <w:rPr>
                <w:rFonts w:ascii="宋体" w:hAnsi="宋体"/>
                <w:szCs w:val="21"/>
              </w:rPr>
            </w:pPr>
          </w:p>
        </w:tc>
      </w:tr>
      <w:tr w14:paraId="61B898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775" w:hRule="atLeast"/>
        </w:trPr>
        <w:tc>
          <w:tcPr>
            <w:tcW w:w="787" w:type="dxa"/>
            <w:vAlign w:val="center"/>
          </w:tcPr>
          <w:p w14:paraId="03ED1AF3">
            <w:pPr>
              <w:jc w:val="center"/>
              <w:rPr>
                <w:rFonts w:ascii="宋体" w:hAnsi="宋体"/>
                <w:szCs w:val="21"/>
              </w:rPr>
            </w:pPr>
            <w:r>
              <w:rPr>
                <w:rFonts w:hint="eastAsia" w:ascii="宋体" w:hAnsi="宋体" w:cs="宋体"/>
                <w:szCs w:val="21"/>
              </w:rPr>
              <w:t>3</w:t>
            </w:r>
          </w:p>
        </w:tc>
        <w:tc>
          <w:tcPr>
            <w:tcW w:w="1982" w:type="dxa"/>
            <w:vAlign w:val="center"/>
          </w:tcPr>
          <w:p w14:paraId="6BA1FEAF">
            <w:pPr>
              <w:jc w:val="center"/>
              <w:rPr>
                <w:rFonts w:ascii="宋体" w:hAnsi="宋体"/>
                <w:szCs w:val="21"/>
              </w:rPr>
            </w:pPr>
            <w:r>
              <w:rPr>
                <w:rFonts w:hint="eastAsia" w:ascii="宋体" w:hAnsi="宋体" w:cs="宋体"/>
                <w:szCs w:val="21"/>
              </w:rPr>
              <w:t>缺陷责任期</w:t>
            </w:r>
          </w:p>
        </w:tc>
        <w:tc>
          <w:tcPr>
            <w:tcW w:w="5627" w:type="dxa"/>
            <w:vAlign w:val="center"/>
          </w:tcPr>
          <w:p w14:paraId="581B6138">
            <w:r>
              <w:rPr>
                <w:rFonts w:hint="eastAsia"/>
              </w:rPr>
              <w:t>不超过24个月。</w:t>
            </w:r>
          </w:p>
        </w:tc>
        <w:tc>
          <w:tcPr>
            <w:tcW w:w="890" w:type="dxa"/>
            <w:vAlign w:val="center"/>
          </w:tcPr>
          <w:p w14:paraId="327C6C10">
            <w:pPr>
              <w:jc w:val="center"/>
              <w:rPr>
                <w:rFonts w:ascii="宋体" w:hAnsi="宋体"/>
                <w:szCs w:val="21"/>
              </w:rPr>
            </w:pPr>
          </w:p>
        </w:tc>
      </w:tr>
      <w:tr w14:paraId="038DAC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865" w:hRule="atLeast"/>
        </w:trPr>
        <w:tc>
          <w:tcPr>
            <w:tcW w:w="787" w:type="dxa"/>
            <w:vAlign w:val="center"/>
          </w:tcPr>
          <w:p w14:paraId="022AF59E">
            <w:pPr>
              <w:jc w:val="center"/>
              <w:rPr>
                <w:rFonts w:ascii="宋体" w:hAnsi="宋体"/>
                <w:szCs w:val="21"/>
              </w:rPr>
            </w:pPr>
            <w:r>
              <w:rPr>
                <w:rFonts w:hint="eastAsia" w:ascii="宋体" w:hAnsi="宋体" w:cs="宋体"/>
                <w:szCs w:val="21"/>
              </w:rPr>
              <w:t>4</w:t>
            </w:r>
          </w:p>
        </w:tc>
        <w:tc>
          <w:tcPr>
            <w:tcW w:w="1982" w:type="dxa"/>
            <w:vAlign w:val="center"/>
          </w:tcPr>
          <w:p w14:paraId="1E46F7C1">
            <w:pPr>
              <w:jc w:val="center"/>
              <w:rPr>
                <w:rFonts w:ascii="宋体" w:hAnsi="宋体"/>
                <w:color w:val="auto"/>
                <w:szCs w:val="21"/>
              </w:rPr>
            </w:pPr>
            <w:r>
              <w:rPr>
                <w:rFonts w:hint="eastAsia" w:ascii="宋体" w:hAnsi="宋体" w:cs="宋体"/>
                <w:color w:val="auto"/>
                <w:szCs w:val="21"/>
              </w:rPr>
              <w:t>保修期</w:t>
            </w:r>
          </w:p>
        </w:tc>
        <w:tc>
          <w:tcPr>
            <w:tcW w:w="5627" w:type="dxa"/>
            <w:vAlign w:val="center"/>
          </w:tcPr>
          <w:p w14:paraId="78C5CC9F">
            <w:pPr>
              <w:rPr>
                <w:rFonts w:ascii="宋体" w:hAnsi="宋体" w:cs="宋体"/>
                <w:bCs/>
                <w:color w:val="auto"/>
                <w:szCs w:val="21"/>
                <w:lang w:val="zh-CN"/>
              </w:rPr>
            </w:pPr>
            <w:r>
              <w:rPr>
                <w:rFonts w:hint="eastAsia" w:ascii="宋体" w:hAnsi="宋体" w:cs="宋体"/>
                <w:bCs/>
                <w:color w:val="auto"/>
                <w:szCs w:val="21"/>
                <w:lang w:val="zh-CN"/>
              </w:rPr>
              <w:t>自竣工验收合格之日起</w:t>
            </w:r>
            <w:r>
              <w:rPr>
                <w:rFonts w:hint="eastAsia" w:ascii="宋体" w:hAnsi="宋体" w:cs="宋体"/>
                <w:bCs/>
                <w:color w:val="auto"/>
                <w:szCs w:val="21"/>
                <w:lang w:val="en-US" w:eastAsia="zh-CN"/>
              </w:rPr>
              <w:t>5</w:t>
            </w:r>
            <w:r>
              <w:rPr>
                <w:rFonts w:hint="eastAsia" w:ascii="宋体" w:hAnsi="宋体" w:cs="宋体"/>
                <w:bCs/>
                <w:color w:val="auto"/>
                <w:szCs w:val="21"/>
                <w:lang w:val="zh-CN"/>
              </w:rPr>
              <w:t>年。</w:t>
            </w:r>
          </w:p>
        </w:tc>
        <w:tc>
          <w:tcPr>
            <w:tcW w:w="890" w:type="dxa"/>
            <w:vAlign w:val="center"/>
          </w:tcPr>
          <w:p w14:paraId="7FEED5E2">
            <w:pPr>
              <w:jc w:val="center"/>
              <w:rPr>
                <w:rFonts w:ascii="宋体" w:hAnsi="宋体"/>
                <w:szCs w:val="21"/>
              </w:rPr>
            </w:pPr>
          </w:p>
        </w:tc>
      </w:tr>
      <w:tr w14:paraId="5F353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1097" w:hRule="atLeast"/>
        </w:trPr>
        <w:tc>
          <w:tcPr>
            <w:tcW w:w="787" w:type="dxa"/>
            <w:vAlign w:val="center"/>
          </w:tcPr>
          <w:p w14:paraId="681B45E7">
            <w:pPr>
              <w:jc w:val="center"/>
              <w:rPr>
                <w:rFonts w:ascii="宋体" w:hAnsi="宋体"/>
                <w:szCs w:val="21"/>
              </w:rPr>
            </w:pPr>
            <w:r>
              <w:rPr>
                <w:rFonts w:hint="eastAsia" w:ascii="宋体" w:hAnsi="宋体" w:cs="宋体"/>
                <w:szCs w:val="21"/>
              </w:rPr>
              <w:t>5</w:t>
            </w:r>
          </w:p>
        </w:tc>
        <w:tc>
          <w:tcPr>
            <w:tcW w:w="1982" w:type="dxa"/>
            <w:vAlign w:val="center"/>
          </w:tcPr>
          <w:p w14:paraId="44951834">
            <w:pPr>
              <w:jc w:val="center"/>
              <w:rPr>
                <w:rFonts w:ascii="宋体" w:hAnsi="宋体"/>
                <w:szCs w:val="21"/>
              </w:rPr>
            </w:pPr>
            <w:r>
              <w:rPr>
                <w:rFonts w:hint="eastAsia" w:ascii="宋体" w:hAnsi="宋体" w:cs="宋体"/>
                <w:szCs w:val="21"/>
              </w:rPr>
              <w:t>分包</w:t>
            </w:r>
          </w:p>
        </w:tc>
        <w:tc>
          <w:tcPr>
            <w:tcW w:w="5627" w:type="dxa"/>
            <w:vAlign w:val="center"/>
          </w:tcPr>
          <w:p w14:paraId="1EEC0944">
            <w:pPr>
              <w:autoSpaceDE w:val="0"/>
              <w:autoSpaceDN w:val="0"/>
              <w:adjustRightInd w:val="0"/>
              <w:spacing w:line="300" w:lineRule="exact"/>
              <w:jc w:val="left"/>
              <w:rPr>
                <w:rFonts w:ascii="宋体" w:hAnsi="宋体"/>
                <w:szCs w:val="21"/>
              </w:rPr>
            </w:pPr>
            <w:r>
              <w:rPr>
                <w:rFonts w:hint="eastAsia" w:ascii="宋体" w:hAnsi="宋体" w:cs="宋体"/>
                <w:bCs/>
                <w:szCs w:val="21"/>
                <w:lang w:val="zh-CN"/>
              </w:rPr>
              <w:t>本工程不允许</w:t>
            </w:r>
            <w:r>
              <w:rPr>
                <w:rFonts w:hint="eastAsia" w:ascii="宋体" w:hAnsi="宋体" w:cs="宋体"/>
                <w:bCs/>
                <w:szCs w:val="21"/>
              </w:rPr>
              <w:t>违法</w:t>
            </w:r>
            <w:r>
              <w:rPr>
                <w:rFonts w:hint="eastAsia" w:ascii="宋体" w:hAnsi="宋体" w:cs="宋体"/>
                <w:bCs/>
                <w:szCs w:val="21"/>
                <w:lang w:val="zh-CN"/>
              </w:rPr>
              <w:t>分包。</w:t>
            </w:r>
          </w:p>
        </w:tc>
        <w:tc>
          <w:tcPr>
            <w:tcW w:w="890" w:type="dxa"/>
            <w:vAlign w:val="center"/>
          </w:tcPr>
          <w:p w14:paraId="22C2F2C4">
            <w:pPr>
              <w:jc w:val="center"/>
              <w:rPr>
                <w:rFonts w:ascii="宋体" w:hAnsi="宋体"/>
                <w:szCs w:val="21"/>
              </w:rPr>
            </w:pPr>
          </w:p>
        </w:tc>
      </w:tr>
      <w:tr w14:paraId="3F038E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780" w:hRule="atLeast"/>
        </w:trPr>
        <w:tc>
          <w:tcPr>
            <w:tcW w:w="787" w:type="dxa"/>
            <w:vAlign w:val="center"/>
          </w:tcPr>
          <w:p w14:paraId="2DAAB931">
            <w:pPr>
              <w:jc w:val="center"/>
              <w:rPr>
                <w:rFonts w:ascii="宋体" w:hAnsi="宋体"/>
                <w:szCs w:val="21"/>
              </w:rPr>
            </w:pPr>
            <w:r>
              <w:rPr>
                <w:rFonts w:hint="eastAsia" w:ascii="宋体" w:hAnsi="宋体" w:cs="宋体"/>
                <w:szCs w:val="21"/>
              </w:rPr>
              <w:t>6</w:t>
            </w:r>
          </w:p>
        </w:tc>
        <w:tc>
          <w:tcPr>
            <w:tcW w:w="1982" w:type="dxa"/>
            <w:vAlign w:val="center"/>
          </w:tcPr>
          <w:p w14:paraId="76546337">
            <w:pPr>
              <w:jc w:val="center"/>
              <w:rPr>
                <w:rFonts w:ascii="宋体" w:hAnsi="宋体"/>
                <w:szCs w:val="21"/>
              </w:rPr>
            </w:pPr>
            <w:r>
              <w:rPr>
                <w:rFonts w:hint="eastAsia" w:ascii="宋体" w:hAnsi="宋体" w:cs="宋体"/>
                <w:szCs w:val="21"/>
              </w:rPr>
              <w:t>工期提前</w:t>
            </w:r>
          </w:p>
        </w:tc>
        <w:tc>
          <w:tcPr>
            <w:tcW w:w="5627" w:type="dxa"/>
            <w:vAlign w:val="center"/>
          </w:tcPr>
          <w:p w14:paraId="34DF30A5">
            <w:pPr>
              <w:rPr>
                <w:rFonts w:ascii="宋体" w:hAnsi="宋体"/>
                <w:szCs w:val="21"/>
              </w:rPr>
            </w:pPr>
            <w:r>
              <w:rPr>
                <w:rFonts w:hint="eastAsia" w:ascii="宋体" w:hAnsi="宋体" w:cs="宋体"/>
                <w:bCs/>
                <w:szCs w:val="21"/>
                <w:lang w:val="zh-CN"/>
              </w:rPr>
              <w:t>承包人提前竣工，不奖励。</w:t>
            </w:r>
          </w:p>
        </w:tc>
        <w:tc>
          <w:tcPr>
            <w:tcW w:w="890" w:type="dxa"/>
            <w:vAlign w:val="center"/>
          </w:tcPr>
          <w:p w14:paraId="13E63A7D">
            <w:pPr>
              <w:jc w:val="center"/>
              <w:rPr>
                <w:rFonts w:ascii="宋体" w:hAnsi="宋体"/>
                <w:szCs w:val="21"/>
              </w:rPr>
            </w:pPr>
          </w:p>
        </w:tc>
      </w:tr>
      <w:tr w14:paraId="43011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1002" w:hRule="atLeast"/>
        </w:trPr>
        <w:tc>
          <w:tcPr>
            <w:tcW w:w="787" w:type="dxa"/>
            <w:vAlign w:val="center"/>
          </w:tcPr>
          <w:p w14:paraId="11C890D4">
            <w:pPr>
              <w:jc w:val="center"/>
              <w:rPr>
                <w:rFonts w:ascii="宋体" w:hAnsi="宋体"/>
                <w:szCs w:val="21"/>
              </w:rPr>
            </w:pPr>
            <w:r>
              <w:rPr>
                <w:rFonts w:hint="eastAsia" w:ascii="宋体" w:hAnsi="宋体" w:cs="宋体"/>
                <w:szCs w:val="21"/>
              </w:rPr>
              <w:t>7</w:t>
            </w:r>
          </w:p>
        </w:tc>
        <w:tc>
          <w:tcPr>
            <w:tcW w:w="1982" w:type="dxa"/>
            <w:vAlign w:val="center"/>
          </w:tcPr>
          <w:p w14:paraId="04F8662A">
            <w:pPr>
              <w:jc w:val="center"/>
              <w:rPr>
                <w:rFonts w:ascii="宋体" w:hAnsi="宋体"/>
                <w:szCs w:val="21"/>
              </w:rPr>
            </w:pPr>
            <w:r>
              <w:rPr>
                <w:rFonts w:hint="eastAsia" w:ascii="宋体" w:hAnsi="宋体" w:cs="宋体"/>
                <w:szCs w:val="21"/>
              </w:rPr>
              <w:t>质量标准</w:t>
            </w:r>
          </w:p>
        </w:tc>
        <w:tc>
          <w:tcPr>
            <w:tcW w:w="5627" w:type="dxa"/>
            <w:vAlign w:val="center"/>
          </w:tcPr>
          <w:p w14:paraId="214B3D0B">
            <w:pPr>
              <w:rPr>
                <w:rFonts w:ascii="宋体" w:hAnsi="宋体" w:cs="宋体"/>
                <w:bCs/>
                <w:szCs w:val="21"/>
                <w:lang w:val="zh-CN"/>
              </w:rPr>
            </w:pPr>
            <w:r>
              <w:rPr>
                <w:rFonts w:hint="eastAsia" w:ascii="宋体" w:hAnsi="宋体" w:cs="宋体"/>
                <w:szCs w:val="21"/>
              </w:rPr>
              <w:t>符合国家现行工程施工质量验收规范</w:t>
            </w:r>
            <w:r>
              <w:rPr>
                <w:rFonts w:hint="eastAsia" w:ascii="宋体" w:hAnsi="宋体" w:cs="宋体"/>
                <w:szCs w:val="21"/>
                <w:lang w:eastAsia="zh-CN"/>
              </w:rPr>
              <w:t>的</w:t>
            </w:r>
            <w:r>
              <w:rPr>
                <w:rFonts w:hint="eastAsia" w:ascii="宋体" w:hAnsi="宋体" w:cs="宋体"/>
                <w:szCs w:val="21"/>
              </w:rPr>
              <w:t>合格标准。</w:t>
            </w:r>
          </w:p>
        </w:tc>
        <w:tc>
          <w:tcPr>
            <w:tcW w:w="890" w:type="dxa"/>
            <w:vAlign w:val="center"/>
          </w:tcPr>
          <w:p w14:paraId="5A33F8BE">
            <w:pPr>
              <w:jc w:val="center"/>
              <w:rPr>
                <w:rFonts w:ascii="宋体" w:hAnsi="宋体"/>
                <w:szCs w:val="21"/>
              </w:rPr>
            </w:pPr>
          </w:p>
        </w:tc>
      </w:tr>
      <w:tr w14:paraId="174DC6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1002" w:hRule="atLeast"/>
        </w:trPr>
        <w:tc>
          <w:tcPr>
            <w:tcW w:w="787" w:type="dxa"/>
            <w:vAlign w:val="center"/>
          </w:tcPr>
          <w:p w14:paraId="21DF4AA4">
            <w:pPr>
              <w:jc w:val="center"/>
              <w:rPr>
                <w:rFonts w:ascii="宋体" w:hAnsi="宋体"/>
                <w:szCs w:val="21"/>
              </w:rPr>
            </w:pPr>
            <w:r>
              <w:rPr>
                <w:rFonts w:ascii="宋体" w:hAnsi="宋体"/>
                <w:szCs w:val="21"/>
              </w:rPr>
              <w:t>…</w:t>
            </w:r>
          </w:p>
        </w:tc>
        <w:tc>
          <w:tcPr>
            <w:tcW w:w="1982" w:type="dxa"/>
            <w:vAlign w:val="center"/>
          </w:tcPr>
          <w:p w14:paraId="5A534E95">
            <w:pPr>
              <w:jc w:val="center"/>
              <w:rPr>
                <w:rFonts w:ascii="宋体" w:hAnsi="宋体"/>
                <w:szCs w:val="21"/>
              </w:rPr>
            </w:pPr>
            <w:r>
              <w:rPr>
                <w:rFonts w:ascii="宋体" w:hAnsi="宋体"/>
                <w:szCs w:val="21"/>
              </w:rPr>
              <w:t>……</w:t>
            </w:r>
          </w:p>
        </w:tc>
        <w:tc>
          <w:tcPr>
            <w:tcW w:w="5627" w:type="dxa"/>
            <w:vAlign w:val="center"/>
          </w:tcPr>
          <w:p w14:paraId="57ABB2E6">
            <w:pPr>
              <w:rPr>
                <w:rFonts w:ascii="宋体" w:hAnsi="宋体"/>
                <w:szCs w:val="21"/>
              </w:rPr>
            </w:pPr>
          </w:p>
        </w:tc>
        <w:tc>
          <w:tcPr>
            <w:tcW w:w="890" w:type="dxa"/>
            <w:vAlign w:val="center"/>
          </w:tcPr>
          <w:p w14:paraId="75BB4FF6">
            <w:pPr>
              <w:jc w:val="center"/>
              <w:rPr>
                <w:rFonts w:ascii="宋体" w:hAnsi="宋体"/>
                <w:szCs w:val="21"/>
              </w:rPr>
            </w:pPr>
          </w:p>
        </w:tc>
      </w:tr>
      <w:tr w14:paraId="47A7BC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868" w:hRule="atLeast"/>
        </w:trPr>
        <w:tc>
          <w:tcPr>
            <w:tcW w:w="787" w:type="dxa"/>
            <w:vAlign w:val="center"/>
          </w:tcPr>
          <w:p w14:paraId="2172BBFB">
            <w:pPr>
              <w:jc w:val="center"/>
              <w:rPr>
                <w:rFonts w:ascii="宋体" w:hAnsi="宋体"/>
                <w:szCs w:val="21"/>
              </w:rPr>
            </w:pPr>
            <w:r>
              <w:rPr>
                <w:rFonts w:ascii="宋体" w:hAnsi="宋体"/>
                <w:szCs w:val="21"/>
              </w:rPr>
              <w:t>…</w:t>
            </w:r>
          </w:p>
        </w:tc>
        <w:tc>
          <w:tcPr>
            <w:tcW w:w="1982" w:type="dxa"/>
            <w:vAlign w:val="center"/>
          </w:tcPr>
          <w:p w14:paraId="081F7F4F">
            <w:pPr>
              <w:jc w:val="center"/>
              <w:rPr>
                <w:rFonts w:ascii="宋体" w:hAnsi="宋体"/>
                <w:szCs w:val="21"/>
              </w:rPr>
            </w:pPr>
            <w:r>
              <w:rPr>
                <w:rFonts w:ascii="宋体" w:hAnsi="宋体"/>
                <w:szCs w:val="21"/>
              </w:rPr>
              <w:t>……</w:t>
            </w:r>
          </w:p>
        </w:tc>
        <w:tc>
          <w:tcPr>
            <w:tcW w:w="5627" w:type="dxa"/>
            <w:vAlign w:val="center"/>
          </w:tcPr>
          <w:p w14:paraId="0B9D44EA">
            <w:pPr>
              <w:jc w:val="center"/>
              <w:rPr>
                <w:rFonts w:ascii="宋体" w:hAnsi="宋体"/>
                <w:szCs w:val="21"/>
              </w:rPr>
            </w:pPr>
          </w:p>
        </w:tc>
        <w:tc>
          <w:tcPr>
            <w:tcW w:w="890" w:type="dxa"/>
            <w:vAlign w:val="center"/>
          </w:tcPr>
          <w:p w14:paraId="1A625653">
            <w:pPr>
              <w:jc w:val="center"/>
              <w:rPr>
                <w:rFonts w:ascii="宋体" w:hAnsi="宋体"/>
                <w:szCs w:val="21"/>
              </w:rPr>
            </w:pPr>
          </w:p>
        </w:tc>
      </w:tr>
    </w:tbl>
    <w:p w14:paraId="4D31292D">
      <w:r>
        <w:br w:type="page"/>
      </w:r>
    </w:p>
    <w:p w14:paraId="43BF2B0C">
      <w:p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tbl>
      <w:tblPr>
        <w:tblStyle w:val="29"/>
        <w:tblW w:w="9338" w:type="dxa"/>
        <w:tblInd w:w="0" w:type="dxa"/>
        <w:tblLayout w:type="fixed"/>
        <w:tblCellMar>
          <w:top w:w="0" w:type="dxa"/>
          <w:left w:w="0" w:type="dxa"/>
          <w:bottom w:w="0" w:type="dxa"/>
          <w:right w:w="0" w:type="dxa"/>
        </w:tblCellMar>
      </w:tblPr>
      <w:tblGrid>
        <w:gridCol w:w="1940"/>
        <w:gridCol w:w="7398"/>
      </w:tblGrid>
      <w:tr w14:paraId="18AE35CC">
        <w:tblPrEx>
          <w:tblCellMar>
            <w:top w:w="0" w:type="dxa"/>
            <w:left w:w="0" w:type="dxa"/>
            <w:bottom w:w="0" w:type="dxa"/>
            <w:right w:w="0" w:type="dxa"/>
          </w:tblCellMar>
        </w:tblPrEx>
        <w:trPr>
          <w:trHeight w:val="900" w:hRule="atLeast"/>
        </w:trPr>
        <w:tc>
          <w:tcPr>
            <w:tcW w:w="9338" w:type="dxa"/>
            <w:gridSpan w:val="2"/>
            <w:tcBorders>
              <w:top w:val="nil"/>
              <w:left w:val="nil"/>
              <w:bottom w:val="nil"/>
              <w:right w:val="nil"/>
            </w:tcBorders>
            <w:tcMar>
              <w:top w:w="38" w:type="dxa"/>
              <w:left w:w="38" w:type="dxa"/>
              <w:bottom w:w="0" w:type="dxa"/>
              <w:right w:w="38" w:type="dxa"/>
            </w:tcMar>
            <w:vAlign w:val="center"/>
          </w:tcPr>
          <w:p w14:paraId="420794F7">
            <w:pPr>
              <w:jc w:val="center"/>
              <w:rPr>
                <w:rFonts w:ascii="黑体" w:hAnsi="宋体" w:eastAsia="黑体" w:cs="Arial Unicode MS"/>
                <w:b/>
                <w:bCs/>
                <w:sz w:val="28"/>
                <w:szCs w:val="28"/>
              </w:rPr>
            </w:pPr>
            <w:r>
              <w:rPr>
                <w:rFonts w:hint="eastAsia" w:ascii="宋体" w:hAnsi="宋体" w:cs="宋体"/>
                <w:b/>
                <w:sz w:val="28"/>
                <w:szCs w:val="28"/>
              </w:rPr>
              <w:t>（三）磋商报价函（首次）</w:t>
            </w:r>
          </w:p>
        </w:tc>
      </w:tr>
      <w:tr w14:paraId="73DA18D2">
        <w:tblPrEx>
          <w:tblCellMar>
            <w:top w:w="0" w:type="dxa"/>
            <w:left w:w="0" w:type="dxa"/>
            <w:bottom w:w="0" w:type="dxa"/>
            <w:right w:w="0" w:type="dxa"/>
          </w:tblCellMar>
        </w:tblPrEx>
        <w:trPr>
          <w:trHeight w:val="330" w:hRule="atLeast"/>
        </w:trPr>
        <w:tc>
          <w:tcPr>
            <w:tcW w:w="9338" w:type="dxa"/>
            <w:gridSpan w:val="2"/>
            <w:tcBorders>
              <w:top w:val="nil"/>
              <w:left w:val="nil"/>
              <w:bottom w:val="single" w:color="auto" w:sz="4" w:space="0"/>
              <w:right w:val="nil"/>
            </w:tcBorders>
            <w:tcMar>
              <w:top w:w="38" w:type="dxa"/>
              <w:left w:w="38" w:type="dxa"/>
              <w:bottom w:w="0" w:type="dxa"/>
              <w:right w:w="38" w:type="dxa"/>
            </w:tcMar>
            <w:vAlign w:val="center"/>
          </w:tcPr>
          <w:p w14:paraId="5B5D7D7F">
            <w:pPr>
              <w:rPr>
                <w:rFonts w:ascii="宋体" w:hAnsi="宋体"/>
                <w:szCs w:val="21"/>
              </w:rPr>
            </w:pPr>
            <w:r>
              <w:rPr>
                <w:rFonts w:hint="eastAsia" w:ascii="宋体" w:hAnsi="宋体"/>
                <w:b/>
                <w:szCs w:val="21"/>
              </w:rPr>
              <w:t>项目名称：</w:t>
            </w:r>
          </w:p>
        </w:tc>
      </w:tr>
      <w:tr w14:paraId="767162DE">
        <w:tblPrEx>
          <w:tblCellMar>
            <w:top w:w="0" w:type="dxa"/>
            <w:left w:w="0" w:type="dxa"/>
            <w:bottom w:w="0" w:type="dxa"/>
            <w:right w:w="0" w:type="dxa"/>
          </w:tblCellMar>
        </w:tblPrEx>
        <w:trPr>
          <w:trHeight w:val="561" w:hRule="atLeast"/>
        </w:trPr>
        <w:tc>
          <w:tcPr>
            <w:tcW w:w="1940" w:type="dxa"/>
            <w:tcBorders>
              <w:top w:val="single" w:color="auto" w:sz="4" w:space="0"/>
              <w:left w:val="single" w:color="auto" w:sz="4" w:space="0"/>
              <w:bottom w:val="single" w:color="auto" w:sz="4" w:space="0"/>
              <w:right w:val="single" w:color="auto" w:sz="6" w:space="0"/>
            </w:tcBorders>
            <w:tcMar>
              <w:top w:w="38" w:type="dxa"/>
              <w:left w:w="38" w:type="dxa"/>
              <w:bottom w:w="0" w:type="dxa"/>
              <w:right w:w="38" w:type="dxa"/>
            </w:tcMar>
            <w:vAlign w:val="center"/>
          </w:tcPr>
          <w:p w14:paraId="5FD3E62F">
            <w:pPr>
              <w:rPr>
                <w:rFonts w:hint="eastAsia" w:ascii="宋体" w:hAnsi="宋体" w:cs="Arial Unicode MS" w:eastAsiaTheme="minorEastAsia"/>
                <w:lang w:val="en-US" w:eastAsia="zh-CN"/>
              </w:rPr>
            </w:pPr>
            <w:r>
              <w:rPr>
                <w:rFonts w:hint="eastAsia" w:ascii="宋体" w:hAnsi="宋体"/>
              </w:rPr>
              <w:t>供应商</w:t>
            </w:r>
            <w:r>
              <w:rPr>
                <w:rFonts w:hint="eastAsia" w:ascii="宋体" w:hAnsi="宋体"/>
                <w:lang w:val="en-US" w:eastAsia="zh-CN"/>
              </w:rPr>
              <w:t>名称</w:t>
            </w:r>
          </w:p>
        </w:tc>
        <w:tc>
          <w:tcPr>
            <w:tcW w:w="7398" w:type="dxa"/>
            <w:tcBorders>
              <w:top w:val="single" w:color="auto" w:sz="4" w:space="0"/>
              <w:left w:val="single" w:color="auto" w:sz="6" w:space="0"/>
              <w:bottom w:val="single" w:color="auto" w:sz="6" w:space="0"/>
              <w:right w:val="single" w:color="auto" w:sz="4" w:space="0"/>
            </w:tcBorders>
            <w:tcMar>
              <w:top w:w="38" w:type="dxa"/>
              <w:left w:w="38" w:type="dxa"/>
              <w:bottom w:w="0" w:type="dxa"/>
              <w:right w:w="38" w:type="dxa"/>
            </w:tcMar>
            <w:vAlign w:val="center"/>
          </w:tcPr>
          <w:p w14:paraId="640C281B">
            <w:pPr>
              <w:rPr>
                <w:rFonts w:ascii="宋体" w:hAnsi="宋体" w:cs="Arial Unicode MS"/>
              </w:rPr>
            </w:pPr>
            <w:r>
              <w:rPr>
                <w:rFonts w:hint="eastAsia" w:ascii="宋体" w:hAnsi="宋体"/>
              </w:rPr>
              <w:t>　</w:t>
            </w:r>
          </w:p>
        </w:tc>
      </w:tr>
      <w:tr w14:paraId="31C0940A">
        <w:tblPrEx>
          <w:tblCellMar>
            <w:top w:w="0" w:type="dxa"/>
            <w:left w:w="0" w:type="dxa"/>
            <w:bottom w:w="0" w:type="dxa"/>
            <w:right w:w="0" w:type="dxa"/>
          </w:tblCellMar>
        </w:tblPrEx>
        <w:trPr>
          <w:trHeight w:val="740" w:hRule="atLeast"/>
        </w:trPr>
        <w:tc>
          <w:tcPr>
            <w:tcW w:w="1940" w:type="dxa"/>
            <w:tcBorders>
              <w:top w:val="single" w:color="auto" w:sz="4" w:space="0"/>
              <w:left w:val="single" w:color="auto" w:sz="4" w:space="0"/>
              <w:bottom w:val="single" w:color="auto" w:sz="4" w:space="0"/>
              <w:right w:val="single" w:color="auto" w:sz="6" w:space="0"/>
            </w:tcBorders>
            <w:tcMar>
              <w:top w:w="38" w:type="dxa"/>
              <w:left w:w="38" w:type="dxa"/>
              <w:bottom w:w="0" w:type="dxa"/>
              <w:right w:w="38" w:type="dxa"/>
            </w:tcMar>
            <w:vAlign w:val="center"/>
          </w:tcPr>
          <w:p w14:paraId="7EC4B183">
            <w:pPr>
              <w:rPr>
                <w:rFonts w:ascii="宋体" w:hAnsi="宋体" w:cs="Arial Unicode MS"/>
              </w:rPr>
            </w:pPr>
            <w:r>
              <w:rPr>
                <w:rFonts w:hint="eastAsia" w:ascii="宋体" w:hAnsi="宋体"/>
              </w:rPr>
              <w:t>磋商报价</w:t>
            </w:r>
          </w:p>
        </w:tc>
        <w:tc>
          <w:tcPr>
            <w:tcW w:w="7398" w:type="dxa"/>
            <w:tcBorders>
              <w:top w:val="single" w:color="auto" w:sz="6" w:space="0"/>
              <w:left w:val="single" w:color="auto" w:sz="6" w:space="0"/>
              <w:right w:val="single" w:color="auto" w:sz="4" w:space="0"/>
            </w:tcBorders>
            <w:tcMar>
              <w:top w:w="38" w:type="dxa"/>
              <w:left w:w="38" w:type="dxa"/>
              <w:bottom w:w="0" w:type="dxa"/>
              <w:right w:w="38" w:type="dxa"/>
            </w:tcMar>
            <w:vAlign w:val="center"/>
          </w:tcPr>
          <w:p w14:paraId="208C2733">
            <w:pPr>
              <w:rPr>
                <w:rFonts w:ascii="宋体" w:hAnsi="宋体"/>
                <w:szCs w:val="20"/>
              </w:rPr>
            </w:pPr>
            <w:r>
              <w:rPr>
                <w:rFonts w:hint="eastAsia" w:ascii="宋体" w:hAnsi="宋体"/>
                <w:szCs w:val="20"/>
                <w:lang w:val="en-US" w:eastAsia="zh-CN"/>
              </w:rPr>
              <w:t>元</w:t>
            </w:r>
          </w:p>
        </w:tc>
      </w:tr>
      <w:tr w14:paraId="5F06DB3A">
        <w:tblPrEx>
          <w:tblCellMar>
            <w:top w:w="0" w:type="dxa"/>
            <w:left w:w="0" w:type="dxa"/>
            <w:bottom w:w="0" w:type="dxa"/>
            <w:right w:w="0" w:type="dxa"/>
          </w:tblCellMar>
        </w:tblPrEx>
        <w:trPr>
          <w:trHeight w:val="740" w:hRule="atLeast"/>
        </w:trPr>
        <w:tc>
          <w:tcPr>
            <w:tcW w:w="1940" w:type="dxa"/>
            <w:tcBorders>
              <w:top w:val="single" w:color="auto" w:sz="4" w:space="0"/>
              <w:left w:val="single" w:color="auto" w:sz="4" w:space="0"/>
              <w:bottom w:val="single" w:color="auto" w:sz="4" w:space="0"/>
              <w:right w:val="single" w:color="auto" w:sz="6" w:space="0"/>
            </w:tcBorders>
            <w:tcMar>
              <w:top w:w="38" w:type="dxa"/>
              <w:left w:w="38" w:type="dxa"/>
              <w:bottom w:w="0" w:type="dxa"/>
              <w:right w:w="38" w:type="dxa"/>
            </w:tcMar>
            <w:vAlign w:val="center"/>
          </w:tcPr>
          <w:p w14:paraId="1FC3713F">
            <w:pPr>
              <w:rPr>
                <w:rFonts w:ascii="宋体" w:hAnsi="宋体" w:cs="Arial Unicode MS"/>
              </w:rPr>
            </w:pPr>
            <w:r>
              <w:rPr>
                <w:rFonts w:hint="eastAsia" w:ascii="宋体" w:hAnsi="宋体"/>
              </w:rPr>
              <w:t>合同履行期限</w:t>
            </w:r>
          </w:p>
        </w:tc>
        <w:tc>
          <w:tcPr>
            <w:tcW w:w="7398" w:type="dxa"/>
            <w:tcBorders>
              <w:top w:val="single" w:color="auto" w:sz="6" w:space="0"/>
              <w:left w:val="single" w:color="auto" w:sz="6" w:space="0"/>
              <w:right w:val="single" w:color="auto" w:sz="4" w:space="0"/>
            </w:tcBorders>
            <w:tcMar>
              <w:top w:w="38" w:type="dxa"/>
              <w:left w:w="38" w:type="dxa"/>
              <w:bottom w:w="0" w:type="dxa"/>
              <w:right w:w="38" w:type="dxa"/>
            </w:tcMar>
            <w:vAlign w:val="center"/>
          </w:tcPr>
          <w:p w14:paraId="4276EB27">
            <w:pPr>
              <w:rPr>
                <w:rFonts w:ascii="宋体" w:hAnsi="宋体" w:cs="Arial Unicode MS"/>
              </w:rPr>
            </w:pPr>
            <w:r>
              <w:rPr>
                <w:rFonts w:hint="eastAsia" w:ascii="宋体" w:hAnsi="宋体"/>
              </w:rPr>
              <w:t>　</w:t>
            </w:r>
          </w:p>
        </w:tc>
      </w:tr>
      <w:tr w14:paraId="41431664">
        <w:tblPrEx>
          <w:tblCellMar>
            <w:top w:w="0" w:type="dxa"/>
            <w:left w:w="0" w:type="dxa"/>
            <w:bottom w:w="0" w:type="dxa"/>
            <w:right w:w="0" w:type="dxa"/>
          </w:tblCellMar>
        </w:tblPrEx>
        <w:trPr>
          <w:trHeight w:val="740" w:hRule="atLeast"/>
        </w:trPr>
        <w:tc>
          <w:tcPr>
            <w:tcW w:w="1940" w:type="dxa"/>
            <w:tcBorders>
              <w:top w:val="single" w:color="auto" w:sz="4" w:space="0"/>
              <w:left w:val="single" w:color="auto" w:sz="4" w:space="0"/>
              <w:bottom w:val="single" w:color="auto" w:sz="4" w:space="0"/>
              <w:right w:val="single" w:color="auto" w:sz="6" w:space="0"/>
            </w:tcBorders>
            <w:tcMar>
              <w:top w:w="38" w:type="dxa"/>
              <w:left w:w="38" w:type="dxa"/>
              <w:bottom w:w="0" w:type="dxa"/>
              <w:right w:w="38" w:type="dxa"/>
            </w:tcMar>
            <w:vAlign w:val="center"/>
          </w:tcPr>
          <w:p w14:paraId="02A9C704">
            <w:pPr>
              <w:rPr>
                <w:rFonts w:ascii="宋体" w:hAnsi="宋体" w:cs="Arial Unicode MS"/>
              </w:rPr>
            </w:pPr>
            <w:r>
              <w:rPr>
                <w:rFonts w:hint="eastAsia" w:ascii="宋体" w:hAnsi="宋体" w:cs="Arial Unicode MS"/>
              </w:rPr>
              <w:t>质量标准</w:t>
            </w:r>
          </w:p>
        </w:tc>
        <w:tc>
          <w:tcPr>
            <w:tcW w:w="7398" w:type="dxa"/>
            <w:tcBorders>
              <w:top w:val="single" w:color="auto" w:sz="6" w:space="0"/>
              <w:left w:val="single" w:color="auto" w:sz="6" w:space="0"/>
              <w:right w:val="single" w:color="auto" w:sz="4" w:space="0"/>
            </w:tcBorders>
            <w:tcMar>
              <w:top w:w="38" w:type="dxa"/>
              <w:left w:w="38" w:type="dxa"/>
              <w:bottom w:w="0" w:type="dxa"/>
              <w:right w:w="38" w:type="dxa"/>
            </w:tcMar>
            <w:vAlign w:val="center"/>
          </w:tcPr>
          <w:p w14:paraId="2B1CE171">
            <w:pPr>
              <w:rPr>
                <w:rFonts w:ascii="宋体" w:hAnsi="宋体" w:cs="Arial Unicode MS"/>
              </w:rPr>
            </w:pPr>
            <w:r>
              <w:rPr>
                <w:rFonts w:hint="eastAsia" w:ascii="宋体" w:hAnsi="宋体"/>
              </w:rPr>
              <w:t>　</w:t>
            </w:r>
          </w:p>
        </w:tc>
      </w:tr>
      <w:tr w14:paraId="532D8157">
        <w:tblPrEx>
          <w:tblCellMar>
            <w:top w:w="0" w:type="dxa"/>
            <w:left w:w="0" w:type="dxa"/>
            <w:bottom w:w="0" w:type="dxa"/>
            <w:right w:w="0" w:type="dxa"/>
          </w:tblCellMar>
        </w:tblPrEx>
        <w:trPr>
          <w:trHeight w:val="740" w:hRule="atLeast"/>
        </w:trPr>
        <w:tc>
          <w:tcPr>
            <w:tcW w:w="1940" w:type="dxa"/>
            <w:tcBorders>
              <w:top w:val="single" w:color="auto" w:sz="4" w:space="0"/>
              <w:left w:val="single" w:color="auto" w:sz="4" w:space="0"/>
              <w:bottom w:val="single" w:color="auto" w:sz="4" w:space="0"/>
              <w:right w:val="single" w:color="auto" w:sz="6" w:space="0"/>
            </w:tcBorders>
            <w:tcMar>
              <w:top w:w="38" w:type="dxa"/>
              <w:left w:w="38" w:type="dxa"/>
              <w:bottom w:w="0" w:type="dxa"/>
              <w:right w:w="38" w:type="dxa"/>
            </w:tcMar>
            <w:vAlign w:val="center"/>
          </w:tcPr>
          <w:p w14:paraId="7DBEFBD9">
            <w:pPr>
              <w:rPr>
                <w:rFonts w:ascii="宋体" w:hAnsi="宋体" w:cs="Arial Unicode MS"/>
              </w:rPr>
            </w:pPr>
            <w:r>
              <w:rPr>
                <w:rFonts w:hint="eastAsia" w:ascii="宋体" w:hAnsi="宋体" w:cs="Arial Unicode MS"/>
                <w:lang w:val="en-US" w:eastAsia="zh-CN"/>
              </w:rPr>
              <w:t>企业类型</w:t>
            </w:r>
          </w:p>
        </w:tc>
        <w:tc>
          <w:tcPr>
            <w:tcW w:w="7398" w:type="dxa"/>
            <w:tcBorders>
              <w:top w:val="single" w:color="auto" w:sz="6" w:space="0"/>
              <w:left w:val="single" w:color="auto" w:sz="6" w:space="0"/>
              <w:bottom w:val="single" w:color="auto" w:sz="4" w:space="0"/>
              <w:right w:val="single" w:color="auto" w:sz="4" w:space="0"/>
            </w:tcBorders>
            <w:tcMar>
              <w:top w:w="38" w:type="dxa"/>
              <w:left w:w="38" w:type="dxa"/>
              <w:bottom w:w="0" w:type="dxa"/>
              <w:right w:w="38" w:type="dxa"/>
            </w:tcMar>
            <w:vAlign w:val="center"/>
          </w:tcPr>
          <w:p w14:paraId="29E073FF">
            <w:pPr>
              <w:rPr>
                <w:rFonts w:ascii="宋体" w:hAnsi="宋体"/>
              </w:rPr>
            </w:pPr>
            <w:r>
              <w:rPr>
                <w:rFonts w:hint="eastAsia" w:ascii="宋体" w:hAnsi="宋体" w:cs="Arial Unicode MS"/>
                <w:lang w:val="en-US" w:eastAsia="zh-CN"/>
              </w:rPr>
              <w:t>（中型、小型、微型）</w:t>
            </w:r>
          </w:p>
        </w:tc>
      </w:tr>
      <w:tr w14:paraId="0BA1AD39">
        <w:tblPrEx>
          <w:tblCellMar>
            <w:top w:w="0" w:type="dxa"/>
            <w:left w:w="0" w:type="dxa"/>
            <w:bottom w:w="0" w:type="dxa"/>
            <w:right w:w="0" w:type="dxa"/>
          </w:tblCellMar>
        </w:tblPrEx>
        <w:trPr>
          <w:cantSplit/>
          <w:trHeight w:val="552" w:hRule="atLeast"/>
        </w:trPr>
        <w:tc>
          <w:tcPr>
            <w:tcW w:w="1940" w:type="dxa"/>
            <w:vMerge w:val="restart"/>
            <w:tcBorders>
              <w:top w:val="single" w:color="auto" w:sz="4" w:space="0"/>
              <w:left w:val="single" w:color="auto" w:sz="4" w:space="0"/>
              <w:bottom w:val="single" w:color="auto" w:sz="4" w:space="0"/>
              <w:right w:val="single" w:color="auto" w:sz="6" w:space="0"/>
            </w:tcBorders>
            <w:tcMar>
              <w:top w:w="38" w:type="dxa"/>
              <w:left w:w="38" w:type="dxa"/>
              <w:bottom w:w="0" w:type="dxa"/>
              <w:right w:w="38" w:type="dxa"/>
            </w:tcMar>
            <w:vAlign w:val="center"/>
          </w:tcPr>
          <w:p w14:paraId="5C9C8D75">
            <w:pPr>
              <w:rPr>
                <w:rFonts w:ascii="宋体" w:hAnsi="宋体" w:cs="Arial Unicode MS"/>
              </w:rPr>
            </w:pPr>
            <w:r>
              <w:rPr>
                <w:rFonts w:hint="eastAsia" w:ascii="宋体" w:hAnsi="宋体"/>
              </w:rPr>
              <w:t>备注</w:t>
            </w:r>
          </w:p>
        </w:tc>
        <w:tc>
          <w:tcPr>
            <w:tcW w:w="7398" w:type="dxa"/>
            <w:tcBorders>
              <w:top w:val="single" w:color="auto" w:sz="4" w:space="0"/>
              <w:left w:val="single" w:color="auto" w:sz="6" w:space="0"/>
              <w:bottom w:val="nil"/>
              <w:right w:val="single" w:color="auto" w:sz="4" w:space="0"/>
            </w:tcBorders>
            <w:tcMar>
              <w:top w:w="38" w:type="dxa"/>
              <w:left w:w="38" w:type="dxa"/>
              <w:bottom w:w="0" w:type="dxa"/>
              <w:right w:w="38" w:type="dxa"/>
            </w:tcMar>
            <w:vAlign w:val="center"/>
          </w:tcPr>
          <w:p w14:paraId="7D716DB7">
            <w:pPr>
              <w:rPr>
                <w:rFonts w:ascii="宋体" w:hAnsi="宋体"/>
              </w:rPr>
            </w:pPr>
            <w:r>
              <w:rPr>
                <w:rFonts w:hint="eastAsia" w:ascii="宋体" w:hAnsi="宋体"/>
              </w:rPr>
              <w:t>1.本表的一切内容具有法律效力，不得更改。</w:t>
            </w:r>
          </w:p>
        </w:tc>
      </w:tr>
      <w:tr w14:paraId="58C51283">
        <w:tblPrEx>
          <w:tblCellMar>
            <w:top w:w="0" w:type="dxa"/>
            <w:left w:w="0" w:type="dxa"/>
            <w:bottom w:w="0" w:type="dxa"/>
            <w:right w:w="0" w:type="dxa"/>
          </w:tblCellMar>
        </w:tblPrEx>
        <w:trPr>
          <w:cantSplit/>
          <w:trHeight w:val="553" w:hRule="atLeast"/>
        </w:trPr>
        <w:tc>
          <w:tcPr>
            <w:tcW w:w="1940" w:type="dxa"/>
            <w:vMerge w:val="continue"/>
            <w:tcBorders>
              <w:top w:val="single" w:color="auto" w:sz="4" w:space="0"/>
              <w:left w:val="single" w:color="auto" w:sz="4" w:space="0"/>
              <w:bottom w:val="single" w:color="auto" w:sz="4" w:space="0"/>
              <w:right w:val="single" w:color="auto" w:sz="6" w:space="0"/>
            </w:tcBorders>
            <w:vAlign w:val="center"/>
          </w:tcPr>
          <w:p w14:paraId="1FFC0F55">
            <w:pPr>
              <w:rPr>
                <w:rFonts w:ascii="宋体" w:hAnsi="宋体" w:cs="Arial Unicode MS"/>
              </w:rPr>
            </w:pPr>
          </w:p>
        </w:tc>
        <w:tc>
          <w:tcPr>
            <w:tcW w:w="7398" w:type="dxa"/>
            <w:tcBorders>
              <w:top w:val="nil"/>
              <w:left w:val="single" w:color="auto" w:sz="6" w:space="0"/>
              <w:bottom w:val="nil"/>
              <w:right w:val="single" w:color="auto" w:sz="4" w:space="0"/>
            </w:tcBorders>
            <w:tcMar>
              <w:top w:w="38" w:type="dxa"/>
              <w:left w:w="38" w:type="dxa"/>
              <w:bottom w:w="0" w:type="dxa"/>
              <w:right w:w="38" w:type="dxa"/>
            </w:tcMar>
            <w:vAlign w:val="center"/>
          </w:tcPr>
          <w:p w14:paraId="502612AC">
            <w:pPr>
              <w:rPr>
                <w:rFonts w:ascii="宋体" w:hAnsi="宋体"/>
              </w:rPr>
            </w:pPr>
            <w:r>
              <w:rPr>
                <w:rFonts w:hint="eastAsia" w:ascii="宋体" w:hAnsi="宋体"/>
              </w:rPr>
              <w:t>2.本表内容必须与响应文件内容一致，如不一致以磋商报价函内容为准。</w:t>
            </w:r>
          </w:p>
        </w:tc>
      </w:tr>
      <w:tr w14:paraId="422C1DE8">
        <w:tblPrEx>
          <w:tblCellMar>
            <w:top w:w="0" w:type="dxa"/>
            <w:left w:w="0" w:type="dxa"/>
            <w:bottom w:w="0" w:type="dxa"/>
            <w:right w:w="0" w:type="dxa"/>
          </w:tblCellMar>
        </w:tblPrEx>
        <w:trPr>
          <w:cantSplit/>
          <w:trHeight w:val="553" w:hRule="atLeast"/>
        </w:trPr>
        <w:tc>
          <w:tcPr>
            <w:tcW w:w="1940" w:type="dxa"/>
            <w:vMerge w:val="continue"/>
            <w:tcBorders>
              <w:top w:val="single" w:color="auto" w:sz="4" w:space="0"/>
              <w:left w:val="single" w:color="auto" w:sz="4" w:space="0"/>
              <w:bottom w:val="single" w:color="auto" w:sz="4" w:space="0"/>
              <w:right w:val="single" w:color="auto" w:sz="6" w:space="0"/>
            </w:tcBorders>
            <w:vAlign w:val="center"/>
          </w:tcPr>
          <w:p w14:paraId="2952FD9A">
            <w:pPr>
              <w:rPr>
                <w:rFonts w:ascii="宋体" w:hAnsi="宋体" w:cs="Arial Unicode MS"/>
              </w:rPr>
            </w:pPr>
          </w:p>
        </w:tc>
        <w:tc>
          <w:tcPr>
            <w:tcW w:w="7398" w:type="dxa"/>
            <w:tcBorders>
              <w:top w:val="nil"/>
              <w:left w:val="single" w:color="auto" w:sz="6" w:space="0"/>
              <w:bottom w:val="nil"/>
              <w:right w:val="single" w:color="auto" w:sz="4" w:space="0"/>
            </w:tcBorders>
            <w:shd w:val="clear" w:color="auto" w:fill="auto"/>
            <w:tcMar>
              <w:top w:w="38" w:type="dxa"/>
              <w:left w:w="38" w:type="dxa"/>
              <w:bottom w:w="0" w:type="dxa"/>
              <w:right w:w="38" w:type="dxa"/>
            </w:tcMar>
            <w:vAlign w:val="center"/>
          </w:tcPr>
          <w:p w14:paraId="4E071174">
            <w:pPr>
              <w:rPr>
                <w:rFonts w:hint="eastAsia" w:ascii="宋体" w:hAnsi="宋体" w:eastAsiaTheme="minorEastAsia" w:cstheme="minorBidi"/>
                <w:kern w:val="2"/>
                <w:sz w:val="21"/>
                <w:szCs w:val="24"/>
                <w:lang w:val="en-US" w:eastAsia="zh-CN" w:bidi="ar-SA"/>
              </w:rPr>
            </w:pPr>
            <w:r>
              <w:rPr>
                <w:rFonts w:hint="eastAsia" w:ascii="宋体" w:hAnsi="宋体"/>
                <w:lang w:val="en-US" w:eastAsia="zh-CN"/>
              </w:rPr>
              <w:t>3</w:t>
            </w:r>
            <w:r>
              <w:rPr>
                <w:rFonts w:hint="eastAsia" w:ascii="宋体" w:hAnsi="宋体"/>
                <w:lang w:eastAsia="zh-CN"/>
              </w:rPr>
              <w:t>.</w:t>
            </w:r>
            <w:r>
              <w:rPr>
                <w:rFonts w:hint="eastAsia" w:ascii="宋体" w:hAnsi="宋体"/>
              </w:rPr>
              <w:t>磋商报价</w:t>
            </w:r>
            <w:r>
              <w:rPr>
                <w:rFonts w:ascii="宋体" w:hAnsi="宋体"/>
                <w:szCs w:val="21"/>
              </w:rPr>
              <w:t>保留小数点后</w:t>
            </w:r>
            <w:r>
              <w:rPr>
                <w:rFonts w:hint="eastAsia" w:ascii="宋体" w:hAnsi="宋体"/>
                <w:szCs w:val="21"/>
                <w:lang w:val="en-US" w:eastAsia="zh-CN"/>
              </w:rPr>
              <w:t>两位</w:t>
            </w:r>
            <w:r>
              <w:rPr>
                <w:rFonts w:hint="eastAsia" w:ascii="宋体" w:hAnsi="宋体"/>
              </w:rPr>
              <w:t>。</w:t>
            </w:r>
          </w:p>
        </w:tc>
      </w:tr>
      <w:tr w14:paraId="7D57EC7C">
        <w:tblPrEx>
          <w:tblCellMar>
            <w:top w:w="0" w:type="dxa"/>
            <w:left w:w="0" w:type="dxa"/>
            <w:bottom w:w="0" w:type="dxa"/>
            <w:right w:w="0" w:type="dxa"/>
          </w:tblCellMar>
        </w:tblPrEx>
        <w:trPr>
          <w:cantSplit/>
          <w:trHeight w:val="654" w:hRule="atLeast"/>
        </w:trPr>
        <w:tc>
          <w:tcPr>
            <w:tcW w:w="1940" w:type="dxa"/>
            <w:vMerge w:val="continue"/>
            <w:tcBorders>
              <w:top w:val="single" w:color="auto" w:sz="4" w:space="0"/>
              <w:left w:val="single" w:color="auto" w:sz="4" w:space="0"/>
              <w:bottom w:val="single" w:color="auto" w:sz="4" w:space="0"/>
              <w:right w:val="single" w:color="auto" w:sz="6" w:space="0"/>
            </w:tcBorders>
            <w:vAlign w:val="center"/>
          </w:tcPr>
          <w:p w14:paraId="7AC52FE1">
            <w:pPr>
              <w:rPr>
                <w:rFonts w:ascii="宋体" w:hAnsi="宋体" w:cs="Arial Unicode MS"/>
              </w:rPr>
            </w:pPr>
          </w:p>
        </w:tc>
        <w:tc>
          <w:tcPr>
            <w:tcW w:w="7398" w:type="dxa"/>
            <w:tcBorders>
              <w:top w:val="nil"/>
              <w:left w:val="single" w:color="auto" w:sz="6" w:space="0"/>
              <w:bottom w:val="single" w:color="auto" w:sz="4" w:space="0"/>
              <w:right w:val="single" w:color="auto" w:sz="4" w:space="0"/>
            </w:tcBorders>
            <w:shd w:val="clear" w:color="auto" w:fill="auto"/>
            <w:tcMar>
              <w:top w:w="38" w:type="dxa"/>
              <w:left w:w="38" w:type="dxa"/>
              <w:bottom w:w="0" w:type="dxa"/>
              <w:right w:w="38" w:type="dxa"/>
            </w:tcMar>
            <w:vAlign w:val="center"/>
          </w:tcPr>
          <w:p w14:paraId="33FF7C61">
            <w:pPr>
              <w:rPr>
                <w:rFonts w:hint="eastAsia" w:ascii="宋体" w:hAnsi="宋体" w:eastAsiaTheme="minorEastAsia" w:cstheme="minorBidi"/>
                <w:kern w:val="2"/>
                <w:sz w:val="21"/>
                <w:szCs w:val="24"/>
                <w:lang w:val="en-US" w:eastAsia="zh-CN" w:bidi="ar-SA"/>
              </w:rPr>
            </w:pPr>
            <w:r>
              <w:rPr>
                <w:rFonts w:hint="eastAsia" w:ascii="宋体" w:hAnsi="宋体"/>
                <w:lang w:val="en-US" w:eastAsia="zh-CN"/>
              </w:rPr>
              <w:t>4.企业类型须与中小企业声明函中填写一致。</w:t>
            </w:r>
          </w:p>
        </w:tc>
      </w:tr>
    </w:tbl>
    <w:p w14:paraId="343A3E99">
      <w:pPr>
        <w:spacing w:line="360" w:lineRule="auto"/>
        <w:jc w:val="left"/>
        <w:rPr>
          <w:rFonts w:ascii="宋体" w:hAnsi="宋体"/>
          <w:szCs w:val="21"/>
        </w:rPr>
      </w:pPr>
    </w:p>
    <w:p w14:paraId="3DFF4743">
      <w:pPr>
        <w:spacing w:line="360" w:lineRule="auto"/>
        <w:jc w:val="left"/>
        <w:rPr>
          <w:rFonts w:ascii="宋体" w:hAnsi="宋体"/>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（单位盖章）</w:t>
      </w:r>
    </w:p>
    <w:p w14:paraId="40D9017A">
      <w:pPr>
        <w:spacing w:line="360" w:lineRule="auto"/>
        <w:jc w:val="left"/>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w:t>
      </w:r>
      <w:r>
        <w:rPr>
          <w:rFonts w:hint="eastAsia"/>
          <w:szCs w:val="21"/>
        </w:rPr>
        <w:t>印章或签字</w:t>
      </w:r>
      <w:r>
        <w:rPr>
          <w:rFonts w:hint="eastAsia" w:ascii="宋体" w:hAnsi="宋体"/>
          <w:szCs w:val="21"/>
        </w:rPr>
        <w:t>）</w:t>
      </w:r>
    </w:p>
    <w:p w14:paraId="23BDC213">
      <w:pPr>
        <w:spacing w:line="360" w:lineRule="auto"/>
        <w:jc w:val="left"/>
        <w:rPr>
          <w:rFonts w:ascii="宋体" w:hAnsi="宋体"/>
          <w:szCs w:val="21"/>
          <w:u w:val="single"/>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szCs w:val="21"/>
        </w:rPr>
        <w:t>日期：       年    月    日</w:t>
      </w:r>
    </w:p>
    <w:bookmarkEnd w:id="732"/>
    <w:bookmarkEnd w:id="733"/>
    <w:bookmarkEnd w:id="734"/>
    <w:bookmarkEnd w:id="735"/>
    <w:bookmarkEnd w:id="736"/>
    <w:bookmarkEnd w:id="737"/>
    <w:bookmarkEnd w:id="738"/>
    <w:p w14:paraId="2F17B073">
      <w:pPr>
        <w:spacing w:line="360" w:lineRule="auto"/>
        <w:jc w:val="center"/>
      </w:pPr>
      <w:bookmarkStart w:id="739" w:name="_Toc208975016"/>
      <w:bookmarkStart w:id="740" w:name="_Toc199384396"/>
      <w:bookmarkStart w:id="741" w:name="_Toc262045238"/>
      <w:bookmarkStart w:id="742" w:name="_Toc208999277"/>
      <w:bookmarkStart w:id="743" w:name="_Toc259191077"/>
      <w:bookmarkStart w:id="744" w:name="_Toc228871317"/>
    </w:p>
    <w:bookmarkEnd w:id="739"/>
    <w:bookmarkEnd w:id="740"/>
    <w:bookmarkEnd w:id="741"/>
    <w:bookmarkEnd w:id="742"/>
    <w:bookmarkEnd w:id="743"/>
    <w:bookmarkEnd w:id="744"/>
    <w:p w14:paraId="4D17AA01">
      <w:pPr>
        <w:spacing w:line="360" w:lineRule="auto"/>
        <w:jc w:val="center"/>
        <w:rPr>
          <w:b/>
          <w:sz w:val="32"/>
          <w:szCs w:val="32"/>
        </w:rPr>
      </w:pPr>
      <w:r>
        <w:rPr>
          <w:rFonts w:hint="eastAsia"/>
          <w:b/>
          <w:sz w:val="32"/>
          <w:szCs w:val="32"/>
        </w:rPr>
        <w:t>二、法定代表人身份证明及授权委托书</w:t>
      </w:r>
    </w:p>
    <w:p w14:paraId="5F24B526">
      <w:pPr>
        <w:spacing w:line="360" w:lineRule="auto"/>
        <w:ind w:firstLine="2835" w:firstLineChars="1350"/>
        <w:rPr>
          <w:rFonts w:ascii="宋体" w:hAnsi="宋体"/>
          <w:szCs w:val="21"/>
        </w:rPr>
      </w:pPr>
    </w:p>
    <w:p w14:paraId="481DF2D9">
      <w:pPr>
        <w:spacing w:line="360" w:lineRule="auto"/>
        <w:ind w:firstLine="2835" w:firstLineChars="1350"/>
        <w:rPr>
          <w:rFonts w:ascii="宋体" w:hAnsi="宋体"/>
          <w:szCs w:val="21"/>
        </w:rPr>
      </w:pPr>
      <w:r>
        <w:rPr>
          <w:rFonts w:hint="eastAsia" w:ascii="宋体" w:hAnsi="宋体"/>
          <w:szCs w:val="21"/>
        </w:rPr>
        <w:t>（一）</w:t>
      </w:r>
      <w:r>
        <w:rPr>
          <w:rFonts w:hint="eastAsia" w:ascii="宋体" w:hAnsi="宋体"/>
          <w:sz w:val="28"/>
          <w:szCs w:val="28"/>
        </w:rPr>
        <w:t>法定代表人身份证明</w:t>
      </w:r>
    </w:p>
    <w:p w14:paraId="42B2A468">
      <w:pPr>
        <w:spacing w:line="360" w:lineRule="auto"/>
        <w:ind w:firstLine="420" w:firstLineChars="200"/>
        <w:rPr>
          <w:rFonts w:ascii="宋体" w:hAnsi="宋体"/>
          <w:szCs w:val="21"/>
        </w:rPr>
      </w:pPr>
    </w:p>
    <w:p w14:paraId="251608BD">
      <w:pPr>
        <w:spacing w:line="360" w:lineRule="auto"/>
        <w:ind w:firstLine="420" w:firstLineChars="200"/>
        <w:rPr>
          <w:rFonts w:ascii="宋体" w:hAnsi="宋体"/>
          <w:szCs w:val="21"/>
        </w:rPr>
      </w:pPr>
      <w:r>
        <w:rPr>
          <w:rFonts w:hint="eastAsia" w:ascii="宋体" w:hAnsi="宋体"/>
          <w:szCs w:val="21"/>
        </w:rPr>
        <w:t>供应商名称：</w:t>
      </w:r>
      <w:r>
        <w:rPr>
          <w:rFonts w:hint="eastAsia" w:ascii="宋体" w:hAnsi="宋体"/>
          <w:szCs w:val="21"/>
          <w:u w:val="single"/>
        </w:rPr>
        <w:t xml:space="preserve">                                </w:t>
      </w:r>
      <w:r>
        <w:rPr>
          <w:rFonts w:hint="eastAsia" w:ascii="宋体" w:hAnsi="宋体"/>
          <w:szCs w:val="21"/>
        </w:rPr>
        <w:t xml:space="preserve"> </w:t>
      </w:r>
    </w:p>
    <w:p w14:paraId="7BDE8681">
      <w:pPr>
        <w:spacing w:line="360" w:lineRule="auto"/>
        <w:ind w:firstLine="420" w:firstLineChars="200"/>
        <w:rPr>
          <w:rFonts w:ascii="宋体" w:hAnsi="宋体"/>
          <w:szCs w:val="21"/>
        </w:rPr>
      </w:pPr>
      <w:r>
        <w:rPr>
          <w:rFonts w:hint="eastAsia" w:ascii="宋体" w:hAnsi="宋体"/>
          <w:szCs w:val="21"/>
        </w:rPr>
        <w:t>单位性质：</w:t>
      </w:r>
      <w:r>
        <w:rPr>
          <w:rFonts w:hint="eastAsia" w:ascii="宋体" w:hAnsi="宋体"/>
          <w:szCs w:val="21"/>
          <w:u w:val="single"/>
        </w:rPr>
        <w:t xml:space="preserve">                                  </w:t>
      </w:r>
      <w:r>
        <w:rPr>
          <w:rFonts w:hint="eastAsia" w:ascii="宋体" w:hAnsi="宋体"/>
          <w:szCs w:val="21"/>
        </w:rPr>
        <w:t xml:space="preserve"> </w:t>
      </w:r>
    </w:p>
    <w:p w14:paraId="2DB3A56A">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p>
    <w:p w14:paraId="606C2606">
      <w:pPr>
        <w:spacing w:line="360" w:lineRule="auto"/>
        <w:ind w:firstLine="420" w:firstLineChars="200"/>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9442CDC">
      <w:pPr>
        <w:spacing w:line="360" w:lineRule="auto"/>
        <w:ind w:firstLine="420" w:firstLineChars="200"/>
        <w:rPr>
          <w:rFonts w:ascii="宋体" w:hAnsi="宋体"/>
          <w:szCs w:val="21"/>
        </w:rPr>
      </w:pPr>
      <w:r>
        <w:rPr>
          <w:rFonts w:hint="eastAsia" w:ascii="宋体" w:hAnsi="宋体"/>
          <w:szCs w:val="21"/>
        </w:rPr>
        <w:t>经营期限：</w:t>
      </w:r>
      <w:r>
        <w:rPr>
          <w:rFonts w:hint="eastAsia" w:ascii="宋体" w:hAnsi="宋体"/>
          <w:szCs w:val="21"/>
          <w:u w:val="single"/>
        </w:rPr>
        <w:t xml:space="preserve">                                </w:t>
      </w:r>
      <w:r>
        <w:rPr>
          <w:rFonts w:hint="eastAsia" w:ascii="宋体" w:hAnsi="宋体"/>
          <w:szCs w:val="21"/>
        </w:rPr>
        <w:t xml:space="preserve"> </w:t>
      </w:r>
    </w:p>
    <w:p w14:paraId="52829C81">
      <w:pPr>
        <w:spacing w:line="360" w:lineRule="auto"/>
        <w:ind w:firstLine="420" w:firstLineChars="200"/>
        <w:rPr>
          <w:rFonts w:ascii="宋体" w:hAnsi="宋体"/>
          <w:szCs w:val="21"/>
        </w:rPr>
      </w:pPr>
      <w:r>
        <w:rPr>
          <w:rFonts w:hint="eastAsia" w:ascii="宋体" w:hAnsi="宋体"/>
          <w:szCs w:val="21"/>
        </w:rPr>
        <w:t>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_</w:t>
      </w:r>
    </w:p>
    <w:p w14:paraId="58D5EDA8">
      <w:pPr>
        <w:spacing w:line="360" w:lineRule="auto"/>
        <w:ind w:firstLine="420" w:firstLineChars="200"/>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（供应商名称）的法定代表人。</w:t>
      </w:r>
    </w:p>
    <w:p w14:paraId="53CBD0D8">
      <w:pPr>
        <w:spacing w:line="360" w:lineRule="auto"/>
        <w:ind w:firstLine="840" w:firstLineChars="400"/>
        <w:rPr>
          <w:rFonts w:ascii="宋体" w:hAnsi="宋体"/>
          <w:szCs w:val="21"/>
        </w:rPr>
      </w:pPr>
      <w:r>
        <w:rPr>
          <w:rFonts w:hint="eastAsia" w:ascii="宋体" w:hAnsi="宋体"/>
          <w:szCs w:val="21"/>
        </w:rPr>
        <w:t>特此证明。</w:t>
      </w:r>
    </w:p>
    <w:p w14:paraId="521F858A">
      <w:pPr>
        <w:spacing w:line="360" w:lineRule="auto"/>
        <w:ind w:firstLine="420" w:firstLineChars="200"/>
        <w:rPr>
          <w:rFonts w:ascii="宋体" w:hAnsi="宋体"/>
          <w:szCs w:val="21"/>
        </w:rPr>
      </w:pPr>
    </w:p>
    <w:p w14:paraId="63A0A19E">
      <w:pPr>
        <w:spacing w:line="360" w:lineRule="auto"/>
        <w:ind w:firstLine="420" w:firstLineChars="200"/>
        <w:rPr>
          <w:rFonts w:ascii="宋体" w:hAnsi="宋体"/>
          <w:szCs w:val="21"/>
        </w:rPr>
      </w:pPr>
    </w:p>
    <w:p w14:paraId="0F0649D4">
      <w:pPr>
        <w:spacing w:line="360" w:lineRule="auto"/>
        <w:ind w:firstLine="420" w:firstLineChars="200"/>
        <w:rPr>
          <w:rFonts w:ascii="宋体" w:hAnsi="宋体"/>
          <w:szCs w:val="21"/>
        </w:rPr>
      </w:pPr>
      <w:r>
        <w:rPr>
          <w:rFonts w:hint="eastAsia"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0</wp:posOffset>
                </wp:positionV>
                <wp:extent cx="3086100" cy="1485900"/>
                <wp:effectExtent l="4445" t="4445" r="14605" b="14605"/>
                <wp:wrapNone/>
                <wp:docPr id="14" name="文本框 14"/>
                <wp:cNvGraphicFramePr/>
                <a:graphic xmlns:a="http://schemas.openxmlformats.org/drawingml/2006/main">
                  <a:graphicData uri="http://schemas.microsoft.com/office/word/2010/wordprocessingShape">
                    <wps:wsp>
                      <wps:cNvSpPr txBox="1"/>
                      <wps:spPr>
                        <a:xfrm>
                          <a:off x="0" y="0"/>
                          <a:ext cx="3086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AB59A7">
                            <w:pPr>
                              <w:jc w:val="center"/>
                              <w:rPr>
                                <w:rFonts w:ascii="黑体" w:eastAsia="黑体"/>
                                <w:sz w:val="32"/>
                                <w:szCs w:val="32"/>
                              </w:rPr>
                            </w:pPr>
                          </w:p>
                          <w:p w14:paraId="6CF00F77">
                            <w:pPr>
                              <w:jc w:val="center"/>
                              <w:rPr>
                                <w:rFonts w:ascii="黑体" w:eastAsia="黑体"/>
                                <w:sz w:val="24"/>
                              </w:rPr>
                            </w:pPr>
                            <w:r>
                              <w:rPr>
                                <w:rFonts w:hint="eastAsia" w:ascii="黑体" w:eastAsia="黑体"/>
                                <w:sz w:val="24"/>
                              </w:rPr>
                              <w:t>法定代表人身份证复印件（正反面）</w:t>
                            </w:r>
                          </w:p>
                        </w:txbxContent>
                      </wps:txbx>
                      <wps:bodyPr upright="1"/>
                    </wps:wsp>
                  </a:graphicData>
                </a:graphic>
              </wp:anchor>
            </w:drawing>
          </mc:Choice>
          <mc:Fallback>
            <w:pict>
              <v:shape id="_x0000_s1026" o:spid="_x0000_s1026" o:spt="202" type="#_x0000_t202" style="position:absolute;left:0pt;margin-left:99pt;margin-top:0pt;height:117pt;width:243pt;z-index:251659264;mso-width-relative:page;mso-height-relative:page;" fillcolor="#FFFFFF" filled="t" stroked="t" coordsize="21600,21600" o:gfxdata="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3Wt1gAAAAgBAAAPAAAAAAAAAAEAIAAAACIA&#10;AABkcnMvZG93bnJldi54bWxQSwECFAAUAAAACACHTuJAs2E3MAsCAAA5BAAADgAAAAAAAAABACAA&#10;AAAlAQAAZHJzL2Uyb0RvYy54bWxQSwUGAAAAAAYABgBZAQAAogUAAAAA&#10;">
                <v:fill on="t" focussize="0,0"/>
                <v:stroke color="#000000" joinstyle="miter"/>
                <v:imagedata o:title=""/>
                <o:lock v:ext="edit" aspectratio="f"/>
                <v:textbox>
                  <w:txbxContent>
                    <w:p w14:paraId="6FAB59A7">
                      <w:pPr>
                        <w:jc w:val="center"/>
                        <w:rPr>
                          <w:rFonts w:ascii="黑体" w:eastAsia="黑体"/>
                          <w:sz w:val="32"/>
                          <w:szCs w:val="32"/>
                        </w:rPr>
                      </w:pPr>
                    </w:p>
                    <w:p w14:paraId="6CF00F77">
                      <w:pPr>
                        <w:jc w:val="center"/>
                        <w:rPr>
                          <w:rFonts w:ascii="黑体" w:eastAsia="黑体"/>
                          <w:sz w:val="24"/>
                        </w:rPr>
                      </w:pPr>
                      <w:r>
                        <w:rPr>
                          <w:rFonts w:hint="eastAsia" w:ascii="黑体" w:eastAsia="黑体"/>
                          <w:sz w:val="24"/>
                        </w:rPr>
                        <w:t>法定代表人身份证复印件（正反面）</w:t>
                      </w:r>
                    </w:p>
                  </w:txbxContent>
                </v:textbox>
              </v:shape>
            </w:pict>
          </mc:Fallback>
        </mc:AlternateContent>
      </w:r>
    </w:p>
    <w:p w14:paraId="4FE2C4DA">
      <w:pPr>
        <w:spacing w:line="360" w:lineRule="auto"/>
        <w:ind w:firstLine="420" w:firstLineChars="200"/>
        <w:rPr>
          <w:rFonts w:ascii="宋体" w:hAnsi="宋体"/>
          <w:szCs w:val="21"/>
        </w:rPr>
      </w:pPr>
    </w:p>
    <w:p w14:paraId="3E03C705">
      <w:pPr>
        <w:spacing w:line="360" w:lineRule="auto"/>
        <w:ind w:firstLine="420" w:firstLineChars="200"/>
        <w:rPr>
          <w:rFonts w:ascii="宋体" w:hAnsi="宋体"/>
          <w:szCs w:val="21"/>
        </w:rPr>
      </w:pPr>
    </w:p>
    <w:p w14:paraId="2D4D3ED3">
      <w:pPr>
        <w:spacing w:line="360" w:lineRule="auto"/>
        <w:ind w:firstLine="420" w:firstLineChars="200"/>
        <w:rPr>
          <w:rFonts w:ascii="宋体" w:hAnsi="宋体"/>
          <w:szCs w:val="21"/>
        </w:rPr>
      </w:pPr>
    </w:p>
    <w:p w14:paraId="12C1C9B1">
      <w:pPr>
        <w:spacing w:line="360" w:lineRule="auto"/>
        <w:ind w:firstLine="420" w:firstLineChars="200"/>
        <w:rPr>
          <w:rFonts w:ascii="宋体" w:hAnsi="宋体"/>
          <w:szCs w:val="21"/>
        </w:rPr>
      </w:pPr>
    </w:p>
    <w:p w14:paraId="2B8D3569">
      <w:pPr>
        <w:spacing w:line="360" w:lineRule="auto"/>
        <w:ind w:firstLine="420" w:firstLineChars="200"/>
        <w:rPr>
          <w:rFonts w:ascii="宋体" w:hAnsi="宋体"/>
          <w:szCs w:val="21"/>
        </w:rPr>
      </w:pPr>
    </w:p>
    <w:p w14:paraId="73DBF790">
      <w:pPr>
        <w:spacing w:line="360" w:lineRule="auto"/>
        <w:ind w:firstLine="420" w:firstLineChars="200"/>
        <w:rPr>
          <w:rFonts w:ascii="宋体" w:hAnsi="宋体"/>
          <w:szCs w:val="21"/>
        </w:rPr>
      </w:pPr>
    </w:p>
    <w:p w14:paraId="79D92050">
      <w:pPr>
        <w:spacing w:line="360" w:lineRule="auto"/>
        <w:ind w:firstLine="420" w:firstLineChars="200"/>
        <w:rPr>
          <w:rFonts w:ascii="宋体" w:hAnsi="宋体"/>
          <w:szCs w:val="21"/>
        </w:rPr>
      </w:pPr>
    </w:p>
    <w:p w14:paraId="68C1860D">
      <w:pPr>
        <w:spacing w:line="360" w:lineRule="auto"/>
        <w:ind w:firstLine="420" w:firstLineChars="200"/>
        <w:rPr>
          <w:rFonts w:ascii="宋体" w:hAnsi="宋体"/>
          <w:szCs w:val="21"/>
        </w:rPr>
      </w:pPr>
    </w:p>
    <w:p w14:paraId="289524FA">
      <w:pPr>
        <w:spacing w:line="360" w:lineRule="auto"/>
        <w:ind w:firstLine="420" w:firstLineChars="200"/>
        <w:rPr>
          <w:rFonts w:ascii="宋体" w:hAnsi="宋体"/>
          <w:szCs w:val="21"/>
        </w:rPr>
      </w:pPr>
    </w:p>
    <w:p w14:paraId="764D3F14">
      <w:pPr>
        <w:spacing w:line="360" w:lineRule="auto"/>
        <w:ind w:firstLine="4200" w:firstLineChars="2000"/>
        <w:rPr>
          <w:rFonts w:ascii="宋体" w:hAnsi="宋体"/>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（单位盖章）</w:t>
      </w:r>
    </w:p>
    <w:p w14:paraId="7A00E85E">
      <w:pPr>
        <w:spacing w:line="360" w:lineRule="auto"/>
        <w:ind w:firstLine="4515" w:firstLineChars="2150"/>
        <w:rPr>
          <w:rFonts w:ascii="宋体" w:hAnsi="宋体"/>
          <w:szCs w:val="21"/>
          <w:u w:val="single"/>
        </w:rPr>
      </w:pPr>
    </w:p>
    <w:p w14:paraId="3A30E637">
      <w:pPr>
        <w:spacing w:line="360" w:lineRule="auto"/>
        <w:ind w:firstLine="4515" w:firstLineChars="21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1D7B07B">
      <w:pPr>
        <w:spacing w:line="360" w:lineRule="auto"/>
        <w:ind w:firstLine="420" w:firstLineChars="200"/>
        <w:rPr>
          <w:rFonts w:ascii="宋体" w:hAnsi="宋体"/>
          <w:szCs w:val="21"/>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14:paraId="5A54A54F">
      <w:pPr>
        <w:spacing w:line="360" w:lineRule="auto"/>
      </w:pPr>
    </w:p>
    <w:p w14:paraId="57D30958">
      <w:pPr>
        <w:spacing w:line="360" w:lineRule="auto"/>
        <w:jc w:val="center"/>
        <w:rPr>
          <w:b/>
          <w:sz w:val="28"/>
          <w:szCs w:val="28"/>
        </w:rPr>
      </w:pPr>
      <w:r>
        <w:rPr>
          <w:rFonts w:hint="eastAsia"/>
          <w:b/>
          <w:sz w:val="28"/>
          <w:szCs w:val="28"/>
        </w:rPr>
        <w:t>（二） 授权委托书</w:t>
      </w:r>
    </w:p>
    <w:p w14:paraId="0B5A05C1">
      <w:pPr>
        <w:spacing w:line="360" w:lineRule="auto"/>
        <w:ind w:firstLine="420" w:firstLineChars="200"/>
        <w:rPr>
          <w:rFonts w:ascii="宋体" w:hAnsi="宋体"/>
          <w:szCs w:val="21"/>
        </w:rPr>
      </w:pPr>
    </w:p>
    <w:p w14:paraId="4701D9C5">
      <w:pPr>
        <w:spacing w:line="360" w:lineRule="auto"/>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w:t>
      </w:r>
      <w:r>
        <w:rPr>
          <w:rFonts w:hint="eastAsia" w:ascii="宋体" w:hAnsi="宋体"/>
          <w:szCs w:val="21"/>
          <w:lang w:val="en-US" w:eastAsia="zh-CN"/>
        </w:rPr>
        <w:t>异议、投诉、</w:t>
      </w:r>
      <w:r>
        <w:rPr>
          <w:rFonts w:hint="eastAsia" w:ascii="宋体" w:hAnsi="宋体"/>
          <w:szCs w:val="21"/>
        </w:rPr>
        <w:t>修改</w:t>
      </w:r>
      <w:r>
        <w:rPr>
          <w:rFonts w:hint="eastAsia" w:ascii="宋体" w:hAnsi="宋体"/>
          <w:szCs w:val="21"/>
          <w:u w:val="single"/>
        </w:rPr>
        <w:t xml:space="preserve">       （项目名称）           </w:t>
      </w:r>
      <w:r>
        <w:rPr>
          <w:rFonts w:hint="eastAsia" w:ascii="宋体" w:hAnsi="宋体"/>
          <w:szCs w:val="21"/>
        </w:rPr>
        <w:t>响应文件、签订合同和处理有关事宜，其法律后果由我方承担。</w:t>
      </w:r>
    </w:p>
    <w:p w14:paraId="211DD03B">
      <w:pPr>
        <w:spacing w:line="360" w:lineRule="auto"/>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7CFFDCC8">
      <w:pPr>
        <w:spacing w:line="360" w:lineRule="auto"/>
        <w:ind w:firstLine="420" w:firstLineChars="200"/>
        <w:rPr>
          <w:rFonts w:ascii="宋体" w:hAnsi="宋体"/>
          <w:szCs w:val="21"/>
        </w:rPr>
      </w:pPr>
      <w:r>
        <w:rPr>
          <w:rFonts w:hint="eastAsia" w:ascii="宋体" w:hAnsi="宋体"/>
          <w:szCs w:val="21"/>
        </w:rPr>
        <w:t>代理人无转委托权。</w:t>
      </w:r>
    </w:p>
    <w:p w14:paraId="2AF55B5F">
      <w:pPr>
        <w:spacing w:line="360" w:lineRule="auto"/>
        <w:ind w:firstLine="420" w:firstLineChars="200"/>
        <w:rPr>
          <w:rFonts w:ascii="宋体" w:hAnsi="宋体"/>
          <w:szCs w:val="21"/>
        </w:rPr>
      </w:pPr>
      <w:r>
        <w:rPr>
          <w:rFonts w:hint="eastAsia" w:ascii="宋体" w:hAnsi="宋体"/>
          <w:szCs w:val="21"/>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96520</wp:posOffset>
                </wp:positionV>
                <wp:extent cx="5876925" cy="1813560"/>
                <wp:effectExtent l="5080" t="4445" r="4445" b="10795"/>
                <wp:wrapNone/>
                <wp:docPr id="17" name="文本框 17"/>
                <wp:cNvGraphicFramePr/>
                <a:graphic xmlns:a="http://schemas.openxmlformats.org/drawingml/2006/main">
                  <a:graphicData uri="http://schemas.microsoft.com/office/word/2010/wordprocessingShape">
                    <wps:wsp>
                      <wps:cNvSpPr txBox="1"/>
                      <wps:spPr>
                        <a:xfrm>
                          <a:off x="0" y="0"/>
                          <a:ext cx="5876925" cy="1813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7E800F">
                            <w:pPr>
                              <w:rPr>
                                <w:rFonts w:ascii="黑体" w:eastAsia="黑体"/>
                                <w:sz w:val="32"/>
                                <w:szCs w:val="32"/>
                              </w:rPr>
                            </w:pPr>
                          </w:p>
                          <w:p w14:paraId="520D960F">
                            <w:pPr>
                              <w:jc w:val="left"/>
                              <w:rPr>
                                <w:rFonts w:ascii="黑体" w:eastAsia="黑体"/>
                                <w:sz w:val="24"/>
                              </w:rPr>
                            </w:pPr>
                            <w:r>
                              <w:rPr>
                                <w:rFonts w:hint="eastAsia" w:ascii="黑体" w:eastAsia="黑体"/>
                                <w:sz w:val="24"/>
                              </w:rPr>
                              <w:t>委托代理人身份证复印件（正反面）</w:t>
                            </w:r>
                          </w:p>
                        </w:txbxContent>
                      </wps:txbx>
                      <wps:bodyPr upright="1"/>
                    </wps:wsp>
                  </a:graphicData>
                </a:graphic>
              </wp:anchor>
            </w:drawing>
          </mc:Choice>
          <mc:Fallback>
            <w:pict>
              <v:shape id="_x0000_s1026" o:spid="_x0000_s1026" o:spt="202" type="#_x0000_t202" style="position:absolute;left:0pt;margin-left:-3.75pt;margin-top:7.6pt;height:142.8pt;width:462.75pt;z-index:251661312;mso-width-relative:page;mso-height-relative:page;" fillcolor="#FFFFFF" filled="t" stroked="t" coordsize="21600,21600" o:gfxdata="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vhcQdkAAAAJAQAADwAAAAAAAAAB&#10;ACAAAAAiAAAAZHJzL2Rvd25yZXYueG1sUEsBAhQAFAAAAAgAh07iQDCPmicPAgAAOQQAAA4AAAAA&#10;AAAAAQAgAAAAKAEAAGRycy9lMm9Eb2MueG1sUEsFBgAAAAAGAAYAWQEAAKkFAAAAAA==&#10;">
                <v:fill on="t" focussize="0,0"/>
                <v:stroke color="#000000" joinstyle="miter"/>
                <v:imagedata o:title=""/>
                <o:lock v:ext="edit" aspectratio="f"/>
                <v:textbox>
                  <w:txbxContent>
                    <w:p w14:paraId="547E800F">
                      <w:pPr>
                        <w:rPr>
                          <w:rFonts w:ascii="黑体" w:eastAsia="黑体"/>
                          <w:sz w:val="32"/>
                          <w:szCs w:val="32"/>
                        </w:rPr>
                      </w:pPr>
                    </w:p>
                    <w:p w14:paraId="520D960F">
                      <w:pPr>
                        <w:jc w:val="left"/>
                        <w:rPr>
                          <w:rFonts w:ascii="黑体" w:eastAsia="黑体"/>
                          <w:sz w:val="24"/>
                        </w:rPr>
                      </w:pPr>
                      <w:r>
                        <w:rPr>
                          <w:rFonts w:hint="eastAsia" w:ascii="黑体" w:eastAsia="黑体"/>
                          <w:sz w:val="24"/>
                        </w:rPr>
                        <w:t>委托代理人身份证复印件（正反面）</w:t>
                      </w:r>
                    </w:p>
                  </w:txbxContent>
                </v:textbox>
              </v:shape>
            </w:pict>
          </mc:Fallback>
        </mc:AlternateContent>
      </w:r>
    </w:p>
    <w:p w14:paraId="702907CC">
      <w:pPr>
        <w:spacing w:line="360" w:lineRule="auto"/>
        <w:ind w:firstLine="420" w:firstLineChars="200"/>
        <w:rPr>
          <w:rFonts w:ascii="宋体" w:hAnsi="宋体"/>
          <w:szCs w:val="21"/>
        </w:rPr>
      </w:pPr>
    </w:p>
    <w:p w14:paraId="5EE2D060">
      <w:pPr>
        <w:spacing w:line="360" w:lineRule="auto"/>
        <w:ind w:firstLine="420" w:firstLineChars="200"/>
        <w:rPr>
          <w:rFonts w:ascii="宋体" w:hAnsi="宋体"/>
          <w:szCs w:val="21"/>
        </w:rPr>
      </w:pPr>
    </w:p>
    <w:p w14:paraId="14B885AD">
      <w:pPr>
        <w:spacing w:line="360" w:lineRule="auto"/>
        <w:ind w:firstLine="420" w:firstLineChars="200"/>
        <w:rPr>
          <w:rFonts w:ascii="宋体" w:hAnsi="宋体"/>
          <w:szCs w:val="21"/>
        </w:rPr>
      </w:pPr>
    </w:p>
    <w:p w14:paraId="4E1F01CB">
      <w:pPr>
        <w:spacing w:line="360" w:lineRule="auto"/>
        <w:ind w:firstLine="420" w:firstLineChars="200"/>
        <w:rPr>
          <w:rFonts w:ascii="宋体" w:hAnsi="宋体"/>
          <w:szCs w:val="21"/>
        </w:rPr>
      </w:pPr>
    </w:p>
    <w:p w14:paraId="062F82C5">
      <w:pPr>
        <w:spacing w:line="360" w:lineRule="auto"/>
        <w:ind w:firstLine="420" w:firstLineChars="200"/>
        <w:rPr>
          <w:rFonts w:ascii="宋体" w:hAnsi="宋体"/>
          <w:szCs w:val="21"/>
        </w:rPr>
      </w:pPr>
    </w:p>
    <w:p w14:paraId="5616764B">
      <w:pPr>
        <w:spacing w:line="360" w:lineRule="auto"/>
        <w:ind w:firstLine="420" w:firstLineChars="200"/>
        <w:rPr>
          <w:rFonts w:ascii="宋体" w:hAnsi="宋体"/>
          <w:szCs w:val="21"/>
        </w:rPr>
      </w:pPr>
    </w:p>
    <w:p w14:paraId="152905B3">
      <w:pPr>
        <w:spacing w:line="360" w:lineRule="auto"/>
        <w:ind w:firstLine="420" w:firstLineChars="200"/>
        <w:rPr>
          <w:rFonts w:ascii="宋体" w:hAnsi="宋体"/>
          <w:szCs w:val="21"/>
        </w:rPr>
      </w:pPr>
    </w:p>
    <w:p w14:paraId="44DF8690">
      <w:pPr>
        <w:spacing w:line="360" w:lineRule="auto"/>
        <w:ind w:right="-290" w:rightChars="-138" w:firstLine="3780" w:firstLineChars="1800"/>
        <w:rPr>
          <w:rFonts w:hint="eastAsia" w:ascii="宋体" w:hAnsi="宋体"/>
          <w:szCs w:val="21"/>
        </w:rPr>
      </w:pPr>
    </w:p>
    <w:p w14:paraId="2C89D06E">
      <w:pPr>
        <w:spacing w:line="360" w:lineRule="auto"/>
        <w:ind w:right="-290" w:rightChars="-138" w:firstLine="3780" w:firstLineChars="1800"/>
        <w:rPr>
          <w:rFonts w:ascii="宋体" w:hAnsi="宋体"/>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（单位盖章）</w:t>
      </w:r>
    </w:p>
    <w:p w14:paraId="0BA77AA1">
      <w:pPr>
        <w:spacing w:line="360" w:lineRule="auto"/>
        <w:ind w:firstLine="4139" w:firstLineChars="1971"/>
        <w:rPr>
          <w:rFonts w:ascii="宋体" w:hAnsi="宋体"/>
          <w:szCs w:val="21"/>
        </w:rPr>
      </w:pPr>
    </w:p>
    <w:p w14:paraId="4191C0D8">
      <w:pPr>
        <w:spacing w:line="360" w:lineRule="auto"/>
        <w:ind w:right="-290" w:rightChars="-138" w:firstLine="3780" w:firstLineChars="180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w:t>
      </w:r>
      <w:r>
        <w:rPr>
          <w:rFonts w:hint="eastAsia"/>
          <w:szCs w:val="21"/>
        </w:rPr>
        <w:t>印章或签字</w:t>
      </w:r>
      <w:r>
        <w:rPr>
          <w:rFonts w:hint="eastAsia" w:ascii="宋体" w:hAnsi="宋体"/>
          <w:szCs w:val="21"/>
        </w:rPr>
        <w:t>）</w:t>
      </w:r>
    </w:p>
    <w:p w14:paraId="2D434421">
      <w:pPr>
        <w:spacing w:line="360" w:lineRule="auto"/>
        <w:ind w:firstLine="4139" w:firstLineChars="1971"/>
        <w:rPr>
          <w:rFonts w:ascii="宋体" w:hAnsi="宋体"/>
          <w:szCs w:val="21"/>
        </w:rPr>
      </w:pPr>
    </w:p>
    <w:p w14:paraId="367D8D85">
      <w:pPr>
        <w:spacing w:line="360" w:lineRule="auto"/>
        <w:ind w:firstLine="3780" w:firstLineChars="1800"/>
        <w:rPr>
          <w:rFonts w:ascii="宋体" w:hAnsi="宋体"/>
          <w:szCs w:val="21"/>
          <w:u w:val="single"/>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w:t>
      </w:r>
    </w:p>
    <w:p w14:paraId="7D45FCE1">
      <w:pPr>
        <w:spacing w:line="360" w:lineRule="auto"/>
        <w:ind w:firstLine="5355" w:firstLineChars="2550"/>
        <w:rPr>
          <w:rFonts w:ascii="宋体" w:hAnsi="宋体"/>
          <w:szCs w:val="21"/>
        </w:rPr>
      </w:pPr>
    </w:p>
    <w:p w14:paraId="07715F34">
      <w:pPr>
        <w:spacing w:line="360" w:lineRule="auto"/>
        <w:ind w:firstLine="3780" w:firstLineChars="1800"/>
        <w:rPr>
          <w:rFonts w:ascii="宋体" w:hAnsi="宋体"/>
          <w:szCs w:val="21"/>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日</w:t>
      </w:r>
    </w:p>
    <w:p w14:paraId="06C757CC">
      <w:pPr>
        <w:spacing w:line="360" w:lineRule="auto"/>
      </w:pPr>
      <w:bookmarkStart w:id="745" w:name="_Toc259191079"/>
      <w:bookmarkStart w:id="746" w:name="_Toc208999279"/>
      <w:bookmarkStart w:id="747" w:name="_Toc228871319"/>
      <w:bookmarkStart w:id="748" w:name="_Toc208975018"/>
      <w:bookmarkStart w:id="749" w:name="_Toc199384398"/>
      <w:bookmarkStart w:id="750" w:name="_Toc262045240"/>
    </w:p>
    <w:p w14:paraId="52C3033D">
      <w:pPr>
        <w:spacing w:line="360" w:lineRule="auto"/>
        <w:jc w:val="center"/>
        <w:rPr>
          <w:b/>
          <w:sz w:val="32"/>
          <w:szCs w:val="32"/>
        </w:rPr>
      </w:pPr>
      <w:r>
        <w:rPr>
          <w:rFonts w:hint="eastAsia"/>
          <w:b/>
          <w:sz w:val="32"/>
          <w:szCs w:val="32"/>
        </w:rPr>
        <w:t>三、磋商响应保证金</w:t>
      </w:r>
    </w:p>
    <w:p w14:paraId="0D78FBE0">
      <w:pPr>
        <w:spacing w:line="276" w:lineRule="auto"/>
        <w:ind w:firstLine="420" w:firstLineChars="200"/>
        <w:rPr>
          <w:rFonts w:ascii="宋体" w:hAnsi="宋体" w:cs="MingLiU"/>
          <w:kern w:val="0"/>
          <w:szCs w:val="21"/>
        </w:rPr>
      </w:pPr>
    </w:p>
    <w:p w14:paraId="7FF410EA">
      <w:pPr>
        <w:spacing w:line="276" w:lineRule="auto"/>
        <w:ind w:firstLine="420" w:firstLineChars="200"/>
        <w:rPr>
          <w:rFonts w:ascii="宋体" w:hAnsi="宋体" w:cs="MingLiU"/>
          <w:kern w:val="0"/>
          <w:szCs w:val="21"/>
        </w:rPr>
      </w:pPr>
      <w:r>
        <w:rPr>
          <w:rFonts w:ascii="宋体" w:hAnsi="宋体" w:cs="MingLiU"/>
          <w:kern w:val="0"/>
          <w:szCs w:val="21"/>
        </w:rPr>
        <w:t>若采用</w:t>
      </w:r>
      <w:r>
        <w:rPr>
          <w:rFonts w:hint="eastAsia" w:ascii="宋体" w:hAnsi="宋体" w:cs="MingLiU"/>
          <w:kern w:val="0"/>
          <w:szCs w:val="21"/>
        </w:rPr>
        <w:t>银行转账等方式</w:t>
      </w:r>
      <w:r>
        <w:rPr>
          <w:rFonts w:ascii="宋体" w:hAnsi="宋体" w:cs="MingLiU"/>
          <w:kern w:val="0"/>
          <w:szCs w:val="21"/>
        </w:rPr>
        <w:t>，</w:t>
      </w:r>
      <w:r>
        <w:rPr>
          <w:rFonts w:hint="eastAsia" w:ascii="宋体" w:hAnsi="宋体" w:cs="MingLiU"/>
          <w:kern w:val="0"/>
          <w:szCs w:val="21"/>
        </w:rPr>
        <w:t>供应商</w:t>
      </w:r>
      <w:r>
        <w:rPr>
          <w:rFonts w:ascii="宋体" w:hAnsi="宋体" w:cs="MingLiU"/>
          <w:kern w:val="0"/>
          <w:szCs w:val="21"/>
        </w:rPr>
        <w:t>应在此提供汇款凭证的复印件</w:t>
      </w:r>
      <w:r>
        <w:rPr>
          <w:rFonts w:hint="eastAsia" w:ascii="宋体" w:hAnsi="宋体" w:cs="MingLiU"/>
          <w:kern w:val="0"/>
          <w:szCs w:val="21"/>
        </w:rPr>
        <w:t>、基本账户开户许可证明复印件</w:t>
      </w:r>
      <w:r>
        <w:rPr>
          <w:rFonts w:ascii="宋体" w:hAnsi="宋体" w:cs="MingLiU"/>
          <w:kern w:val="0"/>
          <w:szCs w:val="21"/>
        </w:rPr>
        <w:t>。</w:t>
      </w:r>
    </w:p>
    <w:p w14:paraId="65F01DD8">
      <w:pPr>
        <w:spacing w:line="276" w:lineRule="auto"/>
        <w:ind w:firstLine="420" w:firstLineChars="200"/>
        <w:rPr>
          <w:rFonts w:ascii="宋体" w:hAnsi="宋体" w:cs="MingLiU"/>
          <w:kern w:val="0"/>
          <w:szCs w:val="21"/>
          <w:lang w:bidi="ar"/>
        </w:rPr>
      </w:pPr>
    </w:p>
    <w:p w14:paraId="27C1AB61">
      <w:pPr>
        <w:spacing w:line="276" w:lineRule="auto"/>
        <w:ind w:firstLine="420" w:firstLineChars="200"/>
        <w:rPr>
          <w:rFonts w:ascii="宋体" w:hAnsi="宋体" w:cs="MingLiU"/>
          <w:kern w:val="0"/>
          <w:szCs w:val="21"/>
        </w:rPr>
      </w:pPr>
      <w:r>
        <w:rPr>
          <w:rFonts w:hint="eastAsia" w:ascii="宋体" w:hAnsi="宋体" w:cs="MingLiU"/>
          <w:kern w:val="0"/>
          <w:szCs w:val="21"/>
          <w:lang w:bidi="ar"/>
        </w:rPr>
        <w:t>如采用保函，</w:t>
      </w:r>
      <w:r>
        <w:rPr>
          <w:rFonts w:hint="eastAsia" w:ascii="宋体" w:hAnsi="宋体" w:cs="MingLiU"/>
          <w:kern w:val="0"/>
          <w:szCs w:val="21"/>
        </w:rPr>
        <w:t>供应商</w:t>
      </w:r>
      <w:r>
        <w:rPr>
          <w:rFonts w:ascii="宋体" w:hAnsi="宋体" w:cs="MingLiU"/>
          <w:kern w:val="0"/>
          <w:szCs w:val="21"/>
        </w:rPr>
        <w:t>在此提供</w:t>
      </w:r>
      <w:r>
        <w:rPr>
          <w:rFonts w:hint="eastAsia" w:ascii="宋体" w:hAnsi="宋体" w:cs="MingLiU"/>
          <w:kern w:val="0"/>
          <w:szCs w:val="21"/>
        </w:rPr>
        <w:t>保函</w:t>
      </w:r>
      <w:r>
        <w:rPr>
          <w:rFonts w:ascii="宋体" w:hAnsi="宋体" w:cs="MingLiU"/>
          <w:kern w:val="0"/>
          <w:szCs w:val="21"/>
        </w:rPr>
        <w:t>的复印件。</w:t>
      </w:r>
    </w:p>
    <w:p w14:paraId="5B54F2DB">
      <w:pPr>
        <w:rPr>
          <w:rFonts w:ascii="宋体" w:hAnsi="宋体" w:cs="MingLiU"/>
          <w:kern w:val="0"/>
          <w:szCs w:val="21"/>
        </w:rPr>
      </w:pPr>
      <w:r>
        <w:rPr>
          <w:rFonts w:ascii="宋体" w:hAnsi="宋体" w:cs="MingLiU"/>
          <w:kern w:val="0"/>
          <w:szCs w:val="21"/>
        </w:rPr>
        <w:br w:type="page"/>
      </w:r>
    </w:p>
    <w:p w14:paraId="735089BC">
      <w:pPr>
        <w:spacing w:line="360" w:lineRule="auto"/>
        <w:jc w:val="center"/>
        <w:rPr>
          <w:rFonts w:hint="eastAsia"/>
          <w:b/>
          <w:sz w:val="32"/>
          <w:szCs w:val="32"/>
        </w:rPr>
      </w:pPr>
    </w:p>
    <w:p w14:paraId="18D4E273">
      <w:pPr>
        <w:spacing w:line="360" w:lineRule="auto"/>
        <w:jc w:val="center"/>
        <w:rPr>
          <w:rFonts w:hint="eastAsia"/>
          <w:b/>
          <w:sz w:val="32"/>
          <w:szCs w:val="32"/>
        </w:rPr>
      </w:pPr>
      <w:r>
        <w:rPr>
          <w:rFonts w:hint="eastAsia"/>
          <w:b/>
          <w:sz w:val="32"/>
          <w:szCs w:val="32"/>
        </w:rPr>
        <w:t>四、已标价工程量清单</w:t>
      </w:r>
    </w:p>
    <w:p w14:paraId="561CD3DE">
      <w:pPr>
        <w:spacing w:line="360" w:lineRule="auto"/>
        <w:jc w:val="center"/>
        <w:rPr>
          <w:b/>
          <w:sz w:val="28"/>
          <w:szCs w:val="28"/>
        </w:rPr>
      </w:pPr>
      <w:r>
        <w:rPr>
          <w:rFonts w:hint="eastAsia" w:ascii="宋体" w:hAnsi="宋体"/>
          <w:szCs w:val="21"/>
        </w:rPr>
        <w:t xml:space="preserve">                      </w:t>
      </w:r>
    </w:p>
    <w:p w14:paraId="45B43124">
      <w:pPr>
        <w:spacing w:line="360" w:lineRule="auto"/>
        <w:ind w:firstLine="420" w:firstLineChars="200"/>
        <w:rPr>
          <w:rFonts w:ascii="宋体" w:hAnsi="宋体"/>
          <w:szCs w:val="21"/>
        </w:rPr>
      </w:pPr>
      <w:r>
        <w:rPr>
          <w:rFonts w:hint="eastAsia" w:ascii="宋体" w:hAnsi="宋体"/>
          <w:szCs w:val="21"/>
        </w:rPr>
        <w:t xml:space="preserve"> </w:t>
      </w:r>
    </w:p>
    <w:p w14:paraId="62BFD7B2">
      <w:pPr>
        <w:spacing w:line="360" w:lineRule="auto"/>
        <w:ind w:firstLine="420" w:firstLineChars="200"/>
        <w:rPr>
          <w:rFonts w:hint="eastAsia" w:ascii="宋体" w:hAnsi="宋体"/>
          <w:szCs w:val="21"/>
        </w:rPr>
      </w:pP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投标报价说明</w:t>
      </w:r>
    </w:p>
    <w:p w14:paraId="6D854DB3">
      <w:pPr>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本报价依据国家现行相关规定进行编制。工程量清单为磋商文件的组成部分，一经中标且签订合同，即成为合同的组成部分。</w:t>
      </w:r>
    </w:p>
    <w:p w14:paraId="300C7641">
      <w:pPr>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投标总价表必须加盖</w:t>
      </w:r>
      <w:r>
        <w:rPr>
          <w:rFonts w:hint="eastAsia" w:ascii="宋体" w:hAnsi="宋体"/>
          <w:szCs w:val="21"/>
          <w:lang w:val="en-US" w:eastAsia="zh-CN"/>
        </w:rPr>
        <w:t>一级</w:t>
      </w:r>
      <w:r>
        <w:rPr>
          <w:rFonts w:hint="eastAsia" w:ascii="宋体" w:hAnsi="宋体"/>
          <w:szCs w:val="21"/>
        </w:rPr>
        <w:t>注册造价师印章</w:t>
      </w:r>
      <w:r>
        <w:rPr>
          <w:rFonts w:hint="eastAsia" w:ascii="宋体" w:hAnsi="宋体"/>
          <w:szCs w:val="21"/>
          <w:lang w:val="en-US" w:eastAsia="zh-CN"/>
        </w:rPr>
        <w:t>并签字</w:t>
      </w:r>
      <w:r>
        <w:rPr>
          <w:rFonts w:hint="eastAsia" w:ascii="宋体" w:hAnsi="宋体"/>
          <w:szCs w:val="21"/>
        </w:rPr>
        <w:t>。</w:t>
      </w:r>
    </w:p>
    <w:p w14:paraId="3F9EB5AD">
      <w:pPr>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工程量清单中的每一子目须填入单价或价格，且只允许有一个报价。</w:t>
      </w:r>
    </w:p>
    <w:p w14:paraId="0F1C70BF">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工程量清单中供应商没有填入单价或价格的子目，其费用视为已分摊在工程量清单中其他相关子目的单价或价格之中。</w:t>
      </w:r>
    </w:p>
    <w:p w14:paraId="2F76FE04">
      <w:pPr>
        <w:spacing w:line="360" w:lineRule="auto"/>
        <w:ind w:firstLine="420" w:firstLineChars="200"/>
        <w:rPr>
          <w:rFonts w:hint="eastAsia" w:ascii="宋体" w:hAnsi="宋体"/>
          <w:szCs w:val="21"/>
        </w:rPr>
      </w:pPr>
      <w:r>
        <w:rPr>
          <w:rFonts w:hint="eastAsia" w:ascii="宋体" w:hAnsi="宋体"/>
          <w:szCs w:val="21"/>
          <w:lang w:val="en-US" w:eastAsia="zh-CN"/>
        </w:rPr>
        <w:t>二</w:t>
      </w:r>
      <w:r>
        <w:rPr>
          <w:rFonts w:hint="eastAsia" w:ascii="宋体" w:hAnsi="宋体"/>
          <w:szCs w:val="21"/>
          <w:lang w:eastAsia="zh-CN"/>
        </w:rPr>
        <w:t>、</w:t>
      </w:r>
      <w:r>
        <w:rPr>
          <w:rFonts w:hint="eastAsia" w:ascii="宋体" w:hAnsi="宋体"/>
          <w:szCs w:val="21"/>
        </w:rPr>
        <w:t>供应商按照提供的工程量清单计价格式编制。</w:t>
      </w:r>
    </w:p>
    <w:p w14:paraId="5B2C15FB">
      <w:pPr>
        <w:spacing w:line="360" w:lineRule="auto"/>
        <w:ind w:firstLine="420" w:firstLineChars="200"/>
        <w:rPr>
          <w:rFonts w:hint="eastAsia" w:ascii="宋体" w:hAnsi="宋体"/>
          <w:szCs w:val="21"/>
        </w:rPr>
      </w:pPr>
      <w:r>
        <w:rPr>
          <w:rFonts w:hint="eastAsia" w:ascii="宋体" w:hAnsi="宋体"/>
          <w:szCs w:val="21"/>
          <w:lang w:val="en-US" w:eastAsia="zh-CN"/>
        </w:rPr>
        <w:t>三、</w:t>
      </w:r>
      <w:r>
        <w:rPr>
          <w:rFonts w:hint="eastAsia" w:ascii="宋体" w:hAnsi="宋体"/>
          <w:szCs w:val="21"/>
        </w:rPr>
        <w:t>其他内容详见磋商文件。</w:t>
      </w:r>
    </w:p>
    <w:p w14:paraId="52F826D5">
      <w:pPr>
        <w:ind w:right="420" w:firstLine="525" w:firstLineChars="250"/>
        <w:rPr>
          <w:rFonts w:ascii="宋体" w:hAnsi="宋体"/>
          <w:szCs w:val="21"/>
        </w:rPr>
      </w:pPr>
    </w:p>
    <w:p w14:paraId="69319127"/>
    <w:p w14:paraId="5E6C3FF0">
      <w:pPr>
        <w:spacing w:line="360" w:lineRule="auto"/>
        <w:rPr>
          <w:rFonts w:hint="eastAsia" w:ascii="宋体" w:hAnsi="宋体"/>
          <w:szCs w:val="21"/>
        </w:rPr>
      </w:pPr>
    </w:p>
    <w:p w14:paraId="3ADAC4B3">
      <w:pPr>
        <w:pStyle w:val="3"/>
      </w:pPr>
    </w:p>
    <w:p w14:paraId="00A30FAC">
      <w:pPr>
        <w:spacing w:line="276" w:lineRule="auto"/>
        <w:ind w:firstLine="420" w:firstLineChars="200"/>
        <w:rPr>
          <w:rFonts w:ascii="宋体" w:hAnsi="宋体" w:cs="MingLiU"/>
          <w:kern w:val="0"/>
          <w:szCs w:val="21"/>
          <w:lang w:bidi="ar"/>
        </w:rPr>
      </w:pPr>
    </w:p>
    <w:p w14:paraId="5A8FBC9C">
      <w:pPr>
        <w:pStyle w:val="14"/>
        <w:spacing w:line="480" w:lineRule="auto"/>
        <w:ind w:firstLine="3360"/>
        <w:rPr>
          <w:rFonts w:hAnsi="宋体"/>
          <w:szCs w:val="21"/>
        </w:rPr>
      </w:pPr>
      <w:r>
        <w:br w:type="page"/>
      </w:r>
    </w:p>
    <w:p w14:paraId="054986EB">
      <w:pPr>
        <w:widowControl/>
        <w:jc w:val="center"/>
        <w:rPr>
          <w:rFonts w:ascii="宋体" w:hAnsi="宋体"/>
          <w:sz w:val="24"/>
        </w:rPr>
      </w:pPr>
    </w:p>
    <w:p w14:paraId="43AA9C0D">
      <w:pPr>
        <w:ind w:firstLine="480" w:firstLineChars="200"/>
        <w:rPr>
          <w:rFonts w:ascii="宋体" w:hAnsi="宋体"/>
          <w:sz w:val="24"/>
        </w:rPr>
      </w:pPr>
    </w:p>
    <w:p w14:paraId="584D02DD">
      <w:pPr>
        <w:tabs>
          <w:tab w:val="left" w:pos="900"/>
          <w:tab w:val="left" w:pos="1080"/>
        </w:tabs>
        <w:adjustRightInd w:val="0"/>
        <w:snapToGrid w:val="0"/>
        <w:spacing w:line="360" w:lineRule="auto"/>
        <w:jc w:val="center"/>
        <w:rPr>
          <w:rFonts w:ascii="宋体" w:hAnsi="宋体"/>
          <w:b/>
          <w:sz w:val="32"/>
          <w:szCs w:val="32"/>
        </w:rPr>
      </w:pPr>
      <w:bookmarkStart w:id="751" w:name="_Toc20757_WPSOffice_Level1"/>
      <w:bookmarkStart w:id="752" w:name="_Toc14064_WPSOffice_Level1"/>
      <w:r>
        <w:rPr>
          <w:rFonts w:hint="eastAsia" w:ascii="宋体" w:hAnsi="宋体" w:cs="宋体"/>
          <w:b/>
          <w:kern w:val="0"/>
          <w:sz w:val="32"/>
          <w:szCs w:val="32"/>
          <w:lang w:val="en-US" w:eastAsia="zh-CN"/>
        </w:rPr>
        <w:t>五</w:t>
      </w:r>
      <w:r>
        <w:rPr>
          <w:rFonts w:hint="eastAsia" w:ascii="宋体" w:hAnsi="宋体" w:cs="宋体"/>
          <w:b/>
          <w:kern w:val="0"/>
          <w:sz w:val="32"/>
          <w:szCs w:val="32"/>
          <w:lang w:val="zh-CN"/>
        </w:rPr>
        <w:t>、</w:t>
      </w:r>
      <w:r>
        <w:rPr>
          <w:rFonts w:hint="eastAsia" w:ascii="宋体" w:hAnsi="宋体"/>
          <w:b/>
          <w:sz w:val="32"/>
          <w:szCs w:val="32"/>
        </w:rPr>
        <w:t>资格审查资料</w:t>
      </w:r>
    </w:p>
    <w:p w14:paraId="2A0D6B38">
      <w:pPr>
        <w:spacing w:line="360" w:lineRule="auto"/>
        <w:jc w:val="center"/>
        <w:rPr>
          <w:b/>
          <w:sz w:val="28"/>
          <w:szCs w:val="28"/>
        </w:rPr>
      </w:pPr>
      <w:r>
        <w:rPr>
          <w:rFonts w:hint="eastAsia"/>
          <w:b/>
          <w:sz w:val="28"/>
          <w:szCs w:val="28"/>
        </w:rPr>
        <w:t>（一）供应商基本情况表</w:t>
      </w:r>
    </w:p>
    <w:tbl>
      <w:tblPr>
        <w:tblStyle w:val="2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70"/>
        <w:gridCol w:w="7416"/>
      </w:tblGrid>
      <w:tr w14:paraId="70701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007" w:type="pct"/>
            <w:tcBorders>
              <w:top w:val="single" w:color="auto" w:sz="4" w:space="0"/>
              <w:left w:val="single" w:color="auto" w:sz="4" w:space="0"/>
              <w:bottom w:val="single" w:color="auto" w:sz="4" w:space="0"/>
              <w:right w:val="single" w:color="auto" w:sz="4" w:space="0"/>
            </w:tcBorders>
            <w:vAlign w:val="center"/>
          </w:tcPr>
          <w:p w14:paraId="23A38095">
            <w:pPr>
              <w:topLinePunct/>
              <w:spacing w:line="440" w:lineRule="exact"/>
              <w:jc w:val="center"/>
              <w:rPr>
                <w:szCs w:val="21"/>
              </w:rPr>
            </w:pPr>
            <w:r>
              <w:rPr>
                <w:rFonts w:hint="eastAsia"/>
                <w:szCs w:val="21"/>
              </w:rPr>
              <w:t>供应商名称</w:t>
            </w:r>
          </w:p>
        </w:tc>
        <w:tc>
          <w:tcPr>
            <w:tcW w:w="3992" w:type="pct"/>
            <w:tcBorders>
              <w:top w:val="single" w:color="auto" w:sz="4" w:space="0"/>
              <w:left w:val="single" w:color="auto" w:sz="4" w:space="0"/>
              <w:bottom w:val="single" w:color="auto" w:sz="4" w:space="0"/>
              <w:right w:val="single" w:color="auto" w:sz="4" w:space="0"/>
            </w:tcBorders>
            <w:vAlign w:val="center"/>
          </w:tcPr>
          <w:p w14:paraId="7318CACF">
            <w:pPr>
              <w:topLinePunct/>
              <w:spacing w:line="440" w:lineRule="exact"/>
              <w:jc w:val="center"/>
              <w:rPr>
                <w:szCs w:val="21"/>
              </w:rPr>
            </w:pPr>
          </w:p>
        </w:tc>
      </w:tr>
      <w:tr w14:paraId="5137C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007" w:type="pct"/>
            <w:tcBorders>
              <w:top w:val="single" w:color="auto" w:sz="4" w:space="0"/>
              <w:left w:val="single" w:color="auto" w:sz="4" w:space="0"/>
              <w:bottom w:val="single" w:color="auto" w:sz="4" w:space="0"/>
              <w:right w:val="single" w:color="auto" w:sz="4" w:space="0"/>
            </w:tcBorders>
            <w:vAlign w:val="center"/>
          </w:tcPr>
          <w:p w14:paraId="7D475CDF">
            <w:pPr>
              <w:topLinePunct/>
              <w:spacing w:line="440" w:lineRule="exact"/>
              <w:jc w:val="center"/>
              <w:rPr>
                <w:szCs w:val="21"/>
              </w:rPr>
            </w:pPr>
            <w:r>
              <w:rPr>
                <w:rFonts w:hint="eastAsia"/>
                <w:szCs w:val="21"/>
              </w:rPr>
              <w:t>法定代表人</w:t>
            </w:r>
          </w:p>
        </w:tc>
        <w:tc>
          <w:tcPr>
            <w:tcW w:w="3992" w:type="pct"/>
            <w:tcBorders>
              <w:top w:val="single" w:color="auto" w:sz="4" w:space="0"/>
              <w:left w:val="single" w:color="auto" w:sz="4" w:space="0"/>
              <w:bottom w:val="single" w:color="auto" w:sz="4" w:space="0"/>
              <w:right w:val="single" w:color="auto" w:sz="4" w:space="0"/>
            </w:tcBorders>
            <w:vAlign w:val="center"/>
          </w:tcPr>
          <w:p w14:paraId="60BDEF74">
            <w:pPr>
              <w:topLinePunct/>
              <w:spacing w:line="440" w:lineRule="exact"/>
              <w:jc w:val="center"/>
              <w:rPr>
                <w:szCs w:val="21"/>
              </w:rPr>
            </w:pPr>
          </w:p>
        </w:tc>
      </w:tr>
      <w:tr w14:paraId="58DE1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1007" w:type="pct"/>
            <w:tcBorders>
              <w:top w:val="single" w:color="auto" w:sz="4" w:space="0"/>
              <w:left w:val="single" w:color="auto" w:sz="4" w:space="0"/>
              <w:bottom w:val="single" w:color="auto" w:sz="4" w:space="0"/>
              <w:right w:val="single" w:color="auto" w:sz="4" w:space="0"/>
            </w:tcBorders>
            <w:vAlign w:val="center"/>
          </w:tcPr>
          <w:p w14:paraId="40A8945A">
            <w:pPr>
              <w:topLinePunct/>
              <w:spacing w:line="440" w:lineRule="exact"/>
              <w:jc w:val="center"/>
              <w:rPr>
                <w:szCs w:val="21"/>
              </w:rPr>
            </w:pPr>
            <w:r>
              <w:rPr>
                <w:rFonts w:hint="eastAsia"/>
                <w:szCs w:val="21"/>
              </w:rPr>
              <w:t>企业资质等级</w:t>
            </w:r>
          </w:p>
        </w:tc>
        <w:tc>
          <w:tcPr>
            <w:tcW w:w="3992" w:type="pct"/>
            <w:tcBorders>
              <w:top w:val="single" w:color="auto" w:sz="4" w:space="0"/>
              <w:left w:val="single" w:color="auto" w:sz="4" w:space="0"/>
              <w:bottom w:val="single" w:color="auto" w:sz="4" w:space="0"/>
              <w:right w:val="single" w:color="auto" w:sz="4" w:space="0"/>
            </w:tcBorders>
            <w:vAlign w:val="center"/>
          </w:tcPr>
          <w:p w14:paraId="1BBFBE5C">
            <w:pPr>
              <w:topLinePunct/>
              <w:spacing w:line="440" w:lineRule="exact"/>
              <w:jc w:val="center"/>
              <w:rPr>
                <w:szCs w:val="21"/>
              </w:rPr>
            </w:pPr>
          </w:p>
        </w:tc>
      </w:tr>
      <w:tr w14:paraId="3F6AE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1007" w:type="pct"/>
            <w:tcBorders>
              <w:top w:val="single" w:color="auto" w:sz="4" w:space="0"/>
              <w:left w:val="single" w:color="auto" w:sz="4" w:space="0"/>
              <w:bottom w:val="single" w:color="auto" w:sz="4" w:space="0"/>
              <w:right w:val="single" w:color="auto" w:sz="4" w:space="0"/>
            </w:tcBorders>
            <w:vAlign w:val="center"/>
          </w:tcPr>
          <w:p w14:paraId="5F7CEC7C">
            <w:pPr>
              <w:topLinePunct/>
              <w:spacing w:line="440" w:lineRule="exact"/>
              <w:jc w:val="center"/>
              <w:rPr>
                <w:szCs w:val="21"/>
              </w:rPr>
            </w:pPr>
            <w:r>
              <w:rPr>
                <w:rFonts w:hint="eastAsia"/>
                <w:szCs w:val="21"/>
              </w:rPr>
              <w:t>统一社会信用代码</w:t>
            </w:r>
          </w:p>
        </w:tc>
        <w:tc>
          <w:tcPr>
            <w:tcW w:w="3992" w:type="pct"/>
            <w:tcBorders>
              <w:top w:val="single" w:color="auto" w:sz="4" w:space="0"/>
              <w:left w:val="single" w:color="auto" w:sz="4" w:space="0"/>
              <w:bottom w:val="single" w:color="auto" w:sz="4" w:space="0"/>
              <w:right w:val="single" w:color="auto" w:sz="4" w:space="0"/>
            </w:tcBorders>
            <w:vAlign w:val="center"/>
          </w:tcPr>
          <w:p w14:paraId="057B0505">
            <w:pPr>
              <w:topLinePunct/>
              <w:spacing w:line="440" w:lineRule="exact"/>
              <w:jc w:val="center"/>
              <w:rPr>
                <w:szCs w:val="21"/>
              </w:rPr>
            </w:pPr>
          </w:p>
        </w:tc>
      </w:tr>
      <w:tr w14:paraId="7EED6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1007" w:type="pct"/>
            <w:tcBorders>
              <w:top w:val="single" w:color="auto" w:sz="4" w:space="0"/>
              <w:left w:val="single" w:color="auto" w:sz="4" w:space="0"/>
              <w:bottom w:val="single" w:color="auto" w:sz="4" w:space="0"/>
              <w:right w:val="single" w:color="auto" w:sz="4" w:space="0"/>
            </w:tcBorders>
            <w:vAlign w:val="center"/>
          </w:tcPr>
          <w:p w14:paraId="1C3A3063">
            <w:pPr>
              <w:topLinePunct/>
              <w:spacing w:line="440" w:lineRule="exact"/>
              <w:jc w:val="center"/>
              <w:rPr>
                <w:szCs w:val="21"/>
              </w:rPr>
            </w:pPr>
            <w:r>
              <w:rPr>
                <w:rFonts w:hint="eastAsia"/>
                <w:szCs w:val="21"/>
              </w:rPr>
              <w:t>注册资金</w:t>
            </w:r>
          </w:p>
        </w:tc>
        <w:tc>
          <w:tcPr>
            <w:tcW w:w="3992" w:type="pct"/>
            <w:tcBorders>
              <w:top w:val="single" w:color="auto" w:sz="4" w:space="0"/>
              <w:left w:val="single" w:color="auto" w:sz="4" w:space="0"/>
              <w:bottom w:val="single" w:color="auto" w:sz="4" w:space="0"/>
              <w:right w:val="single" w:color="auto" w:sz="4" w:space="0"/>
            </w:tcBorders>
            <w:vAlign w:val="center"/>
          </w:tcPr>
          <w:p w14:paraId="315F27B7">
            <w:pPr>
              <w:topLinePunct/>
              <w:spacing w:line="440" w:lineRule="exact"/>
              <w:jc w:val="center"/>
              <w:rPr>
                <w:szCs w:val="21"/>
              </w:rPr>
            </w:pPr>
          </w:p>
        </w:tc>
      </w:tr>
      <w:tr w14:paraId="14741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1007" w:type="pct"/>
            <w:tcBorders>
              <w:top w:val="single" w:color="auto" w:sz="4" w:space="0"/>
              <w:left w:val="single" w:color="auto" w:sz="4" w:space="0"/>
              <w:bottom w:val="single" w:color="auto" w:sz="4" w:space="0"/>
              <w:right w:val="single" w:color="auto" w:sz="4" w:space="0"/>
            </w:tcBorders>
            <w:vAlign w:val="center"/>
          </w:tcPr>
          <w:p w14:paraId="478824CD">
            <w:pPr>
              <w:topLinePunct/>
              <w:spacing w:line="440" w:lineRule="exact"/>
              <w:jc w:val="center"/>
              <w:rPr>
                <w:szCs w:val="21"/>
              </w:rPr>
            </w:pPr>
            <w:r>
              <w:rPr>
                <w:rFonts w:hint="eastAsia"/>
                <w:szCs w:val="21"/>
              </w:rPr>
              <w:t>开户银行</w:t>
            </w:r>
          </w:p>
        </w:tc>
        <w:tc>
          <w:tcPr>
            <w:tcW w:w="3992" w:type="pct"/>
            <w:tcBorders>
              <w:top w:val="single" w:color="auto" w:sz="4" w:space="0"/>
              <w:left w:val="single" w:color="auto" w:sz="4" w:space="0"/>
              <w:bottom w:val="single" w:color="auto" w:sz="4" w:space="0"/>
              <w:right w:val="single" w:color="auto" w:sz="4" w:space="0"/>
            </w:tcBorders>
            <w:vAlign w:val="center"/>
          </w:tcPr>
          <w:p w14:paraId="59A454D0">
            <w:pPr>
              <w:topLinePunct/>
              <w:spacing w:line="440" w:lineRule="exact"/>
              <w:jc w:val="center"/>
              <w:rPr>
                <w:szCs w:val="21"/>
              </w:rPr>
            </w:pPr>
          </w:p>
        </w:tc>
      </w:tr>
      <w:tr w14:paraId="75AE9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1007" w:type="pct"/>
            <w:tcBorders>
              <w:top w:val="single" w:color="auto" w:sz="4" w:space="0"/>
              <w:left w:val="single" w:color="auto" w:sz="4" w:space="0"/>
              <w:bottom w:val="single" w:color="auto" w:sz="4" w:space="0"/>
              <w:right w:val="single" w:color="auto" w:sz="4" w:space="0"/>
            </w:tcBorders>
            <w:vAlign w:val="center"/>
          </w:tcPr>
          <w:p w14:paraId="74B91A8F">
            <w:pPr>
              <w:topLinePunct/>
              <w:spacing w:line="440" w:lineRule="exact"/>
              <w:jc w:val="center"/>
              <w:rPr>
                <w:szCs w:val="21"/>
              </w:rPr>
            </w:pPr>
            <w:r>
              <w:rPr>
                <w:rFonts w:hint="eastAsia"/>
                <w:szCs w:val="21"/>
              </w:rPr>
              <w:t>账号</w:t>
            </w:r>
          </w:p>
        </w:tc>
        <w:tc>
          <w:tcPr>
            <w:tcW w:w="3992" w:type="pct"/>
            <w:tcBorders>
              <w:top w:val="single" w:color="auto" w:sz="4" w:space="0"/>
              <w:left w:val="single" w:color="auto" w:sz="4" w:space="0"/>
              <w:bottom w:val="single" w:color="auto" w:sz="4" w:space="0"/>
              <w:right w:val="single" w:color="auto" w:sz="4" w:space="0"/>
            </w:tcBorders>
            <w:vAlign w:val="center"/>
          </w:tcPr>
          <w:p w14:paraId="51FDB3C3">
            <w:pPr>
              <w:topLinePunct/>
              <w:spacing w:line="440" w:lineRule="exact"/>
              <w:jc w:val="center"/>
              <w:rPr>
                <w:szCs w:val="21"/>
              </w:rPr>
            </w:pPr>
          </w:p>
        </w:tc>
      </w:tr>
      <w:tr w14:paraId="49C31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1007" w:type="pct"/>
            <w:tcBorders>
              <w:top w:val="single" w:color="auto" w:sz="4" w:space="0"/>
              <w:left w:val="single" w:color="auto" w:sz="4" w:space="0"/>
              <w:bottom w:val="nil"/>
              <w:right w:val="single" w:color="auto" w:sz="4" w:space="0"/>
            </w:tcBorders>
            <w:vAlign w:val="center"/>
          </w:tcPr>
          <w:p w14:paraId="71CE880A">
            <w:pPr>
              <w:topLinePunct/>
              <w:spacing w:line="440" w:lineRule="exact"/>
              <w:ind w:firstLine="210" w:firstLineChars="100"/>
              <w:jc w:val="center"/>
              <w:rPr>
                <w:szCs w:val="21"/>
              </w:rPr>
            </w:pPr>
            <w:r>
              <w:rPr>
                <w:rFonts w:hint="eastAsia"/>
                <w:szCs w:val="21"/>
              </w:rPr>
              <w:t>经营范围</w:t>
            </w:r>
          </w:p>
        </w:tc>
        <w:tc>
          <w:tcPr>
            <w:tcW w:w="3992" w:type="pct"/>
            <w:tcBorders>
              <w:top w:val="single" w:color="auto" w:sz="4" w:space="0"/>
              <w:left w:val="single" w:color="auto" w:sz="4" w:space="0"/>
              <w:bottom w:val="nil"/>
              <w:right w:val="single" w:color="auto" w:sz="4" w:space="0"/>
            </w:tcBorders>
            <w:vAlign w:val="center"/>
          </w:tcPr>
          <w:p w14:paraId="1FBD0774">
            <w:pPr>
              <w:topLinePunct/>
              <w:spacing w:line="440" w:lineRule="exact"/>
              <w:jc w:val="center"/>
              <w:rPr>
                <w:szCs w:val="21"/>
              </w:rPr>
            </w:pPr>
          </w:p>
        </w:tc>
      </w:tr>
      <w:tr w14:paraId="527BB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7" w:type="pct"/>
            <w:tcBorders>
              <w:top w:val="single" w:color="auto" w:sz="4" w:space="0"/>
              <w:left w:val="single" w:color="auto" w:sz="4" w:space="0"/>
              <w:bottom w:val="single" w:color="auto" w:sz="4" w:space="0"/>
              <w:right w:val="single" w:color="auto" w:sz="4" w:space="0"/>
            </w:tcBorders>
            <w:vAlign w:val="center"/>
          </w:tcPr>
          <w:p w14:paraId="14EF2FC0">
            <w:pPr>
              <w:topLinePunct/>
              <w:spacing w:line="440" w:lineRule="exact"/>
              <w:jc w:val="center"/>
              <w:rPr>
                <w:szCs w:val="21"/>
              </w:rPr>
            </w:pPr>
            <w:r>
              <w:rPr>
                <w:rFonts w:hint="eastAsia"/>
                <w:szCs w:val="21"/>
              </w:rPr>
              <w:t>备注</w:t>
            </w:r>
          </w:p>
        </w:tc>
        <w:tc>
          <w:tcPr>
            <w:tcW w:w="3992" w:type="pct"/>
            <w:tcBorders>
              <w:top w:val="single" w:color="auto" w:sz="4" w:space="0"/>
              <w:left w:val="single" w:color="auto" w:sz="4" w:space="0"/>
              <w:bottom w:val="single" w:color="auto" w:sz="4" w:space="0"/>
              <w:right w:val="single" w:color="auto" w:sz="4" w:space="0"/>
            </w:tcBorders>
            <w:vAlign w:val="center"/>
          </w:tcPr>
          <w:p w14:paraId="6ECA3032">
            <w:pPr>
              <w:topLinePunct/>
              <w:spacing w:line="440" w:lineRule="exact"/>
              <w:jc w:val="center"/>
              <w:rPr>
                <w:szCs w:val="21"/>
              </w:rPr>
            </w:pPr>
          </w:p>
        </w:tc>
      </w:tr>
    </w:tbl>
    <w:p w14:paraId="31E84FCA">
      <w:pPr>
        <w:autoSpaceDE w:val="0"/>
        <w:autoSpaceDN w:val="0"/>
        <w:adjustRightInd w:val="0"/>
        <w:spacing w:line="400" w:lineRule="exact"/>
        <w:jc w:val="left"/>
        <w:rPr>
          <w:rFonts w:ascii="宋体" w:hAnsi="宋体" w:cs="宋体"/>
          <w:b/>
          <w:kern w:val="0"/>
          <w:szCs w:val="18"/>
          <w:lang w:val="zh-CN"/>
        </w:rPr>
      </w:pPr>
    </w:p>
    <w:p w14:paraId="6DDDD062">
      <w:pPr>
        <w:autoSpaceDE w:val="0"/>
        <w:autoSpaceDN w:val="0"/>
        <w:adjustRightInd w:val="0"/>
        <w:spacing w:line="400" w:lineRule="exact"/>
        <w:jc w:val="left"/>
        <w:rPr>
          <w:rFonts w:ascii="宋体" w:hAnsi="宋体"/>
          <w:b/>
          <w:bCs/>
          <w:sz w:val="1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b/>
          <w:kern w:val="0"/>
          <w:szCs w:val="18"/>
          <w:lang w:val="zh-CN"/>
        </w:rPr>
        <w:t>附：企业营业执照、资质证书、安全生产许可证等复印件加盖公章。</w:t>
      </w:r>
    </w:p>
    <w:p w14:paraId="034EACB8">
      <w:pPr>
        <w:pStyle w:val="22"/>
      </w:pPr>
    </w:p>
    <w:p w14:paraId="7FDD976E">
      <w:pPr>
        <w:tabs>
          <w:tab w:val="left" w:pos="900"/>
          <w:tab w:val="left" w:pos="1080"/>
        </w:tabs>
        <w:adjustRightInd w:val="0"/>
        <w:snapToGrid w:val="0"/>
        <w:spacing w:line="360" w:lineRule="auto"/>
        <w:jc w:val="center"/>
        <w:rPr>
          <w:rFonts w:ascii="宋体" w:hAnsi="宋体"/>
          <w:b/>
          <w:bCs/>
          <w:sz w:val="28"/>
          <w:szCs w:val="32"/>
        </w:rPr>
      </w:pPr>
      <w:r>
        <w:rPr>
          <w:rFonts w:hint="eastAsia"/>
          <w:b/>
          <w:sz w:val="28"/>
          <w:szCs w:val="28"/>
        </w:rPr>
        <w:t>（二）</w:t>
      </w:r>
      <w:r>
        <w:rPr>
          <w:rFonts w:hint="eastAsia" w:ascii="宋体" w:hAnsi="宋体"/>
          <w:b/>
          <w:bCs/>
          <w:sz w:val="28"/>
          <w:szCs w:val="32"/>
        </w:rPr>
        <w:t>财务状况</w:t>
      </w:r>
    </w:p>
    <w:p w14:paraId="016C610B">
      <w:pPr>
        <w:tabs>
          <w:tab w:val="left" w:pos="900"/>
          <w:tab w:val="left" w:pos="1080"/>
        </w:tabs>
        <w:adjustRightInd w:val="0"/>
        <w:snapToGrid w:val="0"/>
        <w:spacing w:line="360" w:lineRule="auto"/>
        <w:ind w:firstLine="420" w:firstLineChars="200"/>
        <w:jc w:val="left"/>
        <w:rPr>
          <w:rFonts w:ascii="宋体" w:hAnsi="宋体" w:cs="MingLiU"/>
          <w:kern w:val="0"/>
          <w:szCs w:val="21"/>
        </w:rPr>
      </w:pPr>
    </w:p>
    <w:p w14:paraId="18AF3394">
      <w:pPr>
        <w:spacing w:line="360" w:lineRule="auto"/>
        <w:ind w:firstLine="567" w:firstLineChars="270"/>
        <w:jc w:val="left"/>
        <w:rPr>
          <w:rFonts w:ascii="宋体" w:hAnsi="宋体" w:eastAsia="宋体" w:cs="Times New Roman"/>
          <w:szCs w:val="21"/>
        </w:rPr>
      </w:pPr>
      <w:r>
        <w:rPr>
          <w:rFonts w:hint="eastAsia" w:ascii="宋体" w:hAnsi="宋体" w:eastAsia="宋体" w:cs="Times New Roman"/>
          <w:szCs w:val="21"/>
        </w:rPr>
        <w:t>近三年（2022年至今）财务状况。同时提供以下①②材料：①2022年、2023年、2024年经会计师事务所或审计机构审计的财务审计报告，如供应商成立日期在2022年—2024年之间的，提供从成立之日起到2024年度经会计师事务所或审计机构审计的财务审计报告；②2025年1月1日至今的财务状况良好承诺。注：如投标人在2025年1月1日后成立的，只提供成立之日至今的财务状况良好承诺即可。</w:t>
      </w:r>
    </w:p>
    <w:p w14:paraId="6278D67A">
      <w:pPr>
        <w:jc w:val="center"/>
        <w:rPr>
          <w:rFonts w:ascii="宋体" w:hAnsi="宋体"/>
          <w:sz w:val="36"/>
          <w:szCs w:val="36"/>
        </w:rPr>
      </w:pPr>
    </w:p>
    <w:p w14:paraId="6A4F86CD">
      <w:pPr>
        <w:jc w:val="center"/>
        <w:rPr>
          <w:rFonts w:ascii="宋体" w:hAnsi="宋体"/>
          <w:sz w:val="36"/>
          <w:szCs w:val="36"/>
        </w:rPr>
      </w:pPr>
    </w:p>
    <w:p w14:paraId="12E826C2">
      <w:pPr>
        <w:jc w:val="center"/>
        <w:rPr>
          <w:rFonts w:ascii="宋体" w:hAnsi="宋体"/>
          <w:b/>
          <w:bCs/>
          <w:sz w:val="28"/>
          <w:szCs w:val="28"/>
        </w:rPr>
      </w:pPr>
      <w:r>
        <w:rPr>
          <w:rFonts w:hint="eastAsia" w:ascii="宋体" w:hAnsi="宋体"/>
          <w:b/>
          <w:bCs/>
          <w:sz w:val="28"/>
          <w:szCs w:val="28"/>
        </w:rPr>
        <w:t>财务状况良好的承诺书</w:t>
      </w:r>
    </w:p>
    <w:p w14:paraId="0E59AF18">
      <w:pPr>
        <w:jc w:val="left"/>
        <w:rPr>
          <w:rFonts w:ascii="宋体" w:hAnsi="宋体"/>
          <w:szCs w:val="21"/>
        </w:rPr>
      </w:pPr>
    </w:p>
    <w:p w14:paraId="1D00F809">
      <w:pPr>
        <w:spacing w:line="360" w:lineRule="auto"/>
        <w:jc w:val="left"/>
        <w:rPr>
          <w:rFonts w:ascii="宋体" w:hAnsi="宋体"/>
          <w:szCs w:val="21"/>
        </w:rPr>
      </w:pPr>
      <w:r>
        <w:rPr>
          <w:rFonts w:hint="eastAsia" w:ascii="宋体" w:hAnsi="宋体"/>
          <w:szCs w:val="21"/>
        </w:rPr>
        <w:t>致：</w:t>
      </w:r>
      <w:r>
        <w:rPr>
          <w:rFonts w:hint="eastAsia" w:ascii="宋体" w:hAnsi="宋体"/>
          <w:szCs w:val="21"/>
          <w:lang w:eastAsia="zh-CN"/>
        </w:rPr>
        <w:t>（</w:t>
      </w:r>
      <w:r>
        <w:rPr>
          <w:rFonts w:hint="eastAsia" w:ascii="宋体" w:hAnsi="宋体"/>
          <w:szCs w:val="21"/>
          <w:lang w:val="en-US" w:eastAsia="zh-CN"/>
        </w:rPr>
        <w:t>采购人名称</w:t>
      </w:r>
      <w:r>
        <w:rPr>
          <w:rFonts w:hint="eastAsia" w:ascii="宋体" w:hAnsi="宋体"/>
          <w:szCs w:val="21"/>
          <w:lang w:eastAsia="zh-CN"/>
        </w:rPr>
        <w:t>）</w:t>
      </w:r>
      <w:r>
        <w:rPr>
          <w:rFonts w:hint="eastAsia" w:ascii="宋体" w:hAnsi="宋体"/>
          <w:szCs w:val="21"/>
        </w:rPr>
        <w:t xml:space="preserve"> </w:t>
      </w:r>
    </w:p>
    <w:p w14:paraId="516C4A05">
      <w:pPr>
        <w:spacing w:line="360" w:lineRule="auto"/>
        <w:ind w:firstLine="420" w:firstLineChars="200"/>
        <w:jc w:val="left"/>
        <w:rPr>
          <w:rFonts w:ascii="宋体" w:hAnsi="宋体"/>
          <w:szCs w:val="21"/>
        </w:rPr>
      </w:pPr>
      <w:r>
        <w:rPr>
          <w:rFonts w:hint="eastAsia" w:ascii="宋体" w:hAnsi="宋体"/>
          <w:szCs w:val="21"/>
        </w:rPr>
        <w:t>我公司自2025年1月1日至今财务状况良好，如我公司中标能够保质保量、按期完成本项目的全部内容。</w:t>
      </w:r>
    </w:p>
    <w:p w14:paraId="10BCB6E9">
      <w:pPr>
        <w:spacing w:line="360" w:lineRule="auto"/>
        <w:ind w:firstLine="420" w:firstLineChars="200"/>
        <w:jc w:val="left"/>
        <w:rPr>
          <w:rFonts w:ascii="宋体" w:hAnsi="宋体"/>
          <w:szCs w:val="21"/>
        </w:rPr>
      </w:pPr>
      <w:r>
        <w:rPr>
          <w:rFonts w:hint="eastAsia" w:ascii="宋体" w:hAnsi="宋体"/>
          <w:szCs w:val="21"/>
        </w:rPr>
        <w:t>特此承诺。</w:t>
      </w:r>
    </w:p>
    <w:p w14:paraId="0D36ADF3">
      <w:pPr>
        <w:spacing w:line="360" w:lineRule="auto"/>
        <w:ind w:firstLine="420" w:firstLineChars="200"/>
        <w:jc w:val="left"/>
        <w:rPr>
          <w:rFonts w:ascii="宋体" w:hAnsi="宋体"/>
          <w:szCs w:val="21"/>
        </w:rPr>
      </w:pPr>
    </w:p>
    <w:p w14:paraId="72DCAFBC">
      <w:pPr>
        <w:spacing w:line="360" w:lineRule="auto"/>
        <w:ind w:firstLine="2158" w:firstLineChars="1028"/>
        <w:jc w:val="left"/>
        <w:rPr>
          <w:rFonts w:ascii="宋体" w:hAnsi="宋体"/>
          <w:szCs w:val="21"/>
        </w:rPr>
      </w:pPr>
      <w:r>
        <w:rPr>
          <w:rFonts w:hint="eastAsia" w:ascii="宋体" w:hAnsi="宋体"/>
          <w:szCs w:val="21"/>
        </w:rPr>
        <w:t>供应商名称：（单位公章）</w:t>
      </w:r>
    </w:p>
    <w:p w14:paraId="75C6349E">
      <w:pPr>
        <w:spacing w:line="360" w:lineRule="auto"/>
        <w:ind w:firstLine="2158" w:firstLineChars="1028"/>
        <w:jc w:val="left"/>
        <w:rPr>
          <w:rFonts w:ascii="宋体" w:hAnsi="宋体"/>
          <w:szCs w:val="21"/>
        </w:rPr>
      </w:pPr>
    </w:p>
    <w:p w14:paraId="60407CC1">
      <w:pPr>
        <w:spacing w:line="360" w:lineRule="auto"/>
        <w:ind w:firstLine="2158" w:firstLineChars="1028"/>
        <w:jc w:val="left"/>
        <w:rPr>
          <w:rFonts w:ascii="宋体" w:hAnsi="宋体"/>
          <w:szCs w:val="21"/>
        </w:rPr>
      </w:pPr>
      <w:r>
        <w:rPr>
          <w:rFonts w:hint="eastAsia" w:ascii="宋体" w:hAnsi="宋体"/>
          <w:szCs w:val="21"/>
        </w:rPr>
        <w:t>法定代表人或其委托代理人：（签字或盖章）</w:t>
      </w:r>
    </w:p>
    <w:p w14:paraId="28F58576">
      <w:pPr>
        <w:spacing w:line="360" w:lineRule="auto"/>
        <w:ind w:firstLine="2158" w:firstLineChars="1028"/>
        <w:jc w:val="left"/>
        <w:rPr>
          <w:rFonts w:ascii="宋体" w:hAnsi="宋体"/>
          <w:szCs w:val="21"/>
        </w:rPr>
      </w:pPr>
    </w:p>
    <w:p w14:paraId="68BA804D">
      <w:pPr>
        <w:pStyle w:val="28"/>
        <w:ind w:firstLine="420"/>
        <w:jc w:val="right"/>
      </w:pPr>
      <w:r>
        <w:rPr>
          <w:rFonts w:hint="eastAsia" w:ascii="宋体" w:hAnsi="宋体"/>
        </w:rPr>
        <w:t>年  月  日</w:t>
      </w:r>
    </w:p>
    <w:p w14:paraId="33F8B3A9">
      <w:pPr>
        <w:spacing w:line="360" w:lineRule="auto"/>
        <w:rPr>
          <w:rFonts w:ascii="宋体" w:hAnsi="宋体"/>
          <w:szCs w:val="21"/>
        </w:rPr>
      </w:pPr>
    </w:p>
    <w:p w14:paraId="13ACE65C">
      <w:pPr>
        <w:pStyle w:val="22"/>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14:paraId="5891201A">
      <w:pPr>
        <w:pStyle w:val="14"/>
        <w:jc w:val="center"/>
        <w:rPr>
          <w:b/>
          <w:bCs/>
          <w:sz w:val="28"/>
          <w:szCs w:val="28"/>
        </w:rPr>
      </w:pPr>
      <w:r>
        <w:rPr>
          <w:rFonts w:hint="eastAsia"/>
          <w:b/>
          <w:bCs/>
          <w:sz w:val="28"/>
          <w:szCs w:val="28"/>
        </w:rPr>
        <w:t>（三）依法缴纳税收和社会保障资金的相关证明</w:t>
      </w:r>
    </w:p>
    <w:p w14:paraId="75A8CB99">
      <w:pPr>
        <w:widowControl/>
        <w:jc w:val="left"/>
        <w:rPr>
          <w:sz w:val="24"/>
        </w:rPr>
      </w:pPr>
    </w:p>
    <w:p w14:paraId="33174C5E">
      <w:pPr>
        <w:spacing w:line="380" w:lineRule="exact"/>
        <w:rPr>
          <w:rFonts w:ascii="宋体" w:hAnsi="宋体" w:cs="宋体"/>
          <w:sz w:val="24"/>
        </w:rPr>
      </w:pPr>
    </w:p>
    <w:p w14:paraId="7C9367F6">
      <w:pPr>
        <w:spacing w:line="380" w:lineRule="exact"/>
        <w:ind w:firstLine="480" w:firstLineChars="200"/>
        <w:rPr>
          <w:rFonts w:ascii="宋体" w:hAnsi="宋体" w:cs="宋体"/>
          <w:sz w:val="24"/>
        </w:rPr>
      </w:pPr>
    </w:p>
    <w:p w14:paraId="4388621F">
      <w:pPr>
        <w:spacing w:line="380" w:lineRule="exact"/>
        <w:ind w:firstLine="440" w:firstLineChars="200"/>
        <w:rPr>
          <w:rFonts w:ascii="宋体" w:hAnsi="宋体" w:cs="宋体"/>
          <w:sz w:val="22"/>
          <w:szCs w:val="20"/>
        </w:rPr>
      </w:pPr>
      <w:r>
        <w:rPr>
          <w:rFonts w:hint="eastAsia" w:ascii="宋体" w:hAnsi="宋体" w:cs="宋体"/>
          <w:sz w:val="22"/>
          <w:szCs w:val="20"/>
        </w:rPr>
        <w:t>备注：</w:t>
      </w:r>
      <w:r>
        <w:rPr>
          <w:rFonts w:ascii="宋体" w:hAnsi="宋体" w:cs="宋体"/>
          <w:sz w:val="22"/>
          <w:szCs w:val="20"/>
        </w:rPr>
        <w:t xml:space="preserve"> </w:t>
      </w:r>
    </w:p>
    <w:p w14:paraId="04AE93C9">
      <w:pPr>
        <w:spacing w:line="380" w:lineRule="exact"/>
        <w:ind w:firstLine="440" w:firstLineChars="200"/>
        <w:rPr>
          <w:rFonts w:ascii="宋体" w:hAnsi="宋体" w:cs="宋体"/>
          <w:sz w:val="22"/>
          <w:szCs w:val="20"/>
        </w:rPr>
      </w:pPr>
      <w:r>
        <w:rPr>
          <w:rFonts w:hint="eastAsia" w:ascii="宋体" w:hAnsi="宋体" w:cs="宋体"/>
          <w:sz w:val="22"/>
          <w:szCs w:val="20"/>
        </w:rPr>
        <w:t>1.提供响应文件递交截止时间近</w:t>
      </w:r>
      <w:r>
        <w:rPr>
          <w:rFonts w:hint="eastAsia" w:ascii="宋体" w:hAnsi="宋体" w:cs="宋体"/>
          <w:sz w:val="22"/>
          <w:szCs w:val="20"/>
          <w:lang w:val="en-US" w:eastAsia="zh-CN"/>
        </w:rPr>
        <w:t>一年</w:t>
      </w:r>
      <w:r>
        <w:rPr>
          <w:rFonts w:hint="eastAsia" w:ascii="宋体" w:hAnsi="宋体" w:cs="宋体"/>
          <w:sz w:val="22"/>
          <w:szCs w:val="20"/>
        </w:rPr>
        <w:t>内（2025年4月至今）任意一个月依法缴纳税收的相关证明材料的复印件加盖公章。（增值税或企业所得税）</w:t>
      </w:r>
    </w:p>
    <w:p w14:paraId="4579D721">
      <w:pPr>
        <w:spacing w:line="380" w:lineRule="exact"/>
        <w:ind w:firstLine="440" w:firstLineChars="200"/>
        <w:rPr>
          <w:rFonts w:hAnsi="宋体"/>
          <w:sz w:val="24"/>
        </w:rPr>
      </w:pPr>
      <w:r>
        <w:rPr>
          <w:rFonts w:hint="eastAsia" w:ascii="宋体" w:hAnsi="宋体" w:cs="宋体"/>
          <w:sz w:val="22"/>
          <w:szCs w:val="20"/>
        </w:rPr>
        <w:t>2.提供响应文件递交截止时间近</w:t>
      </w:r>
      <w:r>
        <w:rPr>
          <w:rFonts w:hint="eastAsia" w:ascii="宋体" w:hAnsi="宋体" w:cs="宋体"/>
          <w:sz w:val="22"/>
          <w:szCs w:val="20"/>
          <w:lang w:val="en-US" w:eastAsia="zh-CN"/>
        </w:rPr>
        <w:t>一年</w:t>
      </w:r>
      <w:r>
        <w:rPr>
          <w:rFonts w:hint="eastAsia" w:ascii="宋体" w:hAnsi="宋体" w:cs="宋体"/>
          <w:sz w:val="22"/>
          <w:szCs w:val="20"/>
        </w:rPr>
        <w:t>内（2025年4月至今）任意一个月依法缴纳社会保障资金的相关证明材料的复印件加盖公章。（企业缴纳社保凭证）</w:t>
      </w:r>
    </w:p>
    <w:p w14:paraId="47EC3B14">
      <w:pPr>
        <w:pStyle w:val="14"/>
        <w:ind w:firstLine="480" w:firstLineChars="200"/>
        <w:rPr>
          <w:rFonts w:hAnsi="宋体"/>
          <w:sz w:val="24"/>
        </w:rPr>
      </w:pPr>
    </w:p>
    <w:p w14:paraId="43885C3D">
      <w:pPr>
        <w:spacing w:line="360" w:lineRule="auto"/>
        <w:jc w:val="center"/>
      </w:pPr>
    </w:p>
    <w:p w14:paraId="616A5BC9">
      <w:pPr>
        <w:spacing w:line="360" w:lineRule="auto"/>
        <w:jc w:val="center"/>
      </w:pPr>
    </w:p>
    <w:p w14:paraId="2BAA27B5">
      <w:pPr>
        <w:spacing w:line="360" w:lineRule="auto"/>
        <w:jc w:val="center"/>
      </w:pPr>
    </w:p>
    <w:p w14:paraId="46B3D2BD">
      <w:pPr>
        <w:spacing w:line="360" w:lineRule="auto"/>
        <w:jc w:val="center"/>
      </w:pPr>
    </w:p>
    <w:p w14:paraId="7AAD5D2F">
      <w:pPr>
        <w:spacing w:line="360" w:lineRule="auto"/>
        <w:jc w:val="center"/>
      </w:pPr>
    </w:p>
    <w:p w14:paraId="28A6019D">
      <w:pPr>
        <w:spacing w:line="360" w:lineRule="auto"/>
        <w:jc w:val="center"/>
      </w:pPr>
    </w:p>
    <w:p w14:paraId="02346D1A">
      <w:pPr>
        <w:spacing w:line="360" w:lineRule="auto"/>
        <w:jc w:val="center"/>
      </w:pPr>
    </w:p>
    <w:p w14:paraId="6898262C">
      <w:pPr>
        <w:spacing w:line="360" w:lineRule="auto"/>
        <w:jc w:val="center"/>
      </w:pPr>
    </w:p>
    <w:p w14:paraId="6550BE8E">
      <w:pPr>
        <w:spacing w:line="360" w:lineRule="auto"/>
        <w:jc w:val="center"/>
      </w:pPr>
    </w:p>
    <w:p w14:paraId="70DB9CE1">
      <w:pPr>
        <w:spacing w:line="360" w:lineRule="auto"/>
        <w:jc w:val="center"/>
      </w:pPr>
    </w:p>
    <w:p w14:paraId="6FD5DA02">
      <w:pPr>
        <w:spacing w:line="360" w:lineRule="auto"/>
        <w:jc w:val="center"/>
      </w:pPr>
    </w:p>
    <w:p w14:paraId="2CE89519">
      <w:pPr>
        <w:spacing w:line="360" w:lineRule="auto"/>
        <w:jc w:val="center"/>
      </w:pPr>
    </w:p>
    <w:p w14:paraId="68FB12DD">
      <w:pPr>
        <w:spacing w:line="360" w:lineRule="auto"/>
        <w:jc w:val="center"/>
      </w:pPr>
    </w:p>
    <w:p w14:paraId="436BD157">
      <w:pPr>
        <w:spacing w:line="360" w:lineRule="auto"/>
        <w:jc w:val="center"/>
      </w:pPr>
    </w:p>
    <w:p w14:paraId="240EFC18">
      <w:pPr>
        <w:spacing w:line="360" w:lineRule="auto"/>
        <w:jc w:val="center"/>
      </w:pPr>
    </w:p>
    <w:p w14:paraId="22B1C1C7">
      <w:pPr>
        <w:spacing w:line="360" w:lineRule="auto"/>
        <w:jc w:val="center"/>
      </w:pPr>
    </w:p>
    <w:p w14:paraId="0D9CF1B5">
      <w:pPr>
        <w:spacing w:line="360" w:lineRule="auto"/>
        <w:jc w:val="center"/>
      </w:pPr>
    </w:p>
    <w:p w14:paraId="32768FAA">
      <w:pPr>
        <w:spacing w:line="360" w:lineRule="auto"/>
        <w:jc w:val="center"/>
      </w:pPr>
    </w:p>
    <w:p w14:paraId="061513DC">
      <w:pPr>
        <w:spacing w:line="360" w:lineRule="auto"/>
        <w:jc w:val="center"/>
      </w:pPr>
    </w:p>
    <w:p w14:paraId="66DE07C9">
      <w:pPr>
        <w:spacing w:line="360" w:lineRule="auto"/>
        <w:jc w:val="center"/>
      </w:pPr>
    </w:p>
    <w:p w14:paraId="3E0AE746">
      <w:pPr>
        <w:spacing w:line="360" w:lineRule="auto"/>
        <w:jc w:val="center"/>
      </w:pPr>
    </w:p>
    <w:p w14:paraId="17809E84">
      <w:pPr>
        <w:spacing w:line="360" w:lineRule="auto"/>
        <w:jc w:val="center"/>
      </w:pPr>
    </w:p>
    <w:p w14:paraId="49287A94">
      <w:pPr>
        <w:spacing w:line="360" w:lineRule="auto"/>
        <w:jc w:val="center"/>
      </w:pPr>
    </w:p>
    <w:p w14:paraId="70F2F016">
      <w:pPr>
        <w:spacing w:line="360" w:lineRule="auto"/>
        <w:jc w:val="center"/>
      </w:pPr>
    </w:p>
    <w:p w14:paraId="229F1441">
      <w:pPr>
        <w:spacing w:line="360" w:lineRule="auto"/>
        <w:jc w:val="cente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14:paraId="36364275">
      <w:pPr>
        <w:numPr>
          <w:ilvl w:val="0"/>
          <w:numId w:val="8"/>
        </w:numPr>
        <w:autoSpaceDE w:val="0"/>
        <w:autoSpaceDN w:val="0"/>
        <w:adjustRightInd w:val="0"/>
        <w:spacing w:line="400" w:lineRule="exact"/>
        <w:jc w:val="center"/>
        <w:rPr>
          <w:rFonts w:hint="eastAsia"/>
          <w:b/>
          <w:bCs/>
          <w:sz w:val="28"/>
          <w:szCs w:val="28"/>
        </w:rPr>
      </w:pPr>
      <w:r>
        <w:rPr>
          <w:rFonts w:hint="eastAsia"/>
          <w:b/>
          <w:bCs/>
          <w:sz w:val="28"/>
          <w:szCs w:val="28"/>
        </w:rPr>
        <w:t>项目管理机构</w:t>
      </w:r>
    </w:p>
    <w:p w14:paraId="322C4795">
      <w:pPr>
        <w:numPr>
          <w:ilvl w:val="0"/>
          <w:numId w:val="0"/>
        </w:numPr>
        <w:autoSpaceDE w:val="0"/>
        <w:autoSpaceDN w:val="0"/>
        <w:adjustRightInd w:val="0"/>
        <w:spacing w:line="400" w:lineRule="exact"/>
        <w:jc w:val="both"/>
        <w:rPr>
          <w:rFonts w:hint="eastAsia"/>
          <w:b/>
          <w:bCs/>
          <w:sz w:val="24"/>
          <w:szCs w:val="24"/>
        </w:rPr>
      </w:pPr>
    </w:p>
    <w:p w14:paraId="29F91A37">
      <w:pPr>
        <w:spacing w:line="360" w:lineRule="auto"/>
        <w:jc w:val="center"/>
        <w:rPr>
          <w:rFonts w:ascii="宋体" w:hAnsi="宋体"/>
          <w:b/>
          <w:sz w:val="28"/>
          <w:szCs w:val="28"/>
        </w:rPr>
      </w:pPr>
      <w:bookmarkStart w:id="753" w:name="_Toc208999319"/>
      <w:bookmarkStart w:id="754" w:name="_Toc199384438"/>
      <w:bookmarkStart w:id="755" w:name="_Toc262045244"/>
      <w:bookmarkStart w:id="756" w:name="_Toc259191083"/>
      <w:bookmarkStart w:id="757" w:name="_Toc208975058"/>
      <w:bookmarkStart w:id="758" w:name="_Toc228871337"/>
      <w:r>
        <w:rPr>
          <w:rFonts w:hint="eastAsia" w:ascii="宋体" w:hAnsi="宋体"/>
          <w:b/>
          <w:sz w:val="28"/>
          <w:szCs w:val="28"/>
          <w:lang w:val="en-US" w:eastAsia="zh-CN"/>
        </w:rPr>
        <w:t>1.</w:t>
      </w:r>
      <w:r>
        <w:rPr>
          <w:rFonts w:hint="eastAsia" w:ascii="宋体" w:hAnsi="宋体"/>
          <w:b/>
          <w:sz w:val="28"/>
          <w:szCs w:val="28"/>
        </w:rPr>
        <w:t>项目管理机构组成表</w:t>
      </w:r>
      <w:bookmarkEnd w:id="753"/>
      <w:bookmarkEnd w:id="754"/>
      <w:bookmarkEnd w:id="755"/>
      <w:bookmarkEnd w:id="756"/>
      <w:bookmarkEnd w:id="757"/>
      <w:bookmarkEnd w:id="758"/>
    </w:p>
    <w:tbl>
      <w:tblPr>
        <w:tblStyle w:val="29"/>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104"/>
        <w:gridCol w:w="2118"/>
        <w:gridCol w:w="3322"/>
        <w:gridCol w:w="1626"/>
      </w:tblGrid>
      <w:tr w14:paraId="2DC9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586" w:type="pct"/>
            <w:vAlign w:val="center"/>
          </w:tcPr>
          <w:p w14:paraId="0B321AAC">
            <w:pPr>
              <w:spacing w:line="360" w:lineRule="auto"/>
              <w:jc w:val="center"/>
              <w:rPr>
                <w:rFonts w:ascii="宋体" w:hAnsi="宋体"/>
                <w:szCs w:val="21"/>
              </w:rPr>
            </w:pPr>
            <w:r>
              <w:rPr>
                <w:rFonts w:hint="eastAsia" w:ascii="宋体" w:hAnsi="宋体"/>
                <w:szCs w:val="21"/>
              </w:rPr>
              <w:t>职务</w:t>
            </w:r>
          </w:p>
        </w:tc>
        <w:tc>
          <w:tcPr>
            <w:tcW w:w="596" w:type="pct"/>
            <w:vAlign w:val="center"/>
          </w:tcPr>
          <w:p w14:paraId="3D813C10">
            <w:pPr>
              <w:spacing w:line="360" w:lineRule="auto"/>
              <w:jc w:val="center"/>
              <w:rPr>
                <w:rFonts w:ascii="宋体" w:hAnsi="宋体"/>
                <w:szCs w:val="21"/>
              </w:rPr>
            </w:pPr>
            <w:r>
              <w:rPr>
                <w:rFonts w:hint="eastAsia" w:ascii="宋体" w:hAnsi="宋体"/>
                <w:szCs w:val="21"/>
              </w:rPr>
              <w:t>姓名</w:t>
            </w:r>
          </w:p>
        </w:tc>
        <w:tc>
          <w:tcPr>
            <w:tcW w:w="1144" w:type="pct"/>
            <w:vAlign w:val="center"/>
          </w:tcPr>
          <w:p w14:paraId="7A66331A">
            <w:pPr>
              <w:spacing w:line="360" w:lineRule="auto"/>
              <w:jc w:val="center"/>
              <w:rPr>
                <w:rFonts w:ascii="宋体" w:hAnsi="宋体"/>
                <w:szCs w:val="21"/>
              </w:rPr>
            </w:pPr>
            <w:r>
              <w:rPr>
                <w:rFonts w:hint="eastAsia" w:ascii="宋体" w:hAnsi="宋体"/>
                <w:szCs w:val="21"/>
              </w:rPr>
              <w:t>职称</w:t>
            </w:r>
          </w:p>
        </w:tc>
        <w:tc>
          <w:tcPr>
            <w:tcW w:w="1794" w:type="pct"/>
            <w:vAlign w:val="center"/>
          </w:tcPr>
          <w:p w14:paraId="294E0D04">
            <w:pPr>
              <w:spacing w:line="360" w:lineRule="auto"/>
              <w:jc w:val="center"/>
              <w:rPr>
                <w:rFonts w:ascii="宋体" w:hAnsi="宋体"/>
                <w:szCs w:val="21"/>
              </w:rPr>
            </w:pPr>
            <w:r>
              <w:rPr>
                <w:rFonts w:hint="eastAsia" w:ascii="宋体" w:hAnsi="宋体"/>
                <w:szCs w:val="21"/>
              </w:rPr>
              <w:t>执业资格</w:t>
            </w:r>
          </w:p>
        </w:tc>
        <w:tc>
          <w:tcPr>
            <w:tcW w:w="878" w:type="pct"/>
            <w:vAlign w:val="center"/>
          </w:tcPr>
          <w:p w14:paraId="416D959B">
            <w:pPr>
              <w:spacing w:line="360" w:lineRule="auto"/>
              <w:jc w:val="center"/>
              <w:rPr>
                <w:rFonts w:ascii="宋体" w:hAnsi="宋体"/>
                <w:szCs w:val="21"/>
              </w:rPr>
            </w:pPr>
            <w:r>
              <w:rPr>
                <w:rFonts w:hint="eastAsia" w:ascii="宋体" w:hAnsi="宋体"/>
                <w:szCs w:val="21"/>
              </w:rPr>
              <w:t>备注</w:t>
            </w:r>
          </w:p>
        </w:tc>
      </w:tr>
      <w:tr w14:paraId="2D64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0AB0F2C5">
            <w:pPr>
              <w:spacing w:line="360" w:lineRule="auto"/>
              <w:rPr>
                <w:rFonts w:ascii="宋体" w:hAnsi="宋体"/>
                <w:szCs w:val="21"/>
              </w:rPr>
            </w:pPr>
          </w:p>
        </w:tc>
        <w:tc>
          <w:tcPr>
            <w:tcW w:w="596" w:type="pct"/>
          </w:tcPr>
          <w:p w14:paraId="4DF9885D">
            <w:pPr>
              <w:spacing w:line="360" w:lineRule="auto"/>
              <w:rPr>
                <w:rFonts w:ascii="宋体" w:hAnsi="宋体"/>
                <w:szCs w:val="21"/>
              </w:rPr>
            </w:pPr>
          </w:p>
        </w:tc>
        <w:tc>
          <w:tcPr>
            <w:tcW w:w="1144" w:type="pct"/>
          </w:tcPr>
          <w:p w14:paraId="555D60C8">
            <w:pPr>
              <w:spacing w:line="360" w:lineRule="auto"/>
              <w:rPr>
                <w:rFonts w:ascii="宋体" w:hAnsi="宋体"/>
                <w:szCs w:val="21"/>
              </w:rPr>
            </w:pPr>
          </w:p>
        </w:tc>
        <w:tc>
          <w:tcPr>
            <w:tcW w:w="1794" w:type="pct"/>
          </w:tcPr>
          <w:p w14:paraId="6CFB0145">
            <w:pPr>
              <w:spacing w:line="360" w:lineRule="auto"/>
              <w:ind w:firstLine="420" w:firstLineChars="200"/>
              <w:rPr>
                <w:rFonts w:ascii="宋体" w:hAnsi="宋体"/>
                <w:szCs w:val="21"/>
              </w:rPr>
            </w:pPr>
          </w:p>
        </w:tc>
        <w:tc>
          <w:tcPr>
            <w:tcW w:w="878" w:type="pct"/>
          </w:tcPr>
          <w:p w14:paraId="6B11C4E9">
            <w:pPr>
              <w:spacing w:line="360" w:lineRule="auto"/>
              <w:rPr>
                <w:rFonts w:ascii="宋体" w:hAnsi="宋体"/>
                <w:szCs w:val="21"/>
              </w:rPr>
            </w:pPr>
          </w:p>
        </w:tc>
      </w:tr>
      <w:tr w14:paraId="02BE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5E4F894A">
            <w:pPr>
              <w:spacing w:line="360" w:lineRule="auto"/>
              <w:rPr>
                <w:rFonts w:ascii="宋体" w:hAnsi="宋体"/>
                <w:szCs w:val="21"/>
              </w:rPr>
            </w:pPr>
          </w:p>
        </w:tc>
        <w:tc>
          <w:tcPr>
            <w:tcW w:w="596" w:type="pct"/>
          </w:tcPr>
          <w:p w14:paraId="782A2DA7">
            <w:pPr>
              <w:spacing w:line="360" w:lineRule="auto"/>
              <w:rPr>
                <w:rFonts w:ascii="宋体" w:hAnsi="宋体"/>
                <w:szCs w:val="21"/>
              </w:rPr>
            </w:pPr>
          </w:p>
        </w:tc>
        <w:tc>
          <w:tcPr>
            <w:tcW w:w="1144" w:type="pct"/>
          </w:tcPr>
          <w:p w14:paraId="291631E3">
            <w:pPr>
              <w:spacing w:line="360" w:lineRule="auto"/>
              <w:rPr>
                <w:rFonts w:ascii="宋体" w:hAnsi="宋体"/>
                <w:szCs w:val="21"/>
              </w:rPr>
            </w:pPr>
          </w:p>
        </w:tc>
        <w:tc>
          <w:tcPr>
            <w:tcW w:w="1794" w:type="pct"/>
          </w:tcPr>
          <w:p w14:paraId="4B270B50">
            <w:pPr>
              <w:spacing w:line="360" w:lineRule="auto"/>
              <w:ind w:firstLine="420" w:firstLineChars="200"/>
              <w:rPr>
                <w:rFonts w:ascii="宋体" w:hAnsi="宋体"/>
                <w:szCs w:val="21"/>
              </w:rPr>
            </w:pPr>
          </w:p>
        </w:tc>
        <w:tc>
          <w:tcPr>
            <w:tcW w:w="878" w:type="pct"/>
          </w:tcPr>
          <w:p w14:paraId="43C72EFE">
            <w:pPr>
              <w:spacing w:line="360" w:lineRule="auto"/>
              <w:rPr>
                <w:rFonts w:ascii="宋体" w:hAnsi="宋体"/>
                <w:szCs w:val="21"/>
              </w:rPr>
            </w:pPr>
          </w:p>
        </w:tc>
      </w:tr>
      <w:tr w14:paraId="4EAB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58076049">
            <w:pPr>
              <w:spacing w:line="360" w:lineRule="auto"/>
              <w:rPr>
                <w:rFonts w:ascii="宋体" w:hAnsi="宋体"/>
                <w:szCs w:val="21"/>
              </w:rPr>
            </w:pPr>
          </w:p>
        </w:tc>
        <w:tc>
          <w:tcPr>
            <w:tcW w:w="596" w:type="pct"/>
          </w:tcPr>
          <w:p w14:paraId="0E645074">
            <w:pPr>
              <w:spacing w:line="360" w:lineRule="auto"/>
              <w:rPr>
                <w:rFonts w:ascii="宋体" w:hAnsi="宋体"/>
                <w:szCs w:val="21"/>
              </w:rPr>
            </w:pPr>
          </w:p>
        </w:tc>
        <w:tc>
          <w:tcPr>
            <w:tcW w:w="1144" w:type="pct"/>
          </w:tcPr>
          <w:p w14:paraId="76ABCFEC">
            <w:pPr>
              <w:spacing w:line="360" w:lineRule="auto"/>
              <w:rPr>
                <w:rFonts w:ascii="宋体" w:hAnsi="宋体"/>
                <w:szCs w:val="21"/>
              </w:rPr>
            </w:pPr>
          </w:p>
        </w:tc>
        <w:tc>
          <w:tcPr>
            <w:tcW w:w="1794" w:type="pct"/>
          </w:tcPr>
          <w:p w14:paraId="374DC2EF">
            <w:pPr>
              <w:spacing w:line="360" w:lineRule="auto"/>
              <w:ind w:firstLine="420" w:firstLineChars="200"/>
              <w:rPr>
                <w:rFonts w:ascii="宋体" w:hAnsi="宋体"/>
                <w:szCs w:val="21"/>
              </w:rPr>
            </w:pPr>
          </w:p>
        </w:tc>
        <w:tc>
          <w:tcPr>
            <w:tcW w:w="878" w:type="pct"/>
          </w:tcPr>
          <w:p w14:paraId="374280F4">
            <w:pPr>
              <w:spacing w:line="360" w:lineRule="auto"/>
              <w:rPr>
                <w:rFonts w:ascii="宋体" w:hAnsi="宋体"/>
                <w:szCs w:val="21"/>
              </w:rPr>
            </w:pPr>
          </w:p>
        </w:tc>
      </w:tr>
      <w:tr w14:paraId="68E6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3C161114">
            <w:pPr>
              <w:spacing w:line="360" w:lineRule="auto"/>
              <w:rPr>
                <w:rFonts w:ascii="宋体" w:hAnsi="宋体"/>
                <w:szCs w:val="21"/>
              </w:rPr>
            </w:pPr>
          </w:p>
        </w:tc>
        <w:tc>
          <w:tcPr>
            <w:tcW w:w="596" w:type="pct"/>
          </w:tcPr>
          <w:p w14:paraId="49E21882">
            <w:pPr>
              <w:spacing w:line="360" w:lineRule="auto"/>
              <w:rPr>
                <w:rFonts w:ascii="宋体" w:hAnsi="宋体"/>
                <w:szCs w:val="21"/>
              </w:rPr>
            </w:pPr>
          </w:p>
        </w:tc>
        <w:tc>
          <w:tcPr>
            <w:tcW w:w="1144" w:type="pct"/>
          </w:tcPr>
          <w:p w14:paraId="7409898F">
            <w:pPr>
              <w:spacing w:line="360" w:lineRule="auto"/>
              <w:rPr>
                <w:rFonts w:ascii="宋体" w:hAnsi="宋体"/>
                <w:szCs w:val="21"/>
              </w:rPr>
            </w:pPr>
          </w:p>
        </w:tc>
        <w:tc>
          <w:tcPr>
            <w:tcW w:w="1794" w:type="pct"/>
          </w:tcPr>
          <w:p w14:paraId="72A0B722">
            <w:pPr>
              <w:spacing w:line="360" w:lineRule="auto"/>
              <w:ind w:firstLine="420" w:firstLineChars="200"/>
              <w:rPr>
                <w:rFonts w:ascii="宋体" w:hAnsi="宋体"/>
                <w:szCs w:val="21"/>
              </w:rPr>
            </w:pPr>
          </w:p>
        </w:tc>
        <w:tc>
          <w:tcPr>
            <w:tcW w:w="878" w:type="pct"/>
          </w:tcPr>
          <w:p w14:paraId="71C613AC">
            <w:pPr>
              <w:spacing w:line="360" w:lineRule="auto"/>
              <w:rPr>
                <w:rFonts w:ascii="宋体" w:hAnsi="宋体"/>
                <w:szCs w:val="21"/>
              </w:rPr>
            </w:pPr>
          </w:p>
        </w:tc>
      </w:tr>
      <w:tr w14:paraId="27BA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14FDEC33">
            <w:pPr>
              <w:spacing w:line="360" w:lineRule="auto"/>
              <w:rPr>
                <w:rFonts w:ascii="宋体" w:hAnsi="宋体"/>
                <w:szCs w:val="21"/>
              </w:rPr>
            </w:pPr>
          </w:p>
        </w:tc>
        <w:tc>
          <w:tcPr>
            <w:tcW w:w="596" w:type="pct"/>
          </w:tcPr>
          <w:p w14:paraId="43A25DA5">
            <w:pPr>
              <w:spacing w:line="360" w:lineRule="auto"/>
              <w:rPr>
                <w:rFonts w:ascii="宋体" w:hAnsi="宋体"/>
                <w:szCs w:val="21"/>
              </w:rPr>
            </w:pPr>
          </w:p>
        </w:tc>
        <w:tc>
          <w:tcPr>
            <w:tcW w:w="1144" w:type="pct"/>
          </w:tcPr>
          <w:p w14:paraId="40BD83EE">
            <w:pPr>
              <w:spacing w:line="360" w:lineRule="auto"/>
              <w:rPr>
                <w:rFonts w:ascii="宋体" w:hAnsi="宋体"/>
                <w:szCs w:val="21"/>
              </w:rPr>
            </w:pPr>
          </w:p>
        </w:tc>
        <w:tc>
          <w:tcPr>
            <w:tcW w:w="1794" w:type="pct"/>
          </w:tcPr>
          <w:p w14:paraId="58E64AE6">
            <w:pPr>
              <w:spacing w:line="360" w:lineRule="auto"/>
              <w:ind w:firstLine="420" w:firstLineChars="200"/>
              <w:rPr>
                <w:rFonts w:ascii="宋体" w:hAnsi="宋体"/>
                <w:szCs w:val="21"/>
              </w:rPr>
            </w:pPr>
          </w:p>
        </w:tc>
        <w:tc>
          <w:tcPr>
            <w:tcW w:w="878" w:type="pct"/>
          </w:tcPr>
          <w:p w14:paraId="4ACBEC0E">
            <w:pPr>
              <w:spacing w:line="360" w:lineRule="auto"/>
              <w:rPr>
                <w:rFonts w:ascii="宋体" w:hAnsi="宋体"/>
                <w:szCs w:val="21"/>
              </w:rPr>
            </w:pPr>
          </w:p>
        </w:tc>
      </w:tr>
      <w:tr w14:paraId="4646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0354697D">
            <w:pPr>
              <w:spacing w:line="360" w:lineRule="auto"/>
              <w:rPr>
                <w:rFonts w:ascii="宋体" w:hAnsi="宋体"/>
                <w:szCs w:val="21"/>
              </w:rPr>
            </w:pPr>
          </w:p>
        </w:tc>
        <w:tc>
          <w:tcPr>
            <w:tcW w:w="596" w:type="pct"/>
          </w:tcPr>
          <w:p w14:paraId="1BCFCBE5">
            <w:pPr>
              <w:spacing w:line="360" w:lineRule="auto"/>
              <w:rPr>
                <w:rFonts w:ascii="宋体" w:hAnsi="宋体"/>
                <w:szCs w:val="21"/>
              </w:rPr>
            </w:pPr>
          </w:p>
        </w:tc>
        <w:tc>
          <w:tcPr>
            <w:tcW w:w="1144" w:type="pct"/>
          </w:tcPr>
          <w:p w14:paraId="41E9705E">
            <w:pPr>
              <w:spacing w:line="360" w:lineRule="auto"/>
              <w:rPr>
                <w:rFonts w:ascii="宋体" w:hAnsi="宋体"/>
                <w:szCs w:val="21"/>
              </w:rPr>
            </w:pPr>
          </w:p>
        </w:tc>
        <w:tc>
          <w:tcPr>
            <w:tcW w:w="1794" w:type="pct"/>
          </w:tcPr>
          <w:p w14:paraId="097E2C07">
            <w:pPr>
              <w:spacing w:line="360" w:lineRule="auto"/>
              <w:ind w:firstLine="420" w:firstLineChars="200"/>
              <w:rPr>
                <w:rFonts w:ascii="宋体" w:hAnsi="宋体"/>
                <w:szCs w:val="21"/>
              </w:rPr>
            </w:pPr>
          </w:p>
        </w:tc>
        <w:tc>
          <w:tcPr>
            <w:tcW w:w="878" w:type="pct"/>
          </w:tcPr>
          <w:p w14:paraId="390C10A4">
            <w:pPr>
              <w:spacing w:line="360" w:lineRule="auto"/>
              <w:rPr>
                <w:rFonts w:ascii="宋体" w:hAnsi="宋体"/>
                <w:szCs w:val="21"/>
              </w:rPr>
            </w:pPr>
          </w:p>
        </w:tc>
      </w:tr>
      <w:tr w14:paraId="2554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5EE51037">
            <w:pPr>
              <w:spacing w:line="360" w:lineRule="auto"/>
              <w:rPr>
                <w:rFonts w:ascii="宋体" w:hAnsi="宋体"/>
                <w:szCs w:val="21"/>
              </w:rPr>
            </w:pPr>
          </w:p>
        </w:tc>
        <w:tc>
          <w:tcPr>
            <w:tcW w:w="596" w:type="pct"/>
          </w:tcPr>
          <w:p w14:paraId="17A7F33C">
            <w:pPr>
              <w:spacing w:line="360" w:lineRule="auto"/>
              <w:rPr>
                <w:rFonts w:ascii="宋体" w:hAnsi="宋体"/>
                <w:szCs w:val="21"/>
              </w:rPr>
            </w:pPr>
          </w:p>
        </w:tc>
        <w:tc>
          <w:tcPr>
            <w:tcW w:w="1144" w:type="pct"/>
          </w:tcPr>
          <w:p w14:paraId="747CCC3E">
            <w:pPr>
              <w:spacing w:line="360" w:lineRule="auto"/>
              <w:rPr>
                <w:rFonts w:ascii="宋体" w:hAnsi="宋体"/>
                <w:szCs w:val="21"/>
              </w:rPr>
            </w:pPr>
          </w:p>
        </w:tc>
        <w:tc>
          <w:tcPr>
            <w:tcW w:w="1794" w:type="pct"/>
          </w:tcPr>
          <w:p w14:paraId="432D2685">
            <w:pPr>
              <w:spacing w:line="360" w:lineRule="auto"/>
              <w:ind w:firstLine="420" w:firstLineChars="200"/>
              <w:rPr>
                <w:rFonts w:ascii="宋体" w:hAnsi="宋体"/>
                <w:szCs w:val="21"/>
              </w:rPr>
            </w:pPr>
          </w:p>
        </w:tc>
        <w:tc>
          <w:tcPr>
            <w:tcW w:w="878" w:type="pct"/>
          </w:tcPr>
          <w:p w14:paraId="3BE159E1">
            <w:pPr>
              <w:spacing w:line="360" w:lineRule="auto"/>
              <w:rPr>
                <w:rFonts w:ascii="宋体" w:hAnsi="宋体"/>
                <w:szCs w:val="21"/>
              </w:rPr>
            </w:pPr>
          </w:p>
        </w:tc>
      </w:tr>
      <w:tr w14:paraId="5945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15EAAC52">
            <w:pPr>
              <w:spacing w:line="360" w:lineRule="auto"/>
              <w:rPr>
                <w:rFonts w:ascii="宋体" w:hAnsi="宋体"/>
                <w:szCs w:val="21"/>
              </w:rPr>
            </w:pPr>
          </w:p>
        </w:tc>
        <w:tc>
          <w:tcPr>
            <w:tcW w:w="596" w:type="pct"/>
          </w:tcPr>
          <w:p w14:paraId="5D869250">
            <w:pPr>
              <w:spacing w:line="360" w:lineRule="auto"/>
              <w:rPr>
                <w:rFonts w:ascii="宋体" w:hAnsi="宋体"/>
                <w:szCs w:val="21"/>
              </w:rPr>
            </w:pPr>
          </w:p>
        </w:tc>
        <w:tc>
          <w:tcPr>
            <w:tcW w:w="1144" w:type="pct"/>
          </w:tcPr>
          <w:p w14:paraId="5BABA125">
            <w:pPr>
              <w:spacing w:line="360" w:lineRule="auto"/>
              <w:rPr>
                <w:rFonts w:ascii="宋体" w:hAnsi="宋体"/>
                <w:szCs w:val="21"/>
              </w:rPr>
            </w:pPr>
          </w:p>
        </w:tc>
        <w:tc>
          <w:tcPr>
            <w:tcW w:w="1794" w:type="pct"/>
          </w:tcPr>
          <w:p w14:paraId="2BA807A3">
            <w:pPr>
              <w:spacing w:line="360" w:lineRule="auto"/>
              <w:ind w:firstLine="420" w:firstLineChars="200"/>
              <w:rPr>
                <w:rFonts w:ascii="宋体" w:hAnsi="宋体"/>
                <w:szCs w:val="21"/>
              </w:rPr>
            </w:pPr>
          </w:p>
        </w:tc>
        <w:tc>
          <w:tcPr>
            <w:tcW w:w="878" w:type="pct"/>
          </w:tcPr>
          <w:p w14:paraId="184580DC">
            <w:pPr>
              <w:spacing w:line="360" w:lineRule="auto"/>
              <w:rPr>
                <w:rFonts w:ascii="宋体" w:hAnsi="宋体"/>
                <w:szCs w:val="21"/>
              </w:rPr>
            </w:pPr>
          </w:p>
        </w:tc>
      </w:tr>
      <w:tr w14:paraId="12CB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1024C29C">
            <w:pPr>
              <w:spacing w:line="360" w:lineRule="auto"/>
              <w:rPr>
                <w:rFonts w:ascii="宋体" w:hAnsi="宋体"/>
                <w:szCs w:val="21"/>
              </w:rPr>
            </w:pPr>
          </w:p>
        </w:tc>
        <w:tc>
          <w:tcPr>
            <w:tcW w:w="596" w:type="pct"/>
          </w:tcPr>
          <w:p w14:paraId="08122891">
            <w:pPr>
              <w:spacing w:line="360" w:lineRule="auto"/>
              <w:rPr>
                <w:rFonts w:ascii="宋体" w:hAnsi="宋体"/>
                <w:szCs w:val="21"/>
              </w:rPr>
            </w:pPr>
          </w:p>
        </w:tc>
        <w:tc>
          <w:tcPr>
            <w:tcW w:w="1144" w:type="pct"/>
          </w:tcPr>
          <w:p w14:paraId="5BBD8323">
            <w:pPr>
              <w:spacing w:line="360" w:lineRule="auto"/>
              <w:rPr>
                <w:rFonts w:ascii="宋体" w:hAnsi="宋体"/>
                <w:szCs w:val="21"/>
              </w:rPr>
            </w:pPr>
          </w:p>
        </w:tc>
        <w:tc>
          <w:tcPr>
            <w:tcW w:w="1794" w:type="pct"/>
          </w:tcPr>
          <w:p w14:paraId="7E76A536">
            <w:pPr>
              <w:spacing w:line="360" w:lineRule="auto"/>
              <w:ind w:firstLine="420" w:firstLineChars="200"/>
              <w:rPr>
                <w:rFonts w:ascii="宋体" w:hAnsi="宋体"/>
                <w:szCs w:val="21"/>
              </w:rPr>
            </w:pPr>
          </w:p>
        </w:tc>
        <w:tc>
          <w:tcPr>
            <w:tcW w:w="878" w:type="pct"/>
          </w:tcPr>
          <w:p w14:paraId="55C7903D">
            <w:pPr>
              <w:spacing w:line="360" w:lineRule="auto"/>
              <w:rPr>
                <w:rFonts w:ascii="宋体" w:hAnsi="宋体"/>
                <w:szCs w:val="21"/>
              </w:rPr>
            </w:pPr>
          </w:p>
        </w:tc>
      </w:tr>
      <w:tr w14:paraId="3C9F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12460BB2">
            <w:pPr>
              <w:spacing w:line="360" w:lineRule="auto"/>
              <w:rPr>
                <w:rFonts w:ascii="宋体" w:hAnsi="宋体"/>
                <w:szCs w:val="21"/>
              </w:rPr>
            </w:pPr>
          </w:p>
        </w:tc>
        <w:tc>
          <w:tcPr>
            <w:tcW w:w="596" w:type="pct"/>
          </w:tcPr>
          <w:p w14:paraId="1D2F96AB">
            <w:pPr>
              <w:spacing w:line="360" w:lineRule="auto"/>
              <w:rPr>
                <w:rFonts w:ascii="宋体" w:hAnsi="宋体"/>
                <w:szCs w:val="21"/>
              </w:rPr>
            </w:pPr>
          </w:p>
        </w:tc>
        <w:tc>
          <w:tcPr>
            <w:tcW w:w="1144" w:type="pct"/>
          </w:tcPr>
          <w:p w14:paraId="3FF1DFC7">
            <w:pPr>
              <w:spacing w:line="360" w:lineRule="auto"/>
              <w:rPr>
                <w:rFonts w:ascii="宋体" w:hAnsi="宋体"/>
                <w:szCs w:val="21"/>
              </w:rPr>
            </w:pPr>
          </w:p>
        </w:tc>
        <w:tc>
          <w:tcPr>
            <w:tcW w:w="1794" w:type="pct"/>
          </w:tcPr>
          <w:p w14:paraId="6BF27ADC">
            <w:pPr>
              <w:spacing w:line="360" w:lineRule="auto"/>
              <w:ind w:firstLine="420" w:firstLineChars="200"/>
              <w:rPr>
                <w:rFonts w:ascii="宋体" w:hAnsi="宋体"/>
                <w:szCs w:val="21"/>
              </w:rPr>
            </w:pPr>
          </w:p>
        </w:tc>
        <w:tc>
          <w:tcPr>
            <w:tcW w:w="878" w:type="pct"/>
          </w:tcPr>
          <w:p w14:paraId="0FBAC783">
            <w:pPr>
              <w:spacing w:line="360" w:lineRule="auto"/>
              <w:rPr>
                <w:rFonts w:ascii="宋体" w:hAnsi="宋体"/>
                <w:szCs w:val="21"/>
              </w:rPr>
            </w:pPr>
          </w:p>
        </w:tc>
      </w:tr>
      <w:tr w14:paraId="554D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49B67C3B">
            <w:pPr>
              <w:spacing w:line="360" w:lineRule="auto"/>
              <w:rPr>
                <w:rFonts w:ascii="宋体" w:hAnsi="宋体"/>
                <w:szCs w:val="21"/>
              </w:rPr>
            </w:pPr>
          </w:p>
        </w:tc>
        <w:tc>
          <w:tcPr>
            <w:tcW w:w="596" w:type="pct"/>
          </w:tcPr>
          <w:p w14:paraId="0B05AF5D">
            <w:pPr>
              <w:spacing w:line="360" w:lineRule="auto"/>
              <w:rPr>
                <w:rFonts w:ascii="宋体" w:hAnsi="宋体"/>
                <w:szCs w:val="21"/>
              </w:rPr>
            </w:pPr>
          </w:p>
        </w:tc>
        <w:tc>
          <w:tcPr>
            <w:tcW w:w="1144" w:type="pct"/>
          </w:tcPr>
          <w:p w14:paraId="0BE527EA">
            <w:pPr>
              <w:spacing w:line="360" w:lineRule="auto"/>
              <w:rPr>
                <w:rFonts w:ascii="宋体" w:hAnsi="宋体"/>
                <w:szCs w:val="21"/>
              </w:rPr>
            </w:pPr>
          </w:p>
        </w:tc>
        <w:tc>
          <w:tcPr>
            <w:tcW w:w="1794" w:type="pct"/>
          </w:tcPr>
          <w:p w14:paraId="5E2FF5FD">
            <w:pPr>
              <w:spacing w:line="360" w:lineRule="auto"/>
              <w:ind w:firstLine="420" w:firstLineChars="200"/>
              <w:rPr>
                <w:rFonts w:ascii="宋体" w:hAnsi="宋体"/>
                <w:szCs w:val="21"/>
              </w:rPr>
            </w:pPr>
          </w:p>
        </w:tc>
        <w:tc>
          <w:tcPr>
            <w:tcW w:w="878" w:type="pct"/>
          </w:tcPr>
          <w:p w14:paraId="679F87BB">
            <w:pPr>
              <w:spacing w:line="360" w:lineRule="auto"/>
              <w:rPr>
                <w:rFonts w:ascii="宋体" w:hAnsi="宋体"/>
                <w:szCs w:val="21"/>
              </w:rPr>
            </w:pPr>
          </w:p>
        </w:tc>
      </w:tr>
      <w:tr w14:paraId="351A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pct"/>
          </w:tcPr>
          <w:p w14:paraId="7F6F9B85">
            <w:pPr>
              <w:spacing w:line="360" w:lineRule="auto"/>
              <w:rPr>
                <w:rFonts w:ascii="宋体" w:hAnsi="宋体"/>
                <w:szCs w:val="21"/>
              </w:rPr>
            </w:pPr>
          </w:p>
        </w:tc>
        <w:tc>
          <w:tcPr>
            <w:tcW w:w="596" w:type="pct"/>
          </w:tcPr>
          <w:p w14:paraId="2B0E413D">
            <w:pPr>
              <w:spacing w:line="360" w:lineRule="auto"/>
              <w:rPr>
                <w:rFonts w:ascii="宋体" w:hAnsi="宋体"/>
                <w:szCs w:val="21"/>
              </w:rPr>
            </w:pPr>
          </w:p>
        </w:tc>
        <w:tc>
          <w:tcPr>
            <w:tcW w:w="1144" w:type="pct"/>
          </w:tcPr>
          <w:p w14:paraId="2BDC905B">
            <w:pPr>
              <w:spacing w:line="360" w:lineRule="auto"/>
              <w:rPr>
                <w:rFonts w:ascii="宋体" w:hAnsi="宋体"/>
                <w:szCs w:val="21"/>
              </w:rPr>
            </w:pPr>
          </w:p>
        </w:tc>
        <w:tc>
          <w:tcPr>
            <w:tcW w:w="1794" w:type="pct"/>
          </w:tcPr>
          <w:p w14:paraId="7B16DEDF">
            <w:pPr>
              <w:spacing w:line="360" w:lineRule="auto"/>
              <w:ind w:firstLine="420" w:firstLineChars="200"/>
              <w:rPr>
                <w:rFonts w:ascii="宋体" w:hAnsi="宋体"/>
                <w:szCs w:val="21"/>
              </w:rPr>
            </w:pPr>
          </w:p>
        </w:tc>
        <w:tc>
          <w:tcPr>
            <w:tcW w:w="878" w:type="pct"/>
          </w:tcPr>
          <w:p w14:paraId="0F88CE70">
            <w:pPr>
              <w:spacing w:line="360" w:lineRule="auto"/>
              <w:rPr>
                <w:rFonts w:ascii="宋体" w:hAnsi="宋体"/>
                <w:szCs w:val="21"/>
              </w:rPr>
            </w:pPr>
          </w:p>
        </w:tc>
      </w:tr>
    </w:tbl>
    <w:p w14:paraId="13450710">
      <w:pPr>
        <w:spacing w:line="360" w:lineRule="auto"/>
        <w:rPr>
          <w:rFonts w:ascii="宋体" w:hAnsi="宋体"/>
          <w:szCs w:val="21"/>
        </w:rPr>
      </w:pPr>
    </w:p>
    <w:p w14:paraId="4EDF8EA5">
      <w:r>
        <w:br w:type="page"/>
      </w:r>
    </w:p>
    <w:p w14:paraId="769C092F">
      <w:pPr>
        <w:spacing w:line="360" w:lineRule="auto"/>
        <w:jc w:val="center"/>
      </w:pPr>
      <w:r>
        <w:tab/>
      </w:r>
    </w:p>
    <w:p w14:paraId="58A68F1A">
      <w:pPr>
        <w:spacing w:line="360" w:lineRule="auto"/>
        <w:jc w:val="center"/>
        <w:rPr>
          <w:sz w:val="28"/>
          <w:szCs w:val="28"/>
        </w:rPr>
      </w:pPr>
      <w:r>
        <w:rPr>
          <w:rFonts w:hint="eastAsia"/>
          <w:b/>
          <w:bCs/>
          <w:sz w:val="28"/>
          <w:szCs w:val="28"/>
          <w:lang w:val="en-US" w:eastAsia="zh-CN"/>
        </w:rPr>
        <w:t>2.项目经理</w:t>
      </w:r>
      <w:r>
        <w:rPr>
          <w:rFonts w:hint="eastAsia"/>
          <w:b/>
          <w:bCs/>
          <w:sz w:val="28"/>
          <w:szCs w:val="28"/>
        </w:rPr>
        <w:t>简历表</w:t>
      </w:r>
    </w:p>
    <w:p w14:paraId="2BA645F8">
      <w:pPr>
        <w:spacing w:line="360" w:lineRule="auto"/>
        <w:ind w:firstLine="420" w:firstLineChars="200"/>
        <w:rPr>
          <w:rFonts w:hint="eastAsia" w:ascii="宋体" w:hAnsi="宋体" w:eastAsiaTheme="minorEastAsia"/>
          <w:szCs w:val="21"/>
          <w:lang w:eastAsia="zh-CN"/>
        </w:rPr>
      </w:pPr>
      <w:r>
        <w:rPr>
          <w:rFonts w:hint="eastAsia" w:ascii="宋体" w:hAnsi="宋体"/>
          <w:szCs w:val="21"/>
        </w:rPr>
        <w:t>“主要人员简历表”中的项目经理应附身份证、</w:t>
      </w:r>
      <w:r>
        <w:rPr>
          <w:rFonts w:hint="eastAsia" w:ascii="宋体" w:hAnsi="宋体"/>
          <w:szCs w:val="21"/>
          <w:lang w:val="en-US" w:eastAsia="zh-CN"/>
        </w:rPr>
        <w:t>注册</w:t>
      </w:r>
      <w:r>
        <w:rPr>
          <w:rFonts w:hint="eastAsia" w:ascii="宋体" w:hAnsi="宋体"/>
          <w:szCs w:val="21"/>
        </w:rPr>
        <w:t>证、</w:t>
      </w:r>
      <w:r>
        <w:rPr>
          <w:rFonts w:hint="eastAsia" w:ascii="宋体" w:hAnsi="宋体"/>
          <w:szCs w:val="21"/>
          <w:lang w:val="en-US" w:eastAsia="zh-CN"/>
        </w:rPr>
        <w:t>安全考核证、职称证（如有）</w:t>
      </w:r>
      <w:r>
        <w:rPr>
          <w:rFonts w:hint="eastAsia" w:ascii="宋体" w:hAnsi="宋体"/>
          <w:szCs w:val="21"/>
          <w:lang w:eastAsia="zh-CN"/>
        </w:rPr>
        <w:t>、</w:t>
      </w:r>
      <w:r>
        <w:rPr>
          <w:rFonts w:hint="eastAsia" w:ascii="宋体" w:hAnsi="宋体"/>
          <w:szCs w:val="21"/>
          <w:lang w:val="en-US" w:eastAsia="zh-CN"/>
        </w:rPr>
        <w:t>无在建承诺、社保证明</w:t>
      </w:r>
      <w:r>
        <w:rPr>
          <w:rFonts w:hint="eastAsia" w:ascii="宋体" w:hAnsi="宋体"/>
          <w:szCs w:val="21"/>
        </w:rPr>
        <w:t>，管理过的项目业绩须附</w:t>
      </w:r>
      <w:r>
        <w:rPr>
          <w:rFonts w:hint="eastAsia" w:ascii="宋体" w:hAnsi="宋体" w:cs="宋体"/>
          <w:szCs w:val="21"/>
        </w:rPr>
        <w:t>中标通知书或合同协议书复印件</w:t>
      </w:r>
      <w:r>
        <w:rPr>
          <w:rFonts w:hint="eastAsia" w:ascii="宋体" w:hAnsi="宋体" w:cs="宋体"/>
          <w:szCs w:val="21"/>
          <w:lang w:eastAsia="zh-CN"/>
        </w:rPr>
        <w:t>、</w:t>
      </w:r>
      <w:r>
        <w:rPr>
          <w:rFonts w:hint="eastAsia" w:ascii="宋体" w:hAnsi="宋体" w:cs="宋体"/>
          <w:bCs/>
          <w:color w:val="auto"/>
          <w:szCs w:val="21"/>
          <w:lang w:eastAsia="zh-CN"/>
        </w:rPr>
        <w:t>有关业绩的查询网址及查询网页截图</w:t>
      </w:r>
      <w:r>
        <w:rPr>
          <w:rFonts w:hint="eastAsia" w:ascii="宋体" w:hAnsi="宋体" w:cs="宋体"/>
          <w:szCs w:val="21"/>
        </w:rPr>
        <w:t>（如有）</w:t>
      </w:r>
      <w:r>
        <w:rPr>
          <w:rFonts w:hint="eastAsia" w:ascii="宋体" w:hAnsi="宋体" w:cs="宋体"/>
          <w:szCs w:val="21"/>
          <w:lang w:eastAsia="zh-CN"/>
        </w:rPr>
        <w:t>。</w:t>
      </w:r>
    </w:p>
    <w:p w14:paraId="619CCE81">
      <w:pPr>
        <w:spacing w:line="360" w:lineRule="auto"/>
        <w:rPr>
          <w:rFonts w:ascii="宋体" w:hAnsi="宋体"/>
          <w:szCs w:val="21"/>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190"/>
        <w:gridCol w:w="2621"/>
        <w:gridCol w:w="1728"/>
        <w:gridCol w:w="2419"/>
      </w:tblGrid>
      <w:tr w14:paraId="292D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410" w:type="dxa"/>
            <w:gridSpan w:val="2"/>
            <w:vAlign w:val="center"/>
          </w:tcPr>
          <w:p w14:paraId="5B35F0F6">
            <w:pPr>
              <w:spacing w:line="360" w:lineRule="auto"/>
              <w:jc w:val="center"/>
              <w:rPr>
                <w:rFonts w:ascii="宋体" w:hAnsi="宋体"/>
                <w:szCs w:val="21"/>
              </w:rPr>
            </w:pPr>
            <w:r>
              <w:rPr>
                <w:rFonts w:hint="eastAsia" w:ascii="宋体" w:hAnsi="宋体"/>
                <w:szCs w:val="21"/>
              </w:rPr>
              <w:t>姓名</w:t>
            </w:r>
          </w:p>
        </w:tc>
        <w:tc>
          <w:tcPr>
            <w:tcW w:w="6768" w:type="dxa"/>
            <w:gridSpan w:val="3"/>
          </w:tcPr>
          <w:p w14:paraId="1203446C">
            <w:pPr>
              <w:spacing w:line="360" w:lineRule="auto"/>
              <w:rPr>
                <w:rFonts w:ascii="宋体" w:hAnsi="宋体"/>
                <w:szCs w:val="21"/>
              </w:rPr>
            </w:pPr>
          </w:p>
        </w:tc>
      </w:tr>
      <w:tr w14:paraId="4FAA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410" w:type="dxa"/>
            <w:gridSpan w:val="2"/>
            <w:vAlign w:val="center"/>
          </w:tcPr>
          <w:p w14:paraId="2334D38A">
            <w:pPr>
              <w:spacing w:line="360" w:lineRule="auto"/>
              <w:jc w:val="center"/>
              <w:rPr>
                <w:rFonts w:ascii="宋体" w:hAnsi="宋体"/>
                <w:szCs w:val="21"/>
              </w:rPr>
            </w:pPr>
            <w:r>
              <w:rPr>
                <w:rFonts w:hint="eastAsia" w:ascii="宋体" w:hAnsi="宋体"/>
                <w:szCs w:val="21"/>
              </w:rPr>
              <w:t>拟在本合同任职</w:t>
            </w:r>
          </w:p>
        </w:tc>
        <w:tc>
          <w:tcPr>
            <w:tcW w:w="6768" w:type="dxa"/>
            <w:gridSpan w:val="3"/>
          </w:tcPr>
          <w:p w14:paraId="669C81F7">
            <w:pPr>
              <w:spacing w:line="360" w:lineRule="auto"/>
              <w:rPr>
                <w:rFonts w:ascii="宋体" w:hAnsi="宋体"/>
                <w:szCs w:val="21"/>
              </w:rPr>
            </w:pPr>
          </w:p>
        </w:tc>
      </w:tr>
      <w:tr w14:paraId="0260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78" w:type="dxa"/>
            <w:gridSpan w:val="5"/>
          </w:tcPr>
          <w:p w14:paraId="76E68499">
            <w:pPr>
              <w:spacing w:line="360" w:lineRule="auto"/>
              <w:jc w:val="center"/>
              <w:rPr>
                <w:rFonts w:ascii="宋体" w:hAnsi="宋体"/>
                <w:szCs w:val="21"/>
              </w:rPr>
            </w:pPr>
            <w:r>
              <w:rPr>
                <w:rFonts w:hint="eastAsia" w:ascii="宋体" w:hAnsi="宋体"/>
                <w:szCs w:val="21"/>
              </w:rPr>
              <w:t>主要工作经历</w:t>
            </w:r>
          </w:p>
        </w:tc>
      </w:tr>
      <w:tr w14:paraId="6152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20" w:type="dxa"/>
            <w:vAlign w:val="center"/>
          </w:tcPr>
          <w:p w14:paraId="4F0600A2">
            <w:pPr>
              <w:spacing w:line="360" w:lineRule="auto"/>
              <w:jc w:val="center"/>
              <w:rPr>
                <w:rFonts w:ascii="宋体" w:hAnsi="宋体"/>
                <w:szCs w:val="21"/>
              </w:rPr>
            </w:pPr>
            <w:r>
              <w:rPr>
                <w:rFonts w:hint="eastAsia" w:ascii="宋体" w:hAnsi="宋体"/>
                <w:szCs w:val="21"/>
              </w:rPr>
              <w:t>完工时间</w:t>
            </w:r>
          </w:p>
        </w:tc>
        <w:tc>
          <w:tcPr>
            <w:tcW w:w="3811" w:type="dxa"/>
            <w:gridSpan w:val="2"/>
            <w:vAlign w:val="center"/>
          </w:tcPr>
          <w:p w14:paraId="1C2AD615">
            <w:pPr>
              <w:spacing w:line="360" w:lineRule="auto"/>
              <w:jc w:val="center"/>
              <w:rPr>
                <w:rFonts w:ascii="宋体" w:hAnsi="宋体"/>
                <w:szCs w:val="21"/>
              </w:rPr>
            </w:pPr>
            <w:r>
              <w:rPr>
                <w:rFonts w:hint="eastAsia" w:ascii="宋体" w:hAnsi="宋体"/>
                <w:szCs w:val="21"/>
              </w:rPr>
              <w:t>参加过的类似项目</w:t>
            </w:r>
          </w:p>
        </w:tc>
        <w:tc>
          <w:tcPr>
            <w:tcW w:w="1728" w:type="dxa"/>
            <w:vAlign w:val="center"/>
          </w:tcPr>
          <w:p w14:paraId="52441F12">
            <w:pPr>
              <w:spacing w:line="360" w:lineRule="auto"/>
              <w:jc w:val="center"/>
              <w:rPr>
                <w:rFonts w:ascii="宋体" w:hAnsi="宋体"/>
                <w:szCs w:val="21"/>
              </w:rPr>
            </w:pPr>
            <w:r>
              <w:rPr>
                <w:rFonts w:hint="eastAsia" w:ascii="宋体" w:hAnsi="宋体"/>
                <w:szCs w:val="21"/>
              </w:rPr>
              <w:t>担任职务</w:t>
            </w:r>
          </w:p>
        </w:tc>
        <w:tc>
          <w:tcPr>
            <w:tcW w:w="2419" w:type="dxa"/>
            <w:vAlign w:val="center"/>
          </w:tcPr>
          <w:p w14:paraId="4206CFF4">
            <w:pPr>
              <w:spacing w:line="360" w:lineRule="auto"/>
              <w:jc w:val="center"/>
              <w:rPr>
                <w:rFonts w:ascii="宋体" w:hAnsi="宋体"/>
                <w:szCs w:val="21"/>
              </w:rPr>
            </w:pPr>
            <w:r>
              <w:rPr>
                <w:rFonts w:hint="eastAsia" w:ascii="宋体" w:hAnsi="宋体"/>
                <w:szCs w:val="21"/>
              </w:rPr>
              <w:t>备注</w:t>
            </w:r>
          </w:p>
        </w:tc>
      </w:tr>
      <w:tr w14:paraId="3D36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20" w:type="dxa"/>
          </w:tcPr>
          <w:p w14:paraId="256CF961">
            <w:pPr>
              <w:spacing w:line="360" w:lineRule="auto"/>
              <w:rPr>
                <w:rFonts w:ascii="宋体" w:hAnsi="宋体"/>
                <w:szCs w:val="21"/>
              </w:rPr>
            </w:pPr>
          </w:p>
        </w:tc>
        <w:tc>
          <w:tcPr>
            <w:tcW w:w="3811" w:type="dxa"/>
            <w:gridSpan w:val="2"/>
          </w:tcPr>
          <w:p w14:paraId="29E0D1C9">
            <w:pPr>
              <w:spacing w:line="360" w:lineRule="auto"/>
              <w:rPr>
                <w:rFonts w:ascii="宋体" w:hAnsi="宋体"/>
                <w:szCs w:val="21"/>
              </w:rPr>
            </w:pPr>
            <w:r>
              <w:rPr>
                <w:rFonts w:hint="eastAsia" w:ascii="宋体" w:hAnsi="宋体"/>
                <w:szCs w:val="21"/>
              </w:rPr>
              <w:t>如有请填写</w:t>
            </w:r>
          </w:p>
        </w:tc>
        <w:tc>
          <w:tcPr>
            <w:tcW w:w="1728" w:type="dxa"/>
          </w:tcPr>
          <w:p w14:paraId="723C2A01">
            <w:pPr>
              <w:spacing w:line="360" w:lineRule="auto"/>
              <w:rPr>
                <w:rFonts w:ascii="宋体" w:hAnsi="宋体"/>
                <w:szCs w:val="21"/>
              </w:rPr>
            </w:pPr>
          </w:p>
        </w:tc>
        <w:tc>
          <w:tcPr>
            <w:tcW w:w="2419" w:type="dxa"/>
          </w:tcPr>
          <w:p w14:paraId="4896872F">
            <w:pPr>
              <w:spacing w:line="360" w:lineRule="auto"/>
              <w:rPr>
                <w:rFonts w:ascii="宋体" w:hAnsi="宋体"/>
                <w:szCs w:val="21"/>
              </w:rPr>
            </w:pPr>
          </w:p>
        </w:tc>
      </w:tr>
      <w:tr w14:paraId="2968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20" w:type="dxa"/>
          </w:tcPr>
          <w:p w14:paraId="4C48497E">
            <w:pPr>
              <w:spacing w:line="360" w:lineRule="auto"/>
              <w:rPr>
                <w:rFonts w:ascii="宋体" w:hAnsi="宋体"/>
                <w:szCs w:val="21"/>
              </w:rPr>
            </w:pPr>
          </w:p>
        </w:tc>
        <w:tc>
          <w:tcPr>
            <w:tcW w:w="3811" w:type="dxa"/>
            <w:gridSpan w:val="2"/>
          </w:tcPr>
          <w:p w14:paraId="59C40837">
            <w:pPr>
              <w:spacing w:line="360" w:lineRule="auto"/>
              <w:rPr>
                <w:rFonts w:ascii="宋体" w:hAnsi="宋体"/>
                <w:szCs w:val="21"/>
              </w:rPr>
            </w:pPr>
          </w:p>
        </w:tc>
        <w:tc>
          <w:tcPr>
            <w:tcW w:w="1728" w:type="dxa"/>
          </w:tcPr>
          <w:p w14:paraId="1B895B74">
            <w:pPr>
              <w:spacing w:line="360" w:lineRule="auto"/>
              <w:rPr>
                <w:rFonts w:ascii="宋体" w:hAnsi="宋体"/>
                <w:szCs w:val="21"/>
              </w:rPr>
            </w:pPr>
          </w:p>
        </w:tc>
        <w:tc>
          <w:tcPr>
            <w:tcW w:w="2419" w:type="dxa"/>
          </w:tcPr>
          <w:p w14:paraId="1B503263">
            <w:pPr>
              <w:spacing w:line="360" w:lineRule="auto"/>
              <w:rPr>
                <w:rFonts w:ascii="宋体" w:hAnsi="宋体"/>
                <w:szCs w:val="21"/>
              </w:rPr>
            </w:pPr>
          </w:p>
        </w:tc>
      </w:tr>
      <w:tr w14:paraId="3530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20" w:type="dxa"/>
          </w:tcPr>
          <w:p w14:paraId="28AEADD7">
            <w:pPr>
              <w:spacing w:line="360" w:lineRule="auto"/>
              <w:rPr>
                <w:rFonts w:ascii="宋体" w:hAnsi="宋体"/>
                <w:szCs w:val="21"/>
              </w:rPr>
            </w:pPr>
          </w:p>
        </w:tc>
        <w:tc>
          <w:tcPr>
            <w:tcW w:w="3811" w:type="dxa"/>
            <w:gridSpan w:val="2"/>
          </w:tcPr>
          <w:p w14:paraId="1A21CB8A">
            <w:pPr>
              <w:spacing w:line="360" w:lineRule="auto"/>
              <w:rPr>
                <w:rFonts w:ascii="宋体" w:hAnsi="宋体"/>
                <w:szCs w:val="21"/>
              </w:rPr>
            </w:pPr>
          </w:p>
        </w:tc>
        <w:tc>
          <w:tcPr>
            <w:tcW w:w="1728" w:type="dxa"/>
          </w:tcPr>
          <w:p w14:paraId="019C7D66">
            <w:pPr>
              <w:spacing w:line="360" w:lineRule="auto"/>
              <w:rPr>
                <w:rFonts w:ascii="宋体" w:hAnsi="宋体"/>
                <w:szCs w:val="21"/>
              </w:rPr>
            </w:pPr>
          </w:p>
        </w:tc>
        <w:tc>
          <w:tcPr>
            <w:tcW w:w="2419" w:type="dxa"/>
          </w:tcPr>
          <w:p w14:paraId="3EA1651C">
            <w:pPr>
              <w:spacing w:line="360" w:lineRule="auto"/>
              <w:rPr>
                <w:rFonts w:ascii="宋体" w:hAnsi="宋体"/>
                <w:szCs w:val="21"/>
              </w:rPr>
            </w:pPr>
          </w:p>
        </w:tc>
      </w:tr>
      <w:tr w14:paraId="4F3D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20" w:type="dxa"/>
          </w:tcPr>
          <w:p w14:paraId="0A205CDD">
            <w:pPr>
              <w:spacing w:line="360" w:lineRule="auto"/>
              <w:rPr>
                <w:rFonts w:ascii="宋体" w:hAnsi="宋体"/>
                <w:szCs w:val="21"/>
              </w:rPr>
            </w:pPr>
          </w:p>
        </w:tc>
        <w:tc>
          <w:tcPr>
            <w:tcW w:w="3811" w:type="dxa"/>
            <w:gridSpan w:val="2"/>
          </w:tcPr>
          <w:p w14:paraId="2CEBCEE2">
            <w:pPr>
              <w:spacing w:line="360" w:lineRule="auto"/>
              <w:rPr>
                <w:rFonts w:ascii="宋体" w:hAnsi="宋体"/>
                <w:szCs w:val="21"/>
              </w:rPr>
            </w:pPr>
          </w:p>
        </w:tc>
        <w:tc>
          <w:tcPr>
            <w:tcW w:w="1728" w:type="dxa"/>
          </w:tcPr>
          <w:p w14:paraId="1C32BDFF">
            <w:pPr>
              <w:spacing w:line="360" w:lineRule="auto"/>
              <w:rPr>
                <w:rFonts w:ascii="宋体" w:hAnsi="宋体"/>
                <w:szCs w:val="21"/>
              </w:rPr>
            </w:pPr>
          </w:p>
        </w:tc>
        <w:tc>
          <w:tcPr>
            <w:tcW w:w="2419" w:type="dxa"/>
          </w:tcPr>
          <w:p w14:paraId="560B3C5B">
            <w:pPr>
              <w:spacing w:line="360" w:lineRule="auto"/>
              <w:rPr>
                <w:rFonts w:ascii="宋体" w:hAnsi="宋体"/>
                <w:szCs w:val="21"/>
              </w:rPr>
            </w:pPr>
          </w:p>
        </w:tc>
      </w:tr>
      <w:tr w14:paraId="51E8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20" w:type="dxa"/>
          </w:tcPr>
          <w:p w14:paraId="4F8F276E">
            <w:pPr>
              <w:spacing w:line="360" w:lineRule="auto"/>
              <w:rPr>
                <w:rFonts w:ascii="宋体" w:hAnsi="宋体"/>
                <w:szCs w:val="21"/>
              </w:rPr>
            </w:pPr>
          </w:p>
        </w:tc>
        <w:tc>
          <w:tcPr>
            <w:tcW w:w="3811" w:type="dxa"/>
            <w:gridSpan w:val="2"/>
          </w:tcPr>
          <w:p w14:paraId="578728C7">
            <w:pPr>
              <w:spacing w:line="360" w:lineRule="auto"/>
              <w:rPr>
                <w:rFonts w:ascii="宋体" w:hAnsi="宋体"/>
                <w:szCs w:val="21"/>
              </w:rPr>
            </w:pPr>
          </w:p>
        </w:tc>
        <w:tc>
          <w:tcPr>
            <w:tcW w:w="1728" w:type="dxa"/>
          </w:tcPr>
          <w:p w14:paraId="47AF8179">
            <w:pPr>
              <w:spacing w:line="360" w:lineRule="auto"/>
              <w:rPr>
                <w:rFonts w:ascii="宋体" w:hAnsi="宋体"/>
                <w:szCs w:val="21"/>
              </w:rPr>
            </w:pPr>
          </w:p>
        </w:tc>
        <w:tc>
          <w:tcPr>
            <w:tcW w:w="2419" w:type="dxa"/>
          </w:tcPr>
          <w:p w14:paraId="2CEFFAF6">
            <w:pPr>
              <w:spacing w:line="360" w:lineRule="auto"/>
              <w:rPr>
                <w:rFonts w:ascii="宋体" w:hAnsi="宋体"/>
                <w:szCs w:val="21"/>
              </w:rPr>
            </w:pPr>
          </w:p>
        </w:tc>
      </w:tr>
      <w:tr w14:paraId="57CD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20" w:type="dxa"/>
          </w:tcPr>
          <w:p w14:paraId="0E54E80A">
            <w:pPr>
              <w:spacing w:line="360" w:lineRule="auto"/>
              <w:rPr>
                <w:rFonts w:ascii="宋体" w:hAnsi="宋体"/>
                <w:szCs w:val="21"/>
              </w:rPr>
            </w:pPr>
          </w:p>
        </w:tc>
        <w:tc>
          <w:tcPr>
            <w:tcW w:w="3811" w:type="dxa"/>
            <w:gridSpan w:val="2"/>
          </w:tcPr>
          <w:p w14:paraId="6136639E">
            <w:pPr>
              <w:spacing w:line="360" w:lineRule="auto"/>
              <w:rPr>
                <w:rFonts w:ascii="宋体" w:hAnsi="宋体"/>
                <w:szCs w:val="21"/>
              </w:rPr>
            </w:pPr>
          </w:p>
        </w:tc>
        <w:tc>
          <w:tcPr>
            <w:tcW w:w="1728" w:type="dxa"/>
          </w:tcPr>
          <w:p w14:paraId="0750D743">
            <w:pPr>
              <w:spacing w:line="360" w:lineRule="auto"/>
              <w:rPr>
                <w:rFonts w:ascii="宋体" w:hAnsi="宋体"/>
                <w:szCs w:val="21"/>
              </w:rPr>
            </w:pPr>
          </w:p>
        </w:tc>
        <w:tc>
          <w:tcPr>
            <w:tcW w:w="2419" w:type="dxa"/>
          </w:tcPr>
          <w:p w14:paraId="100711AE">
            <w:pPr>
              <w:spacing w:line="360" w:lineRule="auto"/>
              <w:rPr>
                <w:rFonts w:ascii="宋体" w:hAnsi="宋体"/>
                <w:szCs w:val="21"/>
              </w:rPr>
            </w:pPr>
          </w:p>
        </w:tc>
      </w:tr>
      <w:tr w14:paraId="7593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20" w:type="dxa"/>
          </w:tcPr>
          <w:p w14:paraId="54493059">
            <w:pPr>
              <w:spacing w:line="360" w:lineRule="auto"/>
              <w:rPr>
                <w:rFonts w:ascii="宋体" w:hAnsi="宋体"/>
                <w:szCs w:val="21"/>
              </w:rPr>
            </w:pPr>
          </w:p>
        </w:tc>
        <w:tc>
          <w:tcPr>
            <w:tcW w:w="3811" w:type="dxa"/>
            <w:gridSpan w:val="2"/>
          </w:tcPr>
          <w:p w14:paraId="1FB50C4D">
            <w:pPr>
              <w:spacing w:line="360" w:lineRule="auto"/>
              <w:rPr>
                <w:rFonts w:ascii="宋体" w:hAnsi="宋体"/>
                <w:szCs w:val="21"/>
              </w:rPr>
            </w:pPr>
          </w:p>
        </w:tc>
        <w:tc>
          <w:tcPr>
            <w:tcW w:w="1728" w:type="dxa"/>
          </w:tcPr>
          <w:p w14:paraId="112526F1">
            <w:pPr>
              <w:spacing w:line="360" w:lineRule="auto"/>
              <w:rPr>
                <w:rFonts w:ascii="宋体" w:hAnsi="宋体"/>
                <w:szCs w:val="21"/>
              </w:rPr>
            </w:pPr>
          </w:p>
        </w:tc>
        <w:tc>
          <w:tcPr>
            <w:tcW w:w="2419" w:type="dxa"/>
          </w:tcPr>
          <w:p w14:paraId="1B66D50A">
            <w:pPr>
              <w:spacing w:line="360" w:lineRule="auto"/>
              <w:rPr>
                <w:rFonts w:ascii="宋体" w:hAnsi="宋体"/>
                <w:szCs w:val="21"/>
              </w:rPr>
            </w:pPr>
          </w:p>
        </w:tc>
      </w:tr>
      <w:tr w14:paraId="2105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20" w:type="dxa"/>
          </w:tcPr>
          <w:p w14:paraId="4C90D768">
            <w:pPr>
              <w:spacing w:line="360" w:lineRule="auto"/>
              <w:rPr>
                <w:rFonts w:ascii="宋体" w:hAnsi="宋体"/>
                <w:szCs w:val="21"/>
              </w:rPr>
            </w:pPr>
          </w:p>
        </w:tc>
        <w:tc>
          <w:tcPr>
            <w:tcW w:w="3811" w:type="dxa"/>
            <w:gridSpan w:val="2"/>
          </w:tcPr>
          <w:p w14:paraId="04DBAF95">
            <w:pPr>
              <w:spacing w:line="360" w:lineRule="auto"/>
              <w:rPr>
                <w:rFonts w:ascii="宋体" w:hAnsi="宋体"/>
                <w:szCs w:val="21"/>
              </w:rPr>
            </w:pPr>
          </w:p>
        </w:tc>
        <w:tc>
          <w:tcPr>
            <w:tcW w:w="1728" w:type="dxa"/>
          </w:tcPr>
          <w:p w14:paraId="14FF7F88">
            <w:pPr>
              <w:spacing w:line="360" w:lineRule="auto"/>
              <w:rPr>
                <w:rFonts w:ascii="宋体" w:hAnsi="宋体"/>
                <w:szCs w:val="21"/>
              </w:rPr>
            </w:pPr>
          </w:p>
        </w:tc>
        <w:tc>
          <w:tcPr>
            <w:tcW w:w="2419" w:type="dxa"/>
          </w:tcPr>
          <w:p w14:paraId="6AB5B01F">
            <w:pPr>
              <w:spacing w:line="360" w:lineRule="auto"/>
              <w:rPr>
                <w:rFonts w:ascii="宋体" w:hAnsi="宋体"/>
                <w:szCs w:val="21"/>
              </w:rPr>
            </w:pPr>
          </w:p>
        </w:tc>
      </w:tr>
      <w:tr w14:paraId="5E27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20" w:type="dxa"/>
          </w:tcPr>
          <w:p w14:paraId="4745C4EA">
            <w:pPr>
              <w:spacing w:line="360" w:lineRule="auto"/>
              <w:rPr>
                <w:rFonts w:ascii="宋体" w:hAnsi="宋体"/>
                <w:szCs w:val="21"/>
              </w:rPr>
            </w:pPr>
          </w:p>
        </w:tc>
        <w:tc>
          <w:tcPr>
            <w:tcW w:w="3811" w:type="dxa"/>
            <w:gridSpan w:val="2"/>
          </w:tcPr>
          <w:p w14:paraId="470BD54A">
            <w:pPr>
              <w:spacing w:line="360" w:lineRule="auto"/>
              <w:rPr>
                <w:rFonts w:ascii="宋体" w:hAnsi="宋体"/>
                <w:szCs w:val="21"/>
              </w:rPr>
            </w:pPr>
          </w:p>
        </w:tc>
        <w:tc>
          <w:tcPr>
            <w:tcW w:w="1728" w:type="dxa"/>
          </w:tcPr>
          <w:p w14:paraId="0482F29A">
            <w:pPr>
              <w:spacing w:line="360" w:lineRule="auto"/>
              <w:rPr>
                <w:rFonts w:ascii="宋体" w:hAnsi="宋体"/>
                <w:szCs w:val="21"/>
              </w:rPr>
            </w:pPr>
          </w:p>
        </w:tc>
        <w:tc>
          <w:tcPr>
            <w:tcW w:w="2419" w:type="dxa"/>
          </w:tcPr>
          <w:p w14:paraId="206B8327">
            <w:pPr>
              <w:spacing w:line="360" w:lineRule="auto"/>
              <w:rPr>
                <w:rFonts w:ascii="宋体" w:hAnsi="宋体"/>
                <w:szCs w:val="21"/>
              </w:rPr>
            </w:pPr>
          </w:p>
        </w:tc>
      </w:tr>
      <w:tr w14:paraId="207C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20" w:type="dxa"/>
          </w:tcPr>
          <w:p w14:paraId="48E79C40">
            <w:pPr>
              <w:spacing w:line="360" w:lineRule="auto"/>
              <w:rPr>
                <w:rFonts w:ascii="宋体" w:hAnsi="宋体"/>
                <w:szCs w:val="21"/>
              </w:rPr>
            </w:pPr>
          </w:p>
        </w:tc>
        <w:tc>
          <w:tcPr>
            <w:tcW w:w="3811" w:type="dxa"/>
            <w:gridSpan w:val="2"/>
          </w:tcPr>
          <w:p w14:paraId="2BE707F5">
            <w:pPr>
              <w:spacing w:line="360" w:lineRule="auto"/>
              <w:rPr>
                <w:rFonts w:ascii="宋体" w:hAnsi="宋体"/>
                <w:szCs w:val="21"/>
              </w:rPr>
            </w:pPr>
          </w:p>
        </w:tc>
        <w:tc>
          <w:tcPr>
            <w:tcW w:w="1728" w:type="dxa"/>
          </w:tcPr>
          <w:p w14:paraId="50F3BE5D">
            <w:pPr>
              <w:spacing w:line="360" w:lineRule="auto"/>
              <w:rPr>
                <w:rFonts w:ascii="宋体" w:hAnsi="宋体"/>
                <w:szCs w:val="21"/>
              </w:rPr>
            </w:pPr>
          </w:p>
        </w:tc>
        <w:tc>
          <w:tcPr>
            <w:tcW w:w="2419" w:type="dxa"/>
          </w:tcPr>
          <w:p w14:paraId="0291970E">
            <w:pPr>
              <w:spacing w:line="360" w:lineRule="auto"/>
              <w:rPr>
                <w:rFonts w:ascii="宋体" w:hAnsi="宋体"/>
                <w:szCs w:val="21"/>
              </w:rPr>
            </w:pPr>
          </w:p>
        </w:tc>
      </w:tr>
      <w:tr w14:paraId="50C6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20" w:type="dxa"/>
          </w:tcPr>
          <w:p w14:paraId="2342B4D2">
            <w:pPr>
              <w:spacing w:line="360" w:lineRule="auto"/>
              <w:rPr>
                <w:rFonts w:ascii="宋体" w:hAnsi="宋体"/>
                <w:szCs w:val="21"/>
              </w:rPr>
            </w:pPr>
          </w:p>
        </w:tc>
        <w:tc>
          <w:tcPr>
            <w:tcW w:w="3811" w:type="dxa"/>
            <w:gridSpan w:val="2"/>
          </w:tcPr>
          <w:p w14:paraId="1E58BB38">
            <w:pPr>
              <w:spacing w:line="360" w:lineRule="auto"/>
              <w:rPr>
                <w:rFonts w:ascii="宋体" w:hAnsi="宋体"/>
                <w:szCs w:val="21"/>
              </w:rPr>
            </w:pPr>
          </w:p>
        </w:tc>
        <w:tc>
          <w:tcPr>
            <w:tcW w:w="1728" w:type="dxa"/>
          </w:tcPr>
          <w:p w14:paraId="6548B5A1">
            <w:pPr>
              <w:spacing w:line="360" w:lineRule="auto"/>
              <w:rPr>
                <w:rFonts w:ascii="宋体" w:hAnsi="宋体"/>
                <w:szCs w:val="21"/>
              </w:rPr>
            </w:pPr>
          </w:p>
        </w:tc>
        <w:tc>
          <w:tcPr>
            <w:tcW w:w="2419" w:type="dxa"/>
          </w:tcPr>
          <w:p w14:paraId="4182CFB2">
            <w:pPr>
              <w:spacing w:line="360" w:lineRule="auto"/>
              <w:rPr>
                <w:rFonts w:ascii="宋体" w:hAnsi="宋体"/>
                <w:szCs w:val="21"/>
              </w:rPr>
            </w:pPr>
          </w:p>
        </w:tc>
      </w:tr>
      <w:tr w14:paraId="5D72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20" w:type="dxa"/>
          </w:tcPr>
          <w:p w14:paraId="63164F09">
            <w:pPr>
              <w:spacing w:line="360" w:lineRule="auto"/>
              <w:rPr>
                <w:rFonts w:ascii="宋体" w:hAnsi="宋体"/>
                <w:szCs w:val="21"/>
              </w:rPr>
            </w:pPr>
          </w:p>
        </w:tc>
        <w:tc>
          <w:tcPr>
            <w:tcW w:w="3811" w:type="dxa"/>
            <w:gridSpan w:val="2"/>
          </w:tcPr>
          <w:p w14:paraId="77C4E70C">
            <w:pPr>
              <w:spacing w:line="360" w:lineRule="auto"/>
              <w:rPr>
                <w:rFonts w:ascii="宋体" w:hAnsi="宋体"/>
                <w:szCs w:val="21"/>
              </w:rPr>
            </w:pPr>
          </w:p>
        </w:tc>
        <w:tc>
          <w:tcPr>
            <w:tcW w:w="1728" w:type="dxa"/>
          </w:tcPr>
          <w:p w14:paraId="78BC1032">
            <w:pPr>
              <w:spacing w:line="360" w:lineRule="auto"/>
              <w:rPr>
                <w:rFonts w:ascii="宋体" w:hAnsi="宋体"/>
                <w:szCs w:val="21"/>
              </w:rPr>
            </w:pPr>
          </w:p>
        </w:tc>
        <w:tc>
          <w:tcPr>
            <w:tcW w:w="2419" w:type="dxa"/>
          </w:tcPr>
          <w:p w14:paraId="2A4538A9">
            <w:pPr>
              <w:spacing w:line="360" w:lineRule="auto"/>
              <w:rPr>
                <w:rFonts w:ascii="宋体" w:hAnsi="宋体"/>
                <w:szCs w:val="21"/>
              </w:rPr>
            </w:pPr>
          </w:p>
        </w:tc>
      </w:tr>
    </w:tbl>
    <w:p w14:paraId="0B3EF236">
      <w:r>
        <w:br w:type="page"/>
      </w:r>
    </w:p>
    <w:p w14:paraId="558283FE">
      <w:pPr>
        <w:pStyle w:val="14"/>
        <w:spacing w:line="480" w:lineRule="auto"/>
        <w:jc w:val="center"/>
        <w:rPr>
          <w:rFonts w:hint="eastAsia" w:ascii="新宋体" w:hAnsi="新宋体" w:eastAsia="新宋体"/>
          <w:b/>
          <w:sz w:val="32"/>
          <w:szCs w:val="32"/>
        </w:rPr>
      </w:pPr>
    </w:p>
    <w:p w14:paraId="7C310D21">
      <w:pPr>
        <w:pStyle w:val="14"/>
        <w:spacing w:line="480" w:lineRule="auto"/>
        <w:jc w:val="center"/>
        <w:rPr>
          <w:rFonts w:ascii="新宋体" w:hAnsi="新宋体" w:eastAsia="新宋体"/>
          <w:b/>
          <w:sz w:val="28"/>
          <w:szCs w:val="28"/>
        </w:rPr>
      </w:pPr>
      <w:r>
        <w:rPr>
          <w:rFonts w:hint="eastAsia" w:ascii="新宋体" w:hAnsi="新宋体" w:eastAsia="新宋体"/>
          <w:b/>
          <w:sz w:val="28"/>
          <w:szCs w:val="28"/>
        </w:rPr>
        <w:t>项目经理无在建工程承诺书</w:t>
      </w:r>
    </w:p>
    <w:p w14:paraId="46C7A28F">
      <w:pPr>
        <w:spacing w:line="360" w:lineRule="auto"/>
        <w:rPr>
          <w:rFonts w:ascii="宋体" w:hAnsi="宋体"/>
          <w:sz w:val="24"/>
        </w:rPr>
      </w:pPr>
    </w:p>
    <w:p w14:paraId="015272E4">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cs="宋体"/>
          <w:sz w:val="24"/>
        </w:rPr>
        <w:t>（采购人名称）</w:t>
      </w:r>
    </w:p>
    <w:p w14:paraId="3BA64D22">
      <w:pPr>
        <w:spacing w:line="360" w:lineRule="auto"/>
        <w:rPr>
          <w:rFonts w:ascii="宋体" w:hAnsi="宋体"/>
          <w:sz w:val="24"/>
        </w:rPr>
      </w:pPr>
    </w:p>
    <w:p w14:paraId="27A1CC5C">
      <w:pPr>
        <w:spacing w:line="360" w:lineRule="auto"/>
        <w:ind w:firstLine="540" w:firstLineChars="225"/>
        <w:rPr>
          <w:rFonts w:ascii="宋体" w:hAnsi="宋体"/>
          <w:sz w:val="24"/>
        </w:rPr>
      </w:pPr>
      <w:r>
        <w:rPr>
          <w:rFonts w:hint="eastAsia" w:ascii="宋体" w:hAnsi="宋体"/>
          <w:sz w:val="24"/>
        </w:rPr>
        <w:t>我方在此声明，我方拟派往</w:t>
      </w:r>
      <w:r>
        <w:rPr>
          <w:rFonts w:hint="eastAsia" w:ascii="宋体" w:hAnsi="宋体"/>
          <w:sz w:val="24"/>
          <w:u w:val="single"/>
        </w:rPr>
        <w:t xml:space="preserve">                          </w:t>
      </w:r>
      <w:r>
        <w:rPr>
          <w:rFonts w:hint="eastAsia" w:ascii="宋体" w:hAnsi="宋体"/>
          <w:sz w:val="24"/>
        </w:rPr>
        <w:t>（项目名称）的项目经理(建造师)</w:t>
      </w:r>
      <w:r>
        <w:rPr>
          <w:rFonts w:hint="eastAsia" w:ascii="宋体" w:hAnsi="宋体"/>
          <w:sz w:val="24"/>
          <w:u w:val="single"/>
        </w:rPr>
        <w:t xml:space="preserve">      （姓名） </w:t>
      </w:r>
      <w:r>
        <w:rPr>
          <w:rFonts w:hint="eastAsia" w:ascii="宋体" w:hAnsi="宋体"/>
          <w:sz w:val="24"/>
        </w:rPr>
        <w:t>现阶段无在建工程。</w:t>
      </w:r>
    </w:p>
    <w:p w14:paraId="7B38DA72">
      <w:pPr>
        <w:spacing w:line="360" w:lineRule="auto"/>
        <w:ind w:firstLine="540" w:firstLineChars="225"/>
        <w:rPr>
          <w:rFonts w:ascii="宋体" w:hAnsi="宋体"/>
          <w:sz w:val="24"/>
        </w:rPr>
      </w:pPr>
      <w:r>
        <w:rPr>
          <w:rFonts w:hint="eastAsia" w:ascii="宋体" w:hAnsi="宋体"/>
          <w:sz w:val="24"/>
        </w:rPr>
        <w:t>我方保证上述信息的真实和准确，并愿意承担因我方就此弄虚作假引起的一切法律后果。</w:t>
      </w:r>
    </w:p>
    <w:p w14:paraId="6E07EA4D">
      <w:pPr>
        <w:spacing w:line="360" w:lineRule="auto"/>
        <w:ind w:firstLine="540" w:firstLineChars="225"/>
        <w:rPr>
          <w:rFonts w:ascii="宋体" w:hAnsi="宋体"/>
          <w:sz w:val="24"/>
        </w:rPr>
      </w:pPr>
    </w:p>
    <w:p w14:paraId="5FD382D1">
      <w:pPr>
        <w:spacing w:line="500" w:lineRule="exact"/>
        <w:ind w:firstLine="616" w:firstLineChars="257"/>
        <w:rPr>
          <w:sz w:val="24"/>
        </w:rPr>
      </w:pPr>
      <w:r>
        <w:rPr>
          <w:rFonts w:hint="eastAsia" w:ascii="宋体" w:hAnsi="宋体"/>
          <w:sz w:val="24"/>
        </w:rPr>
        <w:t>特此承诺。</w:t>
      </w:r>
    </w:p>
    <w:p w14:paraId="358AF372">
      <w:pPr>
        <w:spacing w:line="500" w:lineRule="exact"/>
        <w:ind w:firstLine="616" w:firstLineChars="257"/>
        <w:rPr>
          <w:sz w:val="24"/>
        </w:rPr>
      </w:pPr>
    </w:p>
    <w:p w14:paraId="3E62352E">
      <w:pPr>
        <w:spacing w:line="500" w:lineRule="exact"/>
        <w:ind w:firstLine="616" w:firstLineChars="257"/>
        <w:rPr>
          <w:sz w:val="24"/>
        </w:rPr>
      </w:pPr>
    </w:p>
    <w:p w14:paraId="7FF7CA95">
      <w:pPr>
        <w:spacing w:line="500" w:lineRule="exact"/>
        <w:ind w:firstLine="616" w:firstLineChars="257"/>
        <w:rPr>
          <w:sz w:val="24"/>
        </w:rPr>
      </w:pPr>
    </w:p>
    <w:p w14:paraId="31F0B5D4">
      <w:pPr>
        <w:spacing w:line="500" w:lineRule="exact"/>
        <w:ind w:firstLine="616" w:firstLineChars="257"/>
        <w:rPr>
          <w:sz w:val="24"/>
        </w:rPr>
      </w:pPr>
    </w:p>
    <w:p w14:paraId="50DAA6D7">
      <w:pPr>
        <w:spacing w:line="500" w:lineRule="exact"/>
        <w:ind w:firstLine="616" w:firstLineChars="257"/>
        <w:rPr>
          <w:sz w:val="24"/>
        </w:rPr>
      </w:pPr>
    </w:p>
    <w:p w14:paraId="2C398B52">
      <w:pPr>
        <w:spacing w:line="500" w:lineRule="exact"/>
        <w:ind w:firstLine="3420" w:firstLineChars="1425"/>
        <w:rPr>
          <w:sz w:val="24"/>
        </w:rPr>
      </w:pPr>
      <w:r>
        <w:rPr>
          <w:rFonts w:hint="eastAsia"/>
          <w:sz w:val="24"/>
        </w:rPr>
        <w:t>供应商：</w:t>
      </w:r>
      <w:r>
        <w:rPr>
          <w:rFonts w:hint="eastAsia" w:ascii="新宋体" w:hAnsi="新宋体" w:eastAsia="新宋体"/>
          <w:sz w:val="24"/>
          <w:u w:val="single"/>
        </w:rPr>
        <w:t xml:space="preserve">                            </w:t>
      </w:r>
      <w:r>
        <w:rPr>
          <w:rFonts w:hint="eastAsia"/>
          <w:sz w:val="24"/>
        </w:rPr>
        <w:t>（单位盖章）</w:t>
      </w:r>
    </w:p>
    <w:p w14:paraId="506A6152">
      <w:pPr>
        <w:spacing w:line="500" w:lineRule="exact"/>
        <w:ind w:firstLine="3420" w:firstLineChars="1425"/>
        <w:rPr>
          <w:sz w:val="24"/>
        </w:rPr>
      </w:pPr>
    </w:p>
    <w:p w14:paraId="4A7D851A">
      <w:pPr>
        <w:spacing w:line="500" w:lineRule="exact"/>
        <w:ind w:firstLine="3420" w:firstLineChars="1425"/>
        <w:rPr>
          <w:sz w:val="24"/>
        </w:rPr>
      </w:pPr>
      <w:r>
        <w:rPr>
          <w:rFonts w:hint="eastAsia"/>
          <w:sz w:val="24"/>
        </w:rPr>
        <w:t>法定代表人或其委托代理人：</w:t>
      </w:r>
      <w:r>
        <w:rPr>
          <w:rFonts w:hint="eastAsia"/>
          <w:sz w:val="24"/>
          <w:u w:val="single"/>
        </w:rPr>
        <w:t xml:space="preserve">         </w:t>
      </w:r>
      <w:r>
        <w:rPr>
          <w:rFonts w:hint="eastAsia"/>
          <w:sz w:val="24"/>
        </w:rPr>
        <w:t>（印章或签字）</w:t>
      </w:r>
    </w:p>
    <w:p w14:paraId="4BAC413C">
      <w:pPr>
        <w:spacing w:line="500" w:lineRule="exact"/>
        <w:ind w:firstLine="3420" w:firstLineChars="1425"/>
        <w:rPr>
          <w:sz w:val="24"/>
        </w:rPr>
      </w:pPr>
    </w:p>
    <w:p w14:paraId="6F95FE99">
      <w:pPr>
        <w:pStyle w:val="14"/>
        <w:spacing w:line="480" w:lineRule="auto"/>
        <w:ind w:firstLine="3360"/>
        <w:rPr>
          <w:rFonts w:hAnsi="宋体"/>
          <w:szCs w:val="21"/>
        </w:rPr>
      </w:pPr>
      <w:r>
        <w:rPr>
          <w:rFonts w:hint="eastAsia" w:hAnsi="宋体" w:cs="宋体"/>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5DA832E4">
      <w:pPr>
        <w:pStyle w:val="14"/>
        <w:spacing w:line="360" w:lineRule="auto"/>
        <w:jc w:val="left"/>
        <w:rPr>
          <w:rFonts w:hint="eastAsia"/>
          <w:b/>
          <w:bCs/>
          <w:sz w:val="24"/>
          <w:szCs w:val="24"/>
        </w:rPr>
      </w:pPr>
    </w:p>
    <w:p w14:paraId="3E6F5004">
      <w:pPr>
        <w:rPr>
          <w:rFonts w:hint="eastAsia"/>
          <w:b/>
          <w:bCs/>
          <w:sz w:val="24"/>
          <w:szCs w:val="24"/>
        </w:rPr>
      </w:pPr>
      <w:r>
        <w:rPr>
          <w:rFonts w:hint="eastAsia"/>
          <w:b/>
          <w:bCs/>
          <w:sz w:val="24"/>
          <w:szCs w:val="24"/>
        </w:rPr>
        <w:br w:type="page"/>
      </w:r>
    </w:p>
    <w:p w14:paraId="0439E8C6">
      <w:pPr>
        <w:numPr>
          <w:ilvl w:val="0"/>
          <w:numId w:val="0"/>
        </w:numPr>
        <w:spacing w:line="360" w:lineRule="auto"/>
        <w:ind w:leftChars="0"/>
        <w:jc w:val="both"/>
        <w:rPr>
          <w:rFonts w:hint="eastAsia"/>
          <w:b/>
          <w:bCs/>
          <w:sz w:val="24"/>
          <w:szCs w:val="24"/>
          <w:lang w:val="en-US" w:eastAsia="zh-CN"/>
        </w:rPr>
      </w:pPr>
    </w:p>
    <w:p w14:paraId="53CF4EAC">
      <w:pPr>
        <w:numPr>
          <w:ilvl w:val="0"/>
          <w:numId w:val="9"/>
        </w:numPr>
        <w:spacing w:line="360" w:lineRule="auto"/>
        <w:ind w:left="0" w:leftChars="0" w:firstLine="0" w:firstLineChars="0"/>
        <w:jc w:val="center"/>
        <w:rPr>
          <w:rFonts w:hint="eastAsia"/>
          <w:b/>
          <w:bCs/>
          <w:sz w:val="28"/>
          <w:szCs w:val="28"/>
          <w:lang w:val="en-US" w:eastAsia="zh-CN"/>
        </w:rPr>
      </w:pPr>
      <w:r>
        <w:rPr>
          <w:rFonts w:hint="eastAsia"/>
          <w:b/>
          <w:bCs/>
          <w:sz w:val="28"/>
          <w:szCs w:val="28"/>
          <w:lang w:val="en-US" w:eastAsia="zh-CN"/>
        </w:rPr>
        <w:t>其他人员</w:t>
      </w:r>
    </w:p>
    <w:p w14:paraId="57607572">
      <w:pPr>
        <w:numPr>
          <w:ilvl w:val="0"/>
          <w:numId w:val="0"/>
        </w:numPr>
        <w:spacing w:line="360" w:lineRule="auto"/>
        <w:rPr>
          <w:rFonts w:hint="eastAsia" w:ascii="宋体" w:hAnsi="宋体"/>
          <w:szCs w:val="21"/>
        </w:rPr>
      </w:pPr>
    </w:p>
    <w:p w14:paraId="494B2B69">
      <w:pPr>
        <w:numPr>
          <w:ilvl w:val="0"/>
          <w:numId w:val="0"/>
        </w:numPr>
        <w:spacing w:line="360" w:lineRule="auto"/>
        <w:rPr>
          <w:rFonts w:hint="eastAsia" w:ascii="宋体" w:hAnsi="宋体"/>
          <w:szCs w:val="21"/>
        </w:rPr>
      </w:pPr>
      <w:r>
        <w:rPr>
          <w:rFonts w:hint="eastAsia" w:ascii="宋体" w:hAnsi="宋体"/>
          <w:szCs w:val="21"/>
        </w:rPr>
        <w:t>技术负责人应附身份证、职称证</w:t>
      </w:r>
      <w:r>
        <w:rPr>
          <w:rFonts w:hint="eastAsia" w:ascii="宋体" w:hAnsi="宋体"/>
          <w:szCs w:val="21"/>
          <w:lang w:eastAsia="zh-CN"/>
        </w:rPr>
        <w:t>、</w:t>
      </w:r>
      <w:r>
        <w:rPr>
          <w:rFonts w:hint="eastAsia" w:ascii="宋体" w:hAnsi="宋体"/>
          <w:szCs w:val="21"/>
          <w:lang w:val="en-US" w:eastAsia="zh-CN"/>
        </w:rPr>
        <w:t>社保证明等。</w:t>
      </w:r>
    </w:p>
    <w:p w14:paraId="4F874DFD">
      <w:pPr>
        <w:numPr>
          <w:ilvl w:val="0"/>
          <w:numId w:val="0"/>
        </w:numPr>
        <w:spacing w:line="360" w:lineRule="auto"/>
        <w:rPr>
          <w:rFonts w:hint="eastAsia" w:ascii="宋体" w:hAnsi="宋体"/>
          <w:szCs w:val="21"/>
        </w:rPr>
      </w:pPr>
      <w:r>
        <w:rPr>
          <w:rFonts w:hint="eastAsia" w:ascii="宋体" w:hAnsi="宋体"/>
          <w:szCs w:val="21"/>
        </w:rPr>
        <w:t>其他主要人员应附身份证、岗位证书</w:t>
      </w:r>
      <w:r>
        <w:rPr>
          <w:rFonts w:hint="eastAsia" w:ascii="宋体" w:hAnsi="宋体"/>
          <w:szCs w:val="21"/>
          <w:lang w:eastAsia="zh-CN"/>
        </w:rPr>
        <w:t>、</w:t>
      </w:r>
      <w:r>
        <w:rPr>
          <w:rFonts w:hint="eastAsia" w:ascii="宋体" w:hAnsi="宋体"/>
          <w:szCs w:val="21"/>
          <w:lang w:val="en-US" w:eastAsia="zh-CN"/>
        </w:rPr>
        <w:t>社保证明</w:t>
      </w:r>
      <w:r>
        <w:rPr>
          <w:rFonts w:hint="eastAsia" w:ascii="宋体" w:hAnsi="宋体"/>
          <w:szCs w:val="21"/>
        </w:rPr>
        <w:t>等。</w:t>
      </w:r>
    </w:p>
    <w:p w14:paraId="2FF016AA">
      <w:pPr>
        <w:numPr>
          <w:ilvl w:val="0"/>
          <w:numId w:val="0"/>
        </w:numPr>
        <w:spacing w:line="360" w:lineRule="auto"/>
        <w:rPr>
          <w:rFonts w:hint="eastAsia" w:ascii="宋体" w:hAnsi="宋体" w:eastAsiaTheme="minorEastAsia"/>
          <w:szCs w:val="21"/>
          <w:lang w:eastAsia="zh-CN"/>
        </w:rPr>
      </w:pPr>
      <w:r>
        <w:rPr>
          <w:rFonts w:hint="eastAsia" w:ascii="宋体" w:hAnsi="宋体"/>
          <w:b/>
          <w:szCs w:val="21"/>
          <w:lang w:val="en-US" w:eastAsia="zh-CN"/>
        </w:rPr>
        <w:t>注：</w:t>
      </w:r>
      <w:r>
        <w:rPr>
          <w:rFonts w:hint="eastAsia" w:ascii="宋体" w:hAnsi="宋体"/>
          <w:b/>
          <w:szCs w:val="21"/>
        </w:rPr>
        <w:t>按照项目管理机构组成表的顺序依次排列</w:t>
      </w:r>
      <w:r>
        <w:rPr>
          <w:rFonts w:hint="eastAsia" w:ascii="宋体" w:hAnsi="宋体"/>
          <w:b/>
          <w:szCs w:val="21"/>
          <w:lang w:eastAsia="zh-CN"/>
        </w:rPr>
        <w:t>。</w:t>
      </w:r>
    </w:p>
    <w:p w14:paraId="05BDB459">
      <w:pPr>
        <w:rPr>
          <w:rFonts w:hint="eastAsia"/>
          <w:b/>
          <w:bCs/>
          <w:sz w:val="24"/>
          <w:szCs w:val="24"/>
        </w:rPr>
      </w:pPr>
      <w:r>
        <w:rPr>
          <w:rFonts w:hint="eastAsia"/>
          <w:b/>
          <w:bCs/>
          <w:sz w:val="24"/>
          <w:szCs w:val="24"/>
        </w:rPr>
        <w:br w:type="page"/>
      </w:r>
    </w:p>
    <w:p w14:paraId="112D1CC3">
      <w:pPr>
        <w:pStyle w:val="14"/>
        <w:numPr>
          <w:ilvl w:val="0"/>
          <w:numId w:val="8"/>
        </w:numPr>
        <w:spacing w:line="360" w:lineRule="auto"/>
        <w:ind w:left="0" w:leftChars="0" w:firstLine="0" w:firstLineChars="0"/>
        <w:jc w:val="center"/>
        <w:rPr>
          <w:rFonts w:hint="eastAsia"/>
          <w:b/>
          <w:bCs/>
          <w:sz w:val="28"/>
          <w:szCs w:val="28"/>
          <w:lang w:val="en-US" w:eastAsia="zh-CN"/>
        </w:rPr>
      </w:pPr>
      <w:r>
        <w:rPr>
          <w:rFonts w:hint="eastAsia"/>
          <w:b/>
          <w:bCs/>
          <w:sz w:val="28"/>
          <w:szCs w:val="28"/>
          <w:lang w:val="en-US" w:eastAsia="zh-CN"/>
        </w:rPr>
        <w:t>信誉要求</w:t>
      </w:r>
    </w:p>
    <w:p w14:paraId="35081AC8">
      <w:pPr>
        <w:widowControl/>
        <w:autoSpaceDE w:val="0"/>
        <w:autoSpaceDN w:val="0"/>
        <w:adjustRightInd w:val="0"/>
        <w:spacing w:line="400" w:lineRule="exact"/>
        <w:jc w:val="center"/>
        <w:rPr>
          <w:rFonts w:hint="eastAsia" w:ascii="宋体" w:hAnsi="宋体" w:cs="宋体"/>
          <w:b/>
          <w:bCs/>
          <w:kern w:val="0"/>
          <w:sz w:val="28"/>
          <w:szCs w:val="20"/>
          <w:lang w:val="en-US" w:eastAsia="zh-CN"/>
        </w:rPr>
      </w:pPr>
    </w:p>
    <w:p w14:paraId="66E352D8">
      <w:pPr>
        <w:widowControl/>
        <w:autoSpaceDE w:val="0"/>
        <w:autoSpaceDN w:val="0"/>
        <w:adjustRightInd w:val="0"/>
        <w:spacing w:line="400" w:lineRule="exact"/>
        <w:jc w:val="center"/>
        <w:rPr>
          <w:rFonts w:ascii="宋体" w:hAnsi="宋体" w:cs="宋体"/>
          <w:b/>
          <w:bCs/>
          <w:kern w:val="0"/>
          <w:sz w:val="28"/>
          <w:szCs w:val="20"/>
        </w:rPr>
      </w:pPr>
      <w:r>
        <w:rPr>
          <w:rFonts w:hint="eastAsia" w:ascii="宋体" w:hAnsi="宋体" w:cs="宋体"/>
          <w:b/>
          <w:bCs/>
          <w:kern w:val="0"/>
          <w:sz w:val="28"/>
          <w:szCs w:val="20"/>
          <w:lang w:val="en-US" w:eastAsia="zh-CN"/>
        </w:rPr>
        <w:t>信誉</w:t>
      </w:r>
      <w:r>
        <w:rPr>
          <w:rFonts w:hint="eastAsia" w:ascii="宋体" w:hAnsi="宋体" w:cs="宋体"/>
          <w:b/>
          <w:bCs/>
          <w:kern w:val="0"/>
          <w:sz w:val="28"/>
          <w:szCs w:val="20"/>
        </w:rPr>
        <w:t>承诺书</w:t>
      </w:r>
    </w:p>
    <w:p w14:paraId="0F5D1173">
      <w:pPr>
        <w:pStyle w:val="22"/>
        <w:spacing w:line="360" w:lineRule="auto"/>
        <w:rPr>
          <w:rFonts w:hint="eastAsia"/>
          <w:sz w:val="24"/>
        </w:rPr>
      </w:pPr>
    </w:p>
    <w:p w14:paraId="1D94E699">
      <w:pPr>
        <w:pStyle w:val="22"/>
        <w:spacing w:line="360" w:lineRule="auto"/>
        <w:rPr>
          <w:sz w:val="24"/>
        </w:rPr>
      </w:pPr>
      <w:r>
        <w:rPr>
          <w:rFonts w:hint="eastAsia"/>
          <w:sz w:val="24"/>
        </w:rPr>
        <w:t>我公司承诺如下：</w:t>
      </w:r>
    </w:p>
    <w:p w14:paraId="28E906A6">
      <w:pPr>
        <w:pStyle w:val="22"/>
        <w:spacing w:line="360" w:lineRule="auto"/>
        <w:ind w:left="0" w:leftChars="0" w:firstLine="420" w:firstLineChars="175"/>
        <w:rPr>
          <w:rFonts w:hint="eastAsia"/>
          <w:sz w:val="24"/>
        </w:rPr>
      </w:pPr>
      <w:r>
        <w:rPr>
          <w:rFonts w:hint="eastAsia"/>
          <w:sz w:val="24"/>
        </w:rPr>
        <w:t>1.未被最高人民法院在“信用中国”网站列入失信被执行人和重大税收违法案件当事人名单、未被中国政府采购网列入政府采购严重违法失信行为记录名单。</w:t>
      </w:r>
    </w:p>
    <w:p w14:paraId="3F95E6A5">
      <w:pPr>
        <w:pStyle w:val="22"/>
        <w:numPr>
          <w:ilvl w:val="0"/>
          <w:numId w:val="0"/>
        </w:numPr>
        <w:spacing w:line="360" w:lineRule="auto"/>
        <w:ind w:left="0" w:leftChars="0" w:firstLine="420" w:firstLineChars="175"/>
        <w:rPr>
          <w:rFonts w:hint="eastAsia"/>
          <w:sz w:val="24"/>
        </w:rPr>
      </w:pPr>
      <w:r>
        <w:rPr>
          <w:rFonts w:hint="eastAsia"/>
          <w:sz w:val="24"/>
          <w:lang w:val="en-US" w:eastAsia="zh-CN"/>
        </w:rPr>
        <w:t>2.</w:t>
      </w:r>
      <w:r>
        <w:rPr>
          <w:rFonts w:hint="eastAsia"/>
          <w:sz w:val="24"/>
        </w:rPr>
        <w:t>参加政府采购活动前三年内，在经营活动中没有重大违法记录。</w:t>
      </w:r>
    </w:p>
    <w:p w14:paraId="489C5190">
      <w:pPr>
        <w:pStyle w:val="22"/>
        <w:spacing w:line="360" w:lineRule="auto"/>
        <w:ind w:left="0" w:leftChars="0" w:firstLine="420" w:firstLineChars="175"/>
        <w:rPr>
          <w:sz w:val="24"/>
        </w:rPr>
      </w:pPr>
      <w:r>
        <w:rPr>
          <w:rFonts w:hint="eastAsia"/>
          <w:sz w:val="24"/>
          <w:lang w:val="en-US" w:eastAsia="zh-CN"/>
        </w:rPr>
        <w:t>3.</w:t>
      </w:r>
      <w:r>
        <w:rPr>
          <w:rFonts w:hint="eastAsia"/>
          <w:sz w:val="24"/>
        </w:rPr>
        <w:t>未被列入政府取消投标资格记录期间。</w:t>
      </w:r>
    </w:p>
    <w:p w14:paraId="0268B790">
      <w:pPr>
        <w:pStyle w:val="22"/>
        <w:spacing w:line="360" w:lineRule="auto"/>
        <w:rPr>
          <w:sz w:val="24"/>
        </w:rPr>
      </w:pPr>
    </w:p>
    <w:p w14:paraId="7F12561B">
      <w:pPr>
        <w:pStyle w:val="22"/>
        <w:spacing w:line="360" w:lineRule="auto"/>
        <w:rPr>
          <w:sz w:val="21"/>
        </w:rPr>
      </w:pPr>
    </w:p>
    <w:p w14:paraId="759B1B47">
      <w:pPr>
        <w:spacing w:line="360" w:lineRule="auto"/>
        <w:ind w:right="480" w:firstLine="720" w:firstLineChars="300"/>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（单位盖章）</w:t>
      </w:r>
    </w:p>
    <w:p w14:paraId="6DABF508">
      <w:pPr>
        <w:pStyle w:val="22"/>
      </w:pPr>
    </w:p>
    <w:p w14:paraId="173CC853">
      <w:pPr>
        <w:spacing w:line="360" w:lineRule="auto"/>
        <w:ind w:right="480"/>
        <w:jc w:val="left"/>
        <w:rPr>
          <w:rFonts w:ascii="宋体" w:hAnsi="宋体"/>
          <w:sz w:val="24"/>
        </w:rPr>
      </w:pPr>
      <w:r>
        <w:rPr>
          <w:rFonts w:hint="eastAsia" w:ascii="宋体" w:hAnsi="宋体"/>
          <w:sz w:val="24"/>
        </w:rPr>
        <w:t xml:space="preserve">      法定代表人（负责人）或其委托代理人：</w:t>
      </w:r>
      <w:r>
        <w:rPr>
          <w:rFonts w:hint="eastAsia" w:ascii="宋体" w:hAnsi="宋体"/>
          <w:sz w:val="24"/>
          <w:u w:val="single"/>
        </w:rPr>
        <w:t xml:space="preserve">          </w:t>
      </w:r>
      <w:r>
        <w:rPr>
          <w:rFonts w:hint="eastAsia" w:ascii="宋体" w:hAnsi="宋体"/>
          <w:sz w:val="24"/>
        </w:rPr>
        <w:t>（印章或签字）</w:t>
      </w:r>
    </w:p>
    <w:p w14:paraId="7651BD9B">
      <w:pPr>
        <w:spacing w:line="360" w:lineRule="auto"/>
        <w:jc w:val="right"/>
        <w:rPr>
          <w:rFonts w:ascii="宋体" w:hAnsi="宋体"/>
          <w:sz w:val="24"/>
        </w:rPr>
      </w:pPr>
    </w:p>
    <w:p w14:paraId="1683C594">
      <w:pPr>
        <w:spacing w:line="400" w:lineRule="exact"/>
        <w:jc w:val="center"/>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BDCCB01">
      <w:pPr>
        <w:pStyle w:val="14"/>
        <w:numPr>
          <w:ilvl w:val="0"/>
          <w:numId w:val="0"/>
        </w:numPr>
        <w:spacing w:line="360" w:lineRule="auto"/>
        <w:ind w:leftChars="0"/>
        <w:jc w:val="left"/>
        <w:rPr>
          <w:rFonts w:hint="eastAsia"/>
          <w:b/>
          <w:bCs/>
          <w:sz w:val="24"/>
          <w:szCs w:val="24"/>
        </w:rPr>
      </w:pPr>
    </w:p>
    <w:p w14:paraId="1DE77F21">
      <w:pPr>
        <w:pStyle w:val="14"/>
        <w:numPr>
          <w:ilvl w:val="0"/>
          <w:numId w:val="0"/>
        </w:numPr>
        <w:spacing w:line="360" w:lineRule="auto"/>
        <w:ind w:leftChars="0"/>
        <w:jc w:val="left"/>
        <w:rPr>
          <w:rFonts w:hint="eastAsia" w:eastAsia="宋体" w:cs="Times New Roman"/>
          <w:b/>
          <w:bCs/>
          <w:sz w:val="24"/>
          <w:szCs w:val="24"/>
          <w:lang w:val="en-US" w:eastAsia="zh-CN"/>
        </w:rPr>
      </w:pPr>
    </w:p>
    <w:p w14:paraId="0977960E">
      <w:pPr>
        <w:pStyle w:val="14"/>
        <w:numPr>
          <w:ilvl w:val="0"/>
          <w:numId w:val="0"/>
        </w:numPr>
        <w:spacing w:line="360" w:lineRule="auto"/>
        <w:ind w:leftChars="0"/>
        <w:jc w:val="left"/>
        <w:rPr>
          <w:rFonts w:hint="eastAsia" w:eastAsia="宋体" w:cs="Times New Roman"/>
          <w:b/>
          <w:bCs/>
          <w:sz w:val="24"/>
          <w:szCs w:val="24"/>
        </w:rPr>
      </w:pPr>
      <w:r>
        <w:rPr>
          <w:rFonts w:hint="eastAsia" w:eastAsia="宋体" w:cs="Times New Roman"/>
          <w:b/>
          <w:bCs/>
          <w:sz w:val="24"/>
          <w:szCs w:val="24"/>
          <w:lang w:val="en-US" w:eastAsia="zh-CN"/>
        </w:rPr>
        <w:t>附：</w:t>
      </w:r>
      <w:r>
        <w:rPr>
          <w:rFonts w:hint="eastAsia" w:eastAsia="宋体" w:cs="Times New Roman"/>
          <w:b/>
          <w:bCs/>
          <w:sz w:val="24"/>
          <w:szCs w:val="24"/>
        </w:rPr>
        <w:t>未被最高人民法院在“信用中国”网站列入失信被执行人和重大税收违法案件当事人名单</w:t>
      </w:r>
      <w:r>
        <w:rPr>
          <w:rFonts w:hint="eastAsia" w:eastAsia="宋体" w:cs="Times New Roman"/>
          <w:b/>
          <w:bCs/>
          <w:sz w:val="24"/>
          <w:szCs w:val="24"/>
          <w:lang w:val="en-US" w:eastAsia="zh-CN"/>
        </w:rPr>
        <w:t>查询</w:t>
      </w:r>
      <w:r>
        <w:rPr>
          <w:rFonts w:hint="eastAsia" w:eastAsia="宋体" w:cs="Times New Roman"/>
          <w:b/>
          <w:bCs/>
          <w:sz w:val="24"/>
          <w:szCs w:val="24"/>
        </w:rPr>
        <w:t>截图、未被中国政府采购网列入政府采购严重违法失信行为记录名单</w:t>
      </w:r>
      <w:r>
        <w:rPr>
          <w:rFonts w:hint="eastAsia" w:eastAsia="宋体" w:cs="Times New Roman"/>
          <w:b/>
          <w:bCs/>
          <w:sz w:val="24"/>
          <w:szCs w:val="24"/>
          <w:lang w:val="en-US" w:eastAsia="zh-CN"/>
        </w:rPr>
        <w:t>查询</w:t>
      </w:r>
      <w:r>
        <w:rPr>
          <w:rFonts w:hint="eastAsia" w:eastAsia="宋体" w:cs="Times New Roman"/>
          <w:b/>
          <w:bCs/>
          <w:sz w:val="24"/>
          <w:szCs w:val="24"/>
        </w:rPr>
        <w:t>截图。</w:t>
      </w:r>
    </w:p>
    <w:p w14:paraId="11FE40E4">
      <w:pPr>
        <w:pStyle w:val="22"/>
      </w:pPr>
    </w:p>
    <w:p w14:paraId="1C0D10DC">
      <w:pPr>
        <w:pStyle w:val="14"/>
        <w:jc w:val="center"/>
      </w:pPr>
    </w:p>
    <w:p w14:paraId="6FAD4BFE">
      <w:pPr>
        <w:pStyle w:val="22"/>
      </w:pPr>
    </w:p>
    <w:p w14:paraId="518CA94B">
      <w:pPr>
        <w:pStyle w:val="22"/>
      </w:pPr>
    </w:p>
    <w:p w14:paraId="5319AB65">
      <w:pPr>
        <w:pStyle w:val="22"/>
      </w:pPr>
    </w:p>
    <w:p w14:paraId="62DD5E94">
      <w:pPr>
        <w:pStyle w:val="22"/>
      </w:pPr>
    </w:p>
    <w:p w14:paraId="0B3B53AB">
      <w:pPr>
        <w:spacing w:line="360" w:lineRule="auto"/>
        <w:jc w:val="center"/>
      </w:pPr>
    </w:p>
    <w:p w14:paraId="53A67067">
      <w:pPr>
        <w:spacing w:line="360" w:lineRule="auto"/>
        <w:jc w:val="center"/>
      </w:pPr>
    </w:p>
    <w:p w14:paraId="43C708F0">
      <w:pPr>
        <w:rPr>
          <w:rFonts w:hint="eastAsia"/>
          <w:b/>
          <w:bCs/>
          <w:sz w:val="24"/>
          <w:szCs w:val="24"/>
          <w:lang w:val="en-US" w:eastAsia="zh-CN"/>
        </w:rPr>
      </w:pPr>
      <w:r>
        <w:rPr>
          <w:rFonts w:hint="eastAsia"/>
          <w:b/>
          <w:bCs/>
          <w:sz w:val="24"/>
          <w:szCs w:val="24"/>
          <w:lang w:val="en-US" w:eastAsia="zh-CN"/>
        </w:rPr>
        <w:br w:type="page"/>
      </w:r>
    </w:p>
    <w:p w14:paraId="4071AD7F">
      <w:pPr>
        <w:pStyle w:val="14"/>
        <w:numPr>
          <w:ilvl w:val="0"/>
          <w:numId w:val="0"/>
        </w:numPr>
        <w:spacing w:line="360" w:lineRule="auto"/>
        <w:ind w:leftChars="0"/>
        <w:jc w:val="both"/>
        <w:rPr>
          <w:rFonts w:hint="eastAsia"/>
          <w:b/>
          <w:bCs/>
          <w:sz w:val="28"/>
          <w:szCs w:val="28"/>
          <w:lang w:val="en-US" w:eastAsia="zh-CN"/>
        </w:rPr>
      </w:pPr>
    </w:p>
    <w:p w14:paraId="3D72CDA6">
      <w:pPr>
        <w:pStyle w:val="14"/>
        <w:numPr>
          <w:ilvl w:val="0"/>
          <w:numId w:val="8"/>
        </w:numPr>
        <w:spacing w:line="360" w:lineRule="auto"/>
        <w:ind w:left="0" w:leftChars="0" w:firstLine="0" w:firstLineChars="0"/>
        <w:jc w:val="center"/>
        <w:rPr>
          <w:rFonts w:hint="eastAsia"/>
          <w:b/>
          <w:bCs/>
          <w:sz w:val="28"/>
          <w:szCs w:val="28"/>
          <w:lang w:val="en-US" w:eastAsia="zh-CN"/>
        </w:rPr>
      </w:pPr>
      <w:r>
        <w:rPr>
          <w:rFonts w:hint="eastAsia"/>
          <w:b/>
          <w:bCs/>
          <w:sz w:val="28"/>
          <w:szCs w:val="28"/>
          <w:lang w:val="en-US" w:eastAsia="zh-CN"/>
        </w:rPr>
        <w:t>其他要求</w:t>
      </w:r>
    </w:p>
    <w:p w14:paraId="692782C0">
      <w:pPr>
        <w:widowControl/>
        <w:autoSpaceDE w:val="0"/>
        <w:autoSpaceDN w:val="0"/>
        <w:adjustRightInd w:val="0"/>
        <w:spacing w:line="400" w:lineRule="exact"/>
        <w:jc w:val="center"/>
        <w:rPr>
          <w:rFonts w:hint="eastAsia" w:ascii="宋体" w:hAnsi="宋体" w:cs="宋体"/>
          <w:b/>
          <w:bCs/>
          <w:kern w:val="0"/>
          <w:sz w:val="28"/>
          <w:szCs w:val="28"/>
        </w:rPr>
      </w:pPr>
    </w:p>
    <w:p w14:paraId="7989618B">
      <w:pPr>
        <w:widowControl/>
        <w:autoSpaceDE w:val="0"/>
        <w:autoSpaceDN w:val="0"/>
        <w:adjustRightInd w:val="0"/>
        <w:spacing w:line="400" w:lineRule="exact"/>
        <w:jc w:val="center"/>
        <w:rPr>
          <w:rFonts w:ascii="宋体" w:hAnsi="宋体" w:cs="宋体"/>
          <w:b/>
          <w:bCs/>
          <w:kern w:val="0"/>
          <w:sz w:val="28"/>
          <w:szCs w:val="28"/>
        </w:rPr>
      </w:pPr>
      <w:r>
        <w:rPr>
          <w:rFonts w:hint="eastAsia" w:ascii="宋体" w:hAnsi="宋体" w:cs="宋体"/>
          <w:b/>
          <w:bCs/>
          <w:kern w:val="0"/>
          <w:sz w:val="28"/>
          <w:szCs w:val="28"/>
        </w:rPr>
        <w:t>承诺书</w:t>
      </w:r>
    </w:p>
    <w:p w14:paraId="5EA7DB9B">
      <w:pPr>
        <w:pStyle w:val="22"/>
        <w:spacing w:line="360" w:lineRule="auto"/>
        <w:rPr>
          <w:rFonts w:hint="eastAsia"/>
          <w:sz w:val="24"/>
        </w:rPr>
      </w:pPr>
    </w:p>
    <w:p w14:paraId="40267B85">
      <w:pPr>
        <w:pStyle w:val="22"/>
        <w:spacing w:line="360" w:lineRule="auto"/>
        <w:rPr>
          <w:sz w:val="24"/>
        </w:rPr>
      </w:pPr>
      <w:r>
        <w:rPr>
          <w:rFonts w:hint="eastAsia"/>
          <w:sz w:val="24"/>
        </w:rPr>
        <w:t>我公司承诺如下：</w:t>
      </w:r>
    </w:p>
    <w:p w14:paraId="3345093A">
      <w:pPr>
        <w:pStyle w:val="22"/>
        <w:spacing w:line="360" w:lineRule="auto"/>
        <w:ind w:firstLine="566" w:firstLineChars="236"/>
        <w:rPr>
          <w:sz w:val="24"/>
        </w:rPr>
      </w:pPr>
      <w:r>
        <w:rPr>
          <w:rFonts w:hint="eastAsia"/>
          <w:sz w:val="24"/>
          <w:lang w:val="en-US" w:eastAsia="zh-CN"/>
        </w:rPr>
        <w:t>1</w:t>
      </w:r>
      <w:r>
        <w:rPr>
          <w:rFonts w:hint="eastAsia"/>
          <w:sz w:val="24"/>
        </w:rPr>
        <w:t>.不存在具有投资参股关系的关联企业，或具有直接管理和被管理关系的母子公司，或同一母公司的子公司，或法定代表人为同一人的两个及两个以上法人对同一标段磋商。不存在与采购人存在利害关系。不存在单位负责人为同一人或者存在控股、管理关系的不同单位，参加同一标段磋商或者未划分标段的同一项目磋商。</w:t>
      </w:r>
    </w:p>
    <w:p w14:paraId="713D522A">
      <w:pPr>
        <w:pStyle w:val="22"/>
        <w:spacing w:line="360" w:lineRule="auto"/>
        <w:ind w:firstLine="566" w:firstLineChars="236"/>
        <w:rPr>
          <w:sz w:val="24"/>
        </w:rPr>
      </w:pPr>
      <w:r>
        <w:rPr>
          <w:rFonts w:hint="eastAsia"/>
          <w:sz w:val="24"/>
          <w:lang w:val="en-US" w:eastAsia="zh-CN"/>
        </w:rPr>
        <w:t>2</w:t>
      </w:r>
      <w:r>
        <w:rPr>
          <w:rFonts w:hint="eastAsia"/>
          <w:sz w:val="24"/>
        </w:rPr>
        <w:t>.不存在竞争性磋商文件第二章“供应商须知”第4.3和4.4条规定的任何一种情形。</w:t>
      </w:r>
    </w:p>
    <w:p w14:paraId="5734AC51">
      <w:pPr>
        <w:pStyle w:val="22"/>
        <w:spacing w:line="360" w:lineRule="auto"/>
        <w:ind w:firstLine="566" w:firstLineChars="236"/>
        <w:rPr>
          <w:sz w:val="24"/>
        </w:rPr>
      </w:pPr>
      <w:r>
        <w:rPr>
          <w:rFonts w:hint="eastAsia"/>
          <w:sz w:val="24"/>
          <w:lang w:val="en-US" w:eastAsia="zh-CN"/>
        </w:rPr>
        <w:t>3</w:t>
      </w:r>
      <w:r>
        <w:rPr>
          <w:rFonts w:hint="eastAsia"/>
          <w:sz w:val="24"/>
        </w:rPr>
        <w:t>.承诺响应竞争性磋商文件第五章“采购需求”及</w:t>
      </w:r>
      <w:r>
        <w:rPr>
          <w:rFonts w:hint="eastAsia"/>
          <w:sz w:val="24"/>
          <w:lang w:val="en-US" w:eastAsia="zh-CN"/>
        </w:rPr>
        <w:t>符合性审查全部</w:t>
      </w:r>
      <w:r>
        <w:rPr>
          <w:rFonts w:hint="eastAsia"/>
          <w:sz w:val="24"/>
        </w:rPr>
        <w:t>要求。</w:t>
      </w:r>
    </w:p>
    <w:p w14:paraId="23A87506">
      <w:pPr>
        <w:pStyle w:val="22"/>
        <w:spacing w:line="360" w:lineRule="auto"/>
        <w:rPr>
          <w:sz w:val="24"/>
        </w:rPr>
      </w:pPr>
    </w:p>
    <w:p w14:paraId="7DEE3878">
      <w:pPr>
        <w:pStyle w:val="22"/>
        <w:spacing w:line="360" w:lineRule="auto"/>
        <w:rPr>
          <w:sz w:val="21"/>
        </w:rPr>
      </w:pPr>
    </w:p>
    <w:p w14:paraId="30B2C17B">
      <w:pPr>
        <w:spacing w:line="360" w:lineRule="auto"/>
        <w:ind w:right="480" w:firstLine="720" w:firstLineChars="300"/>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（单位盖章）</w:t>
      </w:r>
    </w:p>
    <w:p w14:paraId="4E603E98">
      <w:pPr>
        <w:pStyle w:val="22"/>
      </w:pPr>
    </w:p>
    <w:p w14:paraId="4EC382FF">
      <w:pPr>
        <w:spacing w:line="360" w:lineRule="auto"/>
        <w:ind w:right="480"/>
        <w:jc w:val="left"/>
        <w:rPr>
          <w:rFonts w:ascii="宋体" w:hAnsi="宋体"/>
          <w:sz w:val="24"/>
        </w:rPr>
      </w:pPr>
      <w:r>
        <w:rPr>
          <w:rFonts w:hint="eastAsia" w:ascii="宋体" w:hAnsi="宋体"/>
          <w:sz w:val="24"/>
        </w:rPr>
        <w:t xml:space="preserve">      法定代表人（负责人）或其委托代理人：</w:t>
      </w:r>
      <w:r>
        <w:rPr>
          <w:rFonts w:hint="eastAsia" w:ascii="宋体" w:hAnsi="宋体"/>
          <w:sz w:val="24"/>
          <w:u w:val="single"/>
        </w:rPr>
        <w:t xml:space="preserve">          </w:t>
      </w:r>
      <w:r>
        <w:rPr>
          <w:rFonts w:hint="eastAsia" w:ascii="宋体" w:hAnsi="宋体"/>
          <w:sz w:val="24"/>
        </w:rPr>
        <w:t>（印章或签字）</w:t>
      </w:r>
    </w:p>
    <w:p w14:paraId="4CF38076">
      <w:pPr>
        <w:spacing w:line="360" w:lineRule="auto"/>
        <w:jc w:val="right"/>
        <w:rPr>
          <w:rFonts w:ascii="宋体" w:hAnsi="宋体"/>
          <w:sz w:val="24"/>
        </w:rPr>
      </w:pPr>
    </w:p>
    <w:p w14:paraId="715E467B">
      <w:pPr>
        <w:spacing w:line="400" w:lineRule="exact"/>
        <w:jc w:val="center"/>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A031727">
      <w:pPr>
        <w:rPr>
          <w:rFonts w:hint="eastAsia" w:ascii="宋体" w:hAnsi="宋体"/>
          <w:sz w:val="24"/>
        </w:rPr>
      </w:pPr>
      <w:r>
        <w:rPr>
          <w:rFonts w:hint="eastAsia" w:ascii="宋体" w:hAnsi="宋体"/>
          <w:sz w:val="24"/>
        </w:rPr>
        <w:br w:type="page"/>
      </w:r>
    </w:p>
    <w:p w14:paraId="54250600">
      <w:pPr>
        <w:widowControl/>
        <w:ind w:firstLine="2570" w:firstLineChars="800"/>
        <w:rPr>
          <w:rFonts w:hint="eastAsia" w:ascii="宋体" w:hAnsi="宋体" w:cs="宋体"/>
          <w:b/>
          <w:kern w:val="0"/>
          <w:sz w:val="32"/>
          <w:szCs w:val="18"/>
          <w:lang w:val="zh-CN"/>
        </w:rPr>
      </w:pPr>
    </w:p>
    <w:p w14:paraId="62D7CC34">
      <w:pPr>
        <w:widowControl/>
        <w:ind w:left="0" w:leftChars="0" w:firstLine="0" w:firstLineChars="0"/>
        <w:jc w:val="center"/>
        <w:rPr>
          <w:rFonts w:ascii="宋体" w:hAnsi="宋体" w:cs="宋体"/>
          <w:b/>
          <w:kern w:val="0"/>
          <w:sz w:val="28"/>
          <w:szCs w:val="16"/>
          <w:lang w:val="zh-CN"/>
        </w:rPr>
      </w:pPr>
      <w:r>
        <w:rPr>
          <w:rFonts w:hint="eastAsia" w:ascii="宋体" w:hAnsi="宋体" w:cs="宋体"/>
          <w:b/>
          <w:kern w:val="0"/>
          <w:sz w:val="28"/>
          <w:szCs w:val="16"/>
          <w:lang w:val="zh-CN"/>
        </w:rPr>
        <w:t>政府采购诚信承诺书</w:t>
      </w:r>
    </w:p>
    <w:p w14:paraId="60A9D4B7">
      <w:pPr>
        <w:spacing w:line="440" w:lineRule="exact"/>
        <w:jc w:val="center"/>
        <w:rPr>
          <w:rFonts w:ascii="宋体" w:hAnsi="宋体" w:cs="宋体"/>
          <w:b/>
          <w:kern w:val="0"/>
          <w:sz w:val="32"/>
          <w:szCs w:val="18"/>
        </w:rPr>
      </w:pPr>
    </w:p>
    <w:p w14:paraId="5DBD97CF">
      <w:pPr>
        <w:spacing w:line="360" w:lineRule="auto"/>
        <w:rPr>
          <w:rFonts w:ascii="宋体" w:hAnsi="宋体"/>
          <w:bCs/>
          <w:sz w:val="24"/>
        </w:rPr>
      </w:pPr>
      <w:r>
        <w:rPr>
          <w:rFonts w:hint="eastAsia" w:ascii="宋体" w:hAnsi="宋体"/>
          <w:bCs/>
          <w:sz w:val="24"/>
          <w:u w:val="single"/>
        </w:rPr>
        <w:t xml:space="preserve">     (采购人）     </w:t>
      </w:r>
      <w:r>
        <w:rPr>
          <w:rFonts w:hint="eastAsia" w:ascii="宋体" w:hAnsi="宋体"/>
          <w:bCs/>
          <w:sz w:val="24"/>
        </w:rPr>
        <w:t>：</w:t>
      </w:r>
    </w:p>
    <w:p w14:paraId="1A9AE804">
      <w:pPr>
        <w:spacing w:line="360" w:lineRule="auto"/>
        <w:ind w:firstLine="480" w:firstLineChars="200"/>
        <w:rPr>
          <w:rFonts w:ascii="宋体" w:hAnsi="宋体"/>
          <w:bCs/>
          <w:sz w:val="24"/>
        </w:rPr>
      </w:pPr>
      <w:r>
        <w:rPr>
          <w:rFonts w:hint="eastAsia" w:ascii="宋体" w:hAnsi="宋体"/>
          <w:bCs/>
          <w:sz w:val="24"/>
        </w:rPr>
        <w:t>我公司</w:t>
      </w:r>
      <w:r>
        <w:rPr>
          <w:rFonts w:hint="eastAsia" w:ascii="宋体" w:hAnsi="宋体"/>
          <w:bCs/>
          <w:sz w:val="24"/>
          <w:u w:val="single"/>
        </w:rPr>
        <w:t xml:space="preserve">    （供应商名称） </w:t>
      </w:r>
      <w:r>
        <w:rPr>
          <w:rFonts w:hint="eastAsia" w:ascii="宋体" w:hAnsi="宋体"/>
          <w:bCs/>
          <w:sz w:val="24"/>
        </w:rPr>
        <w:t>已详细阅读了</w:t>
      </w:r>
      <w:r>
        <w:rPr>
          <w:rFonts w:hint="eastAsia" w:ascii="宋体" w:hAnsi="宋体"/>
          <w:bCs/>
          <w:sz w:val="24"/>
          <w:u w:val="single"/>
        </w:rPr>
        <w:t xml:space="preserve">     （项目名称）        </w:t>
      </w:r>
      <w:r>
        <w:rPr>
          <w:rFonts w:hint="eastAsia" w:ascii="宋体" w:hAnsi="宋体"/>
          <w:bCs/>
          <w:sz w:val="24"/>
        </w:rPr>
        <w:t>项目（项目编号：</w:t>
      </w:r>
      <w:r>
        <w:rPr>
          <w:rFonts w:hint="eastAsia" w:ascii="宋体" w:hAnsi="宋体"/>
          <w:bCs/>
          <w:sz w:val="24"/>
          <w:u w:val="single"/>
        </w:rPr>
        <w:t xml:space="preserve">          </w:t>
      </w:r>
      <w:r>
        <w:rPr>
          <w:rFonts w:hint="eastAsia" w:ascii="宋体" w:hAnsi="宋体"/>
          <w:bCs/>
          <w:sz w:val="24"/>
        </w:rPr>
        <w:t>）的竞争性磋商文件，自愿参加本次磋商，现就有关事项郑重承诺如下：</w:t>
      </w:r>
    </w:p>
    <w:p w14:paraId="2A40B21E">
      <w:pPr>
        <w:spacing w:line="360" w:lineRule="auto"/>
        <w:ind w:firstLine="480" w:firstLineChars="200"/>
        <w:rPr>
          <w:rFonts w:ascii="宋体" w:hAnsi="宋体"/>
          <w:bCs/>
          <w:sz w:val="24"/>
        </w:rPr>
      </w:pPr>
      <w:r>
        <w:rPr>
          <w:rFonts w:hint="eastAsia" w:ascii="宋体" w:hAnsi="宋体"/>
          <w:bCs/>
          <w:sz w:val="24"/>
        </w:rPr>
        <w:t>一、诚信报价，材料真实。我公司保证所提供的全部材料、报价内容均真实、合法、有效，保证不出借或者借用其他企业资质，不以他人名义报价，不弄虚作假；未列入失信被执行人、重大税收违法案件当事人名单、政府采购严重违法失信行为记录名单及其他不符合《中华人民共和国政府采购法》第二十二条规定条件。</w:t>
      </w:r>
    </w:p>
    <w:p w14:paraId="3942A383">
      <w:pPr>
        <w:spacing w:line="360" w:lineRule="auto"/>
        <w:ind w:firstLine="480" w:firstLineChars="200"/>
        <w:rPr>
          <w:rFonts w:ascii="宋体" w:hAnsi="宋体"/>
          <w:bCs/>
          <w:sz w:val="24"/>
        </w:rPr>
      </w:pPr>
      <w:r>
        <w:rPr>
          <w:rFonts w:hint="eastAsia" w:ascii="宋体" w:hAnsi="宋体"/>
          <w:bCs/>
          <w:sz w:val="24"/>
        </w:rPr>
        <w:t>二、遵纪守法，公平竞争。不与其他供应商相互串通、哄抬价格，不排挤其他供应商，不损害采购人的合法权益；不向采购人、采购代理机构、磋商小组成员等及其他参与采购活动的人员行贿或采用其他不正当手段谋取成交；</w:t>
      </w:r>
    </w:p>
    <w:p w14:paraId="1D330857">
      <w:pPr>
        <w:spacing w:line="360" w:lineRule="auto"/>
        <w:ind w:firstLine="480" w:firstLineChars="200"/>
        <w:rPr>
          <w:rFonts w:ascii="宋体" w:hAnsi="宋体"/>
          <w:bCs/>
          <w:sz w:val="24"/>
        </w:rPr>
      </w:pPr>
      <w:r>
        <w:rPr>
          <w:rFonts w:hint="eastAsia" w:ascii="宋体" w:hAnsi="宋体"/>
          <w:bCs/>
          <w:sz w:val="24"/>
        </w:rPr>
        <w:t>三、不捏造事实或借用他人名义进行虚假、恶意质疑和投诉，不以质疑或投诉为名排挤竞争对手，干扰政府采购秩序；</w:t>
      </w:r>
    </w:p>
    <w:p w14:paraId="41BAA15D">
      <w:pPr>
        <w:spacing w:line="360" w:lineRule="auto"/>
        <w:ind w:firstLine="480" w:firstLineChars="200"/>
        <w:rPr>
          <w:rFonts w:ascii="宋体" w:hAnsi="宋体"/>
          <w:bCs/>
          <w:sz w:val="24"/>
        </w:rPr>
      </w:pPr>
      <w:r>
        <w:rPr>
          <w:rFonts w:hint="eastAsia" w:ascii="宋体" w:hAnsi="宋体"/>
          <w:bCs/>
          <w:sz w:val="24"/>
        </w:rPr>
        <w:t>四、若成交后，将按照规定及时与采购人签订政府采购合同，不与采购人订立有悖于采购结果的合同或协议；严格履行政府采购合同，不降低合同约定的产品质量及相关服务，不擅自变更、中止、终止合同，或者拒绝履行合同义务。</w:t>
      </w:r>
    </w:p>
    <w:p w14:paraId="24667501">
      <w:pPr>
        <w:spacing w:line="360" w:lineRule="auto"/>
        <w:ind w:firstLine="480" w:firstLineChars="200"/>
        <w:rPr>
          <w:rFonts w:ascii="宋体" w:hAnsi="宋体"/>
          <w:bCs/>
          <w:sz w:val="24"/>
        </w:rPr>
      </w:pPr>
      <w:r>
        <w:rPr>
          <w:rFonts w:hint="eastAsia" w:ascii="宋体" w:hAnsi="宋体"/>
          <w:bCs/>
          <w:sz w:val="24"/>
        </w:rPr>
        <w:t>若有违反以上承诺内容的行为，我公司自愿接受取消磋商资格、记入信用档案、没收磋商保证金、媒体通报、1～3年内禁止参与政府采购活动等处罚；如已成交的，自动放弃成交资格，并承担全部法律责任；给采购人造成损失的，依法承担赔偿责任。</w:t>
      </w:r>
    </w:p>
    <w:p w14:paraId="3D566E8A">
      <w:pPr>
        <w:spacing w:line="360" w:lineRule="auto"/>
        <w:ind w:right="480"/>
        <w:jc w:val="left"/>
        <w:rPr>
          <w:rFonts w:ascii="宋体" w:hAnsi="宋体"/>
          <w:sz w:val="24"/>
        </w:rPr>
      </w:pPr>
      <w:r>
        <w:rPr>
          <w:rFonts w:hint="eastAsia" w:ascii="宋体" w:hAnsi="宋体"/>
          <w:bCs/>
          <w:sz w:val="24"/>
        </w:rPr>
        <w:t xml:space="preserve">                 </w:t>
      </w:r>
      <w:r>
        <w:rPr>
          <w:rFonts w:hint="eastAsia" w:ascii="宋体" w:hAnsi="宋体"/>
          <w:sz w:val="24"/>
        </w:rPr>
        <w:t xml:space="preserve">            </w:t>
      </w:r>
    </w:p>
    <w:p w14:paraId="549F873F">
      <w:pPr>
        <w:spacing w:line="360" w:lineRule="auto"/>
        <w:ind w:right="480" w:firstLine="720" w:firstLineChars="300"/>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（单位盖章）</w:t>
      </w:r>
    </w:p>
    <w:p w14:paraId="57F26546">
      <w:pPr>
        <w:pStyle w:val="22"/>
      </w:pPr>
    </w:p>
    <w:p w14:paraId="43495960">
      <w:pPr>
        <w:spacing w:line="360" w:lineRule="auto"/>
        <w:ind w:right="480"/>
        <w:jc w:val="left"/>
        <w:rPr>
          <w:rFonts w:ascii="宋体" w:hAnsi="宋体"/>
          <w:sz w:val="24"/>
        </w:rPr>
      </w:pPr>
      <w:r>
        <w:rPr>
          <w:rFonts w:hint="eastAsia" w:ascii="宋体" w:hAnsi="宋体"/>
          <w:sz w:val="24"/>
        </w:rPr>
        <w:t xml:space="preserve">      法定代表人（负责人）或其委托代理人：</w:t>
      </w:r>
      <w:r>
        <w:rPr>
          <w:rFonts w:hint="eastAsia" w:ascii="宋体" w:hAnsi="宋体"/>
          <w:sz w:val="24"/>
          <w:u w:val="single"/>
        </w:rPr>
        <w:t xml:space="preserve">          </w:t>
      </w:r>
      <w:r>
        <w:rPr>
          <w:rFonts w:hint="eastAsia" w:ascii="宋体" w:hAnsi="宋体"/>
          <w:sz w:val="24"/>
        </w:rPr>
        <w:t>（印章或签字）</w:t>
      </w:r>
    </w:p>
    <w:p w14:paraId="3CB086E1">
      <w:pPr>
        <w:spacing w:line="360" w:lineRule="auto"/>
        <w:jc w:val="right"/>
        <w:rPr>
          <w:rFonts w:ascii="宋体" w:hAnsi="宋体"/>
          <w:sz w:val="24"/>
        </w:rPr>
      </w:pPr>
    </w:p>
    <w:p w14:paraId="36E7A694">
      <w:pPr>
        <w:spacing w:line="360" w:lineRule="auto"/>
        <w:ind w:left="-2" w:leftChars="-1" w:firstLine="2"/>
        <w:jc w:val="center"/>
        <w:rPr>
          <w:rFonts w:ascii="黑体" w:hAnsi="黑体" w:eastAsia="黑体"/>
          <w:bCs/>
          <w:sz w:val="31"/>
        </w:rPr>
        <w:sectPr>
          <w:headerReference r:id="rId7"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8" w:charSpace="0"/>
        </w:sect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5631386">
      <w:pPr>
        <w:spacing w:line="400" w:lineRule="exact"/>
        <w:jc w:val="center"/>
        <w:rPr>
          <w:rFonts w:hint="eastAsia" w:ascii="宋体" w:hAnsi="宋体"/>
          <w:sz w:val="24"/>
        </w:rPr>
      </w:pPr>
    </w:p>
    <w:p w14:paraId="41120E6C">
      <w:pPr>
        <w:jc w:val="center"/>
        <w:rPr>
          <w:rFonts w:ascii="宋体" w:hAnsi="宋体" w:cs="宋体"/>
          <w:b/>
          <w:kern w:val="0"/>
          <w:sz w:val="28"/>
          <w:szCs w:val="16"/>
          <w:lang w:val="zh-CN"/>
        </w:rPr>
      </w:pPr>
      <w:r>
        <w:rPr>
          <w:rFonts w:hint="eastAsia" w:ascii="宋体" w:hAnsi="宋体" w:cs="宋体"/>
          <w:b/>
          <w:kern w:val="0"/>
          <w:sz w:val="28"/>
          <w:szCs w:val="16"/>
          <w:lang w:val="en-US" w:eastAsia="zh-CN"/>
        </w:rPr>
        <w:t>（七）</w:t>
      </w:r>
      <w:r>
        <w:rPr>
          <w:rFonts w:hint="eastAsia" w:ascii="宋体" w:hAnsi="宋体" w:cs="宋体"/>
          <w:b/>
          <w:kern w:val="0"/>
          <w:sz w:val="28"/>
          <w:szCs w:val="16"/>
          <w:lang w:val="zh-CN"/>
        </w:rPr>
        <w:t>中小企业声明函（中小</w:t>
      </w:r>
      <w:r>
        <w:rPr>
          <w:rFonts w:hint="eastAsia" w:ascii="宋体" w:hAnsi="宋体" w:cs="宋体"/>
          <w:b/>
          <w:kern w:val="0"/>
          <w:sz w:val="28"/>
          <w:szCs w:val="16"/>
          <w:lang w:val="en-US" w:eastAsia="zh-CN"/>
        </w:rPr>
        <w:t>微</w:t>
      </w:r>
      <w:r>
        <w:rPr>
          <w:rFonts w:hint="eastAsia" w:ascii="宋体" w:hAnsi="宋体" w:cs="宋体"/>
          <w:b/>
          <w:kern w:val="0"/>
          <w:sz w:val="28"/>
          <w:szCs w:val="16"/>
          <w:lang w:val="zh-CN"/>
        </w:rPr>
        <w:t>企业</w:t>
      </w:r>
      <w:r>
        <w:rPr>
          <w:rFonts w:hint="eastAsia" w:ascii="宋体" w:hAnsi="宋体" w:cs="宋体"/>
          <w:b/>
          <w:kern w:val="0"/>
          <w:sz w:val="28"/>
          <w:szCs w:val="16"/>
        </w:rPr>
        <w:t>提供</w:t>
      </w:r>
      <w:r>
        <w:rPr>
          <w:rFonts w:hint="eastAsia" w:ascii="宋体" w:hAnsi="宋体" w:cs="宋体"/>
          <w:b/>
          <w:kern w:val="0"/>
          <w:sz w:val="28"/>
          <w:szCs w:val="16"/>
          <w:lang w:val="zh-CN"/>
        </w:rPr>
        <w:t>）</w:t>
      </w:r>
    </w:p>
    <w:p w14:paraId="38E6B1CA">
      <w:pPr>
        <w:autoSpaceDE w:val="0"/>
        <w:autoSpaceDN w:val="0"/>
        <w:adjustRightInd w:val="0"/>
        <w:spacing w:line="400" w:lineRule="exact"/>
        <w:ind w:firstLine="1280" w:firstLineChars="400"/>
        <w:jc w:val="center"/>
        <w:rPr>
          <w:rFonts w:ascii="宋体" w:hAnsi="宋体" w:cs="宋体"/>
          <w:bCs/>
          <w:kern w:val="0"/>
          <w:sz w:val="32"/>
          <w:szCs w:val="18"/>
          <w:lang w:val="zh-CN"/>
        </w:rPr>
      </w:pPr>
    </w:p>
    <w:p w14:paraId="69234098">
      <w:pPr>
        <w:autoSpaceDE w:val="0"/>
        <w:autoSpaceDN w:val="0"/>
        <w:adjustRightInd w:val="0"/>
        <w:spacing w:line="400" w:lineRule="exact"/>
        <w:ind w:firstLine="960" w:firstLineChars="400"/>
        <w:rPr>
          <w:rFonts w:ascii="宋体" w:hAnsi="宋体" w:cs="宋体"/>
          <w:bCs/>
          <w:kern w:val="0"/>
          <w:sz w:val="24"/>
          <w:lang w:val="zh-CN"/>
        </w:rPr>
      </w:pPr>
      <w:r>
        <w:rPr>
          <w:rFonts w:hint="eastAsia" w:ascii="宋体" w:hAnsi="宋体" w:cs="宋体"/>
          <w:bCs/>
          <w:kern w:val="0"/>
          <w:sz w:val="24"/>
          <w:lang w:val="zh-CN"/>
        </w:rPr>
        <w:t>本公司郑重声明，根据《政府采购促进中小企业发展管理办法》（财库﹝2020﹞46 号）的规定，本公司</w:t>
      </w:r>
      <w:r>
        <w:rPr>
          <w:rFonts w:hint="eastAsia" w:ascii="宋体" w:hAnsi="宋体" w:cs="宋体"/>
          <w:bCs/>
          <w:kern w:val="0"/>
          <w:sz w:val="24"/>
          <w:u w:val="single"/>
          <w:lang w:val="zh-CN"/>
        </w:rPr>
        <w:t xml:space="preserve">        </w:t>
      </w:r>
      <w:r>
        <w:rPr>
          <w:rFonts w:hint="eastAsia" w:ascii="宋体" w:hAnsi="宋体" w:cs="宋体"/>
          <w:bCs/>
          <w:kern w:val="0"/>
          <w:sz w:val="24"/>
          <w:lang w:val="zh-CN"/>
        </w:rPr>
        <w:t>参加</w:t>
      </w:r>
      <w:r>
        <w:rPr>
          <w:rFonts w:hint="eastAsia" w:ascii="宋体" w:hAnsi="宋体" w:cs="宋体"/>
          <w:bCs/>
          <w:kern w:val="0"/>
          <w:sz w:val="24"/>
          <w:u w:val="single"/>
          <w:lang w:val="zh-CN"/>
        </w:rPr>
        <w:t>（单位名称）</w:t>
      </w:r>
      <w:r>
        <w:rPr>
          <w:rFonts w:hint="eastAsia" w:ascii="宋体" w:hAnsi="宋体" w:cs="宋体"/>
          <w:bCs/>
          <w:kern w:val="0"/>
          <w:sz w:val="24"/>
          <w:lang w:val="zh-CN"/>
        </w:rPr>
        <w:t>的</w:t>
      </w:r>
      <w:r>
        <w:rPr>
          <w:rFonts w:hint="eastAsia" w:ascii="宋体" w:hAnsi="宋体" w:cs="宋体"/>
          <w:bCs/>
          <w:kern w:val="0"/>
          <w:sz w:val="24"/>
          <w:u w:val="single"/>
          <w:lang w:val="zh-CN"/>
        </w:rPr>
        <w:t>（项目名称）</w:t>
      </w:r>
      <w:r>
        <w:rPr>
          <w:rFonts w:hint="eastAsia" w:ascii="宋体" w:hAnsi="宋体" w:cs="宋体"/>
          <w:bCs/>
          <w:kern w:val="0"/>
          <w:sz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216AC49A">
      <w:pPr>
        <w:autoSpaceDE w:val="0"/>
        <w:autoSpaceDN w:val="0"/>
        <w:adjustRightInd w:val="0"/>
        <w:spacing w:line="400" w:lineRule="exact"/>
        <w:ind w:firstLine="960" w:firstLineChars="400"/>
        <w:rPr>
          <w:rFonts w:ascii="宋体" w:hAnsi="宋体" w:cs="宋体"/>
          <w:bCs/>
          <w:kern w:val="0"/>
          <w:sz w:val="24"/>
          <w:lang w:val="zh-CN"/>
        </w:rPr>
      </w:pPr>
      <w:r>
        <w:rPr>
          <w:rFonts w:hint="eastAsia" w:ascii="宋体" w:hAnsi="宋体" w:cs="宋体"/>
          <w:bCs/>
          <w:kern w:val="0"/>
          <w:sz w:val="24"/>
          <w:u w:val="single"/>
          <w:lang w:val="zh-CN"/>
        </w:rPr>
        <w:t>（项目名称）</w:t>
      </w:r>
      <w:r>
        <w:rPr>
          <w:rFonts w:hint="eastAsia" w:ascii="宋体" w:hAnsi="宋体" w:cs="宋体"/>
          <w:bCs/>
          <w:kern w:val="0"/>
          <w:sz w:val="24"/>
          <w:lang w:val="zh-CN"/>
        </w:rPr>
        <w:t xml:space="preserve"> ，属于</w:t>
      </w:r>
      <w:r>
        <w:rPr>
          <w:rFonts w:hint="eastAsia" w:ascii="宋体" w:hAnsi="宋体" w:cs="宋体"/>
          <w:bCs/>
          <w:kern w:val="0"/>
          <w:sz w:val="24"/>
          <w:u w:val="single"/>
          <w:lang w:val="zh-CN"/>
        </w:rPr>
        <w:t>（建筑业）</w:t>
      </w:r>
      <w:r>
        <w:rPr>
          <w:rFonts w:hint="eastAsia" w:ascii="宋体" w:hAnsi="宋体" w:cs="宋体"/>
          <w:bCs/>
          <w:kern w:val="0"/>
          <w:sz w:val="24"/>
          <w:lang w:val="zh-CN"/>
        </w:rPr>
        <w:t>；承建（承接）企业为</w:t>
      </w:r>
      <w:r>
        <w:rPr>
          <w:rFonts w:hint="eastAsia" w:ascii="宋体" w:hAnsi="宋体" w:cs="宋体"/>
          <w:bCs/>
          <w:kern w:val="0"/>
          <w:sz w:val="24"/>
          <w:u w:val="single"/>
        </w:rPr>
        <w:t xml:space="preserve">   </w:t>
      </w:r>
      <w:r>
        <w:rPr>
          <w:rFonts w:hint="eastAsia" w:ascii="宋体" w:hAnsi="宋体" w:cs="宋体"/>
          <w:bCs/>
          <w:kern w:val="0"/>
          <w:sz w:val="24"/>
          <w:u w:val="single"/>
          <w:lang w:val="zh-CN"/>
        </w:rPr>
        <w:t>（企业名称）</w:t>
      </w:r>
      <w:r>
        <w:rPr>
          <w:rFonts w:hint="eastAsia" w:ascii="宋体" w:hAnsi="宋体" w:cs="宋体"/>
          <w:bCs/>
          <w:kern w:val="0"/>
          <w:sz w:val="24"/>
          <w:lang w:val="zh-CN"/>
        </w:rPr>
        <w:t>，从业人员</w:t>
      </w:r>
      <w:r>
        <w:rPr>
          <w:rFonts w:hint="eastAsia" w:ascii="宋体" w:hAnsi="宋体" w:cs="宋体"/>
          <w:bCs/>
          <w:kern w:val="0"/>
          <w:sz w:val="24"/>
          <w:u w:val="single"/>
        </w:rPr>
        <w:t xml:space="preserve">   </w:t>
      </w:r>
      <w:r>
        <w:rPr>
          <w:rFonts w:hint="eastAsia" w:ascii="宋体" w:hAnsi="宋体" w:cs="宋体"/>
          <w:bCs/>
          <w:kern w:val="0"/>
          <w:sz w:val="24"/>
          <w:lang w:val="zh-CN"/>
        </w:rPr>
        <w:t>人，营业收入为</w:t>
      </w:r>
      <w:r>
        <w:rPr>
          <w:rFonts w:hint="eastAsia" w:ascii="宋体" w:hAnsi="宋体" w:cs="宋体"/>
          <w:bCs/>
          <w:kern w:val="0"/>
          <w:sz w:val="24"/>
          <w:u w:val="single"/>
        </w:rPr>
        <w:t xml:space="preserve">   </w:t>
      </w:r>
      <w:r>
        <w:rPr>
          <w:rFonts w:hint="eastAsia" w:ascii="宋体" w:hAnsi="宋体" w:cs="宋体"/>
          <w:bCs/>
          <w:kern w:val="0"/>
          <w:sz w:val="24"/>
          <w:lang w:val="zh-CN"/>
        </w:rPr>
        <w:t>万元，资产总额为</w:t>
      </w:r>
      <w:r>
        <w:rPr>
          <w:rFonts w:hint="eastAsia" w:ascii="宋体" w:hAnsi="宋体" w:cs="宋体"/>
          <w:bCs/>
          <w:kern w:val="0"/>
          <w:sz w:val="24"/>
          <w:u w:val="single"/>
        </w:rPr>
        <w:t xml:space="preserve">   </w:t>
      </w:r>
      <w:r>
        <w:rPr>
          <w:rFonts w:hint="eastAsia" w:ascii="宋体" w:hAnsi="宋体" w:cs="宋体"/>
          <w:bCs/>
          <w:kern w:val="0"/>
          <w:sz w:val="24"/>
          <w:lang w:val="zh-CN"/>
        </w:rPr>
        <w:t>万元</w:t>
      </w:r>
      <w:r>
        <w:rPr>
          <w:rStyle w:val="39"/>
          <w:rFonts w:hint="eastAsia" w:ascii="宋体" w:hAnsi="宋体" w:cs="宋体"/>
          <w:bCs/>
          <w:kern w:val="0"/>
          <w:sz w:val="24"/>
          <w:lang w:val="zh-CN"/>
        </w:rPr>
        <w:footnoteReference w:id="0"/>
      </w:r>
      <w:r>
        <w:rPr>
          <w:rFonts w:hint="eastAsia" w:ascii="宋体" w:hAnsi="宋体" w:cs="宋体"/>
          <w:bCs/>
          <w:kern w:val="0"/>
          <w:sz w:val="24"/>
          <w:lang w:val="zh-CN"/>
        </w:rPr>
        <w:t>，属于</w:t>
      </w:r>
      <w:r>
        <w:rPr>
          <w:rFonts w:hint="eastAsia" w:ascii="宋体" w:hAnsi="宋体" w:cs="宋体"/>
          <w:bCs/>
          <w:kern w:val="0"/>
          <w:sz w:val="24"/>
          <w:u w:val="single"/>
          <w:lang w:val="zh-CN"/>
        </w:rPr>
        <w:t xml:space="preserve">    型（中型企业、小型企业、微型企业）</w:t>
      </w:r>
      <w:r>
        <w:rPr>
          <w:rFonts w:hint="eastAsia" w:ascii="宋体" w:hAnsi="宋体" w:cs="宋体"/>
          <w:bCs/>
          <w:kern w:val="0"/>
          <w:sz w:val="24"/>
          <w:lang w:val="zh-CN"/>
        </w:rPr>
        <w:t>；</w:t>
      </w:r>
    </w:p>
    <w:p w14:paraId="45999865">
      <w:pPr>
        <w:autoSpaceDE w:val="0"/>
        <w:autoSpaceDN w:val="0"/>
        <w:adjustRightInd w:val="0"/>
        <w:spacing w:line="400" w:lineRule="exact"/>
        <w:ind w:firstLine="960" w:firstLineChars="400"/>
        <w:rPr>
          <w:rFonts w:ascii="宋体" w:hAnsi="宋体" w:cs="宋体"/>
          <w:bCs/>
          <w:kern w:val="0"/>
          <w:sz w:val="24"/>
          <w:lang w:val="zh-CN"/>
        </w:rPr>
      </w:pPr>
      <w:r>
        <w:rPr>
          <w:rFonts w:hint="eastAsia" w:ascii="宋体" w:hAnsi="宋体" w:cs="宋体"/>
          <w:bCs/>
          <w:kern w:val="0"/>
          <w:sz w:val="24"/>
          <w:lang w:val="zh-CN"/>
        </w:rPr>
        <w:t>以上企业，不属于大企业的分支机构，不存在控股股东为大企业的情形，也不存在与大企业的负责人为同一人的情形。</w:t>
      </w:r>
    </w:p>
    <w:p w14:paraId="509C23F9">
      <w:pPr>
        <w:autoSpaceDE w:val="0"/>
        <w:autoSpaceDN w:val="0"/>
        <w:adjustRightInd w:val="0"/>
        <w:spacing w:line="400" w:lineRule="exact"/>
        <w:ind w:firstLine="960" w:firstLineChars="400"/>
        <w:rPr>
          <w:rFonts w:ascii="宋体" w:hAnsi="宋体" w:cs="宋体"/>
          <w:bCs/>
          <w:kern w:val="0"/>
          <w:sz w:val="24"/>
          <w:lang w:val="zh-CN"/>
        </w:rPr>
      </w:pPr>
      <w:r>
        <w:rPr>
          <w:rFonts w:hint="eastAsia" w:ascii="宋体" w:hAnsi="宋体" w:cs="宋体"/>
          <w:bCs/>
          <w:kern w:val="0"/>
          <w:sz w:val="24"/>
          <w:lang w:val="zh-CN"/>
        </w:rPr>
        <w:t>本企业对上述声明内容的真实性负责。如有虚假，将依法承担相应责任。</w:t>
      </w:r>
    </w:p>
    <w:p w14:paraId="39657952">
      <w:pPr>
        <w:autoSpaceDE w:val="0"/>
        <w:autoSpaceDN w:val="0"/>
        <w:adjustRightInd w:val="0"/>
        <w:spacing w:line="400" w:lineRule="exact"/>
        <w:ind w:firstLine="4320" w:firstLineChars="1800"/>
        <w:rPr>
          <w:rFonts w:ascii="宋体" w:hAnsi="宋体" w:cs="宋体"/>
          <w:bCs/>
          <w:kern w:val="0"/>
          <w:sz w:val="24"/>
          <w:lang w:val="zh-CN"/>
        </w:rPr>
      </w:pPr>
    </w:p>
    <w:p w14:paraId="37C3BF9B">
      <w:pPr>
        <w:autoSpaceDE w:val="0"/>
        <w:autoSpaceDN w:val="0"/>
        <w:adjustRightInd w:val="0"/>
        <w:spacing w:line="400" w:lineRule="exact"/>
        <w:ind w:firstLine="4080" w:firstLineChars="1700"/>
        <w:rPr>
          <w:rFonts w:ascii="宋体" w:hAnsi="宋体" w:cs="宋体"/>
          <w:bCs/>
          <w:kern w:val="0"/>
          <w:sz w:val="24"/>
          <w:lang w:val="zh-CN"/>
        </w:rPr>
      </w:pPr>
    </w:p>
    <w:p w14:paraId="14F16E43">
      <w:pPr>
        <w:spacing w:line="360" w:lineRule="auto"/>
        <w:ind w:right="480" w:firstLine="2880" w:firstLineChars="1200"/>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（单位盖章）</w:t>
      </w:r>
    </w:p>
    <w:p w14:paraId="257807B0">
      <w:pPr>
        <w:spacing w:line="360" w:lineRule="auto"/>
        <w:ind w:right="480"/>
        <w:jc w:val="lef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968D738">
      <w:pPr>
        <w:spacing w:line="360" w:lineRule="auto"/>
        <w:jc w:val="center"/>
      </w:pPr>
      <w:r>
        <w:rPr>
          <w:rFonts w:hint="eastAsia"/>
          <w:b/>
          <w:kern w:val="0"/>
          <w:sz w:val="32"/>
          <w:szCs w:val="32"/>
          <w:lang w:val="zh-CN"/>
        </w:rPr>
        <w:br w:type="page"/>
      </w:r>
    </w:p>
    <w:p w14:paraId="506F9753">
      <w:pPr>
        <w:spacing w:line="360" w:lineRule="auto"/>
        <w:rPr>
          <w:rFonts w:ascii="宋体" w:hAnsi="宋体" w:cs="宋体"/>
          <w:lang w:val="zh-CN"/>
        </w:rPr>
      </w:pPr>
    </w:p>
    <w:p w14:paraId="465713F0">
      <w:pPr>
        <w:spacing w:line="360" w:lineRule="auto"/>
        <w:jc w:val="center"/>
        <w:rPr>
          <w:b/>
          <w:bCs/>
          <w:sz w:val="30"/>
          <w:szCs w:val="30"/>
          <w:lang w:val="zh-CN"/>
        </w:rPr>
      </w:pPr>
      <w:r>
        <w:rPr>
          <w:rFonts w:hint="eastAsia"/>
          <w:b/>
          <w:bCs/>
          <w:sz w:val="30"/>
          <w:szCs w:val="30"/>
          <w:lang w:val="en-US" w:eastAsia="zh-CN"/>
        </w:rPr>
        <w:t>六、</w:t>
      </w:r>
      <w:r>
        <w:rPr>
          <w:rFonts w:hint="eastAsia"/>
          <w:b/>
          <w:bCs/>
          <w:sz w:val="30"/>
          <w:szCs w:val="30"/>
          <w:lang w:val="zh-CN"/>
        </w:rPr>
        <w:t>近年完成的类似项目情况</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166"/>
        <w:gridCol w:w="1547"/>
        <w:gridCol w:w="1547"/>
        <w:gridCol w:w="1547"/>
        <w:gridCol w:w="1548"/>
      </w:tblGrid>
      <w:tr w14:paraId="604A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1" w:type="pct"/>
            <w:vAlign w:val="center"/>
          </w:tcPr>
          <w:p w14:paraId="43375D45">
            <w:pPr>
              <w:pStyle w:val="42"/>
              <w:jc w:val="center"/>
              <w:rPr>
                <w:rFonts w:hint="default" w:hAnsi="Calibri"/>
                <w:sz w:val="22"/>
              </w:rPr>
            </w:pPr>
            <w:r>
              <w:rPr>
                <w:rFonts w:hAnsi="Calibri"/>
                <w:sz w:val="22"/>
              </w:rPr>
              <w:t>序号</w:t>
            </w:r>
          </w:p>
        </w:tc>
        <w:tc>
          <w:tcPr>
            <w:tcW w:w="1166" w:type="pct"/>
            <w:vAlign w:val="center"/>
          </w:tcPr>
          <w:p w14:paraId="00490B42">
            <w:pPr>
              <w:pStyle w:val="42"/>
              <w:jc w:val="center"/>
              <w:rPr>
                <w:rFonts w:hint="default" w:hAnsi="Calibri"/>
                <w:sz w:val="22"/>
              </w:rPr>
            </w:pPr>
            <w:r>
              <w:rPr>
                <w:rFonts w:hAnsi="Calibri"/>
                <w:sz w:val="22"/>
              </w:rPr>
              <w:t>工程名称</w:t>
            </w:r>
          </w:p>
        </w:tc>
        <w:tc>
          <w:tcPr>
            <w:tcW w:w="833" w:type="pct"/>
            <w:vAlign w:val="center"/>
          </w:tcPr>
          <w:p w14:paraId="570FAEAA">
            <w:pPr>
              <w:pStyle w:val="42"/>
              <w:jc w:val="center"/>
              <w:rPr>
                <w:rFonts w:hint="default" w:hAnsi="Calibri"/>
                <w:sz w:val="22"/>
              </w:rPr>
            </w:pPr>
            <w:r>
              <w:rPr>
                <w:rFonts w:hAnsi="Calibri"/>
                <w:sz w:val="22"/>
              </w:rPr>
              <w:t>开工日期</w:t>
            </w:r>
          </w:p>
        </w:tc>
        <w:tc>
          <w:tcPr>
            <w:tcW w:w="833" w:type="pct"/>
            <w:vAlign w:val="center"/>
          </w:tcPr>
          <w:p w14:paraId="7CEDAB7C">
            <w:pPr>
              <w:pStyle w:val="42"/>
              <w:jc w:val="center"/>
              <w:rPr>
                <w:rFonts w:hint="default" w:hAnsi="Calibri"/>
                <w:sz w:val="22"/>
              </w:rPr>
            </w:pPr>
            <w:r>
              <w:rPr>
                <w:rFonts w:hAnsi="Calibri"/>
                <w:sz w:val="22"/>
              </w:rPr>
              <w:t>竣工/完工日期</w:t>
            </w:r>
          </w:p>
        </w:tc>
        <w:tc>
          <w:tcPr>
            <w:tcW w:w="833" w:type="pct"/>
            <w:vAlign w:val="center"/>
          </w:tcPr>
          <w:p w14:paraId="0C6EEEA4">
            <w:pPr>
              <w:pStyle w:val="42"/>
              <w:jc w:val="center"/>
              <w:rPr>
                <w:rFonts w:hint="default" w:hAnsi="Calibri"/>
                <w:sz w:val="22"/>
              </w:rPr>
            </w:pPr>
            <w:r>
              <w:rPr>
                <w:rFonts w:hAnsi="Calibri"/>
                <w:sz w:val="22"/>
              </w:rPr>
              <w:t>工程类型</w:t>
            </w:r>
          </w:p>
        </w:tc>
        <w:tc>
          <w:tcPr>
            <w:tcW w:w="833" w:type="pct"/>
            <w:vAlign w:val="center"/>
          </w:tcPr>
          <w:p w14:paraId="54A2D816">
            <w:pPr>
              <w:pStyle w:val="42"/>
              <w:jc w:val="center"/>
              <w:rPr>
                <w:rFonts w:hint="default" w:hAnsi="Calibri"/>
                <w:sz w:val="22"/>
              </w:rPr>
            </w:pPr>
            <w:r>
              <w:rPr>
                <w:rFonts w:hAnsi="Calibri"/>
                <w:sz w:val="22"/>
              </w:rPr>
              <w:t>合同金额</w:t>
            </w:r>
          </w:p>
        </w:tc>
      </w:tr>
      <w:tr w14:paraId="4459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1" w:type="pct"/>
            <w:vAlign w:val="center"/>
          </w:tcPr>
          <w:p w14:paraId="78592AD7">
            <w:pPr>
              <w:pStyle w:val="42"/>
              <w:jc w:val="center"/>
              <w:rPr>
                <w:rFonts w:hint="default" w:hAnsi="Calibri"/>
              </w:rPr>
            </w:pPr>
          </w:p>
        </w:tc>
        <w:tc>
          <w:tcPr>
            <w:tcW w:w="1166" w:type="pct"/>
            <w:vAlign w:val="center"/>
          </w:tcPr>
          <w:p w14:paraId="44FB914C">
            <w:pPr>
              <w:pStyle w:val="42"/>
              <w:jc w:val="center"/>
              <w:rPr>
                <w:rFonts w:hint="default" w:hAnsi="Calibri"/>
              </w:rPr>
            </w:pPr>
          </w:p>
        </w:tc>
        <w:tc>
          <w:tcPr>
            <w:tcW w:w="833" w:type="pct"/>
            <w:vAlign w:val="center"/>
          </w:tcPr>
          <w:p w14:paraId="6BAD5E8E">
            <w:pPr>
              <w:pStyle w:val="42"/>
              <w:jc w:val="center"/>
              <w:rPr>
                <w:rFonts w:hint="default" w:hAnsi="Calibri"/>
              </w:rPr>
            </w:pPr>
          </w:p>
        </w:tc>
        <w:tc>
          <w:tcPr>
            <w:tcW w:w="833" w:type="pct"/>
            <w:vAlign w:val="center"/>
          </w:tcPr>
          <w:p w14:paraId="4B1CA5A8">
            <w:pPr>
              <w:pStyle w:val="42"/>
              <w:jc w:val="center"/>
              <w:rPr>
                <w:rFonts w:hint="default" w:hAnsi="Calibri"/>
              </w:rPr>
            </w:pPr>
          </w:p>
        </w:tc>
        <w:tc>
          <w:tcPr>
            <w:tcW w:w="833" w:type="pct"/>
            <w:vAlign w:val="center"/>
          </w:tcPr>
          <w:p w14:paraId="687C3134">
            <w:pPr>
              <w:pStyle w:val="42"/>
              <w:jc w:val="center"/>
              <w:rPr>
                <w:rFonts w:hint="default" w:hAnsi="Calibri"/>
              </w:rPr>
            </w:pPr>
          </w:p>
        </w:tc>
        <w:tc>
          <w:tcPr>
            <w:tcW w:w="833" w:type="pct"/>
            <w:vAlign w:val="center"/>
          </w:tcPr>
          <w:p w14:paraId="0B5EE427">
            <w:pPr>
              <w:pStyle w:val="42"/>
              <w:jc w:val="center"/>
              <w:rPr>
                <w:rFonts w:hint="default" w:hAnsi="Calibri"/>
              </w:rPr>
            </w:pPr>
          </w:p>
        </w:tc>
      </w:tr>
      <w:tr w14:paraId="66C7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1" w:type="pct"/>
            <w:vAlign w:val="center"/>
          </w:tcPr>
          <w:p w14:paraId="1A967E94">
            <w:pPr>
              <w:pStyle w:val="42"/>
              <w:jc w:val="center"/>
              <w:rPr>
                <w:rFonts w:hint="default" w:hAnsi="Calibri"/>
              </w:rPr>
            </w:pPr>
          </w:p>
        </w:tc>
        <w:tc>
          <w:tcPr>
            <w:tcW w:w="1166" w:type="pct"/>
            <w:vAlign w:val="center"/>
          </w:tcPr>
          <w:p w14:paraId="51C906BD">
            <w:pPr>
              <w:pStyle w:val="42"/>
              <w:jc w:val="center"/>
              <w:rPr>
                <w:rFonts w:hint="default" w:hAnsi="Calibri"/>
              </w:rPr>
            </w:pPr>
          </w:p>
        </w:tc>
        <w:tc>
          <w:tcPr>
            <w:tcW w:w="833" w:type="pct"/>
            <w:vAlign w:val="center"/>
          </w:tcPr>
          <w:p w14:paraId="3B43BBE2">
            <w:pPr>
              <w:pStyle w:val="42"/>
              <w:jc w:val="center"/>
              <w:rPr>
                <w:rFonts w:hint="default" w:hAnsi="Calibri"/>
              </w:rPr>
            </w:pPr>
          </w:p>
        </w:tc>
        <w:tc>
          <w:tcPr>
            <w:tcW w:w="833" w:type="pct"/>
            <w:vAlign w:val="center"/>
          </w:tcPr>
          <w:p w14:paraId="2C40BE20">
            <w:pPr>
              <w:pStyle w:val="42"/>
              <w:jc w:val="center"/>
              <w:rPr>
                <w:rFonts w:hint="default" w:hAnsi="Calibri"/>
              </w:rPr>
            </w:pPr>
          </w:p>
        </w:tc>
        <w:tc>
          <w:tcPr>
            <w:tcW w:w="833" w:type="pct"/>
            <w:vAlign w:val="center"/>
          </w:tcPr>
          <w:p w14:paraId="731EA18D">
            <w:pPr>
              <w:pStyle w:val="42"/>
              <w:jc w:val="center"/>
              <w:rPr>
                <w:rFonts w:hint="default" w:hAnsi="Calibri"/>
              </w:rPr>
            </w:pPr>
          </w:p>
        </w:tc>
        <w:tc>
          <w:tcPr>
            <w:tcW w:w="833" w:type="pct"/>
            <w:vAlign w:val="center"/>
          </w:tcPr>
          <w:p w14:paraId="24C8C9B2">
            <w:pPr>
              <w:pStyle w:val="42"/>
              <w:jc w:val="center"/>
              <w:rPr>
                <w:rFonts w:hint="default" w:hAnsi="Calibri"/>
              </w:rPr>
            </w:pPr>
          </w:p>
        </w:tc>
      </w:tr>
      <w:tr w14:paraId="346F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1" w:type="pct"/>
            <w:vAlign w:val="center"/>
          </w:tcPr>
          <w:p w14:paraId="4E33D890">
            <w:pPr>
              <w:pStyle w:val="42"/>
              <w:jc w:val="center"/>
              <w:rPr>
                <w:rFonts w:hint="default" w:hAnsi="Calibri"/>
              </w:rPr>
            </w:pPr>
          </w:p>
        </w:tc>
        <w:tc>
          <w:tcPr>
            <w:tcW w:w="1166" w:type="pct"/>
            <w:vAlign w:val="center"/>
          </w:tcPr>
          <w:p w14:paraId="01B51958">
            <w:pPr>
              <w:pStyle w:val="42"/>
              <w:jc w:val="center"/>
              <w:rPr>
                <w:rFonts w:hint="default" w:hAnsi="Calibri"/>
              </w:rPr>
            </w:pPr>
          </w:p>
        </w:tc>
        <w:tc>
          <w:tcPr>
            <w:tcW w:w="833" w:type="pct"/>
            <w:vAlign w:val="center"/>
          </w:tcPr>
          <w:p w14:paraId="62080D46">
            <w:pPr>
              <w:pStyle w:val="42"/>
              <w:jc w:val="center"/>
              <w:rPr>
                <w:rFonts w:hint="default" w:hAnsi="Calibri"/>
              </w:rPr>
            </w:pPr>
          </w:p>
        </w:tc>
        <w:tc>
          <w:tcPr>
            <w:tcW w:w="833" w:type="pct"/>
            <w:vAlign w:val="center"/>
          </w:tcPr>
          <w:p w14:paraId="2AF1B681">
            <w:pPr>
              <w:pStyle w:val="42"/>
              <w:jc w:val="center"/>
              <w:rPr>
                <w:rFonts w:hint="default" w:hAnsi="Calibri"/>
              </w:rPr>
            </w:pPr>
          </w:p>
        </w:tc>
        <w:tc>
          <w:tcPr>
            <w:tcW w:w="833" w:type="pct"/>
            <w:vAlign w:val="center"/>
          </w:tcPr>
          <w:p w14:paraId="3FFE6A80">
            <w:pPr>
              <w:pStyle w:val="42"/>
              <w:jc w:val="center"/>
              <w:rPr>
                <w:rFonts w:hint="default" w:hAnsi="Calibri"/>
              </w:rPr>
            </w:pPr>
          </w:p>
        </w:tc>
        <w:tc>
          <w:tcPr>
            <w:tcW w:w="833" w:type="pct"/>
            <w:vAlign w:val="center"/>
          </w:tcPr>
          <w:p w14:paraId="23B6A327">
            <w:pPr>
              <w:pStyle w:val="42"/>
              <w:jc w:val="center"/>
              <w:rPr>
                <w:rFonts w:hint="default" w:hAnsi="Calibri"/>
              </w:rPr>
            </w:pPr>
          </w:p>
        </w:tc>
      </w:tr>
      <w:tr w14:paraId="4FF6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1" w:type="pct"/>
            <w:vAlign w:val="center"/>
          </w:tcPr>
          <w:p w14:paraId="325F5C03">
            <w:pPr>
              <w:pStyle w:val="42"/>
              <w:jc w:val="center"/>
              <w:rPr>
                <w:rFonts w:hint="default" w:hAnsi="Calibri"/>
              </w:rPr>
            </w:pPr>
          </w:p>
        </w:tc>
        <w:tc>
          <w:tcPr>
            <w:tcW w:w="1166" w:type="pct"/>
            <w:vAlign w:val="center"/>
          </w:tcPr>
          <w:p w14:paraId="5DCAF591">
            <w:pPr>
              <w:pStyle w:val="42"/>
              <w:jc w:val="center"/>
              <w:rPr>
                <w:rFonts w:hint="default" w:hAnsi="Calibri"/>
              </w:rPr>
            </w:pPr>
          </w:p>
        </w:tc>
        <w:tc>
          <w:tcPr>
            <w:tcW w:w="833" w:type="pct"/>
            <w:vAlign w:val="center"/>
          </w:tcPr>
          <w:p w14:paraId="209B3B95">
            <w:pPr>
              <w:pStyle w:val="42"/>
              <w:jc w:val="center"/>
              <w:rPr>
                <w:rFonts w:hint="default" w:hAnsi="Calibri"/>
              </w:rPr>
            </w:pPr>
          </w:p>
        </w:tc>
        <w:tc>
          <w:tcPr>
            <w:tcW w:w="833" w:type="pct"/>
            <w:vAlign w:val="center"/>
          </w:tcPr>
          <w:p w14:paraId="1C12AB93">
            <w:pPr>
              <w:pStyle w:val="42"/>
              <w:jc w:val="center"/>
              <w:rPr>
                <w:rFonts w:hint="default" w:hAnsi="Calibri"/>
              </w:rPr>
            </w:pPr>
          </w:p>
        </w:tc>
        <w:tc>
          <w:tcPr>
            <w:tcW w:w="833" w:type="pct"/>
            <w:vAlign w:val="center"/>
          </w:tcPr>
          <w:p w14:paraId="68640DA2">
            <w:pPr>
              <w:pStyle w:val="42"/>
              <w:jc w:val="center"/>
              <w:rPr>
                <w:rFonts w:hint="default" w:hAnsi="Calibri"/>
              </w:rPr>
            </w:pPr>
          </w:p>
        </w:tc>
        <w:tc>
          <w:tcPr>
            <w:tcW w:w="833" w:type="pct"/>
            <w:vAlign w:val="center"/>
          </w:tcPr>
          <w:p w14:paraId="22687C2A">
            <w:pPr>
              <w:pStyle w:val="42"/>
              <w:jc w:val="center"/>
              <w:rPr>
                <w:rFonts w:hint="default" w:hAnsi="Calibri"/>
              </w:rPr>
            </w:pPr>
          </w:p>
        </w:tc>
      </w:tr>
      <w:tr w14:paraId="1490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1" w:type="pct"/>
            <w:vAlign w:val="center"/>
          </w:tcPr>
          <w:p w14:paraId="79C8BB12">
            <w:pPr>
              <w:pStyle w:val="42"/>
              <w:jc w:val="center"/>
              <w:rPr>
                <w:rFonts w:hint="default" w:hAnsi="Calibri"/>
              </w:rPr>
            </w:pPr>
          </w:p>
        </w:tc>
        <w:tc>
          <w:tcPr>
            <w:tcW w:w="1166" w:type="pct"/>
            <w:vAlign w:val="center"/>
          </w:tcPr>
          <w:p w14:paraId="103A4136">
            <w:pPr>
              <w:pStyle w:val="42"/>
              <w:jc w:val="center"/>
              <w:rPr>
                <w:rFonts w:hint="default" w:hAnsi="Calibri"/>
              </w:rPr>
            </w:pPr>
          </w:p>
        </w:tc>
        <w:tc>
          <w:tcPr>
            <w:tcW w:w="833" w:type="pct"/>
            <w:vAlign w:val="center"/>
          </w:tcPr>
          <w:p w14:paraId="76097342">
            <w:pPr>
              <w:pStyle w:val="42"/>
              <w:jc w:val="center"/>
              <w:rPr>
                <w:rFonts w:hint="default" w:hAnsi="Calibri"/>
              </w:rPr>
            </w:pPr>
          </w:p>
        </w:tc>
        <w:tc>
          <w:tcPr>
            <w:tcW w:w="833" w:type="pct"/>
            <w:vAlign w:val="center"/>
          </w:tcPr>
          <w:p w14:paraId="74BD946A">
            <w:pPr>
              <w:pStyle w:val="42"/>
              <w:jc w:val="center"/>
              <w:rPr>
                <w:rFonts w:hint="default" w:hAnsi="Calibri"/>
              </w:rPr>
            </w:pPr>
          </w:p>
        </w:tc>
        <w:tc>
          <w:tcPr>
            <w:tcW w:w="833" w:type="pct"/>
            <w:vAlign w:val="center"/>
          </w:tcPr>
          <w:p w14:paraId="7AACD96B">
            <w:pPr>
              <w:pStyle w:val="42"/>
              <w:jc w:val="center"/>
              <w:rPr>
                <w:rFonts w:hint="default" w:hAnsi="Calibri"/>
              </w:rPr>
            </w:pPr>
          </w:p>
        </w:tc>
        <w:tc>
          <w:tcPr>
            <w:tcW w:w="833" w:type="pct"/>
            <w:vAlign w:val="center"/>
          </w:tcPr>
          <w:p w14:paraId="6BADE8A9">
            <w:pPr>
              <w:pStyle w:val="42"/>
              <w:jc w:val="center"/>
              <w:rPr>
                <w:rFonts w:hint="default" w:hAnsi="Calibri"/>
              </w:rPr>
            </w:pPr>
          </w:p>
        </w:tc>
      </w:tr>
      <w:tr w14:paraId="3286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1" w:type="pct"/>
            <w:vAlign w:val="center"/>
          </w:tcPr>
          <w:p w14:paraId="601F03F7">
            <w:pPr>
              <w:pStyle w:val="42"/>
              <w:jc w:val="center"/>
              <w:rPr>
                <w:rFonts w:hint="default" w:hAnsi="Calibri"/>
              </w:rPr>
            </w:pPr>
          </w:p>
        </w:tc>
        <w:tc>
          <w:tcPr>
            <w:tcW w:w="1166" w:type="pct"/>
            <w:vAlign w:val="center"/>
          </w:tcPr>
          <w:p w14:paraId="252E8E5A">
            <w:pPr>
              <w:pStyle w:val="42"/>
              <w:jc w:val="center"/>
              <w:rPr>
                <w:rFonts w:hint="default" w:hAnsi="Calibri"/>
              </w:rPr>
            </w:pPr>
          </w:p>
        </w:tc>
        <w:tc>
          <w:tcPr>
            <w:tcW w:w="833" w:type="pct"/>
            <w:vAlign w:val="center"/>
          </w:tcPr>
          <w:p w14:paraId="382A545F">
            <w:pPr>
              <w:pStyle w:val="42"/>
              <w:jc w:val="center"/>
              <w:rPr>
                <w:rFonts w:hint="default" w:hAnsi="Calibri"/>
              </w:rPr>
            </w:pPr>
          </w:p>
        </w:tc>
        <w:tc>
          <w:tcPr>
            <w:tcW w:w="833" w:type="pct"/>
            <w:vAlign w:val="center"/>
          </w:tcPr>
          <w:p w14:paraId="1F897BBA">
            <w:pPr>
              <w:pStyle w:val="42"/>
              <w:jc w:val="center"/>
              <w:rPr>
                <w:rFonts w:hint="default" w:hAnsi="Calibri"/>
              </w:rPr>
            </w:pPr>
          </w:p>
        </w:tc>
        <w:tc>
          <w:tcPr>
            <w:tcW w:w="833" w:type="pct"/>
            <w:vAlign w:val="center"/>
          </w:tcPr>
          <w:p w14:paraId="0E4C775B">
            <w:pPr>
              <w:pStyle w:val="42"/>
              <w:jc w:val="center"/>
              <w:rPr>
                <w:rFonts w:hint="default" w:hAnsi="Calibri"/>
              </w:rPr>
            </w:pPr>
          </w:p>
        </w:tc>
        <w:tc>
          <w:tcPr>
            <w:tcW w:w="833" w:type="pct"/>
            <w:vAlign w:val="center"/>
          </w:tcPr>
          <w:p w14:paraId="58F4B707">
            <w:pPr>
              <w:pStyle w:val="42"/>
              <w:jc w:val="center"/>
              <w:rPr>
                <w:rFonts w:hint="default" w:hAnsi="Calibri"/>
              </w:rPr>
            </w:pPr>
          </w:p>
        </w:tc>
      </w:tr>
      <w:tr w14:paraId="39A1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1" w:type="pct"/>
            <w:vAlign w:val="center"/>
          </w:tcPr>
          <w:p w14:paraId="64C084F1">
            <w:pPr>
              <w:pStyle w:val="42"/>
              <w:jc w:val="center"/>
              <w:rPr>
                <w:rFonts w:hint="default" w:hAnsi="Calibri"/>
              </w:rPr>
            </w:pPr>
          </w:p>
        </w:tc>
        <w:tc>
          <w:tcPr>
            <w:tcW w:w="1166" w:type="pct"/>
            <w:vAlign w:val="center"/>
          </w:tcPr>
          <w:p w14:paraId="53AF2D01">
            <w:pPr>
              <w:pStyle w:val="42"/>
              <w:jc w:val="center"/>
              <w:rPr>
                <w:rFonts w:hint="default" w:hAnsi="Calibri"/>
              </w:rPr>
            </w:pPr>
          </w:p>
        </w:tc>
        <w:tc>
          <w:tcPr>
            <w:tcW w:w="833" w:type="pct"/>
            <w:vAlign w:val="center"/>
          </w:tcPr>
          <w:p w14:paraId="0F8F0FEE">
            <w:pPr>
              <w:pStyle w:val="42"/>
              <w:jc w:val="center"/>
              <w:rPr>
                <w:rFonts w:hint="default" w:hAnsi="Calibri"/>
              </w:rPr>
            </w:pPr>
          </w:p>
        </w:tc>
        <w:tc>
          <w:tcPr>
            <w:tcW w:w="833" w:type="pct"/>
            <w:vAlign w:val="center"/>
          </w:tcPr>
          <w:p w14:paraId="5FF17D66">
            <w:pPr>
              <w:pStyle w:val="42"/>
              <w:jc w:val="center"/>
              <w:rPr>
                <w:rFonts w:hint="default" w:hAnsi="Calibri"/>
              </w:rPr>
            </w:pPr>
          </w:p>
        </w:tc>
        <w:tc>
          <w:tcPr>
            <w:tcW w:w="833" w:type="pct"/>
            <w:vAlign w:val="center"/>
          </w:tcPr>
          <w:p w14:paraId="4640EE1C">
            <w:pPr>
              <w:pStyle w:val="42"/>
              <w:jc w:val="center"/>
              <w:rPr>
                <w:rFonts w:hint="default" w:hAnsi="Calibri"/>
              </w:rPr>
            </w:pPr>
          </w:p>
        </w:tc>
        <w:tc>
          <w:tcPr>
            <w:tcW w:w="833" w:type="pct"/>
            <w:vAlign w:val="center"/>
          </w:tcPr>
          <w:p w14:paraId="44FC9D21">
            <w:pPr>
              <w:pStyle w:val="42"/>
              <w:jc w:val="center"/>
              <w:rPr>
                <w:rFonts w:hint="default" w:hAnsi="Calibri"/>
              </w:rPr>
            </w:pPr>
          </w:p>
        </w:tc>
      </w:tr>
    </w:tbl>
    <w:p w14:paraId="775C7DF7">
      <w:pPr>
        <w:spacing w:line="360" w:lineRule="auto"/>
      </w:pPr>
      <w:r>
        <w:rPr>
          <w:rFonts w:hint="eastAsia"/>
        </w:rPr>
        <w:t>注：供应商应认真如实填写本表，须与后附业绩顺序保持一致，填表信息与业绩实际内容不符所产生的一切后果由供应商自行承担。</w:t>
      </w:r>
    </w:p>
    <w:p w14:paraId="09E15417">
      <w:r>
        <w:rPr>
          <w:rFonts w:hint="eastAsia"/>
        </w:rPr>
        <w:br w:type="page"/>
      </w:r>
    </w:p>
    <w:p w14:paraId="44A4693E">
      <w:pPr>
        <w:pStyle w:val="42"/>
        <w:rPr>
          <w:rFonts w:hint="default"/>
        </w:rPr>
      </w:pPr>
      <w:r>
        <w:t>业绩1：</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6814"/>
      </w:tblGrid>
      <w:tr w14:paraId="2DF7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31" w:type="pct"/>
            <w:tcBorders>
              <w:top w:val="single" w:color="auto" w:sz="4" w:space="0"/>
              <w:left w:val="single" w:color="auto" w:sz="4" w:space="0"/>
              <w:bottom w:val="single" w:color="auto" w:sz="4" w:space="0"/>
              <w:right w:val="single" w:color="auto" w:sz="4" w:space="0"/>
            </w:tcBorders>
            <w:vAlign w:val="center"/>
          </w:tcPr>
          <w:p w14:paraId="1DA19F10">
            <w:pPr>
              <w:topLinePunct/>
              <w:spacing w:line="440" w:lineRule="exact"/>
              <w:jc w:val="center"/>
              <w:rPr>
                <w:szCs w:val="21"/>
              </w:rPr>
            </w:pPr>
            <w:bookmarkStart w:id="759" w:name="_Hlk118669727"/>
            <w:r>
              <w:rPr>
                <w:rFonts w:hint="eastAsia"/>
                <w:szCs w:val="21"/>
              </w:rPr>
              <w:t>项目名称</w:t>
            </w:r>
          </w:p>
        </w:tc>
        <w:tc>
          <w:tcPr>
            <w:tcW w:w="3669" w:type="pct"/>
            <w:tcBorders>
              <w:top w:val="single" w:color="auto" w:sz="4" w:space="0"/>
              <w:left w:val="single" w:color="auto" w:sz="4" w:space="0"/>
              <w:bottom w:val="single" w:color="auto" w:sz="4" w:space="0"/>
              <w:right w:val="single" w:color="auto" w:sz="4" w:space="0"/>
            </w:tcBorders>
          </w:tcPr>
          <w:p w14:paraId="77AA27BF">
            <w:pPr>
              <w:topLinePunct/>
              <w:spacing w:line="440" w:lineRule="exact"/>
              <w:rPr>
                <w:szCs w:val="21"/>
              </w:rPr>
            </w:pPr>
          </w:p>
        </w:tc>
      </w:tr>
      <w:tr w14:paraId="7FCE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31" w:type="pct"/>
            <w:tcBorders>
              <w:top w:val="single" w:color="auto" w:sz="4" w:space="0"/>
              <w:left w:val="single" w:color="auto" w:sz="4" w:space="0"/>
              <w:bottom w:val="single" w:color="auto" w:sz="4" w:space="0"/>
              <w:right w:val="single" w:color="auto" w:sz="4" w:space="0"/>
            </w:tcBorders>
            <w:vAlign w:val="center"/>
          </w:tcPr>
          <w:p w14:paraId="40CE46C8">
            <w:pPr>
              <w:topLinePunct/>
              <w:spacing w:line="440" w:lineRule="exact"/>
              <w:jc w:val="center"/>
              <w:rPr>
                <w:szCs w:val="21"/>
              </w:rPr>
            </w:pPr>
            <w:r>
              <w:rPr>
                <w:rFonts w:hint="eastAsia"/>
                <w:szCs w:val="21"/>
              </w:rPr>
              <w:t>发包人名称</w:t>
            </w:r>
          </w:p>
        </w:tc>
        <w:tc>
          <w:tcPr>
            <w:tcW w:w="3669" w:type="pct"/>
            <w:tcBorders>
              <w:top w:val="single" w:color="auto" w:sz="4" w:space="0"/>
              <w:left w:val="single" w:color="auto" w:sz="4" w:space="0"/>
              <w:bottom w:val="single" w:color="auto" w:sz="4" w:space="0"/>
              <w:right w:val="single" w:color="auto" w:sz="4" w:space="0"/>
            </w:tcBorders>
          </w:tcPr>
          <w:p w14:paraId="048C13F6">
            <w:pPr>
              <w:topLinePunct/>
              <w:spacing w:line="440" w:lineRule="exact"/>
              <w:rPr>
                <w:szCs w:val="21"/>
              </w:rPr>
            </w:pPr>
          </w:p>
        </w:tc>
      </w:tr>
      <w:tr w14:paraId="088C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31" w:type="pct"/>
            <w:tcBorders>
              <w:top w:val="single" w:color="auto" w:sz="4" w:space="0"/>
              <w:left w:val="single" w:color="auto" w:sz="4" w:space="0"/>
              <w:bottom w:val="single" w:color="auto" w:sz="4" w:space="0"/>
              <w:right w:val="single" w:color="auto" w:sz="4" w:space="0"/>
            </w:tcBorders>
            <w:vAlign w:val="center"/>
          </w:tcPr>
          <w:p w14:paraId="24F61813">
            <w:pPr>
              <w:topLinePunct/>
              <w:spacing w:line="440" w:lineRule="exact"/>
              <w:jc w:val="center"/>
              <w:rPr>
                <w:szCs w:val="21"/>
              </w:rPr>
            </w:pPr>
            <w:r>
              <w:rPr>
                <w:rFonts w:hint="eastAsia"/>
                <w:szCs w:val="21"/>
              </w:rPr>
              <w:t>工作范围</w:t>
            </w:r>
          </w:p>
        </w:tc>
        <w:tc>
          <w:tcPr>
            <w:tcW w:w="3669" w:type="pct"/>
            <w:tcBorders>
              <w:top w:val="single" w:color="auto" w:sz="4" w:space="0"/>
              <w:left w:val="single" w:color="auto" w:sz="4" w:space="0"/>
              <w:bottom w:val="single" w:color="auto" w:sz="4" w:space="0"/>
              <w:right w:val="single" w:color="auto" w:sz="4" w:space="0"/>
            </w:tcBorders>
          </w:tcPr>
          <w:p w14:paraId="12137A64">
            <w:pPr>
              <w:topLinePunct/>
              <w:spacing w:line="440" w:lineRule="exact"/>
              <w:rPr>
                <w:szCs w:val="21"/>
              </w:rPr>
            </w:pPr>
          </w:p>
        </w:tc>
      </w:tr>
      <w:tr w14:paraId="12D8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31" w:type="pct"/>
            <w:tcBorders>
              <w:top w:val="single" w:color="auto" w:sz="4" w:space="0"/>
              <w:left w:val="single" w:color="auto" w:sz="4" w:space="0"/>
              <w:bottom w:val="single" w:color="auto" w:sz="4" w:space="0"/>
              <w:right w:val="single" w:color="auto" w:sz="4" w:space="0"/>
            </w:tcBorders>
            <w:vAlign w:val="center"/>
          </w:tcPr>
          <w:p w14:paraId="3109C7B1">
            <w:pPr>
              <w:topLinePunct/>
              <w:spacing w:line="440" w:lineRule="exact"/>
              <w:jc w:val="center"/>
              <w:rPr>
                <w:szCs w:val="21"/>
              </w:rPr>
            </w:pPr>
            <w:r>
              <w:rPr>
                <w:rFonts w:hint="eastAsia"/>
                <w:szCs w:val="21"/>
              </w:rPr>
              <w:t>完工情况</w:t>
            </w:r>
          </w:p>
        </w:tc>
        <w:tc>
          <w:tcPr>
            <w:tcW w:w="3669" w:type="pct"/>
            <w:tcBorders>
              <w:top w:val="single" w:color="auto" w:sz="4" w:space="0"/>
              <w:left w:val="single" w:color="auto" w:sz="4" w:space="0"/>
              <w:bottom w:val="single" w:color="auto" w:sz="4" w:space="0"/>
              <w:right w:val="single" w:color="auto" w:sz="4" w:space="0"/>
            </w:tcBorders>
          </w:tcPr>
          <w:p w14:paraId="1215FB2B">
            <w:pPr>
              <w:topLinePunct/>
              <w:spacing w:line="440" w:lineRule="exact"/>
              <w:rPr>
                <w:szCs w:val="21"/>
              </w:rPr>
            </w:pPr>
          </w:p>
        </w:tc>
      </w:tr>
      <w:tr w14:paraId="46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31" w:type="pct"/>
            <w:tcBorders>
              <w:top w:val="single" w:color="auto" w:sz="4" w:space="0"/>
              <w:left w:val="single" w:color="auto" w:sz="4" w:space="0"/>
              <w:bottom w:val="single" w:color="auto" w:sz="4" w:space="0"/>
              <w:right w:val="single" w:color="auto" w:sz="4" w:space="0"/>
            </w:tcBorders>
            <w:vAlign w:val="center"/>
          </w:tcPr>
          <w:p w14:paraId="077EA1AC">
            <w:pPr>
              <w:topLinePunct/>
              <w:spacing w:line="440" w:lineRule="exact"/>
              <w:jc w:val="center"/>
              <w:rPr>
                <w:szCs w:val="21"/>
              </w:rPr>
            </w:pPr>
            <w:r>
              <w:rPr>
                <w:rFonts w:hint="eastAsia"/>
                <w:szCs w:val="21"/>
              </w:rPr>
              <w:t>备注</w:t>
            </w:r>
          </w:p>
        </w:tc>
        <w:tc>
          <w:tcPr>
            <w:tcW w:w="3669" w:type="pct"/>
            <w:tcBorders>
              <w:top w:val="single" w:color="auto" w:sz="4" w:space="0"/>
              <w:left w:val="single" w:color="auto" w:sz="4" w:space="0"/>
              <w:bottom w:val="single" w:color="auto" w:sz="4" w:space="0"/>
              <w:right w:val="single" w:color="auto" w:sz="4" w:space="0"/>
            </w:tcBorders>
          </w:tcPr>
          <w:p w14:paraId="0E2B0967">
            <w:pPr>
              <w:topLinePunct/>
              <w:spacing w:line="440" w:lineRule="exact"/>
              <w:rPr>
                <w:szCs w:val="21"/>
              </w:rPr>
            </w:pPr>
          </w:p>
        </w:tc>
      </w:tr>
      <w:bookmarkEnd w:id="759"/>
    </w:tbl>
    <w:p w14:paraId="759C8C88">
      <w:pPr>
        <w:pStyle w:val="28"/>
        <w:ind w:left="0" w:leftChars="0" w:firstLine="0" w:firstLineChars="0"/>
        <w:rPr>
          <w:rFonts w:hint="eastAsia" w:eastAsia="宋体"/>
          <w:lang w:eastAsia="zh-CN"/>
        </w:rPr>
      </w:pPr>
      <w:r>
        <w:rPr>
          <w:rFonts w:hint="eastAsia" w:ascii="宋体" w:hAnsi="宋体" w:cs="宋体"/>
        </w:rPr>
        <w:t>备注：1、</w:t>
      </w:r>
      <w:r>
        <w:rPr>
          <w:rFonts w:hint="eastAsia" w:ascii="宋体" w:hAnsi="宋体" w:cs="宋体"/>
          <w:lang w:eastAsia="zh-CN"/>
        </w:rPr>
        <w:t>本表后</w:t>
      </w:r>
      <w:r>
        <w:rPr>
          <w:rFonts w:hint="eastAsia"/>
          <w:lang w:eastAsia="zh-CN"/>
        </w:rPr>
        <w:t>需附中标通知书或合同协议书复印件并加盖企业公章，已完成项目还需提供竣工验收报告复印件加盖企业电子公章，同时附上业绩查询网址及查询网页截图；</w:t>
      </w:r>
      <w:r>
        <w:rPr>
          <w:rFonts w:hint="eastAsia" w:ascii="宋体" w:hAnsi="宋体" w:cs="宋体"/>
          <w:bCs/>
          <w:sz w:val="21"/>
          <w:szCs w:val="21"/>
          <w:lang w:val="zh-CN" w:eastAsia="zh-CN"/>
        </w:rPr>
        <w:t>竣工日期</w:t>
      </w:r>
      <w:r>
        <w:rPr>
          <w:rFonts w:hint="eastAsia"/>
          <w:lang w:val="zh-CN" w:eastAsia="zh-CN"/>
        </w:rPr>
        <w:t>以验收报告中载明的</w:t>
      </w:r>
      <w:r>
        <w:rPr>
          <w:rFonts w:hint="eastAsia"/>
          <w:lang w:val="en-US" w:eastAsia="zh-CN"/>
        </w:rPr>
        <w:t>验收</w:t>
      </w:r>
      <w:r>
        <w:rPr>
          <w:rFonts w:hint="eastAsia"/>
          <w:lang w:val="zh-CN" w:eastAsia="zh-CN"/>
        </w:rPr>
        <w:t>日期为准</w:t>
      </w:r>
      <w:r>
        <w:rPr>
          <w:rFonts w:hint="eastAsia" w:ascii="宋体" w:hAnsi="宋体"/>
          <w:lang w:val="zh-CN" w:eastAsia="zh-CN"/>
        </w:rPr>
        <w:t>。</w:t>
      </w:r>
      <w:r>
        <w:rPr>
          <w:rFonts w:hint="eastAsia" w:ascii="宋体" w:hAnsi="宋体" w:cs="宋体"/>
          <w:lang w:val="zh-CN" w:eastAsia="zh-CN"/>
        </w:rPr>
        <w:t>每张表格仅填写一个项目，并标明项目序号。</w:t>
      </w:r>
    </w:p>
    <w:p w14:paraId="0E291F4D">
      <w:pPr>
        <w:pStyle w:val="28"/>
        <w:ind w:firstLine="420"/>
      </w:pPr>
    </w:p>
    <w:p w14:paraId="3BB90BBC">
      <w:pPr>
        <w:spacing w:line="360" w:lineRule="auto"/>
        <w:ind w:firstLine="420" w:firstLineChars="200"/>
        <w:rPr>
          <w:rFonts w:ascii="宋体" w:hAnsi="宋体"/>
          <w:szCs w:val="21"/>
        </w:rPr>
      </w:pPr>
    </w:p>
    <w:p w14:paraId="6AC21158">
      <w:pPr>
        <w:spacing w:line="360" w:lineRule="auto"/>
        <w:ind w:firstLine="420" w:firstLineChars="200"/>
        <w:rPr>
          <w:rFonts w:ascii="宋体" w:hAnsi="宋体"/>
          <w:szCs w:val="21"/>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bookmarkEnd w:id="751"/>
    <w:bookmarkEnd w:id="752"/>
    <w:p w14:paraId="63032992">
      <w:pPr>
        <w:spacing w:line="360" w:lineRule="auto"/>
        <w:ind w:left="-2" w:leftChars="-1" w:firstLine="2"/>
        <w:jc w:val="center"/>
        <w:rPr>
          <w:rFonts w:ascii="宋体" w:hAnsi="宋体" w:cs="宋体"/>
          <w:b/>
          <w:kern w:val="0"/>
          <w:sz w:val="32"/>
          <w:szCs w:val="18"/>
        </w:rPr>
      </w:pPr>
      <w:bookmarkStart w:id="760" w:name="_Toc28828_WPSOffice_Level1"/>
      <w:bookmarkStart w:id="761" w:name="_Toc21293_WPSOffice_Level1"/>
      <w:r>
        <w:rPr>
          <w:rFonts w:hint="eastAsia" w:ascii="宋体" w:hAnsi="宋体" w:cs="宋体"/>
          <w:b/>
          <w:kern w:val="0"/>
          <w:sz w:val="32"/>
          <w:szCs w:val="18"/>
          <w:lang w:val="en-US" w:eastAsia="zh-CN"/>
        </w:rPr>
        <w:t>七</w:t>
      </w:r>
      <w:r>
        <w:rPr>
          <w:rFonts w:hint="eastAsia" w:ascii="宋体" w:hAnsi="宋体" w:cs="宋体"/>
          <w:b/>
          <w:kern w:val="0"/>
          <w:sz w:val="32"/>
          <w:szCs w:val="18"/>
          <w:lang w:val="zh-CN"/>
        </w:rPr>
        <w:t>、其他材料</w:t>
      </w:r>
      <w:bookmarkEnd w:id="760"/>
      <w:bookmarkEnd w:id="761"/>
    </w:p>
    <w:p w14:paraId="02B46311">
      <w:pPr>
        <w:widowControl/>
        <w:autoSpaceDE w:val="0"/>
        <w:autoSpaceDN w:val="0"/>
        <w:adjustRightInd w:val="0"/>
        <w:spacing w:line="400" w:lineRule="exact"/>
        <w:jc w:val="center"/>
        <w:rPr>
          <w:rFonts w:ascii="宋体" w:hAnsi="宋体" w:cs="宋体"/>
          <w:b/>
          <w:bCs/>
          <w:kern w:val="0"/>
          <w:sz w:val="32"/>
          <w:szCs w:val="21"/>
        </w:rPr>
      </w:pPr>
    </w:p>
    <w:p w14:paraId="54DB7550">
      <w:pPr>
        <w:spacing w:line="400" w:lineRule="exact"/>
        <w:jc w:val="center"/>
        <w:rPr>
          <w:rFonts w:ascii="宋体" w:hAnsi="宋体" w:cs="宋体"/>
          <w:sz w:val="24"/>
          <w:lang w:val="zh-CN"/>
        </w:rPr>
      </w:pPr>
    </w:p>
    <w:bookmarkEnd w:id="745"/>
    <w:bookmarkEnd w:id="746"/>
    <w:bookmarkEnd w:id="747"/>
    <w:bookmarkEnd w:id="748"/>
    <w:bookmarkEnd w:id="749"/>
    <w:bookmarkEnd w:id="750"/>
    <w:p w14:paraId="3B25E4C0">
      <w:pPr>
        <w:pStyle w:val="28"/>
        <w:ind w:left="0" w:leftChars="0" w:firstLine="560"/>
        <w:rPr>
          <w:sz w:val="28"/>
          <w:szCs w:val="28"/>
        </w:rPr>
      </w:pPr>
      <w:r>
        <w:rPr>
          <w:rFonts w:hint="eastAsia"/>
          <w:sz w:val="28"/>
          <w:szCs w:val="28"/>
        </w:rPr>
        <w:t>1.优惠条件</w:t>
      </w:r>
    </w:p>
    <w:p w14:paraId="41610E73">
      <w:pPr>
        <w:pStyle w:val="28"/>
        <w:ind w:left="0" w:leftChars="0" w:firstLine="560"/>
        <w:rPr>
          <w:sz w:val="28"/>
          <w:szCs w:val="28"/>
        </w:rPr>
      </w:pPr>
    </w:p>
    <w:p w14:paraId="09195AF4">
      <w:pPr>
        <w:pStyle w:val="28"/>
        <w:ind w:left="0" w:leftChars="0" w:firstLine="560"/>
        <w:rPr>
          <w:sz w:val="28"/>
          <w:szCs w:val="28"/>
        </w:rPr>
      </w:pPr>
    </w:p>
    <w:p w14:paraId="767A9417">
      <w:pPr>
        <w:pStyle w:val="28"/>
        <w:numPr>
          <w:ilvl w:val="0"/>
          <w:numId w:val="10"/>
        </w:numPr>
        <w:ind w:left="0" w:leftChars="0" w:firstLine="560"/>
        <w:rPr>
          <w:rFonts w:hint="eastAsia"/>
          <w:sz w:val="28"/>
          <w:szCs w:val="28"/>
        </w:rPr>
      </w:pPr>
      <w:r>
        <w:rPr>
          <w:rFonts w:hint="eastAsia"/>
          <w:sz w:val="28"/>
          <w:szCs w:val="28"/>
        </w:rPr>
        <w:t>服务承诺</w:t>
      </w:r>
    </w:p>
    <w:p w14:paraId="2E2C0317">
      <w:pPr>
        <w:pStyle w:val="28"/>
        <w:numPr>
          <w:ilvl w:val="0"/>
          <w:numId w:val="0"/>
        </w:numPr>
        <w:ind w:leftChars="200"/>
        <w:rPr>
          <w:rFonts w:hint="eastAsia"/>
          <w:sz w:val="28"/>
          <w:szCs w:val="28"/>
        </w:rPr>
      </w:pPr>
    </w:p>
    <w:p w14:paraId="17B17029">
      <w:pPr>
        <w:pStyle w:val="28"/>
        <w:numPr>
          <w:ilvl w:val="0"/>
          <w:numId w:val="0"/>
        </w:numPr>
        <w:ind w:leftChars="200"/>
        <w:rPr>
          <w:rFonts w:hint="eastAsia"/>
          <w:sz w:val="28"/>
          <w:szCs w:val="28"/>
        </w:rPr>
      </w:pPr>
    </w:p>
    <w:p w14:paraId="16A3D30E">
      <w:pPr>
        <w:pStyle w:val="28"/>
        <w:numPr>
          <w:ilvl w:val="0"/>
          <w:numId w:val="10"/>
        </w:numPr>
        <w:ind w:left="0" w:leftChars="0" w:firstLine="560"/>
        <w:rPr>
          <w:rFonts w:hint="eastAsia"/>
          <w:sz w:val="28"/>
          <w:szCs w:val="28"/>
        </w:rPr>
      </w:pPr>
      <w:r>
        <w:rPr>
          <w:rFonts w:hint="eastAsia"/>
          <w:sz w:val="28"/>
          <w:szCs w:val="28"/>
        </w:rPr>
        <w:t>磋商文件中要求的其他证明资料（如有）</w:t>
      </w:r>
    </w:p>
    <w:p w14:paraId="61D049BC">
      <w:pPr>
        <w:pStyle w:val="28"/>
        <w:ind w:left="0" w:leftChars="0" w:firstLine="560"/>
        <w:rPr>
          <w:sz w:val="28"/>
          <w:szCs w:val="28"/>
        </w:rPr>
      </w:pPr>
    </w:p>
    <w:p w14:paraId="7BBBB3EC">
      <w:pPr>
        <w:pStyle w:val="28"/>
        <w:ind w:left="0" w:leftChars="0" w:firstLine="560"/>
        <w:rPr>
          <w:sz w:val="28"/>
          <w:szCs w:val="28"/>
        </w:rPr>
      </w:pPr>
    </w:p>
    <w:p w14:paraId="5232AA2F">
      <w:pPr>
        <w:pStyle w:val="28"/>
        <w:ind w:left="0" w:leftChars="0" w:firstLine="560"/>
        <w:rPr>
          <w:sz w:val="28"/>
          <w:szCs w:val="28"/>
          <w:lang w:val="zh-CN"/>
        </w:rPr>
      </w:pPr>
    </w:p>
    <w:p w14:paraId="19031867">
      <w:pPr>
        <w:rPr>
          <w:sz w:val="28"/>
          <w:szCs w:val="28"/>
        </w:rPr>
      </w:pPr>
      <w:r>
        <w:rPr>
          <w:rFonts w:hint="eastAsia"/>
          <w:sz w:val="28"/>
          <w:szCs w:val="28"/>
        </w:rPr>
        <w:br w:type="page"/>
      </w:r>
    </w:p>
    <w:p w14:paraId="0633C7FF">
      <w:pPr>
        <w:rPr>
          <w:sz w:val="28"/>
          <w:szCs w:val="28"/>
        </w:rPr>
      </w:pPr>
    </w:p>
    <w:p w14:paraId="36ABDF3C">
      <w:pPr>
        <w:tabs>
          <w:tab w:val="left" w:pos="900"/>
          <w:tab w:val="left" w:pos="1080"/>
        </w:tabs>
        <w:adjustRightInd w:val="0"/>
        <w:snapToGrid w:val="0"/>
        <w:spacing w:line="360" w:lineRule="auto"/>
        <w:jc w:val="center"/>
        <w:rPr>
          <w:rFonts w:ascii="宋体" w:hAnsi="宋体" w:cs="宋体"/>
          <w:b/>
          <w:kern w:val="0"/>
          <w:sz w:val="32"/>
          <w:szCs w:val="32"/>
        </w:rPr>
      </w:pPr>
    </w:p>
    <w:p w14:paraId="0886DFC1">
      <w:pPr>
        <w:tabs>
          <w:tab w:val="left" w:pos="900"/>
          <w:tab w:val="left" w:pos="1080"/>
        </w:tabs>
        <w:adjustRightInd w:val="0"/>
        <w:snapToGrid w:val="0"/>
        <w:spacing w:line="360" w:lineRule="auto"/>
        <w:jc w:val="center"/>
        <w:rPr>
          <w:rFonts w:ascii="宋体" w:hAnsi="宋体" w:cs="宋体"/>
          <w:b/>
          <w:kern w:val="0"/>
          <w:sz w:val="32"/>
          <w:szCs w:val="32"/>
        </w:rPr>
      </w:pPr>
    </w:p>
    <w:p w14:paraId="1F00CFF5">
      <w:pPr>
        <w:tabs>
          <w:tab w:val="left" w:pos="900"/>
          <w:tab w:val="left" w:pos="1080"/>
        </w:tabs>
        <w:adjustRightInd w:val="0"/>
        <w:snapToGrid w:val="0"/>
        <w:spacing w:line="360" w:lineRule="auto"/>
        <w:jc w:val="center"/>
        <w:rPr>
          <w:rFonts w:ascii="宋体" w:hAnsi="宋体" w:cs="宋体"/>
          <w:b/>
          <w:kern w:val="0"/>
          <w:sz w:val="32"/>
          <w:szCs w:val="32"/>
        </w:rPr>
      </w:pPr>
    </w:p>
    <w:p w14:paraId="1149F43A">
      <w:pPr>
        <w:tabs>
          <w:tab w:val="left" w:pos="900"/>
          <w:tab w:val="left" w:pos="1080"/>
        </w:tabs>
        <w:adjustRightInd w:val="0"/>
        <w:snapToGrid w:val="0"/>
        <w:spacing w:line="360" w:lineRule="auto"/>
        <w:jc w:val="center"/>
        <w:rPr>
          <w:rFonts w:ascii="宋体" w:hAnsi="宋体" w:cs="宋体"/>
          <w:b/>
          <w:kern w:val="0"/>
          <w:sz w:val="44"/>
          <w:szCs w:val="44"/>
        </w:rPr>
      </w:pPr>
      <w:r>
        <w:rPr>
          <w:rFonts w:hint="eastAsia" w:ascii="宋体" w:hAnsi="宋体" w:cs="宋体"/>
          <w:b/>
          <w:kern w:val="0"/>
          <w:sz w:val="44"/>
          <w:szCs w:val="44"/>
        </w:rPr>
        <w:t>技术部分（暗标）</w:t>
      </w:r>
    </w:p>
    <w:p w14:paraId="2263DE60">
      <w:pPr>
        <w:pStyle w:val="3"/>
        <w:rPr>
          <w:rFonts w:ascii="宋体" w:hAnsi="宋体" w:cs="宋体"/>
          <w:kern w:val="0"/>
          <w:sz w:val="44"/>
          <w:szCs w:val="44"/>
        </w:rPr>
      </w:pPr>
    </w:p>
    <w:p w14:paraId="26A0E3EF">
      <w:r>
        <w:rPr>
          <w:rFonts w:hint="eastAsia" w:ascii="宋体" w:hAnsi="宋体" w:eastAsia="宋体" w:cs="宋体"/>
          <w:b/>
          <w:bCs/>
          <w:kern w:val="0"/>
          <w:sz w:val="24"/>
          <w:lang w:bidi="ar"/>
        </w:rPr>
        <w:t>注：本页仅起到示意作用，竞争性磋商响应文件编制时不制作本页。</w:t>
      </w:r>
    </w:p>
    <w:p w14:paraId="7F9927F3">
      <w:pPr>
        <w:rPr>
          <w:rFonts w:ascii="宋体" w:hAnsi="宋体" w:cs="宋体"/>
          <w:sz w:val="28"/>
          <w:szCs w:val="28"/>
        </w:rPr>
      </w:pPr>
      <w:r>
        <w:rPr>
          <w:rFonts w:hint="eastAsia" w:ascii="宋体" w:hAnsi="宋体" w:cs="宋体"/>
          <w:sz w:val="28"/>
          <w:szCs w:val="28"/>
        </w:rPr>
        <w:br w:type="page"/>
      </w:r>
    </w:p>
    <w:p w14:paraId="1CD829E5">
      <w:pPr>
        <w:spacing w:line="360" w:lineRule="auto"/>
        <w:jc w:val="left"/>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一</w:t>
      </w:r>
      <w:r>
        <w:rPr>
          <w:rFonts w:hint="eastAsia" w:ascii="宋体" w:hAnsi="宋体" w:cs="宋体"/>
          <w:b/>
          <w:bCs/>
          <w:sz w:val="28"/>
          <w:szCs w:val="28"/>
        </w:rPr>
        <w:t>）暗标的编制要求：</w:t>
      </w:r>
    </w:p>
    <w:p w14:paraId="0B5367D1">
      <w:pPr>
        <w:rPr>
          <w:b/>
          <w:bCs/>
          <w:sz w:val="28"/>
          <w:szCs w:val="28"/>
        </w:rPr>
      </w:pPr>
      <w:r>
        <w:rPr>
          <w:rFonts w:hint="eastAsia"/>
          <w:b/>
          <w:bCs/>
          <w:sz w:val="28"/>
          <w:szCs w:val="28"/>
        </w:rPr>
        <w:t>投标文件技术标必须遵守的统一格式和规范。</w:t>
      </w:r>
    </w:p>
    <w:p w14:paraId="41CBF693">
      <w:pPr>
        <w:rPr>
          <w:b/>
          <w:bCs/>
          <w:sz w:val="28"/>
          <w:szCs w:val="28"/>
        </w:rPr>
      </w:pPr>
      <w:r>
        <w:rPr>
          <w:rFonts w:hint="eastAsia"/>
          <w:b/>
          <w:bCs/>
          <w:sz w:val="28"/>
          <w:szCs w:val="28"/>
        </w:rPr>
        <w:t>技术标文件（暗标）未按以下“盲评”要求制作的，为无效投标，除下述要求外，不得因暗标格式问题认定为无效投标：</w:t>
      </w:r>
    </w:p>
    <w:p w14:paraId="2E2C9AD2">
      <w:pPr>
        <w:rPr>
          <w:b/>
          <w:bCs/>
          <w:sz w:val="28"/>
          <w:szCs w:val="28"/>
        </w:rPr>
      </w:pPr>
      <w:r>
        <w:rPr>
          <w:rFonts w:hint="eastAsia"/>
          <w:b/>
          <w:bCs/>
          <w:sz w:val="28"/>
          <w:szCs w:val="28"/>
        </w:rPr>
        <w:t>1.版面要求：A4纸张大小；</w:t>
      </w:r>
    </w:p>
    <w:p w14:paraId="3E850212">
      <w:pPr>
        <w:rPr>
          <w:b/>
          <w:bCs/>
          <w:sz w:val="28"/>
          <w:szCs w:val="28"/>
        </w:rPr>
      </w:pPr>
      <w:r>
        <w:rPr>
          <w:rFonts w:hint="eastAsia"/>
          <w:b/>
          <w:bCs/>
          <w:sz w:val="28"/>
          <w:szCs w:val="28"/>
        </w:rPr>
        <w:t>2.颜色要求：所有文字、图表均为黑色；</w:t>
      </w:r>
    </w:p>
    <w:p w14:paraId="6198D6F7">
      <w:pPr>
        <w:rPr>
          <w:b/>
          <w:bCs/>
          <w:sz w:val="28"/>
          <w:szCs w:val="28"/>
        </w:rPr>
      </w:pPr>
      <w:r>
        <w:rPr>
          <w:rFonts w:hint="eastAsia"/>
          <w:b/>
          <w:bCs/>
          <w:sz w:val="28"/>
          <w:szCs w:val="28"/>
        </w:rPr>
        <w:t>3.字体要求：标题及正文部分所用文字均采用“宋体”四号“常规”字；图、表内的字体及字号不作要求；全部使用中文标点符号；所有字体均不得出现加粗、加色、倾斜、下划线等标记；</w:t>
      </w:r>
    </w:p>
    <w:p w14:paraId="3C93E41D">
      <w:pPr>
        <w:rPr>
          <w:b/>
          <w:bCs/>
          <w:sz w:val="28"/>
          <w:szCs w:val="28"/>
        </w:rPr>
      </w:pPr>
      <w:r>
        <w:rPr>
          <w:rFonts w:hint="eastAsia"/>
          <w:b/>
          <w:bCs/>
          <w:sz w:val="28"/>
          <w:szCs w:val="28"/>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672FC09">
      <w:pPr>
        <w:rPr>
          <w:b/>
          <w:bCs/>
          <w:sz w:val="28"/>
          <w:szCs w:val="28"/>
        </w:rPr>
      </w:pPr>
      <w:r>
        <w:rPr>
          <w:rFonts w:hint="eastAsia"/>
          <w:b/>
          <w:bCs/>
          <w:sz w:val="28"/>
          <w:szCs w:val="28"/>
        </w:rPr>
        <w:t>5.其它：除满足上述各项要求外，构成投标文件的“技术暗标”的正文中均不得出现供应商的名称和其它可识别供应商身份的字符、徽标、人员名称以及其他可能被辨别出供应商身份的任何标记。</w:t>
      </w:r>
    </w:p>
    <w:p w14:paraId="03C810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0"/>
        <w:jc w:val="left"/>
        <w:rPr>
          <w:color w:val="auto"/>
        </w:rPr>
      </w:pPr>
      <w:r>
        <w:rPr>
          <w:rFonts w:hint="eastAsia"/>
          <w:b/>
          <w:bCs/>
          <w:color w:val="auto"/>
          <w:sz w:val="28"/>
          <w:szCs w:val="28"/>
          <w:lang w:val="en-US" w:eastAsia="zh-CN"/>
        </w:rPr>
        <w:t>注：技术标不得设置封面。投标人编制施工组织设计（暗标）文件时，需对响应方案进行重点阐述，原则上该部分总篇幅不超过500页。</w:t>
      </w:r>
    </w:p>
    <w:p w14:paraId="3B019F38">
      <w:pPr>
        <w:rPr>
          <w:b/>
          <w:bCs/>
          <w:sz w:val="28"/>
          <w:szCs w:val="28"/>
        </w:rPr>
      </w:pPr>
      <w:r>
        <w:rPr>
          <w:rFonts w:hint="eastAsia"/>
          <w:b/>
          <w:bCs/>
          <w:sz w:val="28"/>
          <w:szCs w:val="28"/>
        </w:rPr>
        <w:t>注：本篇幅内容仅起到示意作用，竞争性磋商响应文件编制时不制作本篇幅内容。</w:t>
      </w:r>
    </w:p>
    <w:p w14:paraId="4BABCB04">
      <w:pPr>
        <w:spacing w:line="600" w:lineRule="atLeast"/>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二</w:t>
      </w:r>
      <w:r>
        <w:rPr>
          <w:rFonts w:hint="eastAsia" w:ascii="宋体" w:hAnsi="宋体" w:cs="宋体"/>
          <w:b/>
          <w:bCs/>
          <w:sz w:val="28"/>
          <w:szCs w:val="28"/>
        </w:rPr>
        <w:t>）施工组织设计中纳入“暗标”部分的内容：</w:t>
      </w:r>
    </w:p>
    <w:p w14:paraId="72D2C390">
      <w:pPr>
        <w:spacing w:line="600" w:lineRule="atLeast"/>
        <w:rPr>
          <w:rFonts w:ascii="宋体" w:hAnsi="宋体" w:cs="宋体"/>
          <w:sz w:val="28"/>
          <w:szCs w:val="28"/>
        </w:rPr>
      </w:pPr>
    </w:p>
    <w:p w14:paraId="22DBF16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lang w:val="en-US" w:eastAsia="zh-CN"/>
        </w:rPr>
        <w:t>一、</w:t>
      </w:r>
      <w:r>
        <w:rPr>
          <w:rFonts w:hint="eastAsia" w:ascii="宋体" w:hAnsi="宋体" w:cs="宋体"/>
          <w:sz w:val="28"/>
          <w:szCs w:val="28"/>
        </w:rPr>
        <w:t>施工方案与技术措施</w:t>
      </w:r>
    </w:p>
    <w:p w14:paraId="1EF6AEC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lang w:val="en-US" w:eastAsia="zh-CN"/>
        </w:rPr>
        <w:t>二、</w:t>
      </w:r>
      <w:r>
        <w:rPr>
          <w:rFonts w:hint="eastAsia" w:ascii="宋体" w:hAnsi="宋体" w:cs="宋体"/>
          <w:sz w:val="28"/>
          <w:szCs w:val="28"/>
        </w:rPr>
        <w:t>质量管理体系与措施</w:t>
      </w:r>
    </w:p>
    <w:p w14:paraId="179B799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lang w:val="en-US" w:eastAsia="zh-CN"/>
        </w:rPr>
        <w:t>三、</w:t>
      </w:r>
      <w:r>
        <w:rPr>
          <w:rFonts w:hint="eastAsia" w:ascii="宋体" w:hAnsi="宋体" w:cs="宋体"/>
          <w:sz w:val="28"/>
          <w:szCs w:val="28"/>
        </w:rPr>
        <w:t>工程进度计划与措施</w:t>
      </w:r>
    </w:p>
    <w:p w14:paraId="0684D07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lang w:val="en-US" w:eastAsia="zh-CN"/>
        </w:rPr>
        <w:t>四、</w:t>
      </w:r>
      <w:r>
        <w:rPr>
          <w:rFonts w:hint="eastAsia" w:ascii="宋体" w:hAnsi="宋体" w:cs="宋体"/>
          <w:sz w:val="28"/>
          <w:szCs w:val="28"/>
        </w:rPr>
        <w:t>安全管理体系与措施</w:t>
      </w:r>
    </w:p>
    <w:p w14:paraId="5409D03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lang w:val="en-US" w:eastAsia="zh-CN"/>
        </w:rPr>
        <w:t>五、</w:t>
      </w:r>
      <w:r>
        <w:rPr>
          <w:rFonts w:hint="eastAsia" w:ascii="宋体" w:hAnsi="宋体" w:cs="宋体"/>
          <w:sz w:val="28"/>
          <w:szCs w:val="28"/>
        </w:rPr>
        <w:t>环境保护管理体系与措施</w:t>
      </w:r>
    </w:p>
    <w:p w14:paraId="2408EA0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lang w:val="en-US" w:eastAsia="zh-CN"/>
        </w:rPr>
        <w:t>六、</w:t>
      </w:r>
      <w:r>
        <w:rPr>
          <w:rFonts w:hint="eastAsia" w:ascii="宋体" w:hAnsi="宋体" w:cs="宋体"/>
          <w:sz w:val="28"/>
          <w:szCs w:val="28"/>
        </w:rPr>
        <w:t>成品保护和工程保修工作的管理措施</w:t>
      </w:r>
    </w:p>
    <w:p w14:paraId="063A634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lang w:val="en-US" w:eastAsia="zh-CN"/>
        </w:rPr>
        <w:t>七、</w:t>
      </w:r>
      <w:r>
        <w:rPr>
          <w:rFonts w:hint="eastAsia" w:ascii="宋体" w:hAnsi="宋体" w:cs="宋体"/>
          <w:sz w:val="28"/>
          <w:szCs w:val="28"/>
        </w:rPr>
        <w:t>紧急情况的处理措施、预案以及抵抗风险的措施</w:t>
      </w:r>
    </w:p>
    <w:p w14:paraId="13F4ADA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八、</w:t>
      </w:r>
      <w:r>
        <w:rPr>
          <w:rFonts w:hint="eastAsia" w:ascii="宋体" w:hAnsi="宋体" w:cs="宋体"/>
          <w:sz w:val="28"/>
          <w:szCs w:val="28"/>
        </w:rPr>
        <w:t>资源配备计划</w:t>
      </w:r>
    </w:p>
    <w:p w14:paraId="4D11EF8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s="宋体"/>
          <w:bCs/>
          <w:sz w:val="28"/>
          <w:szCs w:val="28"/>
        </w:rPr>
      </w:pPr>
      <w:r>
        <w:rPr>
          <w:rFonts w:hint="eastAsia" w:ascii="宋体" w:hAnsi="宋体" w:cs="宋体"/>
          <w:bCs/>
          <w:sz w:val="28"/>
          <w:szCs w:val="28"/>
        </w:rPr>
        <w:t>附表一：拟投入本工程的主要施工设备表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653"/>
        <w:gridCol w:w="833"/>
        <w:gridCol w:w="846"/>
        <w:gridCol w:w="833"/>
        <w:gridCol w:w="905"/>
        <w:gridCol w:w="938"/>
        <w:gridCol w:w="1135"/>
        <w:gridCol w:w="1009"/>
        <w:gridCol w:w="881"/>
      </w:tblGrid>
      <w:tr w14:paraId="39A1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416" w:type="pct"/>
            <w:vAlign w:val="center"/>
          </w:tcPr>
          <w:p w14:paraId="75034823">
            <w:pPr>
              <w:spacing w:line="600" w:lineRule="atLeast"/>
              <w:jc w:val="center"/>
              <w:rPr>
                <w:rFonts w:ascii="宋体" w:hAnsi="宋体" w:cs="宋体"/>
                <w:sz w:val="24"/>
                <w:szCs w:val="24"/>
              </w:rPr>
            </w:pPr>
            <w:r>
              <w:rPr>
                <w:rFonts w:hint="eastAsia" w:ascii="宋体" w:hAnsi="宋体" w:cs="宋体"/>
                <w:sz w:val="24"/>
                <w:szCs w:val="24"/>
              </w:rPr>
              <w:t>序号</w:t>
            </w:r>
          </w:p>
        </w:tc>
        <w:tc>
          <w:tcPr>
            <w:tcW w:w="837" w:type="pct"/>
            <w:vAlign w:val="center"/>
          </w:tcPr>
          <w:p w14:paraId="6198373F">
            <w:pPr>
              <w:spacing w:line="600" w:lineRule="atLeast"/>
              <w:jc w:val="center"/>
              <w:rPr>
                <w:rFonts w:ascii="宋体" w:hAnsi="宋体" w:cs="宋体"/>
                <w:sz w:val="24"/>
                <w:szCs w:val="24"/>
              </w:rPr>
            </w:pPr>
            <w:r>
              <w:rPr>
                <w:rFonts w:hint="eastAsia" w:ascii="宋体" w:hAnsi="宋体" w:cs="宋体"/>
                <w:sz w:val="24"/>
                <w:szCs w:val="24"/>
              </w:rPr>
              <w:t>设备名称</w:t>
            </w:r>
          </w:p>
        </w:tc>
        <w:tc>
          <w:tcPr>
            <w:tcW w:w="422" w:type="pct"/>
            <w:vAlign w:val="center"/>
          </w:tcPr>
          <w:p w14:paraId="4206AAF5">
            <w:pPr>
              <w:spacing w:line="600" w:lineRule="atLeast"/>
              <w:jc w:val="center"/>
              <w:rPr>
                <w:rFonts w:ascii="宋体" w:hAnsi="宋体" w:cs="宋体"/>
                <w:sz w:val="24"/>
                <w:szCs w:val="24"/>
              </w:rPr>
            </w:pPr>
            <w:r>
              <w:rPr>
                <w:rFonts w:hint="eastAsia" w:ascii="宋体" w:hAnsi="宋体" w:cs="宋体"/>
                <w:sz w:val="24"/>
                <w:szCs w:val="24"/>
              </w:rPr>
              <w:t>型号</w:t>
            </w:r>
          </w:p>
          <w:p w14:paraId="440354CC">
            <w:pPr>
              <w:spacing w:line="600" w:lineRule="atLeast"/>
              <w:jc w:val="center"/>
              <w:rPr>
                <w:rFonts w:ascii="宋体" w:hAnsi="宋体" w:cs="宋体"/>
                <w:sz w:val="24"/>
                <w:szCs w:val="24"/>
              </w:rPr>
            </w:pPr>
            <w:r>
              <w:rPr>
                <w:rFonts w:hint="eastAsia" w:ascii="宋体" w:hAnsi="宋体" w:cs="宋体"/>
                <w:sz w:val="24"/>
                <w:szCs w:val="24"/>
              </w:rPr>
              <w:t>规格</w:t>
            </w:r>
          </w:p>
        </w:tc>
        <w:tc>
          <w:tcPr>
            <w:tcW w:w="429" w:type="pct"/>
            <w:vAlign w:val="center"/>
          </w:tcPr>
          <w:p w14:paraId="7F485F38">
            <w:pPr>
              <w:spacing w:line="600" w:lineRule="atLeast"/>
              <w:jc w:val="center"/>
              <w:rPr>
                <w:rFonts w:ascii="宋体" w:hAnsi="宋体" w:cs="宋体"/>
                <w:sz w:val="24"/>
                <w:szCs w:val="24"/>
              </w:rPr>
            </w:pPr>
            <w:r>
              <w:rPr>
                <w:rFonts w:hint="eastAsia" w:ascii="宋体" w:hAnsi="宋体" w:cs="宋体"/>
                <w:sz w:val="24"/>
                <w:szCs w:val="24"/>
              </w:rPr>
              <w:t>数量</w:t>
            </w:r>
          </w:p>
        </w:tc>
        <w:tc>
          <w:tcPr>
            <w:tcW w:w="422" w:type="pct"/>
            <w:vAlign w:val="center"/>
          </w:tcPr>
          <w:p w14:paraId="3D0391B1">
            <w:pPr>
              <w:spacing w:line="600" w:lineRule="atLeast"/>
              <w:jc w:val="center"/>
              <w:rPr>
                <w:rFonts w:ascii="宋体" w:hAnsi="宋体" w:cs="宋体"/>
                <w:sz w:val="24"/>
                <w:szCs w:val="24"/>
              </w:rPr>
            </w:pPr>
            <w:r>
              <w:rPr>
                <w:rFonts w:hint="eastAsia" w:ascii="宋体" w:hAnsi="宋体" w:cs="宋体"/>
                <w:sz w:val="24"/>
                <w:szCs w:val="24"/>
              </w:rPr>
              <w:t>国别</w:t>
            </w:r>
          </w:p>
          <w:p w14:paraId="2A5DB9EB">
            <w:pPr>
              <w:spacing w:line="600" w:lineRule="atLeast"/>
              <w:jc w:val="center"/>
              <w:rPr>
                <w:rFonts w:ascii="宋体" w:hAnsi="宋体" w:cs="宋体"/>
                <w:sz w:val="24"/>
                <w:szCs w:val="24"/>
              </w:rPr>
            </w:pPr>
            <w:r>
              <w:rPr>
                <w:rFonts w:hint="eastAsia" w:ascii="宋体" w:hAnsi="宋体" w:cs="宋体"/>
                <w:sz w:val="24"/>
                <w:szCs w:val="24"/>
              </w:rPr>
              <w:t>产地</w:t>
            </w:r>
          </w:p>
        </w:tc>
        <w:tc>
          <w:tcPr>
            <w:tcW w:w="459" w:type="pct"/>
            <w:vAlign w:val="center"/>
          </w:tcPr>
          <w:p w14:paraId="1430E8E8">
            <w:pPr>
              <w:spacing w:line="600" w:lineRule="atLeast"/>
              <w:jc w:val="center"/>
              <w:rPr>
                <w:rFonts w:ascii="宋体" w:hAnsi="宋体" w:cs="宋体"/>
                <w:sz w:val="24"/>
                <w:szCs w:val="24"/>
              </w:rPr>
            </w:pPr>
            <w:r>
              <w:rPr>
                <w:rFonts w:hint="eastAsia" w:ascii="宋体" w:hAnsi="宋体" w:cs="宋体"/>
                <w:sz w:val="24"/>
                <w:szCs w:val="24"/>
              </w:rPr>
              <w:t>制造</w:t>
            </w:r>
          </w:p>
          <w:p w14:paraId="013D642B">
            <w:pPr>
              <w:spacing w:line="600" w:lineRule="atLeast"/>
              <w:jc w:val="center"/>
              <w:rPr>
                <w:rFonts w:ascii="宋体" w:hAnsi="宋体" w:cs="宋体"/>
                <w:sz w:val="24"/>
                <w:szCs w:val="24"/>
              </w:rPr>
            </w:pPr>
            <w:r>
              <w:rPr>
                <w:rFonts w:hint="eastAsia" w:ascii="宋体" w:hAnsi="宋体" w:cs="宋体"/>
                <w:sz w:val="24"/>
                <w:szCs w:val="24"/>
              </w:rPr>
              <w:t>年份</w:t>
            </w:r>
          </w:p>
        </w:tc>
        <w:tc>
          <w:tcPr>
            <w:tcW w:w="476" w:type="pct"/>
            <w:vAlign w:val="center"/>
          </w:tcPr>
          <w:p w14:paraId="783AA830">
            <w:pPr>
              <w:spacing w:line="600" w:lineRule="atLeast"/>
              <w:jc w:val="center"/>
              <w:rPr>
                <w:rFonts w:ascii="宋体" w:hAnsi="宋体" w:cs="宋体"/>
                <w:sz w:val="24"/>
                <w:szCs w:val="24"/>
              </w:rPr>
            </w:pPr>
            <w:r>
              <w:rPr>
                <w:rFonts w:hint="eastAsia" w:ascii="宋体" w:hAnsi="宋体" w:cs="宋体"/>
                <w:sz w:val="24"/>
                <w:szCs w:val="24"/>
              </w:rPr>
              <w:t>生产</w:t>
            </w:r>
          </w:p>
          <w:p w14:paraId="5F711F78">
            <w:pPr>
              <w:spacing w:line="600" w:lineRule="atLeast"/>
              <w:jc w:val="center"/>
              <w:rPr>
                <w:rFonts w:ascii="宋体" w:hAnsi="宋体" w:cs="宋体"/>
                <w:sz w:val="24"/>
                <w:szCs w:val="24"/>
              </w:rPr>
            </w:pPr>
            <w:r>
              <w:rPr>
                <w:rFonts w:hint="eastAsia" w:ascii="宋体" w:hAnsi="宋体" w:cs="宋体"/>
                <w:sz w:val="24"/>
                <w:szCs w:val="24"/>
              </w:rPr>
              <w:t>能力</w:t>
            </w:r>
          </w:p>
        </w:tc>
        <w:tc>
          <w:tcPr>
            <w:tcW w:w="576" w:type="pct"/>
            <w:vAlign w:val="center"/>
          </w:tcPr>
          <w:p w14:paraId="20DC18CC">
            <w:pPr>
              <w:spacing w:line="600" w:lineRule="atLeast"/>
              <w:jc w:val="center"/>
              <w:rPr>
                <w:rFonts w:ascii="宋体" w:hAnsi="宋体" w:cs="宋体"/>
                <w:sz w:val="24"/>
                <w:szCs w:val="24"/>
              </w:rPr>
            </w:pPr>
            <w:r>
              <w:rPr>
                <w:rFonts w:hint="eastAsia" w:ascii="宋体" w:hAnsi="宋体" w:cs="宋体"/>
                <w:sz w:val="24"/>
                <w:szCs w:val="24"/>
              </w:rPr>
              <w:t>额定功</w:t>
            </w:r>
          </w:p>
          <w:p w14:paraId="7347525E">
            <w:pPr>
              <w:spacing w:line="600" w:lineRule="atLeast"/>
              <w:jc w:val="center"/>
              <w:rPr>
                <w:rFonts w:ascii="宋体" w:hAnsi="宋体" w:cs="宋体"/>
                <w:sz w:val="24"/>
                <w:szCs w:val="24"/>
              </w:rPr>
            </w:pPr>
            <w:r>
              <w:rPr>
                <w:rFonts w:hint="eastAsia" w:ascii="宋体" w:hAnsi="宋体" w:cs="宋体"/>
                <w:sz w:val="24"/>
                <w:szCs w:val="24"/>
              </w:rPr>
              <w:t>率（KW）</w:t>
            </w:r>
          </w:p>
        </w:tc>
        <w:tc>
          <w:tcPr>
            <w:tcW w:w="512" w:type="pct"/>
            <w:vAlign w:val="center"/>
          </w:tcPr>
          <w:p w14:paraId="43C2F2FF">
            <w:pPr>
              <w:spacing w:line="600" w:lineRule="atLeast"/>
              <w:jc w:val="center"/>
              <w:rPr>
                <w:rFonts w:ascii="宋体" w:hAnsi="宋体" w:cs="宋体"/>
                <w:sz w:val="24"/>
                <w:szCs w:val="24"/>
              </w:rPr>
            </w:pPr>
            <w:r>
              <w:rPr>
                <w:rFonts w:hint="eastAsia" w:ascii="宋体" w:hAnsi="宋体" w:cs="宋体"/>
                <w:sz w:val="24"/>
                <w:szCs w:val="24"/>
              </w:rPr>
              <w:t>用于</w:t>
            </w:r>
          </w:p>
          <w:p w14:paraId="2BC9AEF9">
            <w:pPr>
              <w:spacing w:line="600" w:lineRule="atLeast"/>
              <w:jc w:val="center"/>
              <w:rPr>
                <w:rFonts w:ascii="宋体" w:hAnsi="宋体" w:cs="宋体"/>
                <w:sz w:val="24"/>
                <w:szCs w:val="24"/>
              </w:rPr>
            </w:pPr>
            <w:r>
              <w:rPr>
                <w:rFonts w:hint="eastAsia" w:ascii="宋体" w:hAnsi="宋体" w:cs="宋体"/>
                <w:sz w:val="24"/>
                <w:szCs w:val="24"/>
              </w:rPr>
              <w:t>施工</w:t>
            </w:r>
          </w:p>
          <w:p w14:paraId="2317FE15">
            <w:pPr>
              <w:spacing w:line="600" w:lineRule="atLeast"/>
              <w:jc w:val="center"/>
              <w:rPr>
                <w:rFonts w:ascii="宋体" w:hAnsi="宋体" w:cs="宋体"/>
                <w:sz w:val="24"/>
                <w:szCs w:val="24"/>
              </w:rPr>
            </w:pPr>
            <w:r>
              <w:rPr>
                <w:rFonts w:hint="eastAsia" w:ascii="宋体" w:hAnsi="宋体" w:cs="宋体"/>
                <w:sz w:val="24"/>
                <w:szCs w:val="24"/>
              </w:rPr>
              <w:t>部位</w:t>
            </w:r>
          </w:p>
        </w:tc>
        <w:tc>
          <w:tcPr>
            <w:tcW w:w="447" w:type="pct"/>
            <w:vAlign w:val="center"/>
          </w:tcPr>
          <w:p w14:paraId="03E59E66">
            <w:pPr>
              <w:spacing w:line="600" w:lineRule="atLeast"/>
              <w:jc w:val="center"/>
              <w:rPr>
                <w:rFonts w:ascii="宋体" w:hAnsi="宋体" w:cs="宋体"/>
                <w:sz w:val="24"/>
                <w:szCs w:val="24"/>
              </w:rPr>
            </w:pPr>
            <w:r>
              <w:rPr>
                <w:rFonts w:hint="eastAsia" w:ascii="宋体" w:hAnsi="宋体" w:cs="宋体"/>
                <w:sz w:val="24"/>
                <w:szCs w:val="24"/>
              </w:rPr>
              <w:t>备注</w:t>
            </w:r>
          </w:p>
        </w:tc>
      </w:tr>
      <w:tr w14:paraId="286E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6" w:type="pct"/>
            <w:vAlign w:val="center"/>
          </w:tcPr>
          <w:p w14:paraId="44118CC4">
            <w:pPr>
              <w:spacing w:line="600" w:lineRule="atLeast"/>
              <w:jc w:val="left"/>
              <w:rPr>
                <w:rFonts w:ascii="宋体" w:hAnsi="宋体" w:cs="宋体"/>
                <w:sz w:val="24"/>
                <w:szCs w:val="24"/>
              </w:rPr>
            </w:pPr>
          </w:p>
        </w:tc>
        <w:tc>
          <w:tcPr>
            <w:tcW w:w="837" w:type="pct"/>
            <w:vAlign w:val="center"/>
          </w:tcPr>
          <w:p w14:paraId="3929972F">
            <w:pPr>
              <w:spacing w:line="600" w:lineRule="atLeast"/>
              <w:jc w:val="left"/>
              <w:rPr>
                <w:rFonts w:ascii="宋体" w:hAnsi="宋体" w:cs="宋体"/>
                <w:sz w:val="24"/>
                <w:szCs w:val="24"/>
              </w:rPr>
            </w:pPr>
          </w:p>
        </w:tc>
        <w:tc>
          <w:tcPr>
            <w:tcW w:w="422" w:type="pct"/>
            <w:vAlign w:val="center"/>
          </w:tcPr>
          <w:p w14:paraId="4B66EDE3">
            <w:pPr>
              <w:spacing w:line="600" w:lineRule="atLeast"/>
              <w:jc w:val="left"/>
              <w:rPr>
                <w:rFonts w:ascii="宋体" w:hAnsi="宋体" w:cs="宋体"/>
                <w:sz w:val="24"/>
                <w:szCs w:val="24"/>
              </w:rPr>
            </w:pPr>
          </w:p>
        </w:tc>
        <w:tc>
          <w:tcPr>
            <w:tcW w:w="429" w:type="pct"/>
            <w:vAlign w:val="center"/>
          </w:tcPr>
          <w:p w14:paraId="501855B3">
            <w:pPr>
              <w:spacing w:line="600" w:lineRule="atLeast"/>
              <w:jc w:val="left"/>
              <w:rPr>
                <w:rFonts w:ascii="宋体" w:hAnsi="宋体" w:cs="宋体"/>
                <w:sz w:val="24"/>
                <w:szCs w:val="24"/>
              </w:rPr>
            </w:pPr>
          </w:p>
        </w:tc>
        <w:tc>
          <w:tcPr>
            <w:tcW w:w="422" w:type="pct"/>
            <w:vAlign w:val="center"/>
          </w:tcPr>
          <w:p w14:paraId="16DF0B13">
            <w:pPr>
              <w:spacing w:line="600" w:lineRule="atLeast"/>
              <w:jc w:val="left"/>
              <w:rPr>
                <w:rFonts w:ascii="宋体" w:hAnsi="宋体" w:cs="宋体"/>
                <w:sz w:val="24"/>
                <w:szCs w:val="24"/>
              </w:rPr>
            </w:pPr>
          </w:p>
        </w:tc>
        <w:tc>
          <w:tcPr>
            <w:tcW w:w="459" w:type="pct"/>
            <w:vAlign w:val="center"/>
          </w:tcPr>
          <w:p w14:paraId="4E2BB9C4">
            <w:pPr>
              <w:spacing w:line="600" w:lineRule="atLeast"/>
              <w:jc w:val="left"/>
              <w:rPr>
                <w:rFonts w:ascii="宋体" w:hAnsi="宋体" w:cs="宋体"/>
                <w:sz w:val="24"/>
                <w:szCs w:val="24"/>
              </w:rPr>
            </w:pPr>
          </w:p>
        </w:tc>
        <w:tc>
          <w:tcPr>
            <w:tcW w:w="476" w:type="pct"/>
            <w:vAlign w:val="center"/>
          </w:tcPr>
          <w:p w14:paraId="592B3BD0">
            <w:pPr>
              <w:spacing w:line="600" w:lineRule="atLeast"/>
              <w:jc w:val="left"/>
              <w:rPr>
                <w:rFonts w:ascii="宋体" w:hAnsi="宋体" w:cs="宋体"/>
                <w:sz w:val="24"/>
                <w:szCs w:val="24"/>
              </w:rPr>
            </w:pPr>
          </w:p>
        </w:tc>
        <w:tc>
          <w:tcPr>
            <w:tcW w:w="576" w:type="pct"/>
            <w:vAlign w:val="center"/>
          </w:tcPr>
          <w:p w14:paraId="6477349C">
            <w:pPr>
              <w:spacing w:line="600" w:lineRule="atLeast"/>
              <w:jc w:val="left"/>
              <w:rPr>
                <w:rFonts w:ascii="宋体" w:hAnsi="宋体" w:cs="宋体"/>
                <w:sz w:val="24"/>
                <w:szCs w:val="24"/>
              </w:rPr>
            </w:pPr>
          </w:p>
        </w:tc>
        <w:tc>
          <w:tcPr>
            <w:tcW w:w="512" w:type="pct"/>
            <w:vAlign w:val="center"/>
          </w:tcPr>
          <w:p w14:paraId="6CD16012">
            <w:pPr>
              <w:spacing w:line="600" w:lineRule="atLeast"/>
              <w:jc w:val="left"/>
              <w:rPr>
                <w:rFonts w:ascii="宋体" w:hAnsi="宋体" w:cs="宋体"/>
                <w:sz w:val="24"/>
                <w:szCs w:val="24"/>
              </w:rPr>
            </w:pPr>
          </w:p>
        </w:tc>
        <w:tc>
          <w:tcPr>
            <w:tcW w:w="447" w:type="pct"/>
            <w:vAlign w:val="center"/>
          </w:tcPr>
          <w:p w14:paraId="05AA422A">
            <w:pPr>
              <w:spacing w:line="600" w:lineRule="atLeast"/>
              <w:jc w:val="left"/>
              <w:rPr>
                <w:rFonts w:ascii="宋体" w:hAnsi="宋体" w:cs="宋体"/>
                <w:sz w:val="24"/>
                <w:szCs w:val="24"/>
              </w:rPr>
            </w:pPr>
          </w:p>
        </w:tc>
      </w:tr>
      <w:tr w14:paraId="2C16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6" w:type="pct"/>
            <w:vAlign w:val="center"/>
          </w:tcPr>
          <w:p w14:paraId="7317943D">
            <w:pPr>
              <w:spacing w:line="600" w:lineRule="atLeast"/>
              <w:jc w:val="left"/>
              <w:rPr>
                <w:rFonts w:ascii="宋体" w:hAnsi="宋体" w:cs="宋体"/>
                <w:sz w:val="24"/>
                <w:szCs w:val="24"/>
              </w:rPr>
            </w:pPr>
          </w:p>
        </w:tc>
        <w:tc>
          <w:tcPr>
            <w:tcW w:w="837" w:type="pct"/>
            <w:vAlign w:val="center"/>
          </w:tcPr>
          <w:p w14:paraId="4B80DC9B">
            <w:pPr>
              <w:spacing w:line="600" w:lineRule="atLeast"/>
              <w:jc w:val="left"/>
              <w:rPr>
                <w:rFonts w:ascii="宋体" w:hAnsi="宋体" w:cs="宋体"/>
                <w:sz w:val="24"/>
                <w:szCs w:val="24"/>
              </w:rPr>
            </w:pPr>
          </w:p>
        </w:tc>
        <w:tc>
          <w:tcPr>
            <w:tcW w:w="422" w:type="pct"/>
            <w:vAlign w:val="center"/>
          </w:tcPr>
          <w:p w14:paraId="559CBAFA">
            <w:pPr>
              <w:spacing w:line="600" w:lineRule="atLeast"/>
              <w:jc w:val="left"/>
              <w:rPr>
                <w:rFonts w:ascii="宋体" w:hAnsi="宋体" w:cs="宋体"/>
                <w:sz w:val="24"/>
                <w:szCs w:val="24"/>
              </w:rPr>
            </w:pPr>
          </w:p>
        </w:tc>
        <w:tc>
          <w:tcPr>
            <w:tcW w:w="429" w:type="pct"/>
            <w:vAlign w:val="center"/>
          </w:tcPr>
          <w:p w14:paraId="623BA576">
            <w:pPr>
              <w:spacing w:line="600" w:lineRule="atLeast"/>
              <w:jc w:val="left"/>
              <w:rPr>
                <w:rFonts w:ascii="宋体" w:hAnsi="宋体" w:cs="宋体"/>
                <w:sz w:val="24"/>
                <w:szCs w:val="24"/>
              </w:rPr>
            </w:pPr>
          </w:p>
        </w:tc>
        <w:tc>
          <w:tcPr>
            <w:tcW w:w="422" w:type="pct"/>
            <w:vAlign w:val="center"/>
          </w:tcPr>
          <w:p w14:paraId="093F1462">
            <w:pPr>
              <w:spacing w:line="600" w:lineRule="atLeast"/>
              <w:jc w:val="left"/>
              <w:rPr>
                <w:rFonts w:ascii="宋体" w:hAnsi="宋体" w:cs="宋体"/>
                <w:sz w:val="24"/>
                <w:szCs w:val="24"/>
              </w:rPr>
            </w:pPr>
          </w:p>
        </w:tc>
        <w:tc>
          <w:tcPr>
            <w:tcW w:w="459" w:type="pct"/>
            <w:vAlign w:val="center"/>
          </w:tcPr>
          <w:p w14:paraId="6AECAE29">
            <w:pPr>
              <w:spacing w:line="600" w:lineRule="atLeast"/>
              <w:jc w:val="left"/>
              <w:rPr>
                <w:rFonts w:ascii="宋体" w:hAnsi="宋体" w:cs="宋体"/>
                <w:sz w:val="24"/>
                <w:szCs w:val="24"/>
              </w:rPr>
            </w:pPr>
          </w:p>
        </w:tc>
        <w:tc>
          <w:tcPr>
            <w:tcW w:w="476" w:type="pct"/>
            <w:vAlign w:val="center"/>
          </w:tcPr>
          <w:p w14:paraId="3C01CC93">
            <w:pPr>
              <w:spacing w:line="600" w:lineRule="atLeast"/>
              <w:jc w:val="left"/>
              <w:rPr>
                <w:rFonts w:ascii="宋体" w:hAnsi="宋体" w:cs="宋体"/>
                <w:sz w:val="24"/>
                <w:szCs w:val="24"/>
              </w:rPr>
            </w:pPr>
          </w:p>
        </w:tc>
        <w:tc>
          <w:tcPr>
            <w:tcW w:w="576" w:type="pct"/>
            <w:vAlign w:val="center"/>
          </w:tcPr>
          <w:p w14:paraId="3B797D09">
            <w:pPr>
              <w:spacing w:line="600" w:lineRule="atLeast"/>
              <w:jc w:val="left"/>
              <w:rPr>
                <w:rFonts w:ascii="宋体" w:hAnsi="宋体" w:cs="宋体"/>
                <w:sz w:val="24"/>
                <w:szCs w:val="24"/>
              </w:rPr>
            </w:pPr>
          </w:p>
        </w:tc>
        <w:tc>
          <w:tcPr>
            <w:tcW w:w="512" w:type="pct"/>
            <w:vAlign w:val="center"/>
          </w:tcPr>
          <w:p w14:paraId="315F3EAB">
            <w:pPr>
              <w:spacing w:line="600" w:lineRule="atLeast"/>
              <w:jc w:val="left"/>
              <w:rPr>
                <w:rFonts w:ascii="宋体" w:hAnsi="宋体" w:cs="宋体"/>
                <w:sz w:val="24"/>
                <w:szCs w:val="24"/>
              </w:rPr>
            </w:pPr>
          </w:p>
        </w:tc>
        <w:tc>
          <w:tcPr>
            <w:tcW w:w="447" w:type="pct"/>
            <w:vAlign w:val="center"/>
          </w:tcPr>
          <w:p w14:paraId="3A8CAF9D">
            <w:pPr>
              <w:spacing w:line="600" w:lineRule="atLeast"/>
              <w:jc w:val="left"/>
              <w:rPr>
                <w:rFonts w:ascii="宋体" w:hAnsi="宋体" w:cs="宋体"/>
                <w:sz w:val="24"/>
                <w:szCs w:val="24"/>
              </w:rPr>
            </w:pPr>
          </w:p>
        </w:tc>
      </w:tr>
    </w:tbl>
    <w:p w14:paraId="3A696733">
      <w:pPr>
        <w:keepNext w:val="0"/>
        <w:keepLines w:val="0"/>
        <w:pageBreakBefore w:val="0"/>
        <w:widowControl w:val="0"/>
        <w:kinsoku/>
        <w:wordWrap/>
        <w:overflowPunct/>
        <w:topLinePunct w:val="0"/>
        <w:autoSpaceDE/>
        <w:autoSpaceDN/>
        <w:bidi w:val="0"/>
        <w:adjustRightInd/>
        <w:snapToGrid/>
        <w:spacing w:line="600" w:lineRule="atLeast"/>
        <w:ind w:firstLine="560" w:firstLineChars="200"/>
        <w:textAlignment w:val="auto"/>
        <w:rPr>
          <w:rFonts w:ascii="宋体" w:hAnsi="宋体" w:cs="宋体"/>
          <w:bCs/>
          <w:sz w:val="28"/>
          <w:szCs w:val="28"/>
        </w:rPr>
      </w:pPr>
      <w:r>
        <w:rPr>
          <w:rFonts w:hint="eastAsia" w:ascii="宋体" w:hAnsi="宋体" w:cs="宋体"/>
          <w:bCs/>
          <w:sz w:val="28"/>
          <w:szCs w:val="28"/>
        </w:rPr>
        <w:t>附表二：拟配备本工程的试验和检测仪器设备表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66"/>
        <w:gridCol w:w="824"/>
        <w:gridCol w:w="847"/>
        <w:gridCol w:w="833"/>
        <w:gridCol w:w="904"/>
        <w:gridCol w:w="1738"/>
        <w:gridCol w:w="1427"/>
        <w:gridCol w:w="796"/>
      </w:tblGrid>
      <w:tr w14:paraId="45CB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15" w:type="pct"/>
            <w:vAlign w:val="center"/>
          </w:tcPr>
          <w:p w14:paraId="635CCA5B">
            <w:pPr>
              <w:spacing w:line="600" w:lineRule="atLeast"/>
              <w:jc w:val="center"/>
              <w:rPr>
                <w:rFonts w:ascii="宋体" w:hAnsi="宋体" w:cs="宋体"/>
                <w:sz w:val="24"/>
                <w:szCs w:val="24"/>
              </w:rPr>
            </w:pPr>
            <w:r>
              <w:rPr>
                <w:rFonts w:hint="eastAsia" w:ascii="宋体" w:hAnsi="宋体" w:cs="宋体"/>
                <w:sz w:val="24"/>
                <w:szCs w:val="24"/>
              </w:rPr>
              <w:t>序号</w:t>
            </w:r>
          </w:p>
        </w:tc>
        <w:tc>
          <w:tcPr>
            <w:tcW w:w="845" w:type="pct"/>
            <w:vAlign w:val="center"/>
          </w:tcPr>
          <w:p w14:paraId="5CB5BFCB">
            <w:pPr>
              <w:spacing w:line="600" w:lineRule="atLeast"/>
              <w:jc w:val="center"/>
              <w:rPr>
                <w:rFonts w:ascii="宋体" w:hAnsi="宋体" w:cs="宋体"/>
                <w:sz w:val="24"/>
                <w:szCs w:val="24"/>
              </w:rPr>
            </w:pPr>
            <w:r>
              <w:rPr>
                <w:rFonts w:hint="eastAsia" w:ascii="宋体" w:hAnsi="宋体" w:cs="宋体"/>
                <w:sz w:val="24"/>
                <w:szCs w:val="24"/>
              </w:rPr>
              <w:t>仪器设备</w:t>
            </w:r>
          </w:p>
          <w:p w14:paraId="42C8723A">
            <w:pPr>
              <w:spacing w:line="600" w:lineRule="atLeast"/>
              <w:jc w:val="center"/>
              <w:rPr>
                <w:rFonts w:ascii="宋体" w:hAnsi="宋体" w:cs="宋体"/>
                <w:sz w:val="24"/>
                <w:szCs w:val="24"/>
              </w:rPr>
            </w:pPr>
            <w:r>
              <w:rPr>
                <w:rFonts w:hint="eastAsia" w:ascii="宋体" w:hAnsi="宋体" w:cs="宋体"/>
                <w:sz w:val="24"/>
                <w:szCs w:val="24"/>
              </w:rPr>
              <w:t>名称</w:t>
            </w:r>
          </w:p>
        </w:tc>
        <w:tc>
          <w:tcPr>
            <w:tcW w:w="417" w:type="pct"/>
            <w:vAlign w:val="center"/>
          </w:tcPr>
          <w:p w14:paraId="188C6534">
            <w:pPr>
              <w:spacing w:line="600" w:lineRule="atLeast"/>
              <w:jc w:val="center"/>
              <w:rPr>
                <w:rFonts w:ascii="宋体" w:hAnsi="宋体" w:cs="宋体"/>
                <w:sz w:val="24"/>
                <w:szCs w:val="24"/>
              </w:rPr>
            </w:pPr>
            <w:r>
              <w:rPr>
                <w:rFonts w:hint="eastAsia" w:ascii="宋体" w:hAnsi="宋体" w:cs="宋体"/>
                <w:sz w:val="24"/>
                <w:szCs w:val="24"/>
              </w:rPr>
              <w:t>型号</w:t>
            </w:r>
          </w:p>
          <w:p w14:paraId="48201D3E">
            <w:pPr>
              <w:spacing w:line="600" w:lineRule="atLeast"/>
              <w:jc w:val="center"/>
              <w:rPr>
                <w:rFonts w:ascii="宋体" w:hAnsi="宋体" w:cs="宋体"/>
                <w:sz w:val="24"/>
                <w:szCs w:val="24"/>
              </w:rPr>
            </w:pPr>
            <w:r>
              <w:rPr>
                <w:rFonts w:hint="eastAsia" w:ascii="宋体" w:hAnsi="宋体" w:cs="宋体"/>
                <w:sz w:val="24"/>
                <w:szCs w:val="24"/>
              </w:rPr>
              <w:t>规格</w:t>
            </w:r>
          </w:p>
        </w:tc>
        <w:tc>
          <w:tcPr>
            <w:tcW w:w="429" w:type="pct"/>
            <w:vAlign w:val="center"/>
          </w:tcPr>
          <w:p w14:paraId="2258C7AF">
            <w:pPr>
              <w:spacing w:line="600" w:lineRule="atLeast"/>
              <w:jc w:val="center"/>
              <w:rPr>
                <w:rFonts w:ascii="宋体" w:hAnsi="宋体" w:cs="宋体"/>
                <w:sz w:val="24"/>
                <w:szCs w:val="24"/>
              </w:rPr>
            </w:pPr>
            <w:r>
              <w:rPr>
                <w:rFonts w:hint="eastAsia" w:ascii="宋体" w:hAnsi="宋体" w:cs="宋体"/>
                <w:sz w:val="24"/>
                <w:szCs w:val="24"/>
              </w:rPr>
              <w:t>数量</w:t>
            </w:r>
          </w:p>
        </w:tc>
        <w:tc>
          <w:tcPr>
            <w:tcW w:w="422" w:type="pct"/>
            <w:vAlign w:val="center"/>
          </w:tcPr>
          <w:p w14:paraId="48B6AC89">
            <w:pPr>
              <w:spacing w:line="600" w:lineRule="atLeast"/>
              <w:jc w:val="center"/>
              <w:rPr>
                <w:rFonts w:ascii="宋体" w:hAnsi="宋体" w:cs="宋体"/>
                <w:sz w:val="24"/>
                <w:szCs w:val="24"/>
              </w:rPr>
            </w:pPr>
            <w:r>
              <w:rPr>
                <w:rFonts w:hint="eastAsia" w:ascii="宋体" w:hAnsi="宋体" w:cs="宋体"/>
                <w:sz w:val="24"/>
                <w:szCs w:val="24"/>
              </w:rPr>
              <w:t>国别</w:t>
            </w:r>
          </w:p>
          <w:p w14:paraId="446B416C">
            <w:pPr>
              <w:spacing w:line="600" w:lineRule="atLeast"/>
              <w:jc w:val="center"/>
              <w:rPr>
                <w:rFonts w:ascii="宋体" w:hAnsi="宋体" w:cs="宋体"/>
                <w:sz w:val="24"/>
                <w:szCs w:val="24"/>
              </w:rPr>
            </w:pPr>
            <w:r>
              <w:rPr>
                <w:rFonts w:hint="eastAsia" w:ascii="宋体" w:hAnsi="宋体" w:cs="宋体"/>
                <w:sz w:val="24"/>
                <w:szCs w:val="24"/>
              </w:rPr>
              <w:t>产地</w:t>
            </w:r>
          </w:p>
        </w:tc>
        <w:tc>
          <w:tcPr>
            <w:tcW w:w="458" w:type="pct"/>
            <w:vAlign w:val="center"/>
          </w:tcPr>
          <w:p w14:paraId="247F330F">
            <w:pPr>
              <w:spacing w:line="600" w:lineRule="atLeast"/>
              <w:jc w:val="center"/>
              <w:rPr>
                <w:rFonts w:ascii="宋体" w:hAnsi="宋体" w:cs="宋体"/>
                <w:sz w:val="24"/>
                <w:szCs w:val="24"/>
              </w:rPr>
            </w:pPr>
            <w:r>
              <w:rPr>
                <w:rFonts w:hint="eastAsia" w:ascii="宋体" w:hAnsi="宋体" w:cs="宋体"/>
                <w:sz w:val="24"/>
                <w:szCs w:val="24"/>
              </w:rPr>
              <w:t>制造</w:t>
            </w:r>
          </w:p>
          <w:p w14:paraId="66BAE8F0">
            <w:pPr>
              <w:spacing w:line="600" w:lineRule="atLeast"/>
              <w:jc w:val="center"/>
              <w:rPr>
                <w:rFonts w:ascii="宋体" w:hAnsi="宋体" w:cs="宋体"/>
                <w:sz w:val="24"/>
                <w:szCs w:val="24"/>
              </w:rPr>
            </w:pPr>
            <w:r>
              <w:rPr>
                <w:rFonts w:hint="eastAsia" w:ascii="宋体" w:hAnsi="宋体" w:cs="宋体"/>
                <w:sz w:val="24"/>
                <w:szCs w:val="24"/>
              </w:rPr>
              <w:t>年份</w:t>
            </w:r>
          </w:p>
        </w:tc>
        <w:tc>
          <w:tcPr>
            <w:tcW w:w="881" w:type="pct"/>
            <w:vAlign w:val="center"/>
          </w:tcPr>
          <w:p w14:paraId="3BC949FB">
            <w:pPr>
              <w:spacing w:line="600" w:lineRule="atLeast"/>
              <w:jc w:val="center"/>
              <w:rPr>
                <w:rFonts w:ascii="宋体" w:hAnsi="宋体" w:cs="宋体"/>
                <w:sz w:val="24"/>
                <w:szCs w:val="24"/>
              </w:rPr>
            </w:pPr>
            <w:r>
              <w:rPr>
                <w:rFonts w:hint="eastAsia" w:ascii="宋体" w:hAnsi="宋体" w:cs="宋体"/>
                <w:sz w:val="24"/>
                <w:szCs w:val="24"/>
              </w:rPr>
              <w:t>已使用</w:t>
            </w:r>
          </w:p>
          <w:p w14:paraId="0E7ABA11">
            <w:pPr>
              <w:spacing w:line="600" w:lineRule="atLeast"/>
              <w:jc w:val="center"/>
              <w:rPr>
                <w:rFonts w:ascii="宋体" w:hAnsi="宋体" w:cs="宋体"/>
                <w:sz w:val="24"/>
                <w:szCs w:val="24"/>
              </w:rPr>
            </w:pPr>
            <w:r>
              <w:rPr>
                <w:rFonts w:hint="eastAsia" w:ascii="宋体" w:hAnsi="宋体" w:cs="宋体"/>
                <w:sz w:val="24"/>
                <w:szCs w:val="24"/>
              </w:rPr>
              <w:t>台时数</w:t>
            </w:r>
          </w:p>
        </w:tc>
        <w:tc>
          <w:tcPr>
            <w:tcW w:w="723" w:type="pct"/>
            <w:vAlign w:val="center"/>
          </w:tcPr>
          <w:p w14:paraId="1E3CA0FF">
            <w:pPr>
              <w:spacing w:line="600" w:lineRule="atLeast"/>
              <w:jc w:val="center"/>
              <w:rPr>
                <w:rFonts w:ascii="宋体" w:hAnsi="宋体" w:cs="宋体"/>
                <w:sz w:val="24"/>
                <w:szCs w:val="24"/>
              </w:rPr>
            </w:pPr>
            <w:r>
              <w:rPr>
                <w:rFonts w:hint="eastAsia" w:ascii="宋体" w:hAnsi="宋体" w:cs="宋体"/>
                <w:sz w:val="24"/>
                <w:szCs w:val="24"/>
              </w:rPr>
              <w:t>用途</w:t>
            </w:r>
          </w:p>
        </w:tc>
        <w:tc>
          <w:tcPr>
            <w:tcW w:w="404" w:type="pct"/>
            <w:vAlign w:val="center"/>
          </w:tcPr>
          <w:p w14:paraId="7D3BB8CF">
            <w:pPr>
              <w:spacing w:line="600" w:lineRule="atLeast"/>
              <w:jc w:val="center"/>
              <w:rPr>
                <w:rFonts w:ascii="宋体" w:hAnsi="宋体" w:cs="宋体"/>
                <w:sz w:val="24"/>
                <w:szCs w:val="24"/>
              </w:rPr>
            </w:pPr>
            <w:r>
              <w:rPr>
                <w:rFonts w:hint="eastAsia" w:ascii="宋体" w:hAnsi="宋体" w:cs="宋体"/>
                <w:sz w:val="24"/>
                <w:szCs w:val="24"/>
              </w:rPr>
              <w:t>备注</w:t>
            </w:r>
          </w:p>
        </w:tc>
      </w:tr>
      <w:tr w14:paraId="3F05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5" w:type="pct"/>
            <w:vAlign w:val="center"/>
          </w:tcPr>
          <w:p w14:paraId="37A5B35D">
            <w:pPr>
              <w:spacing w:line="600" w:lineRule="atLeast"/>
              <w:jc w:val="left"/>
              <w:rPr>
                <w:rFonts w:ascii="宋体" w:hAnsi="宋体" w:cs="宋体"/>
                <w:sz w:val="24"/>
                <w:szCs w:val="24"/>
              </w:rPr>
            </w:pPr>
          </w:p>
        </w:tc>
        <w:tc>
          <w:tcPr>
            <w:tcW w:w="845" w:type="pct"/>
            <w:vAlign w:val="center"/>
          </w:tcPr>
          <w:p w14:paraId="254BEDB9">
            <w:pPr>
              <w:spacing w:line="600" w:lineRule="atLeast"/>
              <w:jc w:val="left"/>
              <w:rPr>
                <w:rFonts w:ascii="宋体" w:hAnsi="宋体" w:cs="宋体"/>
                <w:sz w:val="24"/>
                <w:szCs w:val="24"/>
              </w:rPr>
            </w:pPr>
          </w:p>
        </w:tc>
        <w:tc>
          <w:tcPr>
            <w:tcW w:w="417" w:type="pct"/>
            <w:vAlign w:val="center"/>
          </w:tcPr>
          <w:p w14:paraId="62443D2B">
            <w:pPr>
              <w:spacing w:line="600" w:lineRule="atLeast"/>
              <w:jc w:val="left"/>
              <w:rPr>
                <w:rFonts w:ascii="宋体" w:hAnsi="宋体" w:cs="宋体"/>
                <w:sz w:val="24"/>
                <w:szCs w:val="24"/>
              </w:rPr>
            </w:pPr>
          </w:p>
        </w:tc>
        <w:tc>
          <w:tcPr>
            <w:tcW w:w="429" w:type="pct"/>
            <w:vAlign w:val="center"/>
          </w:tcPr>
          <w:p w14:paraId="2F4DD656">
            <w:pPr>
              <w:spacing w:line="600" w:lineRule="atLeast"/>
              <w:jc w:val="left"/>
              <w:rPr>
                <w:rFonts w:ascii="宋体" w:hAnsi="宋体" w:cs="宋体"/>
                <w:sz w:val="24"/>
                <w:szCs w:val="24"/>
              </w:rPr>
            </w:pPr>
          </w:p>
        </w:tc>
        <w:tc>
          <w:tcPr>
            <w:tcW w:w="422" w:type="pct"/>
            <w:vAlign w:val="center"/>
          </w:tcPr>
          <w:p w14:paraId="6EBBE73D">
            <w:pPr>
              <w:spacing w:line="600" w:lineRule="atLeast"/>
              <w:jc w:val="left"/>
              <w:rPr>
                <w:rFonts w:ascii="宋体" w:hAnsi="宋体" w:cs="宋体"/>
                <w:sz w:val="24"/>
                <w:szCs w:val="24"/>
              </w:rPr>
            </w:pPr>
          </w:p>
        </w:tc>
        <w:tc>
          <w:tcPr>
            <w:tcW w:w="458" w:type="pct"/>
            <w:vAlign w:val="center"/>
          </w:tcPr>
          <w:p w14:paraId="405EE0F3">
            <w:pPr>
              <w:spacing w:line="600" w:lineRule="atLeast"/>
              <w:jc w:val="left"/>
              <w:rPr>
                <w:rFonts w:ascii="宋体" w:hAnsi="宋体" w:cs="宋体"/>
                <w:sz w:val="24"/>
                <w:szCs w:val="24"/>
              </w:rPr>
            </w:pPr>
          </w:p>
        </w:tc>
        <w:tc>
          <w:tcPr>
            <w:tcW w:w="881" w:type="pct"/>
            <w:vAlign w:val="center"/>
          </w:tcPr>
          <w:p w14:paraId="67BF3273">
            <w:pPr>
              <w:spacing w:line="600" w:lineRule="atLeast"/>
              <w:jc w:val="left"/>
              <w:rPr>
                <w:rFonts w:ascii="宋体" w:hAnsi="宋体" w:cs="宋体"/>
                <w:sz w:val="24"/>
                <w:szCs w:val="24"/>
              </w:rPr>
            </w:pPr>
          </w:p>
        </w:tc>
        <w:tc>
          <w:tcPr>
            <w:tcW w:w="723" w:type="pct"/>
            <w:vAlign w:val="center"/>
          </w:tcPr>
          <w:p w14:paraId="6C360A1C">
            <w:pPr>
              <w:spacing w:line="600" w:lineRule="atLeast"/>
              <w:jc w:val="left"/>
              <w:rPr>
                <w:rFonts w:ascii="宋体" w:hAnsi="宋体" w:cs="宋体"/>
                <w:sz w:val="24"/>
                <w:szCs w:val="24"/>
              </w:rPr>
            </w:pPr>
          </w:p>
        </w:tc>
        <w:tc>
          <w:tcPr>
            <w:tcW w:w="404" w:type="pct"/>
            <w:vAlign w:val="center"/>
          </w:tcPr>
          <w:p w14:paraId="26E1A746">
            <w:pPr>
              <w:spacing w:line="600" w:lineRule="atLeast"/>
              <w:jc w:val="left"/>
              <w:rPr>
                <w:rFonts w:ascii="宋体" w:hAnsi="宋体" w:cs="宋体"/>
                <w:sz w:val="24"/>
                <w:szCs w:val="24"/>
              </w:rPr>
            </w:pPr>
          </w:p>
        </w:tc>
      </w:tr>
      <w:tr w14:paraId="3EA2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5" w:type="pct"/>
            <w:vAlign w:val="center"/>
          </w:tcPr>
          <w:p w14:paraId="66DB7B43">
            <w:pPr>
              <w:spacing w:line="600" w:lineRule="atLeast"/>
              <w:jc w:val="left"/>
              <w:rPr>
                <w:rFonts w:ascii="宋体" w:hAnsi="宋体" w:cs="宋体"/>
                <w:sz w:val="24"/>
                <w:szCs w:val="24"/>
              </w:rPr>
            </w:pPr>
          </w:p>
        </w:tc>
        <w:tc>
          <w:tcPr>
            <w:tcW w:w="845" w:type="pct"/>
            <w:vAlign w:val="center"/>
          </w:tcPr>
          <w:p w14:paraId="10529E3F">
            <w:pPr>
              <w:spacing w:line="600" w:lineRule="atLeast"/>
              <w:jc w:val="left"/>
              <w:rPr>
                <w:rFonts w:ascii="宋体" w:hAnsi="宋体" w:cs="宋体"/>
                <w:sz w:val="24"/>
                <w:szCs w:val="24"/>
              </w:rPr>
            </w:pPr>
          </w:p>
        </w:tc>
        <w:tc>
          <w:tcPr>
            <w:tcW w:w="417" w:type="pct"/>
            <w:vAlign w:val="center"/>
          </w:tcPr>
          <w:p w14:paraId="5C3100C5">
            <w:pPr>
              <w:spacing w:line="600" w:lineRule="atLeast"/>
              <w:jc w:val="left"/>
              <w:rPr>
                <w:rFonts w:ascii="宋体" w:hAnsi="宋体" w:cs="宋体"/>
                <w:sz w:val="24"/>
                <w:szCs w:val="24"/>
              </w:rPr>
            </w:pPr>
          </w:p>
        </w:tc>
        <w:tc>
          <w:tcPr>
            <w:tcW w:w="429" w:type="pct"/>
            <w:vAlign w:val="center"/>
          </w:tcPr>
          <w:p w14:paraId="57ADE239">
            <w:pPr>
              <w:spacing w:line="600" w:lineRule="atLeast"/>
              <w:jc w:val="left"/>
              <w:rPr>
                <w:rFonts w:ascii="宋体" w:hAnsi="宋体" w:cs="宋体"/>
                <w:sz w:val="24"/>
                <w:szCs w:val="24"/>
              </w:rPr>
            </w:pPr>
          </w:p>
        </w:tc>
        <w:tc>
          <w:tcPr>
            <w:tcW w:w="422" w:type="pct"/>
            <w:vAlign w:val="center"/>
          </w:tcPr>
          <w:p w14:paraId="4CFFC58C">
            <w:pPr>
              <w:spacing w:line="600" w:lineRule="atLeast"/>
              <w:jc w:val="left"/>
              <w:rPr>
                <w:rFonts w:ascii="宋体" w:hAnsi="宋体" w:cs="宋体"/>
                <w:sz w:val="24"/>
                <w:szCs w:val="24"/>
              </w:rPr>
            </w:pPr>
          </w:p>
        </w:tc>
        <w:tc>
          <w:tcPr>
            <w:tcW w:w="458" w:type="pct"/>
            <w:vAlign w:val="center"/>
          </w:tcPr>
          <w:p w14:paraId="78665526">
            <w:pPr>
              <w:spacing w:line="600" w:lineRule="atLeast"/>
              <w:jc w:val="left"/>
              <w:rPr>
                <w:rFonts w:ascii="宋体" w:hAnsi="宋体" w:cs="宋体"/>
                <w:sz w:val="24"/>
                <w:szCs w:val="24"/>
              </w:rPr>
            </w:pPr>
          </w:p>
        </w:tc>
        <w:tc>
          <w:tcPr>
            <w:tcW w:w="881" w:type="pct"/>
            <w:vAlign w:val="center"/>
          </w:tcPr>
          <w:p w14:paraId="6DF1FAE2">
            <w:pPr>
              <w:spacing w:line="600" w:lineRule="atLeast"/>
              <w:jc w:val="left"/>
              <w:rPr>
                <w:rFonts w:ascii="宋体" w:hAnsi="宋体" w:cs="宋体"/>
                <w:sz w:val="24"/>
                <w:szCs w:val="24"/>
              </w:rPr>
            </w:pPr>
          </w:p>
        </w:tc>
        <w:tc>
          <w:tcPr>
            <w:tcW w:w="723" w:type="pct"/>
            <w:vAlign w:val="center"/>
          </w:tcPr>
          <w:p w14:paraId="05A84D6F">
            <w:pPr>
              <w:spacing w:line="600" w:lineRule="atLeast"/>
              <w:jc w:val="left"/>
              <w:rPr>
                <w:rFonts w:ascii="宋体" w:hAnsi="宋体" w:cs="宋体"/>
                <w:sz w:val="24"/>
                <w:szCs w:val="24"/>
              </w:rPr>
            </w:pPr>
          </w:p>
        </w:tc>
        <w:tc>
          <w:tcPr>
            <w:tcW w:w="404" w:type="pct"/>
            <w:vAlign w:val="center"/>
          </w:tcPr>
          <w:p w14:paraId="4BE2FD5B">
            <w:pPr>
              <w:spacing w:line="600" w:lineRule="atLeast"/>
              <w:jc w:val="left"/>
              <w:rPr>
                <w:rFonts w:ascii="宋体" w:hAnsi="宋体" w:cs="宋体"/>
                <w:sz w:val="24"/>
                <w:szCs w:val="24"/>
              </w:rPr>
            </w:pPr>
          </w:p>
        </w:tc>
      </w:tr>
    </w:tbl>
    <w:p w14:paraId="3C93BEFA">
      <w:pPr>
        <w:keepNext w:val="0"/>
        <w:keepLines w:val="0"/>
        <w:pageBreakBefore w:val="0"/>
        <w:widowControl w:val="0"/>
        <w:kinsoku/>
        <w:wordWrap/>
        <w:overflowPunct/>
        <w:topLinePunct w:val="0"/>
        <w:autoSpaceDE/>
        <w:autoSpaceDN/>
        <w:bidi w:val="0"/>
        <w:adjustRightInd/>
        <w:snapToGrid/>
        <w:spacing w:line="600" w:lineRule="atLeast"/>
        <w:ind w:firstLine="560" w:firstLineChars="200"/>
        <w:textAlignment w:val="auto"/>
        <w:rPr>
          <w:rFonts w:ascii="宋体" w:hAnsi="宋体" w:cs="宋体"/>
          <w:bCs/>
          <w:sz w:val="28"/>
          <w:szCs w:val="28"/>
        </w:rPr>
      </w:pPr>
      <w:r>
        <w:rPr>
          <w:rFonts w:hint="eastAsia" w:ascii="宋体" w:hAnsi="宋体" w:cs="宋体"/>
          <w:bCs/>
          <w:sz w:val="28"/>
          <w:szCs w:val="28"/>
        </w:rPr>
        <w:t>附表三：劳动力计划表</w:t>
      </w:r>
    </w:p>
    <w:p w14:paraId="1E013F58">
      <w:pPr>
        <w:keepNext w:val="0"/>
        <w:keepLines w:val="0"/>
        <w:pageBreakBefore w:val="0"/>
        <w:widowControl w:val="0"/>
        <w:kinsoku/>
        <w:wordWrap/>
        <w:overflowPunct/>
        <w:topLinePunct w:val="0"/>
        <w:autoSpaceDE/>
        <w:autoSpaceDN/>
        <w:bidi w:val="0"/>
        <w:adjustRightInd/>
        <w:snapToGrid/>
        <w:spacing w:line="600" w:lineRule="atLeast"/>
        <w:ind w:firstLine="560" w:firstLineChars="200"/>
        <w:textAlignment w:val="auto"/>
        <w:rPr>
          <w:rFonts w:ascii="宋体" w:hAnsi="宋体" w:cs="宋体"/>
          <w:sz w:val="28"/>
          <w:szCs w:val="28"/>
        </w:rPr>
      </w:pPr>
      <w:r>
        <w:rPr>
          <w:rFonts w:hint="eastAsia" w:ascii="宋体" w:hAnsi="宋体" w:cs="宋体"/>
          <w:sz w:val="28"/>
          <w:szCs w:val="28"/>
        </w:rPr>
        <w:t>单位：人</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644"/>
        <w:gridCol w:w="1230"/>
        <w:gridCol w:w="1230"/>
        <w:gridCol w:w="1230"/>
        <w:gridCol w:w="1230"/>
        <w:gridCol w:w="1230"/>
        <w:gridCol w:w="1240"/>
      </w:tblGrid>
      <w:tr w14:paraId="6BB5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16" w:type="pct"/>
            <w:vAlign w:val="center"/>
          </w:tcPr>
          <w:p w14:paraId="344EA2F7">
            <w:pPr>
              <w:spacing w:line="600" w:lineRule="atLeast"/>
              <w:jc w:val="center"/>
              <w:rPr>
                <w:rFonts w:ascii="宋体" w:hAnsi="宋体" w:cs="宋体"/>
                <w:sz w:val="24"/>
                <w:szCs w:val="24"/>
              </w:rPr>
            </w:pPr>
            <w:r>
              <w:rPr>
                <w:rFonts w:hint="eastAsia" w:ascii="宋体" w:hAnsi="宋体" w:cs="宋体"/>
                <w:sz w:val="24"/>
                <w:szCs w:val="24"/>
              </w:rPr>
              <w:t>工种</w:t>
            </w:r>
          </w:p>
        </w:tc>
        <w:tc>
          <w:tcPr>
            <w:tcW w:w="4583" w:type="pct"/>
            <w:gridSpan w:val="7"/>
            <w:vAlign w:val="center"/>
          </w:tcPr>
          <w:p w14:paraId="71DE396C">
            <w:pPr>
              <w:spacing w:line="600" w:lineRule="atLeast"/>
              <w:jc w:val="center"/>
              <w:rPr>
                <w:rFonts w:ascii="宋体" w:hAnsi="宋体" w:cs="宋体"/>
                <w:sz w:val="24"/>
                <w:szCs w:val="24"/>
              </w:rPr>
            </w:pPr>
            <w:r>
              <w:rPr>
                <w:rFonts w:hint="eastAsia" w:ascii="宋体" w:hAnsi="宋体" w:cs="宋体"/>
                <w:sz w:val="24"/>
                <w:szCs w:val="24"/>
              </w:rPr>
              <w:t>按工程施工阶段投入劳动力情况</w:t>
            </w:r>
          </w:p>
        </w:tc>
      </w:tr>
      <w:tr w14:paraId="2118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6" w:type="pct"/>
            <w:vAlign w:val="center"/>
          </w:tcPr>
          <w:p w14:paraId="02E45A18">
            <w:pPr>
              <w:spacing w:line="600" w:lineRule="atLeast"/>
              <w:jc w:val="left"/>
              <w:rPr>
                <w:rFonts w:ascii="宋体" w:hAnsi="宋体" w:cs="宋体"/>
                <w:sz w:val="24"/>
                <w:szCs w:val="24"/>
              </w:rPr>
            </w:pPr>
          </w:p>
        </w:tc>
        <w:tc>
          <w:tcPr>
            <w:tcW w:w="834" w:type="pct"/>
            <w:vAlign w:val="center"/>
          </w:tcPr>
          <w:p w14:paraId="72111810">
            <w:pPr>
              <w:spacing w:line="600" w:lineRule="atLeast"/>
              <w:jc w:val="left"/>
              <w:rPr>
                <w:rFonts w:ascii="宋体" w:hAnsi="宋体" w:cs="宋体"/>
                <w:sz w:val="24"/>
                <w:szCs w:val="24"/>
              </w:rPr>
            </w:pPr>
          </w:p>
        </w:tc>
        <w:tc>
          <w:tcPr>
            <w:tcW w:w="624" w:type="pct"/>
            <w:vAlign w:val="center"/>
          </w:tcPr>
          <w:p w14:paraId="582D8825">
            <w:pPr>
              <w:spacing w:line="600" w:lineRule="atLeast"/>
              <w:jc w:val="left"/>
              <w:rPr>
                <w:rFonts w:ascii="宋体" w:hAnsi="宋体" w:cs="宋体"/>
                <w:sz w:val="24"/>
                <w:szCs w:val="24"/>
              </w:rPr>
            </w:pPr>
          </w:p>
        </w:tc>
        <w:tc>
          <w:tcPr>
            <w:tcW w:w="624" w:type="pct"/>
            <w:vAlign w:val="center"/>
          </w:tcPr>
          <w:p w14:paraId="6367AABA">
            <w:pPr>
              <w:spacing w:line="600" w:lineRule="atLeast"/>
              <w:jc w:val="left"/>
              <w:rPr>
                <w:rFonts w:ascii="宋体" w:hAnsi="宋体" w:cs="宋体"/>
                <w:sz w:val="24"/>
                <w:szCs w:val="24"/>
              </w:rPr>
            </w:pPr>
          </w:p>
        </w:tc>
        <w:tc>
          <w:tcPr>
            <w:tcW w:w="624" w:type="pct"/>
            <w:vAlign w:val="center"/>
          </w:tcPr>
          <w:p w14:paraId="6CF79DDE">
            <w:pPr>
              <w:spacing w:line="600" w:lineRule="atLeast"/>
              <w:jc w:val="left"/>
              <w:rPr>
                <w:rFonts w:ascii="宋体" w:hAnsi="宋体" w:cs="宋体"/>
                <w:sz w:val="24"/>
                <w:szCs w:val="24"/>
              </w:rPr>
            </w:pPr>
          </w:p>
        </w:tc>
        <w:tc>
          <w:tcPr>
            <w:tcW w:w="624" w:type="pct"/>
            <w:vAlign w:val="center"/>
          </w:tcPr>
          <w:p w14:paraId="2B84058C">
            <w:pPr>
              <w:spacing w:line="600" w:lineRule="atLeast"/>
              <w:jc w:val="left"/>
              <w:rPr>
                <w:rFonts w:ascii="宋体" w:hAnsi="宋体" w:cs="宋体"/>
                <w:sz w:val="24"/>
                <w:szCs w:val="24"/>
              </w:rPr>
            </w:pPr>
          </w:p>
        </w:tc>
        <w:tc>
          <w:tcPr>
            <w:tcW w:w="624" w:type="pct"/>
            <w:vAlign w:val="center"/>
          </w:tcPr>
          <w:p w14:paraId="2343967E">
            <w:pPr>
              <w:spacing w:line="600" w:lineRule="atLeast"/>
              <w:jc w:val="left"/>
              <w:rPr>
                <w:rFonts w:ascii="宋体" w:hAnsi="宋体" w:cs="宋体"/>
                <w:sz w:val="24"/>
                <w:szCs w:val="24"/>
              </w:rPr>
            </w:pPr>
          </w:p>
        </w:tc>
        <w:tc>
          <w:tcPr>
            <w:tcW w:w="629" w:type="pct"/>
            <w:vAlign w:val="center"/>
          </w:tcPr>
          <w:p w14:paraId="31A02758">
            <w:pPr>
              <w:spacing w:line="600" w:lineRule="atLeast"/>
              <w:jc w:val="left"/>
              <w:rPr>
                <w:rFonts w:ascii="宋体" w:hAnsi="宋体" w:cs="宋体"/>
                <w:sz w:val="24"/>
                <w:szCs w:val="24"/>
              </w:rPr>
            </w:pPr>
          </w:p>
        </w:tc>
      </w:tr>
      <w:tr w14:paraId="1225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6" w:type="pct"/>
            <w:vAlign w:val="center"/>
          </w:tcPr>
          <w:p w14:paraId="54148367">
            <w:pPr>
              <w:spacing w:line="600" w:lineRule="atLeast"/>
              <w:jc w:val="left"/>
              <w:rPr>
                <w:rFonts w:ascii="宋体" w:hAnsi="宋体" w:cs="宋体"/>
                <w:sz w:val="24"/>
                <w:szCs w:val="24"/>
              </w:rPr>
            </w:pPr>
          </w:p>
        </w:tc>
        <w:tc>
          <w:tcPr>
            <w:tcW w:w="834" w:type="pct"/>
            <w:vAlign w:val="center"/>
          </w:tcPr>
          <w:p w14:paraId="50473678">
            <w:pPr>
              <w:spacing w:line="600" w:lineRule="atLeast"/>
              <w:jc w:val="left"/>
              <w:rPr>
                <w:rFonts w:ascii="宋体" w:hAnsi="宋体" w:cs="宋体"/>
                <w:sz w:val="24"/>
                <w:szCs w:val="24"/>
              </w:rPr>
            </w:pPr>
          </w:p>
        </w:tc>
        <w:tc>
          <w:tcPr>
            <w:tcW w:w="624" w:type="pct"/>
            <w:vAlign w:val="center"/>
          </w:tcPr>
          <w:p w14:paraId="7E609BBB">
            <w:pPr>
              <w:spacing w:line="600" w:lineRule="atLeast"/>
              <w:jc w:val="left"/>
              <w:rPr>
                <w:rFonts w:ascii="宋体" w:hAnsi="宋体" w:cs="宋体"/>
                <w:sz w:val="24"/>
                <w:szCs w:val="24"/>
              </w:rPr>
            </w:pPr>
          </w:p>
        </w:tc>
        <w:tc>
          <w:tcPr>
            <w:tcW w:w="624" w:type="pct"/>
            <w:vAlign w:val="center"/>
          </w:tcPr>
          <w:p w14:paraId="3760564F">
            <w:pPr>
              <w:spacing w:line="600" w:lineRule="atLeast"/>
              <w:jc w:val="left"/>
              <w:rPr>
                <w:rFonts w:ascii="宋体" w:hAnsi="宋体" w:cs="宋体"/>
                <w:sz w:val="24"/>
                <w:szCs w:val="24"/>
              </w:rPr>
            </w:pPr>
          </w:p>
        </w:tc>
        <w:tc>
          <w:tcPr>
            <w:tcW w:w="624" w:type="pct"/>
            <w:vAlign w:val="center"/>
          </w:tcPr>
          <w:p w14:paraId="53EB2D8C">
            <w:pPr>
              <w:spacing w:line="600" w:lineRule="atLeast"/>
              <w:jc w:val="left"/>
              <w:rPr>
                <w:rFonts w:ascii="宋体" w:hAnsi="宋体" w:cs="宋体"/>
                <w:sz w:val="24"/>
                <w:szCs w:val="24"/>
              </w:rPr>
            </w:pPr>
          </w:p>
        </w:tc>
        <w:tc>
          <w:tcPr>
            <w:tcW w:w="624" w:type="pct"/>
            <w:vAlign w:val="center"/>
          </w:tcPr>
          <w:p w14:paraId="282F99A9">
            <w:pPr>
              <w:spacing w:line="600" w:lineRule="atLeast"/>
              <w:jc w:val="left"/>
              <w:rPr>
                <w:rFonts w:ascii="宋体" w:hAnsi="宋体" w:cs="宋体"/>
                <w:sz w:val="24"/>
                <w:szCs w:val="24"/>
              </w:rPr>
            </w:pPr>
          </w:p>
        </w:tc>
        <w:tc>
          <w:tcPr>
            <w:tcW w:w="624" w:type="pct"/>
            <w:vAlign w:val="center"/>
          </w:tcPr>
          <w:p w14:paraId="3F664493">
            <w:pPr>
              <w:spacing w:line="600" w:lineRule="atLeast"/>
              <w:jc w:val="left"/>
              <w:rPr>
                <w:rFonts w:ascii="宋体" w:hAnsi="宋体" w:cs="宋体"/>
                <w:sz w:val="24"/>
                <w:szCs w:val="24"/>
              </w:rPr>
            </w:pPr>
          </w:p>
        </w:tc>
        <w:tc>
          <w:tcPr>
            <w:tcW w:w="629" w:type="pct"/>
            <w:vAlign w:val="center"/>
          </w:tcPr>
          <w:p w14:paraId="3D47F842">
            <w:pPr>
              <w:spacing w:line="600" w:lineRule="atLeast"/>
              <w:jc w:val="left"/>
              <w:rPr>
                <w:rFonts w:ascii="宋体" w:hAnsi="宋体" w:cs="宋体"/>
                <w:sz w:val="24"/>
                <w:szCs w:val="24"/>
              </w:rPr>
            </w:pPr>
          </w:p>
        </w:tc>
      </w:tr>
    </w:tbl>
    <w:p w14:paraId="57BCF1BF">
      <w:pPr>
        <w:keepNext w:val="0"/>
        <w:keepLines w:val="0"/>
        <w:pageBreakBefore w:val="0"/>
        <w:widowControl w:val="0"/>
        <w:kinsoku/>
        <w:wordWrap/>
        <w:overflowPunct/>
        <w:topLinePunct w:val="0"/>
        <w:autoSpaceDE/>
        <w:autoSpaceDN/>
        <w:bidi w:val="0"/>
        <w:adjustRightInd/>
        <w:snapToGrid/>
        <w:spacing w:line="600" w:lineRule="atLeast"/>
        <w:ind w:firstLine="560" w:firstLineChars="200"/>
        <w:textAlignment w:val="auto"/>
        <w:rPr>
          <w:rFonts w:ascii="宋体" w:hAnsi="宋体" w:cs="宋体"/>
          <w:bCs/>
          <w:sz w:val="28"/>
          <w:szCs w:val="28"/>
        </w:rPr>
      </w:pPr>
      <w:r>
        <w:rPr>
          <w:rFonts w:hint="eastAsia" w:ascii="宋体" w:hAnsi="宋体" w:cs="宋体"/>
          <w:bCs/>
          <w:sz w:val="28"/>
          <w:szCs w:val="28"/>
        </w:rPr>
        <w:t>附表四：原材料进场计划表</w:t>
      </w:r>
    </w:p>
    <w:tbl>
      <w:tblPr>
        <w:tblStyle w:val="29"/>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668"/>
        <w:gridCol w:w="820"/>
        <w:gridCol w:w="844"/>
        <w:gridCol w:w="832"/>
        <w:gridCol w:w="1599"/>
        <w:gridCol w:w="2007"/>
        <w:gridCol w:w="1247"/>
      </w:tblGrid>
      <w:tr w14:paraId="23ED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16" w:type="pct"/>
            <w:vAlign w:val="center"/>
          </w:tcPr>
          <w:p w14:paraId="514806ED">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r>
              <w:rPr>
                <w:rFonts w:hint="eastAsia" w:ascii="宋体" w:hAnsi="宋体" w:cs="宋体"/>
                <w:sz w:val="24"/>
                <w:szCs w:val="24"/>
              </w:rPr>
              <w:t>序号</w:t>
            </w:r>
          </w:p>
        </w:tc>
        <w:tc>
          <w:tcPr>
            <w:tcW w:w="847" w:type="pct"/>
            <w:vAlign w:val="center"/>
          </w:tcPr>
          <w:p w14:paraId="3164E1E6">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r>
              <w:rPr>
                <w:rFonts w:hint="eastAsia" w:ascii="宋体" w:hAnsi="宋体" w:cs="宋体"/>
                <w:sz w:val="24"/>
                <w:szCs w:val="24"/>
              </w:rPr>
              <w:t>材料名称</w:t>
            </w:r>
          </w:p>
        </w:tc>
        <w:tc>
          <w:tcPr>
            <w:tcW w:w="417" w:type="pct"/>
            <w:vAlign w:val="center"/>
          </w:tcPr>
          <w:p w14:paraId="76F0EDBF">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r>
              <w:rPr>
                <w:rFonts w:hint="eastAsia" w:ascii="宋体" w:hAnsi="宋体" w:cs="宋体"/>
                <w:sz w:val="24"/>
                <w:szCs w:val="24"/>
              </w:rPr>
              <w:t>型号</w:t>
            </w:r>
          </w:p>
          <w:p w14:paraId="0892793C">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r>
              <w:rPr>
                <w:rFonts w:hint="eastAsia" w:ascii="宋体" w:hAnsi="宋体" w:cs="宋体"/>
                <w:sz w:val="24"/>
                <w:szCs w:val="24"/>
              </w:rPr>
              <w:t>规格</w:t>
            </w:r>
          </w:p>
        </w:tc>
        <w:tc>
          <w:tcPr>
            <w:tcW w:w="429" w:type="pct"/>
            <w:vAlign w:val="center"/>
          </w:tcPr>
          <w:p w14:paraId="2573D4AE">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r>
              <w:rPr>
                <w:rFonts w:hint="eastAsia" w:ascii="宋体" w:hAnsi="宋体" w:cs="宋体"/>
                <w:sz w:val="24"/>
                <w:szCs w:val="24"/>
              </w:rPr>
              <w:t>单位</w:t>
            </w:r>
          </w:p>
        </w:tc>
        <w:tc>
          <w:tcPr>
            <w:tcW w:w="423" w:type="pct"/>
            <w:vAlign w:val="center"/>
          </w:tcPr>
          <w:p w14:paraId="63986218">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r>
              <w:rPr>
                <w:rFonts w:hint="eastAsia" w:ascii="宋体" w:hAnsi="宋体" w:cs="宋体"/>
                <w:sz w:val="24"/>
                <w:szCs w:val="24"/>
              </w:rPr>
              <w:t>数量</w:t>
            </w:r>
          </w:p>
        </w:tc>
        <w:tc>
          <w:tcPr>
            <w:tcW w:w="812" w:type="pct"/>
            <w:vAlign w:val="center"/>
          </w:tcPr>
          <w:p w14:paraId="0F8201C3">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r>
              <w:rPr>
                <w:rFonts w:hint="eastAsia" w:ascii="宋体" w:hAnsi="宋体" w:cs="宋体"/>
                <w:sz w:val="24"/>
                <w:szCs w:val="24"/>
              </w:rPr>
              <w:t>进场时间</w:t>
            </w:r>
          </w:p>
        </w:tc>
        <w:tc>
          <w:tcPr>
            <w:tcW w:w="1019" w:type="pct"/>
            <w:vAlign w:val="center"/>
          </w:tcPr>
          <w:p w14:paraId="04A4B1D7">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r>
              <w:rPr>
                <w:rFonts w:hint="eastAsia" w:ascii="宋体" w:hAnsi="宋体" w:cs="宋体"/>
                <w:sz w:val="24"/>
                <w:szCs w:val="24"/>
              </w:rPr>
              <w:t>用途</w:t>
            </w:r>
          </w:p>
        </w:tc>
        <w:tc>
          <w:tcPr>
            <w:tcW w:w="633" w:type="pct"/>
            <w:vAlign w:val="center"/>
          </w:tcPr>
          <w:p w14:paraId="4751E6DC">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r>
              <w:rPr>
                <w:rFonts w:hint="eastAsia" w:ascii="宋体" w:hAnsi="宋体" w:cs="宋体"/>
                <w:sz w:val="24"/>
                <w:szCs w:val="24"/>
              </w:rPr>
              <w:t>备注</w:t>
            </w:r>
          </w:p>
        </w:tc>
      </w:tr>
      <w:tr w14:paraId="4B19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6" w:type="pct"/>
            <w:vAlign w:val="center"/>
          </w:tcPr>
          <w:p w14:paraId="42B04FCC">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847" w:type="pct"/>
            <w:vAlign w:val="center"/>
          </w:tcPr>
          <w:p w14:paraId="036BA703">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417" w:type="pct"/>
            <w:vAlign w:val="center"/>
          </w:tcPr>
          <w:p w14:paraId="57CCC50A">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429" w:type="pct"/>
            <w:vAlign w:val="center"/>
          </w:tcPr>
          <w:p w14:paraId="40593D36">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423" w:type="pct"/>
            <w:vAlign w:val="center"/>
          </w:tcPr>
          <w:p w14:paraId="00AED83B">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812" w:type="pct"/>
            <w:vAlign w:val="center"/>
          </w:tcPr>
          <w:p w14:paraId="1E2FBC25">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1019" w:type="pct"/>
            <w:vAlign w:val="center"/>
          </w:tcPr>
          <w:p w14:paraId="4DCB837D">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633" w:type="pct"/>
            <w:vAlign w:val="center"/>
          </w:tcPr>
          <w:p w14:paraId="1FA8B673">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r>
      <w:tr w14:paraId="3DFE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6" w:type="pct"/>
            <w:vAlign w:val="center"/>
          </w:tcPr>
          <w:p w14:paraId="56886066">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847" w:type="pct"/>
            <w:vAlign w:val="center"/>
          </w:tcPr>
          <w:p w14:paraId="35E247AB">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417" w:type="pct"/>
            <w:vAlign w:val="center"/>
          </w:tcPr>
          <w:p w14:paraId="348C295F">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429" w:type="pct"/>
            <w:vAlign w:val="center"/>
          </w:tcPr>
          <w:p w14:paraId="6CAC435B">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423" w:type="pct"/>
            <w:vAlign w:val="center"/>
          </w:tcPr>
          <w:p w14:paraId="390B2808">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812" w:type="pct"/>
            <w:vAlign w:val="center"/>
          </w:tcPr>
          <w:p w14:paraId="4276D1BA">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1019" w:type="pct"/>
            <w:vAlign w:val="center"/>
          </w:tcPr>
          <w:p w14:paraId="7D90AC10">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c>
          <w:tcPr>
            <w:tcW w:w="633" w:type="pct"/>
            <w:vAlign w:val="center"/>
          </w:tcPr>
          <w:p w14:paraId="28557874">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宋体" w:hAnsi="宋体" w:cs="宋体"/>
                <w:sz w:val="24"/>
                <w:szCs w:val="24"/>
              </w:rPr>
            </w:pPr>
          </w:p>
        </w:tc>
      </w:tr>
    </w:tbl>
    <w:p w14:paraId="23F48CF0"/>
    <w:p w14:paraId="25B39D4F">
      <w:bookmarkStart w:id="762" w:name="_Toc15847"/>
      <w:bookmarkStart w:id="763" w:name="_Toc14092"/>
      <w:bookmarkStart w:id="764" w:name="_Toc78468800"/>
      <w:bookmarkStart w:id="765" w:name="_Toc4272"/>
      <w:r>
        <w:rPr>
          <w:rFonts w:hint="eastAsia"/>
        </w:rPr>
        <w:br w:type="page"/>
      </w:r>
    </w:p>
    <w:p w14:paraId="05614DF3">
      <w:pPr>
        <w:pStyle w:val="2"/>
        <w:numPr>
          <w:ilvl w:val="0"/>
          <w:numId w:val="11"/>
        </w:numPr>
        <w:jc w:val="center"/>
      </w:pPr>
      <w:r>
        <w:rPr>
          <w:rFonts w:hint="eastAsia"/>
        </w:rPr>
        <w:t>工程量清单</w:t>
      </w:r>
      <w:bookmarkEnd w:id="762"/>
      <w:r>
        <w:rPr>
          <w:rFonts w:hint="eastAsia"/>
        </w:rPr>
        <w:t>及图纸</w:t>
      </w:r>
      <w:bookmarkEnd w:id="763"/>
      <w:bookmarkEnd w:id="764"/>
      <w:bookmarkEnd w:id="765"/>
    </w:p>
    <w:p w14:paraId="50EC78F7">
      <w:pPr>
        <w:spacing w:line="360" w:lineRule="auto"/>
        <w:rPr>
          <w:rFonts w:hint="eastAsia" w:ascii="宋体" w:hAnsi="宋体"/>
          <w:color w:val="000000"/>
          <w:szCs w:val="21"/>
        </w:rPr>
      </w:pPr>
      <w:r>
        <w:rPr>
          <w:rFonts w:hint="eastAsia" w:ascii="宋体" w:hAnsi="宋体"/>
          <w:color w:val="000000"/>
          <w:sz w:val="24"/>
        </w:rPr>
        <w:t>1.工程量清单说明</w:t>
      </w:r>
    </w:p>
    <w:p w14:paraId="7A482033">
      <w:pPr>
        <w:spacing w:line="360" w:lineRule="auto"/>
        <w:ind w:firstLine="420" w:firstLineChars="200"/>
        <w:rPr>
          <w:rFonts w:hint="eastAsia" w:ascii="宋体" w:hAnsi="宋体"/>
          <w:bCs/>
          <w:color w:val="000000"/>
          <w:szCs w:val="21"/>
        </w:rPr>
      </w:pPr>
      <w:r>
        <w:rPr>
          <w:rFonts w:hint="eastAsia" w:ascii="宋体" w:hAnsi="宋体"/>
          <w:bCs/>
          <w:color w:val="000000"/>
          <w:szCs w:val="21"/>
        </w:rPr>
        <w:t>1.1 本工程量清单系按分部分项工程提供的。</w:t>
      </w:r>
    </w:p>
    <w:p w14:paraId="4B866733">
      <w:pPr>
        <w:spacing w:line="360" w:lineRule="auto"/>
        <w:ind w:firstLine="420" w:firstLineChars="200"/>
        <w:rPr>
          <w:rFonts w:hint="eastAsia" w:ascii="宋体" w:hAnsi="宋体"/>
          <w:bCs/>
          <w:color w:val="000000"/>
          <w:szCs w:val="21"/>
        </w:rPr>
      </w:pPr>
      <w:r>
        <w:rPr>
          <w:rFonts w:hint="eastAsia" w:ascii="宋体" w:hAnsi="宋体"/>
          <w:bCs/>
          <w:color w:val="000000"/>
          <w:szCs w:val="21"/>
        </w:rPr>
        <w:t>1.2 本工程量清单是依据国家规定编制的。工程量清单为磋商文件的组成部分，一经中标且签订合同，即成为合同的组成部分。</w:t>
      </w:r>
    </w:p>
    <w:p w14:paraId="787E598E">
      <w:pPr>
        <w:spacing w:line="360" w:lineRule="auto"/>
        <w:ind w:firstLine="420" w:firstLineChars="200"/>
        <w:rPr>
          <w:rFonts w:hint="eastAsia" w:ascii="宋体" w:hAnsi="宋体" w:cs="宋体"/>
          <w:bCs/>
          <w:color w:val="000000"/>
          <w:sz w:val="30"/>
          <w:szCs w:val="30"/>
          <w:lang w:val="zh-CN"/>
        </w:rPr>
      </w:pPr>
      <w:r>
        <w:rPr>
          <w:rFonts w:hint="eastAsia" w:ascii="宋体" w:hAnsi="宋体"/>
          <w:bCs/>
          <w:color w:val="000000"/>
          <w:szCs w:val="21"/>
        </w:rPr>
        <w:t>1.3 本工程量清单由采购人提供，作为供应商计算响应报价的基础。</w:t>
      </w:r>
    </w:p>
    <w:p w14:paraId="7B822FBC">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lang w:val="zh-CN"/>
        </w:rPr>
        <w:t>2.工程量清单</w:t>
      </w:r>
      <w:r>
        <w:rPr>
          <w:rFonts w:hint="eastAsia" w:ascii="宋体" w:hAnsi="宋体" w:cs="宋体"/>
          <w:color w:val="auto"/>
          <w:sz w:val="24"/>
          <w:lang w:val="en-US" w:eastAsia="zh-CN"/>
        </w:rPr>
        <w:t>及图纸(电子版)</w:t>
      </w:r>
    </w:p>
    <w:p w14:paraId="569115C2">
      <w:pPr>
        <w:spacing w:line="360" w:lineRule="auto"/>
      </w:pPr>
      <w:r>
        <w:rPr>
          <w:rFonts w:hint="eastAsia" w:ascii="宋体" w:hAnsi="宋体" w:cs="宋体"/>
          <w:color w:val="000000"/>
          <w:sz w:val="24"/>
          <w:lang w:val="en-US" w:eastAsia="zh-CN"/>
        </w:rPr>
        <w:t xml:space="preserve"> </w:t>
      </w:r>
    </w:p>
    <w:sectPr>
      <w:headerReference r:id="rId8" w:type="default"/>
      <w:pgSz w:w="11906" w:h="16838"/>
      <w:pgMar w:top="1417"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431322"/>
    </w:sdtPr>
    <w:sdtContent>
      <w:p w14:paraId="0F4449C9">
        <w:pPr>
          <w:pStyle w:val="19"/>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CB55">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82387"/>
                          </w:sdtPr>
                          <w:sdtContent>
                            <w:p w14:paraId="5C310780">
                              <w:pPr>
                                <w:pStyle w:val="19"/>
                                <w:jc w:val="center"/>
                              </w:pPr>
                              <w:r>
                                <w:fldChar w:fldCharType="begin"/>
                              </w:r>
                              <w:r>
                                <w:instrText xml:space="preserve"> PAGE   \* MERGEFORMAT </w:instrText>
                              </w:r>
                              <w:r>
                                <w:fldChar w:fldCharType="separate"/>
                              </w:r>
                              <w:r>
                                <w:rPr>
                                  <w:lang w:val="zh-CN"/>
                                </w:rPr>
                                <w:t>6</w:t>
                              </w:r>
                              <w:r>
                                <w:rPr>
                                  <w:lang w:val="zh-CN"/>
                                </w:rPr>
                                <w:fldChar w:fldCharType="end"/>
                              </w:r>
                            </w:p>
                          </w:sdtContent>
                        </w:sdt>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TOOK6wwEAAJADAAAOAAAAAAAAAAEAIAAAAB4BAABkcnMvZTJvRG9jLnhtbFBL&#10;BQYAAAAABgAGAFkBAABTBQAAAAA=&#10;">
              <v:fill on="f" focussize="0,0"/>
              <v:stroke on="f"/>
              <v:imagedata o:title=""/>
              <o:lock v:ext="edit" aspectratio="f"/>
              <v:textbox inset="0mm,0mm,0mm,0mm" style="mso-fit-shape-to-text:t;">
                <w:txbxContent>
                  <w:sdt>
                    <w:sdtPr>
                      <w:id w:val="147482387"/>
                    </w:sdtPr>
                    <w:sdtContent>
                      <w:p w14:paraId="5C310780">
                        <w:pPr>
                          <w:pStyle w:val="19"/>
                          <w:jc w:val="center"/>
                        </w:pPr>
                        <w:r>
                          <w:fldChar w:fldCharType="begin"/>
                        </w:r>
                        <w:r>
                          <w:instrText xml:space="preserve"> PAGE   \* MERGEFORMAT </w:instrText>
                        </w:r>
                        <w:r>
                          <w:fldChar w:fldCharType="separate"/>
                        </w:r>
                        <w:r>
                          <w:rPr>
                            <w:lang w:val="zh-CN"/>
                          </w:rPr>
                          <w:t>6</w:t>
                        </w:r>
                        <w:r>
                          <w:rPr>
                            <w:lang w:val="zh-CN"/>
                          </w:rPr>
                          <w:fldChar w:fldCharType="end"/>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4280">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BE4CC">
                          <w:pPr>
                            <w:pStyle w:val="19"/>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9EeNcQBAACQ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R9EeNcQBAACQAwAADgAAAAAAAAABACAAAAAeAQAAZHJzL2Uyb0RvYy54bWxQ&#10;SwUGAAAAAAYABgBZAQAAVAUAAAAA&#10;">
              <v:fill on="f" focussize="0,0"/>
              <v:stroke on="f"/>
              <v:imagedata o:title=""/>
              <o:lock v:ext="edit" aspectratio="f"/>
              <v:textbox inset="0mm,0mm,0mm,0mm" style="mso-fit-shape-to-text:t;">
                <w:txbxContent>
                  <w:p w14:paraId="181BE4CC">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C08A57D">
      <w:pPr>
        <w:pStyle w:val="22"/>
        <w:rPr>
          <w:sz w:val="21"/>
          <w:szCs w:val="21"/>
        </w:rPr>
      </w:pPr>
      <w:r>
        <w:rPr>
          <w:rFonts w:hint="eastAsia"/>
          <w:sz w:val="21"/>
          <w:szCs w:val="21"/>
        </w:rPr>
        <w:t>备注：1、属于中小微企业的供应商填写此表。供应商须对声明内容的真实性负责，声明函内容不实的，属于提供虚假材料谋取中标、成交，依照《中华人民共和国政府采购法》等国家有关规定追究相应责任。</w:t>
      </w:r>
    </w:p>
    <w:p w14:paraId="768A1368">
      <w:pPr>
        <w:pStyle w:val="22"/>
      </w:pPr>
      <w:r>
        <w:rPr>
          <w:rFonts w:hint="eastAsia"/>
          <w:sz w:val="21"/>
          <w:szCs w:val="21"/>
        </w:rPr>
        <w:t>2、从业人员、营业收入、资产总额填报上一年度数据，无上一年度数据的新成立企业可不填报。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662B2">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4B8C3">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3A011"/>
    <w:multiLevelType w:val="singleLevel"/>
    <w:tmpl w:val="AE53A011"/>
    <w:lvl w:ilvl="0" w:tentative="0">
      <w:start w:val="1"/>
      <w:numFmt w:val="chineseCounting"/>
      <w:suff w:val="nothing"/>
      <w:lvlText w:val="%1、"/>
      <w:lvlJc w:val="left"/>
      <w:rPr>
        <w:rFonts w:hint="eastAsia"/>
      </w:rPr>
    </w:lvl>
  </w:abstractNum>
  <w:abstractNum w:abstractNumId="1">
    <w:nsid w:val="B1C7F901"/>
    <w:multiLevelType w:val="singleLevel"/>
    <w:tmpl w:val="B1C7F901"/>
    <w:lvl w:ilvl="0" w:tentative="0">
      <w:start w:val="30"/>
      <w:numFmt w:val="decimal"/>
      <w:suff w:val="nothing"/>
      <w:lvlText w:val="%1、"/>
      <w:lvlJc w:val="left"/>
    </w:lvl>
  </w:abstractNum>
  <w:abstractNum w:abstractNumId="2">
    <w:nsid w:val="B35F6CAB"/>
    <w:multiLevelType w:val="singleLevel"/>
    <w:tmpl w:val="B35F6CAB"/>
    <w:lvl w:ilvl="0" w:tentative="0">
      <w:start w:val="1"/>
      <w:numFmt w:val="decimal"/>
      <w:suff w:val="nothing"/>
      <w:lvlText w:val="%1、"/>
      <w:lvlJc w:val="left"/>
    </w:lvl>
  </w:abstractNum>
  <w:abstractNum w:abstractNumId="3">
    <w:nsid w:val="BBEEF1E0"/>
    <w:multiLevelType w:val="singleLevel"/>
    <w:tmpl w:val="BBEEF1E0"/>
    <w:lvl w:ilvl="0" w:tentative="0">
      <w:start w:val="4"/>
      <w:numFmt w:val="chineseCounting"/>
      <w:suff w:val="nothing"/>
      <w:lvlText w:val="（%1）"/>
      <w:lvlJc w:val="left"/>
      <w:rPr>
        <w:rFonts w:hint="eastAsia"/>
      </w:rPr>
    </w:lvl>
  </w:abstractNum>
  <w:abstractNum w:abstractNumId="4">
    <w:nsid w:val="BCA6E654"/>
    <w:multiLevelType w:val="singleLevel"/>
    <w:tmpl w:val="BCA6E654"/>
    <w:lvl w:ilvl="0" w:tentative="0">
      <w:start w:val="1"/>
      <w:numFmt w:val="chineseCounting"/>
      <w:suff w:val="nothing"/>
      <w:lvlText w:val="%1、"/>
      <w:lvlJc w:val="left"/>
      <w:rPr>
        <w:rFonts w:hint="eastAsia"/>
      </w:rPr>
    </w:lvl>
  </w:abstractNum>
  <w:abstractNum w:abstractNumId="5">
    <w:nsid w:val="D1E9B41F"/>
    <w:multiLevelType w:val="singleLevel"/>
    <w:tmpl w:val="D1E9B41F"/>
    <w:lvl w:ilvl="0" w:tentative="0">
      <w:start w:val="26"/>
      <w:numFmt w:val="decimal"/>
      <w:lvlText w:val="%1."/>
      <w:lvlJc w:val="left"/>
      <w:pPr>
        <w:tabs>
          <w:tab w:val="left" w:pos="312"/>
        </w:tabs>
      </w:pPr>
    </w:lvl>
  </w:abstractNum>
  <w:abstractNum w:abstractNumId="6">
    <w:nsid w:val="0BBD733D"/>
    <w:multiLevelType w:val="singleLevel"/>
    <w:tmpl w:val="0BBD733D"/>
    <w:lvl w:ilvl="0" w:tentative="0">
      <w:start w:val="3"/>
      <w:numFmt w:val="decimal"/>
      <w:lvlText w:val="%1."/>
      <w:lvlJc w:val="left"/>
      <w:pPr>
        <w:tabs>
          <w:tab w:val="left" w:pos="312"/>
        </w:tabs>
      </w:pPr>
      <w:rPr>
        <w:rFonts w:hint="default"/>
        <w:sz w:val="28"/>
        <w:szCs w:val="28"/>
      </w:rPr>
    </w:lvl>
  </w:abstractNum>
  <w:abstractNum w:abstractNumId="7">
    <w:nsid w:val="47F7DA72"/>
    <w:multiLevelType w:val="singleLevel"/>
    <w:tmpl w:val="47F7DA72"/>
    <w:lvl w:ilvl="0" w:tentative="0">
      <w:start w:val="2"/>
      <w:numFmt w:val="decimal"/>
      <w:lvlText w:val="%1."/>
      <w:lvlJc w:val="left"/>
      <w:pPr>
        <w:tabs>
          <w:tab w:val="left" w:pos="312"/>
        </w:tabs>
      </w:pPr>
    </w:lvl>
  </w:abstractNum>
  <w:abstractNum w:abstractNumId="8">
    <w:nsid w:val="555FEA6A"/>
    <w:multiLevelType w:val="singleLevel"/>
    <w:tmpl w:val="555FEA6A"/>
    <w:lvl w:ilvl="0" w:tentative="0">
      <w:start w:val="1"/>
      <w:numFmt w:val="decimal"/>
      <w:suff w:val="nothing"/>
      <w:lvlText w:val="（%1）"/>
      <w:lvlJc w:val="left"/>
    </w:lvl>
  </w:abstractNum>
  <w:abstractNum w:abstractNumId="9">
    <w:nsid w:val="62CF4A79"/>
    <w:multiLevelType w:val="singleLevel"/>
    <w:tmpl w:val="62CF4A79"/>
    <w:lvl w:ilvl="0" w:tentative="0">
      <w:start w:val="1"/>
      <w:numFmt w:val="decimal"/>
      <w:suff w:val="nothing"/>
      <w:lvlText w:val="%1、"/>
      <w:lvlJc w:val="left"/>
    </w:lvl>
  </w:abstractNum>
  <w:abstractNum w:abstractNumId="10">
    <w:nsid w:val="6C4900BF"/>
    <w:multiLevelType w:val="singleLevel"/>
    <w:tmpl w:val="6C4900BF"/>
    <w:lvl w:ilvl="0" w:tentative="0">
      <w:start w:val="7"/>
      <w:numFmt w:val="chineseCounting"/>
      <w:suff w:val="space"/>
      <w:lvlText w:val="第%1章"/>
      <w:lvlJc w:val="left"/>
      <w:rPr>
        <w:rFonts w:hint="eastAsia"/>
      </w:rPr>
    </w:lvl>
  </w:abstractNum>
  <w:num w:numId="1">
    <w:abstractNumId w:val="8"/>
  </w:num>
  <w:num w:numId="2">
    <w:abstractNumId w:val="5"/>
  </w:num>
  <w:num w:numId="3">
    <w:abstractNumId w:val="1"/>
  </w:num>
  <w:num w:numId="4">
    <w:abstractNumId w:val="2"/>
  </w:num>
  <w:num w:numId="5">
    <w:abstractNumId w:val="0"/>
  </w:num>
  <w:num w:numId="6">
    <w:abstractNumId w:val="9"/>
  </w:num>
  <w:num w:numId="7">
    <w:abstractNumId w:val="4"/>
  </w:num>
  <w:num w:numId="8">
    <w:abstractNumId w:val="3"/>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ZjQyMWEyMjBhM2YyZTQ1MzYwY2ZkNjg2NDYxOWUifQ=="/>
  </w:docVars>
  <w:rsids>
    <w:rsidRoot w:val="00A82224"/>
    <w:rsid w:val="00017E2C"/>
    <w:rsid w:val="0007252C"/>
    <w:rsid w:val="000725BA"/>
    <w:rsid w:val="000742B3"/>
    <w:rsid w:val="000A3A42"/>
    <w:rsid w:val="000B7DD6"/>
    <w:rsid w:val="00107016"/>
    <w:rsid w:val="00116E20"/>
    <w:rsid w:val="001324BA"/>
    <w:rsid w:val="00144D4D"/>
    <w:rsid w:val="00157D4A"/>
    <w:rsid w:val="001852AC"/>
    <w:rsid w:val="001B5030"/>
    <w:rsid w:val="001E230D"/>
    <w:rsid w:val="001E5110"/>
    <w:rsid w:val="001E7B09"/>
    <w:rsid w:val="00213FC8"/>
    <w:rsid w:val="00216B74"/>
    <w:rsid w:val="00223932"/>
    <w:rsid w:val="002556E3"/>
    <w:rsid w:val="00255F6A"/>
    <w:rsid w:val="00261471"/>
    <w:rsid w:val="002B1220"/>
    <w:rsid w:val="002C0E98"/>
    <w:rsid w:val="002C3F0D"/>
    <w:rsid w:val="002D12C6"/>
    <w:rsid w:val="002D26D8"/>
    <w:rsid w:val="002E53F4"/>
    <w:rsid w:val="002F06FD"/>
    <w:rsid w:val="002F1B94"/>
    <w:rsid w:val="002F7DFE"/>
    <w:rsid w:val="003068FD"/>
    <w:rsid w:val="00327C32"/>
    <w:rsid w:val="00331385"/>
    <w:rsid w:val="003707A1"/>
    <w:rsid w:val="0037252E"/>
    <w:rsid w:val="0037643B"/>
    <w:rsid w:val="003D6263"/>
    <w:rsid w:val="003F28CD"/>
    <w:rsid w:val="003F5C4C"/>
    <w:rsid w:val="00423261"/>
    <w:rsid w:val="00430C5E"/>
    <w:rsid w:val="004334CB"/>
    <w:rsid w:val="00436AD8"/>
    <w:rsid w:val="0045149A"/>
    <w:rsid w:val="004661AE"/>
    <w:rsid w:val="00467FB7"/>
    <w:rsid w:val="00486A86"/>
    <w:rsid w:val="00491D3A"/>
    <w:rsid w:val="004C079A"/>
    <w:rsid w:val="004F4C9C"/>
    <w:rsid w:val="00502DB9"/>
    <w:rsid w:val="00524DD0"/>
    <w:rsid w:val="00527865"/>
    <w:rsid w:val="00530220"/>
    <w:rsid w:val="00532BCB"/>
    <w:rsid w:val="00550628"/>
    <w:rsid w:val="0056515D"/>
    <w:rsid w:val="005C1770"/>
    <w:rsid w:val="006019C7"/>
    <w:rsid w:val="00614170"/>
    <w:rsid w:val="00655E55"/>
    <w:rsid w:val="0067299E"/>
    <w:rsid w:val="006B703B"/>
    <w:rsid w:val="006D07A0"/>
    <w:rsid w:val="006E0AAD"/>
    <w:rsid w:val="006E55D0"/>
    <w:rsid w:val="006F3170"/>
    <w:rsid w:val="00712B87"/>
    <w:rsid w:val="007E3E6B"/>
    <w:rsid w:val="0081660B"/>
    <w:rsid w:val="0082300B"/>
    <w:rsid w:val="00827968"/>
    <w:rsid w:val="00835611"/>
    <w:rsid w:val="0088282B"/>
    <w:rsid w:val="008875E1"/>
    <w:rsid w:val="00895827"/>
    <w:rsid w:val="008C44FA"/>
    <w:rsid w:val="008D45F5"/>
    <w:rsid w:val="00907755"/>
    <w:rsid w:val="009140A2"/>
    <w:rsid w:val="00931C9A"/>
    <w:rsid w:val="00937A30"/>
    <w:rsid w:val="009559D3"/>
    <w:rsid w:val="00966D90"/>
    <w:rsid w:val="00980003"/>
    <w:rsid w:val="00995C87"/>
    <w:rsid w:val="009C4621"/>
    <w:rsid w:val="009E313B"/>
    <w:rsid w:val="009E4083"/>
    <w:rsid w:val="00A05631"/>
    <w:rsid w:val="00A12727"/>
    <w:rsid w:val="00A36289"/>
    <w:rsid w:val="00A40135"/>
    <w:rsid w:val="00A612F1"/>
    <w:rsid w:val="00A64917"/>
    <w:rsid w:val="00A82224"/>
    <w:rsid w:val="00AD1B39"/>
    <w:rsid w:val="00AD7010"/>
    <w:rsid w:val="00AF1E78"/>
    <w:rsid w:val="00B11684"/>
    <w:rsid w:val="00B227BD"/>
    <w:rsid w:val="00B2474A"/>
    <w:rsid w:val="00B27760"/>
    <w:rsid w:val="00B30498"/>
    <w:rsid w:val="00B328F8"/>
    <w:rsid w:val="00B50FB0"/>
    <w:rsid w:val="00B554E5"/>
    <w:rsid w:val="00B70D86"/>
    <w:rsid w:val="00BA071A"/>
    <w:rsid w:val="00BE176B"/>
    <w:rsid w:val="00C2125A"/>
    <w:rsid w:val="00C317C8"/>
    <w:rsid w:val="00C36628"/>
    <w:rsid w:val="00C40E84"/>
    <w:rsid w:val="00C86A62"/>
    <w:rsid w:val="00C945CF"/>
    <w:rsid w:val="00D03463"/>
    <w:rsid w:val="00D279B0"/>
    <w:rsid w:val="00D564CE"/>
    <w:rsid w:val="00DA17B5"/>
    <w:rsid w:val="00DE6FFC"/>
    <w:rsid w:val="00E1748C"/>
    <w:rsid w:val="00E31964"/>
    <w:rsid w:val="00E662D0"/>
    <w:rsid w:val="00E71A1B"/>
    <w:rsid w:val="00EA67AF"/>
    <w:rsid w:val="00EB0CB8"/>
    <w:rsid w:val="00EE6B9F"/>
    <w:rsid w:val="00EF132B"/>
    <w:rsid w:val="00F079C3"/>
    <w:rsid w:val="00F10A20"/>
    <w:rsid w:val="00F35181"/>
    <w:rsid w:val="00F5138E"/>
    <w:rsid w:val="00F57739"/>
    <w:rsid w:val="00F577E7"/>
    <w:rsid w:val="00F71A8F"/>
    <w:rsid w:val="00F81C84"/>
    <w:rsid w:val="00FB4B06"/>
    <w:rsid w:val="00FB7A28"/>
    <w:rsid w:val="00FD3BDF"/>
    <w:rsid w:val="00FE5333"/>
    <w:rsid w:val="00FE56C0"/>
    <w:rsid w:val="016847C7"/>
    <w:rsid w:val="025700AB"/>
    <w:rsid w:val="029F79AB"/>
    <w:rsid w:val="02D05560"/>
    <w:rsid w:val="040A4AA1"/>
    <w:rsid w:val="040C5D70"/>
    <w:rsid w:val="04553F6E"/>
    <w:rsid w:val="0499119F"/>
    <w:rsid w:val="05145BD8"/>
    <w:rsid w:val="051E1636"/>
    <w:rsid w:val="0576334D"/>
    <w:rsid w:val="05D222FB"/>
    <w:rsid w:val="06691F53"/>
    <w:rsid w:val="069664D2"/>
    <w:rsid w:val="07413116"/>
    <w:rsid w:val="075005D6"/>
    <w:rsid w:val="0847182C"/>
    <w:rsid w:val="08502FB3"/>
    <w:rsid w:val="08597DA5"/>
    <w:rsid w:val="085A33DA"/>
    <w:rsid w:val="0AD35BED"/>
    <w:rsid w:val="0AE55920"/>
    <w:rsid w:val="0CDB604C"/>
    <w:rsid w:val="0D2B1261"/>
    <w:rsid w:val="0D625FC7"/>
    <w:rsid w:val="0DA923D2"/>
    <w:rsid w:val="0DC12235"/>
    <w:rsid w:val="0EC46F34"/>
    <w:rsid w:val="0FB13B7F"/>
    <w:rsid w:val="0FCC49AB"/>
    <w:rsid w:val="0FD67F02"/>
    <w:rsid w:val="1041184B"/>
    <w:rsid w:val="10775F1C"/>
    <w:rsid w:val="10B93F78"/>
    <w:rsid w:val="11902903"/>
    <w:rsid w:val="11903981"/>
    <w:rsid w:val="120174E4"/>
    <w:rsid w:val="120927D5"/>
    <w:rsid w:val="12BC333B"/>
    <w:rsid w:val="132C0C97"/>
    <w:rsid w:val="13401BE5"/>
    <w:rsid w:val="13F57498"/>
    <w:rsid w:val="145A6BFB"/>
    <w:rsid w:val="149511FD"/>
    <w:rsid w:val="14FE17E6"/>
    <w:rsid w:val="15FD6214"/>
    <w:rsid w:val="16172086"/>
    <w:rsid w:val="162E0AC3"/>
    <w:rsid w:val="16315EBE"/>
    <w:rsid w:val="165247B2"/>
    <w:rsid w:val="16EA694F"/>
    <w:rsid w:val="16FD7CD0"/>
    <w:rsid w:val="178D5973"/>
    <w:rsid w:val="198B335E"/>
    <w:rsid w:val="19E64E0D"/>
    <w:rsid w:val="1A551A55"/>
    <w:rsid w:val="1A9F3D3E"/>
    <w:rsid w:val="1AC36180"/>
    <w:rsid w:val="1B821EC4"/>
    <w:rsid w:val="1B8D1DE8"/>
    <w:rsid w:val="1BD5479B"/>
    <w:rsid w:val="1CBE6028"/>
    <w:rsid w:val="1D26733A"/>
    <w:rsid w:val="1D3323A5"/>
    <w:rsid w:val="1D782D35"/>
    <w:rsid w:val="1DCC309C"/>
    <w:rsid w:val="1DE81499"/>
    <w:rsid w:val="1E160E6C"/>
    <w:rsid w:val="1E507BF4"/>
    <w:rsid w:val="1EBC388D"/>
    <w:rsid w:val="1FD5078E"/>
    <w:rsid w:val="201F539F"/>
    <w:rsid w:val="20257773"/>
    <w:rsid w:val="21AF0D0A"/>
    <w:rsid w:val="22265DF7"/>
    <w:rsid w:val="22871EDC"/>
    <w:rsid w:val="23700025"/>
    <w:rsid w:val="23E26A49"/>
    <w:rsid w:val="24A53523"/>
    <w:rsid w:val="24B41C3D"/>
    <w:rsid w:val="24EF5B96"/>
    <w:rsid w:val="25C2158B"/>
    <w:rsid w:val="26F1465A"/>
    <w:rsid w:val="27464441"/>
    <w:rsid w:val="289036EC"/>
    <w:rsid w:val="29BD0EBB"/>
    <w:rsid w:val="29DF63ED"/>
    <w:rsid w:val="2A376142"/>
    <w:rsid w:val="2AB92391"/>
    <w:rsid w:val="2AC450FA"/>
    <w:rsid w:val="2B4E0A02"/>
    <w:rsid w:val="2B8F3B73"/>
    <w:rsid w:val="2CE65A84"/>
    <w:rsid w:val="2D216CC1"/>
    <w:rsid w:val="2D323F62"/>
    <w:rsid w:val="2DA01E4F"/>
    <w:rsid w:val="2DEB450C"/>
    <w:rsid w:val="2E5D782F"/>
    <w:rsid w:val="2F2F5238"/>
    <w:rsid w:val="2F6B528D"/>
    <w:rsid w:val="30A9606D"/>
    <w:rsid w:val="30CA7CD1"/>
    <w:rsid w:val="3205668B"/>
    <w:rsid w:val="32077C9E"/>
    <w:rsid w:val="32D228B5"/>
    <w:rsid w:val="32D42FAF"/>
    <w:rsid w:val="33B6225B"/>
    <w:rsid w:val="33CD49F6"/>
    <w:rsid w:val="33E13BC3"/>
    <w:rsid w:val="340D1D8B"/>
    <w:rsid w:val="344D3EC2"/>
    <w:rsid w:val="353E183E"/>
    <w:rsid w:val="354F4C1A"/>
    <w:rsid w:val="360A35C3"/>
    <w:rsid w:val="360D7E33"/>
    <w:rsid w:val="371212ED"/>
    <w:rsid w:val="37BD35C0"/>
    <w:rsid w:val="382E40E7"/>
    <w:rsid w:val="38613F89"/>
    <w:rsid w:val="3A021110"/>
    <w:rsid w:val="3BBF7944"/>
    <w:rsid w:val="3BDA652C"/>
    <w:rsid w:val="3CDB4F61"/>
    <w:rsid w:val="3D825737"/>
    <w:rsid w:val="3DA768E2"/>
    <w:rsid w:val="3E4F57D8"/>
    <w:rsid w:val="3EAA1DBA"/>
    <w:rsid w:val="3EB15E20"/>
    <w:rsid w:val="3EF42BB2"/>
    <w:rsid w:val="3F640C8F"/>
    <w:rsid w:val="3F7622E0"/>
    <w:rsid w:val="3FFA2087"/>
    <w:rsid w:val="40764683"/>
    <w:rsid w:val="40981692"/>
    <w:rsid w:val="41727207"/>
    <w:rsid w:val="41751E40"/>
    <w:rsid w:val="423C1D5C"/>
    <w:rsid w:val="435F58C4"/>
    <w:rsid w:val="43726BD3"/>
    <w:rsid w:val="43A049F8"/>
    <w:rsid w:val="44D65C5A"/>
    <w:rsid w:val="45145E8F"/>
    <w:rsid w:val="453625DB"/>
    <w:rsid w:val="469B7C33"/>
    <w:rsid w:val="472838C4"/>
    <w:rsid w:val="47A26FBD"/>
    <w:rsid w:val="47DB48A6"/>
    <w:rsid w:val="481405B2"/>
    <w:rsid w:val="481D74A1"/>
    <w:rsid w:val="48AB3AD1"/>
    <w:rsid w:val="496D57F0"/>
    <w:rsid w:val="4A080432"/>
    <w:rsid w:val="4A5C4A5F"/>
    <w:rsid w:val="4B533C05"/>
    <w:rsid w:val="4BBA318F"/>
    <w:rsid w:val="4CCA6149"/>
    <w:rsid w:val="4DD02088"/>
    <w:rsid w:val="4DE666B8"/>
    <w:rsid w:val="4E041777"/>
    <w:rsid w:val="4E0F34A2"/>
    <w:rsid w:val="4E6D0B50"/>
    <w:rsid w:val="4F14284A"/>
    <w:rsid w:val="4F356F7B"/>
    <w:rsid w:val="4FD155C5"/>
    <w:rsid w:val="5022177E"/>
    <w:rsid w:val="50355E48"/>
    <w:rsid w:val="506972BF"/>
    <w:rsid w:val="50827466"/>
    <w:rsid w:val="50BE21A1"/>
    <w:rsid w:val="51C95C1C"/>
    <w:rsid w:val="52DB2E5E"/>
    <w:rsid w:val="52FC2DD4"/>
    <w:rsid w:val="535A1535"/>
    <w:rsid w:val="53DA3115"/>
    <w:rsid w:val="54422A68"/>
    <w:rsid w:val="546E5ABB"/>
    <w:rsid w:val="54883D71"/>
    <w:rsid w:val="54985270"/>
    <w:rsid w:val="550343E2"/>
    <w:rsid w:val="556526B3"/>
    <w:rsid w:val="56AB2B47"/>
    <w:rsid w:val="56FC36A7"/>
    <w:rsid w:val="57730451"/>
    <w:rsid w:val="58392368"/>
    <w:rsid w:val="584E5E80"/>
    <w:rsid w:val="58C919AA"/>
    <w:rsid w:val="5915659E"/>
    <w:rsid w:val="597262A2"/>
    <w:rsid w:val="5A15525E"/>
    <w:rsid w:val="5B990281"/>
    <w:rsid w:val="5BCA1CC1"/>
    <w:rsid w:val="5BD37C26"/>
    <w:rsid w:val="5BDC37A3"/>
    <w:rsid w:val="5C14118E"/>
    <w:rsid w:val="5C5E7520"/>
    <w:rsid w:val="5C6E2393"/>
    <w:rsid w:val="5D1250B4"/>
    <w:rsid w:val="5D3C274B"/>
    <w:rsid w:val="5E171BFD"/>
    <w:rsid w:val="5E2D17DC"/>
    <w:rsid w:val="5EA51D88"/>
    <w:rsid w:val="5EA559DF"/>
    <w:rsid w:val="5ED236CD"/>
    <w:rsid w:val="5F155949"/>
    <w:rsid w:val="5F2716E1"/>
    <w:rsid w:val="5F6B2AAB"/>
    <w:rsid w:val="5FC60B9D"/>
    <w:rsid w:val="600E3221"/>
    <w:rsid w:val="601601DD"/>
    <w:rsid w:val="60B33BA5"/>
    <w:rsid w:val="60FA1524"/>
    <w:rsid w:val="62143C96"/>
    <w:rsid w:val="626D45BC"/>
    <w:rsid w:val="62C9476E"/>
    <w:rsid w:val="62F84977"/>
    <w:rsid w:val="63185921"/>
    <w:rsid w:val="636D0EB5"/>
    <w:rsid w:val="63B03E93"/>
    <w:rsid w:val="6408410E"/>
    <w:rsid w:val="653D3C78"/>
    <w:rsid w:val="653E5B76"/>
    <w:rsid w:val="65AE5F09"/>
    <w:rsid w:val="662B0AE9"/>
    <w:rsid w:val="664803B2"/>
    <w:rsid w:val="66885F57"/>
    <w:rsid w:val="67096A9E"/>
    <w:rsid w:val="67707933"/>
    <w:rsid w:val="68763164"/>
    <w:rsid w:val="68F46006"/>
    <w:rsid w:val="6948387E"/>
    <w:rsid w:val="6A3E7644"/>
    <w:rsid w:val="6A4230D8"/>
    <w:rsid w:val="6A8E6D2D"/>
    <w:rsid w:val="6AD01BCD"/>
    <w:rsid w:val="6AF9611F"/>
    <w:rsid w:val="6B1808BC"/>
    <w:rsid w:val="6BFE1869"/>
    <w:rsid w:val="6D8B7A3F"/>
    <w:rsid w:val="6DF6759C"/>
    <w:rsid w:val="6E304C2D"/>
    <w:rsid w:val="6E3B50E8"/>
    <w:rsid w:val="6E5B49FB"/>
    <w:rsid w:val="6EFA4A14"/>
    <w:rsid w:val="6F1D02E3"/>
    <w:rsid w:val="6FA90584"/>
    <w:rsid w:val="6FAF35F9"/>
    <w:rsid w:val="6FB20859"/>
    <w:rsid w:val="71C374AA"/>
    <w:rsid w:val="71C60AA8"/>
    <w:rsid w:val="720B37DC"/>
    <w:rsid w:val="72E565C0"/>
    <w:rsid w:val="73AA64E9"/>
    <w:rsid w:val="73B11254"/>
    <w:rsid w:val="74102486"/>
    <w:rsid w:val="74E73DB3"/>
    <w:rsid w:val="75110E63"/>
    <w:rsid w:val="75587EE6"/>
    <w:rsid w:val="75840CDB"/>
    <w:rsid w:val="758B30E4"/>
    <w:rsid w:val="7592088C"/>
    <w:rsid w:val="759929D8"/>
    <w:rsid w:val="77A0151B"/>
    <w:rsid w:val="77A44353"/>
    <w:rsid w:val="7871747F"/>
    <w:rsid w:val="789254BD"/>
    <w:rsid w:val="7AB932A6"/>
    <w:rsid w:val="7AFE32DE"/>
    <w:rsid w:val="7B173643"/>
    <w:rsid w:val="7B486275"/>
    <w:rsid w:val="7B4B7AC6"/>
    <w:rsid w:val="7B661D24"/>
    <w:rsid w:val="7BA00179"/>
    <w:rsid w:val="7C75312C"/>
    <w:rsid w:val="7D3B3390"/>
    <w:rsid w:val="7D472D1A"/>
    <w:rsid w:val="7DE87467"/>
    <w:rsid w:val="7EAA7A04"/>
    <w:rsid w:val="7EAE43AA"/>
    <w:rsid w:val="7EDF33A3"/>
    <w:rsid w:val="7EFE003C"/>
    <w:rsid w:val="7F983D01"/>
    <w:rsid w:val="7FA04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semiHidden/>
    <w:unhideWhenUsed/>
    <w:qFormat/>
    <w:uiPriority w:val="0"/>
    <w:pPr>
      <w:keepNext/>
      <w:keepLines/>
      <w:spacing w:before="260" w:after="260" w:line="412" w:lineRule="auto"/>
      <w:outlineLvl w:val="1"/>
    </w:pPr>
    <w:rPr>
      <w:rFonts w:ascii="Arial" w:hAnsi="Arial" w:eastAsia="黑体" w:cs="Times New Roman"/>
      <w:b/>
      <w:bCs/>
      <w:sz w:val="32"/>
      <w:szCs w:val="32"/>
    </w:rPr>
  </w:style>
  <w:style w:type="paragraph" w:styleId="4">
    <w:name w:val="heading 3"/>
    <w:basedOn w:val="1"/>
    <w:next w:val="5"/>
    <w:semiHidden/>
    <w:unhideWhenUsed/>
    <w:qFormat/>
    <w:uiPriority w:val="0"/>
    <w:pPr>
      <w:keepNext/>
      <w:keepLines/>
      <w:spacing w:before="260" w:after="260" w:line="412" w:lineRule="auto"/>
      <w:outlineLvl w:val="2"/>
    </w:pPr>
    <w:rPr>
      <w:rFonts w:ascii="Times New Roman" w:hAnsi="Times New Roman" w:eastAsia="宋体" w:cs="Times New Roman"/>
      <w:b/>
      <w:bCs/>
      <w:sz w:val="32"/>
      <w:szCs w:val="32"/>
    </w:rPr>
  </w:style>
  <w:style w:type="paragraph" w:styleId="6">
    <w:name w:val="heading 4"/>
    <w:basedOn w:val="1"/>
    <w:next w:val="1"/>
    <w:semiHidden/>
    <w:unhideWhenUsed/>
    <w:qFormat/>
    <w:uiPriority w:val="0"/>
    <w:pPr>
      <w:keepNext/>
      <w:keepLines/>
      <w:spacing w:before="280" w:after="290" w:line="372" w:lineRule="auto"/>
      <w:outlineLvl w:val="3"/>
    </w:pPr>
    <w:rPr>
      <w:rFonts w:ascii="Arial" w:hAnsi="Arial" w:eastAsia="黑体" w:cs="Times New Roman"/>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200" w:firstLineChars="200"/>
    </w:pPr>
    <w:rPr>
      <w:rFonts w:ascii="Times New Roman" w:hAnsi="Times New Roman" w:eastAsia="宋体" w:cs="Times New Roman"/>
    </w:rPr>
  </w:style>
  <w:style w:type="paragraph" w:styleId="7">
    <w:name w:val="annotation text"/>
    <w:basedOn w:val="1"/>
    <w:link w:val="47"/>
    <w:qFormat/>
    <w:uiPriority w:val="0"/>
    <w:pPr>
      <w:jc w:val="left"/>
    </w:pPr>
    <w:rPr>
      <w:rFonts w:ascii="Times New Roman" w:hAnsi="Times New Roman" w:eastAsia="宋体" w:cs="Times New Roman"/>
      <w:sz w:val="24"/>
    </w:rPr>
  </w:style>
  <w:style w:type="paragraph" w:styleId="8">
    <w:name w:val="Body Text 3"/>
    <w:basedOn w:val="1"/>
    <w:qFormat/>
    <w:uiPriority w:val="0"/>
    <w:rPr>
      <w:rFonts w:hint="eastAsia" w:ascii="宋体" w:hAnsi="宋体" w:eastAsia="宋体" w:cs="Times New Roman"/>
      <w:sz w:val="24"/>
      <w:szCs w:val="20"/>
    </w:rPr>
  </w:style>
  <w:style w:type="paragraph" w:styleId="9">
    <w:name w:val="Body Text"/>
    <w:basedOn w:val="1"/>
    <w:link w:val="61"/>
    <w:qFormat/>
    <w:uiPriority w:val="0"/>
    <w:pPr>
      <w:spacing w:after="120"/>
    </w:pPr>
    <w:rPr>
      <w:rFonts w:ascii="Times New Roman" w:hAnsi="Times New Roman" w:eastAsia="宋体" w:cs="Times New Roman"/>
    </w:rPr>
  </w:style>
  <w:style w:type="paragraph" w:styleId="10">
    <w:name w:val="Body Text Indent"/>
    <w:basedOn w:val="1"/>
    <w:next w:val="11"/>
    <w:qFormat/>
    <w:uiPriority w:val="99"/>
    <w:pPr>
      <w:ind w:left="567" w:leftChars="270"/>
    </w:pPr>
  </w:style>
  <w:style w:type="paragraph" w:styleId="11">
    <w:name w:val="envelope return"/>
    <w:basedOn w:val="1"/>
    <w:qFormat/>
    <w:uiPriority w:val="0"/>
    <w:pPr>
      <w:snapToGrid w:val="0"/>
    </w:pPr>
    <w:rPr>
      <w:rFonts w:ascii="Arial" w:hAnsi="Arial"/>
    </w:rPr>
  </w:style>
  <w:style w:type="paragraph" w:styleId="12">
    <w:name w:val="toc 5"/>
    <w:basedOn w:val="1"/>
    <w:next w:val="1"/>
    <w:qFormat/>
    <w:uiPriority w:val="0"/>
    <w:pPr>
      <w:spacing w:beforeAutospacing="1" w:afterAutospacing="1"/>
      <w:ind w:left="1680" w:leftChars="800"/>
    </w:pPr>
    <w:rPr>
      <w:rFonts w:ascii="Times New Roman" w:hAnsi="Times New Roman" w:eastAsia="宋体" w:cs="Times New Roman"/>
      <w:szCs w:val="21"/>
    </w:rPr>
  </w:style>
  <w:style w:type="paragraph" w:styleId="13">
    <w:name w:val="toc 3"/>
    <w:basedOn w:val="1"/>
    <w:next w:val="1"/>
    <w:autoRedefine/>
    <w:qFormat/>
    <w:uiPriority w:val="39"/>
    <w:pPr>
      <w:ind w:left="840" w:leftChars="400"/>
    </w:pPr>
  </w:style>
  <w:style w:type="paragraph" w:styleId="14">
    <w:name w:val="Plain Text"/>
    <w:basedOn w:val="1"/>
    <w:next w:val="1"/>
    <w:qFormat/>
    <w:uiPriority w:val="0"/>
    <w:rPr>
      <w:rFonts w:ascii="Courier New" w:hAnsi="Courier New" w:eastAsia="宋体" w:cs="Times New Roman"/>
      <w:szCs w:val="20"/>
    </w:rPr>
  </w:style>
  <w:style w:type="paragraph" w:styleId="15">
    <w:name w:val="toc 8"/>
    <w:basedOn w:val="1"/>
    <w:next w:val="1"/>
    <w:qFormat/>
    <w:uiPriority w:val="0"/>
    <w:pPr>
      <w:ind w:left="2940" w:leftChars="1400"/>
    </w:pPr>
  </w:style>
  <w:style w:type="paragraph" w:styleId="16">
    <w:name w:val="Date"/>
    <w:basedOn w:val="1"/>
    <w:next w:val="1"/>
    <w:qFormat/>
    <w:uiPriority w:val="0"/>
    <w:pPr>
      <w:spacing w:beforeAutospacing="1" w:afterAutospacing="1"/>
      <w:ind w:left="5250" w:leftChars="2500"/>
    </w:pPr>
    <w:rPr>
      <w:rFonts w:ascii="Times New Roman" w:hAnsi="Times New Roman" w:eastAsia="宋体" w:cs="Times New Roman"/>
      <w:b/>
      <w:sz w:val="36"/>
      <w:szCs w:val="36"/>
    </w:rPr>
  </w:style>
  <w:style w:type="paragraph" w:styleId="17">
    <w:name w:val="Body Text Indent 2"/>
    <w:basedOn w:val="1"/>
    <w:next w:val="15"/>
    <w:qFormat/>
    <w:uiPriority w:val="0"/>
    <w:pPr>
      <w:spacing w:beforeAutospacing="1" w:line="480" w:lineRule="auto"/>
      <w:ind w:left="420" w:leftChars="200"/>
    </w:pPr>
    <w:rPr>
      <w:rFonts w:ascii="Times New Roman" w:hAnsi="Times New Roman" w:eastAsia="黑体" w:cs="Times New Roman"/>
      <w:szCs w:val="21"/>
    </w:rPr>
  </w:style>
  <w:style w:type="paragraph" w:styleId="18">
    <w:name w:val="Balloon Text"/>
    <w:basedOn w:val="1"/>
    <w:link w:val="54"/>
    <w:qFormat/>
    <w:uiPriority w:val="0"/>
    <w:rPr>
      <w:sz w:val="18"/>
      <w:szCs w:val="18"/>
    </w:rPr>
  </w:style>
  <w:style w:type="paragraph" w:styleId="19">
    <w:name w:val="footer"/>
    <w:basedOn w:val="1"/>
    <w:link w:val="53"/>
    <w:qFormat/>
    <w:uiPriority w:val="99"/>
    <w:pPr>
      <w:tabs>
        <w:tab w:val="center" w:pos="4153"/>
        <w:tab w:val="right" w:pos="8306"/>
      </w:tabs>
      <w:snapToGrid w:val="0"/>
      <w:jc w:val="left"/>
    </w:pPr>
    <w:rPr>
      <w:sz w:val="18"/>
      <w:szCs w:val="18"/>
    </w:rPr>
  </w:style>
  <w:style w:type="paragraph" w:styleId="20">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tabs>
        <w:tab w:val="right" w:leader="dot" w:pos="8295"/>
      </w:tabs>
    </w:pPr>
  </w:style>
  <w:style w:type="paragraph" w:styleId="22">
    <w:name w:val="footnote text"/>
    <w:basedOn w:val="1"/>
    <w:qFormat/>
    <w:uiPriority w:val="0"/>
    <w:pPr>
      <w:snapToGrid w:val="0"/>
    </w:pPr>
    <w:rPr>
      <w:rFonts w:ascii="Times New Roman" w:hAnsi="Times New Roman" w:eastAsia="宋体" w:cs="Times New Roman"/>
      <w:sz w:val="18"/>
      <w:szCs w:val="18"/>
    </w:rPr>
  </w:style>
  <w:style w:type="paragraph" w:styleId="23">
    <w:name w:val="toc 2"/>
    <w:basedOn w:val="1"/>
    <w:next w:val="1"/>
    <w:autoRedefine/>
    <w:qFormat/>
    <w:uiPriority w:val="39"/>
    <w:pPr>
      <w:ind w:left="420" w:leftChars="200"/>
    </w:pPr>
  </w:style>
  <w:style w:type="paragraph" w:styleId="24">
    <w:name w:val="Normal (Web)"/>
    <w:basedOn w:val="1"/>
    <w:qFormat/>
    <w:uiPriority w:val="0"/>
    <w:pPr>
      <w:widowControl/>
      <w:spacing w:beforeAutospacing="1" w:afterAutospacing="1"/>
      <w:jc w:val="left"/>
    </w:pPr>
    <w:rPr>
      <w:rFonts w:ascii="??" w:hAnsi="??" w:eastAsia="宋体" w:cs="Times New Roman"/>
      <w:kern w:val="0"/>
      <w:sz w:val="24"/>
    </w:rPr>
  </w:style>
  <w:style w:type="paragraph" w:styleId="25">
    <w:name w:val="Title"/>
    <w:basedOn w:val="1"/>
    <w:link w:val="57"/>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2"/>
    </w:rPr>
  </w:style>
  <w:style w:type="paragraph" w:styleId="26">
    <w:name w:val="annotation subject"/>
    <w:basedOn w:val="7"/>
    <w:next w:val="7"/>
    <w:link w:val="49"/>
    <w:qFormat/>
    <w:uiPriority w:val="0"/>
    <w:rPr>
      <w:b/>
    </w:rPr>
  </w:style>
  <w:style w:type="paragraph" w:styleId="27">
    <w:name w:val="Body Text First Indent"/>
    <w:basedOn w:val="9"/>
    <w:next w:val="1"/>
    <w:link w:val="62"/>
    <w:unhideWhenUsed/>
    <w:qFormat/>
    <w:uiPriority w:val="99"/>
    <w:pPr>
      <w:ind w:firstLine="420" w:firstLineChars="100"/>
    </w:pPr>
    <w:rPr>
      <w:rFonts w:ascii="等线" w:hAnsi="等线" w:eastAsia="等线"/>
      <w:szCs w:val="22"/>
    </w:rPr>
  </w:style>
  <w:style w:type="paragraph" w:styleId="28">
    <w:name w:val="Body Text First Indent 2"/>
    <w:basedOn w:val="10"/>
    <w:qFormat/>
    <w:uiPriority w:val="0"/>
    <w:pPr>
      <w:spacing w:beforeAutospacing="1"/>
      <w:ind w:left="420" w:leftChars="200" w:firstLine="200" w:firstLineChars="200"/>
    </w:pPr>
    <w:rPr>
      <w:rFonts w:ascii="Times New Roman" w:hAnsi="Times New Roman" w:eastAsia="宋体" w:cs="Times New Roman"/>
      <w:szCs w:val="21"/>
    </w:rPr>
  </w:style>
  <w:style w:type="table" w:styleId="30">
    <w:name w:val="Table Grid"/>
    <w:basedOn w:val="2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2">
    <w:name w:val="Strong"/>
    <w:basedOn w:val="31"/>
    <w:qFormat/>
    <w:uiPriority w:val="0"/>
    <w:rPr>
      <w:b/>
    </w:rPr>
  </w:style>
  <w:style w:type="character" w:styleId="33">
    <w:name w:val="Emphasis"/>
    <w:basedOn w:val="31"/>
    <w:qFormat/>
    <w:uiPriority w:val="0"/>
    <w:rPr>
      <w:b/>
      <w:bCs/>
    </w:rPr>
  </w:style>
  <w:style w:type="character" w:styleId="34">
    <w:name w:val="HTML Definition"/>
    <w:basedOn w:val="31"/>
    <w:qFormat/>
    <w:uiPriority w:val="0"/>
  </w:style>
  <w:style w:type="character" w:styleId="35">
    <w:name w:val="Hyperlink"/>
    <w:basedOn w:val="31"/>
    <w:qFormat/>
    <w:uiPriority w:val="99"/>
    <w:rPr>
      <w:color w:val="0000FF"/>
      <w:u w:val="single"/>
    </w:rPr>
  </w:style>
  <w:style w:type="character" w:styleId="36">
    <w:name w:val="HTML Code"/>
    <w:basedOn w:val="31"/>
    <w:qFormat/>
    <w:uiPriority w:val="0"/>
    <w:rPr>
      <w:rFonts w:ascii="monospace" w:hAnsi="Courier New" w:eastAsia="monospace" w:cs="monospace"/>
      <w:sz w:val="20"/>
    </w:rPr>
  </w:style>
  <w:style w:type="character" w:styleId="37">
    <w:name w:val="annotation reference"/>
    <w:basedOn w:val="31"/>
    <w:qFormat/>
    <w:uiPriority w:val="0"/>
    <w:rPr>
      <w:rFonts w:cs="Times New Roman"/>
      <w:sz w:val="21"/>
      <w:szCs w:val="21"/>
    </w:rPr>
  </w:style>
  <w:style w:type="character" w:styleId="38">
    <w:name w:val="HTML Cite"/>
    <w:basedOn w:val="31"/>
    <w:qFormat/>
    <w:uiPriority w:val="0"/>
  </w:style>
  <w:style w:type="character" w:styleId="39">
    <w:name w:val="footnote reference"/>
    <w:basedOn w:val="31"/>
    <w:qFormat/>
    <w:uiPriority w:val="0"/>
    <w:rPr>
      <w:rFonts w:cs="Times New Roman"/>
      <w:vertAlign w:val="superscript"/>
    </w:rPr>
  </w:style>
  <w:style w:type="character" w:styleId="40">
    <w:name w:val="HTML Keyboard"/>
    <w:basedOn w:val="31"/>
    <w:qFormat/>
    <w:uiPriority w:val="0"/>
    <w:rPr>
      <w:rFonts w:ascii="monospace" w:hAnsi="Courier New" w:eastAsia="monospace" w:cs="monospace"/>
      <w:sz w:val="20"/>
    </w:rPr>
  </w:style>
  <w:style w:type="character" w:styleId="41">
    <w:name w:val="HTML Sample"/>
    <w:basedOn w:val="31"/>
    <w:qFormat/>
    <w:uiPriority w:val="0"/>
    <w:rPr>
      <w:rFonts w:ascii="monospace" w:hAnsi="Courier New" w:eastAsia="monospace" w:cs="monospace"/>
      <w:color w:val="3D4B64"/>
      <w:sz w:val="19"/>
      <w:szCs w:val="19"/>
    </w:rPr>
  </w:style>
  <w:style w:type="paragraph" w:customStyle="1" w:styleId="42">
    <w:name w:val="Default"/>
    <w:basedOn w:val="1"/>
    <w:next w:val="16"/>
    <w:qFormat/>
    <w:uiPriority w:val="0"/>
    <w:pPr>
      <w:autoSpaceDE w:val="0"/>
      <w:autoSpaceDN w:val="0"/>
      <w:adjustRightInd w:val="0"/>
      <w:jc w:val="left"/>
    </w:pPr>
    <w:rPr>
      <w:rFonts w:hint="eastAsia" w:ascii="宋体" w:hAnsi="宋体" w:eastAsia="宋体" w:cs="Times New Roman"/>
      <w:kern w:val="0"/>
      <w:sz w:val="24"/>
    </w:rPr>
  </w:style>
  <w:style w:type="paragraph" w:customStyle="1" w:styleId="43">
    <w:name w:val="表格文字"/>
    <w:basedOn w:val="1"/>
    <w:next w:val="9"/>
    <w:qFormat/>
    <w:uiPriority w:val="0"/>
    <w:pPr>
      <w:adjustRightInd w:val="0"/>
      <w:spacing w:line="420" w:lineRule="atLeast"/>
      <w:jc w:val="left"/>
      <w:textAlignment w:val="baseline"/>
    </w:pPr>
    <w:rPr>
      <w:kern w:val="0"/>
      <w:szCs w:val="20"/>
    </w:rPr>
  </w:style>
  <w:style w:type="character" w:customStyle="1" w:styleId="44">
    <w:name w:val="15"/>
    <w:basedOn w:val="31"/>
    <w:qFormat/>
    <w:uiPriority w:val="0"/>
    <w:rPr>
      <w:rFonts w:ascii="Times New Roman"/>
      <w:b/>
      <w:bCs/>
      <w:sz w:val="21"/>
      <w:szCs w:val="21"/>
    </w:rPr>
  </w:style>
  <w:style w:type="character" w:customStyle="1" w:styleId="45">
    <w:name w:val="正文文本 Char Char"/>
    <w:basedOn w:val="31"/>
    <w:qFormat/>
    <w:uiPriority w:val="0"/>
    <w:rPr>
      <w:rFonts w:eastAsia="宋体" w:cs="Times New Roman"/>
      <w:kern w:val="2"/>
      <w:sz w:val="24"/>
      <w:szCs w:val="24"/>
      <w:lang w:val="en-US" w:eastAsia="zh-CN"/>
    </w:rPr>
  </w:style>
  <w:style w:type="paragraph" w:customStyle="1" w:styleId="46">
    <w:name w:val="WPSOffice手动目录 1"/>
    <w:basedOn w:val="1"/>
    <w:qFormat/>
    <w:uiPriority w:val="0"/>
    <w:pPr>
      <w:widowControl/>
      <w:jc w:val="left"/>
    </w:pPr>
    <w:rPr>
      <w:rFonts w:ascii="Times New Roman" w:hAnsi="Times New Roman" w:eastAsia="宋体" w:cs="Times New Roman"/>
      <w:kern w:val="0"/>
      <w:sz w:val="24"/>
      <w:szCs w:val="21"/>
    </w:rPr>
  </w:style>
  <w:style w:type="character" w:customStyle="1" w:styleId="47">
    <w:name w:val="批注文字 Char"/>
    <w:basedOn w:val="31"/>
    <w:link w:val="7"/>
    <w:qFormat/>
    <w:uiPriority w:val="0"/>
    <w:rPr>
      <w:rFonts w:hint="default" w:ascii="Times New Roman" w:hAnsi="Times New Roman" w:eastAsia="宋体" w:cs="Times New Roman"/>
      <w:kern w:val="2"/>
      <w:sz w:val="24"/>
      <w:szCs w:val="24"/>
    </w:rPr>
  </w:style>
  <w:style w:type="paragraph" w:customStyle="1" w:styleId="48">
    <w:name w:val="CM14"/>
    <w:basedOn w:val="1"/>
    <w:qFormat/>
    <w:uiPriority w:val="0"/>
    <w:pPr>
      <w:autoSpaceDE w:val="0"/>
      <w:autoSpaceDN w:val="0"/>
      <w:adjustRightInd w:val="0"/>
      <w:spacing w:line="546" w:lineRule="atLeast"/>
      <w:jc w:val="left"/>
    </w:pPr>
    <w:rPr>
      <w:rFonts w:hint="eastAsia" w:ascii="黑体" w:hAnsi="宋体" w:eastAsia="黑体" w:cs="Times New Roman"/>
      <w:kern w:val="0"/>
      <w:sz w:val="20"/>
      <w:szCs w:val="20"/>
    </w:rPr>
  </w:style>
  <w:style w:type="character" w:customStyle="1" w:styleId="49">
    <w:name w:val="批注主题 Char"/>
    <w:basedOn w:val="47"/>
    <w:link w:val="26"/>
    <w:qFormat/>
    <w:uiPriority w:val="0"/>
    <w:rPr>
      <w:rFonts w:hint="default" w:ascii="Times New Roman" w:hAnsi="Times New Roman" w:eastAsia="宋体" w:cs="Times New Roman"/>
      <w:b/>
      <w:bCs/>
      <w:kern w:val="2"/>
      <w:sz w:val="24"/>
      <w:szCs w:val="24"/>
    </w:rPr>
  </w:style>
  <w:style w:type="paragraph" w:customStyle="1" w:styleId="50">
    <w:name w:val="CM11"/>
    <w:basedOn w:val="1"/>
    <w:qFormat/>
    <w:uiPriority w:val="0"/>
    <w:pPr>
      <w:autoSpaceDE w:val="0"/>
      <w:autoSpaceDN w:val="0"/>
      <w:adjustRightInd w:val="0"/>
      <w:spacing w:line="520" w:lineRule="atLeast"/>
      <w:jc w:val="left"/>
    </w:pPr>
    <w:rPr>
      <w:rFonts w:hint="eastAsia" w:ascii="黑体" w:hAnsi="宋体" w:eastAsia="黑体" w:cs="Times New Roman"/>
      <w:kern w:val="0"/>
      <w:sz w:val="20"/>
      <w:szCs w:val="20"/>
    </w:rPr>
  </w:style>
  <w:style w:type="paragraph" w:customStyle="1" w:styleId="51">
    <w:name w:val="CM13"/>
    <w:basedOn w:val="1"/>
    <w:qFormat/>
    <w:uiPriority w:val="0"/>
    <w:pPr>
      <w:autoSpaceDE w:val="0"/>
      <w:autoSpaceDN w:val="0"/>
      <w:adjustRightInd w:val="0"/>
      <w:spacing w:line="520" w:lineRule="atLeast"/>
      <w:jc w:val="left"/>
    </w:pPr>
    <w:rPr>
      <w:rFonts w:hint="eastAsia" w:ascii="黑体" w:hAnsi="宋体" w:eastAsia="黑体" w:cs="Times New Roman"/>
      <w:kern w:val="0"/>
      <w:sz w:val="20"/>
      <w:szCs w:val="20"/>
    </w:rPr>
  </w:style>
  <w:style w:type="character" w:customStyle="1" w:styleId="52">
    <w:name w:val="页眉 Char"/>
    <w:basedOn w:val="31"/>
    <w:link w:val="20"/>
    <w:qFormat/>
    <w:uiPriority w:val="0"/>
    <w:rPr>
      <w:rFonts w:asciiTheme="minorHAnsi" w:hAnsiTheme="minorHAnsi" w:eastAsiaTheme="minorEastAsia" w:cstheme="minorBidi"/>
      <w:kern w:val="2"/>
      <w:sz w:val="18"/>
      <w:szCs w:val="18"/>
    </w:rPr>
  </w:style>
  <w:style w:type="character" w:customStyle="1" w:styleId="53">
    <w:name w:val="页脚 Char"/>
    <w:basedOn w:val="31"/>
    <w:link w:val="19"/>
    <w:qFormat/>
    <w:uiPriority w:val="99"/>
    <w:rPr>
      <w:rFonts w:asciiTheme="minorHAnsi" w:hAnsiTheme="minorHAnsi" w:eastAsiaTheme="minorEastAsia" w:cstheme="minorBidi"/>
      <w:kern w:val="2"/>
      <w:sz w:val="18"/>
      <w:szCs w:val="18"/>
    </w:rPr>
  </w:style>
  <w:style w:type="character" w:customStyle="1" w:styleId="54">
    <w:name w:val="批注框文本 Char"/>
    <w:basedOn w:val="31"/>
    <w:link w:val="18"/>
    <w:qFormat/>
    <w:uiPriority w:val="0"/>
    <w:rPr>
      <w:rFonts w:asciiTheme="minorHAnsi" w:hAnsiTheme="minorHAnsi" w:eastAsiaTheme="minorEastAsia" w:cstheme="minorBidi"/>
      <w:kern w:val="2"/>
      <w:sz w:val="18"/>
      <w:szCs w:val="18"/>
    </w:rPr>
  </w:style>
  <w:style w:type="character" w:customStyle="1" w:styleId="55">
    <w:name w:val="ant-form-item-children"/>
    <w:basedOn w:val="31"/>
    <w:qFormat/>
    <w:uiPriority w:val="0"/>
  </w:style>
  <w:style w:type="character" w:customStyle="1" w:styleId="56">
    <w:name w:val="标题 Char"/>
    <w:basedOn w:val="31"/>
    <w:qFormat/>
    <w:uiPriority w:val="0"/>
    <w:rPr>
      <w:rFonts w:ascii="Arial" w:hAnsi="Arial"/>
      <w:b/>
      <w:sz w:val="32"/>
      <w:szCs w:val="22"/>
    </w:rPr>
  </w:style>
  <w:style w:type="character" w:customStyle="1" w:styleId="57">
    <w:name w:val="标题 Char1"/>
    <w:basedOn w:val="31"/>
    <w:link w:val="25"/>
    <w:qFormat/>
    <w:uiPriority w:val="0"/>
    <w:rPr>
      <w:rFonts w:asciiTheme="majorHAnsi" w:hAnsiTheme="majorHAnsi" w:cstheme="majorBidi"/>
      <w:b/>
      <w:bCs/>
      <w:kern w:val="2"/>
      <w:sz w:val="32"/>
      <w:szCs w:val="32"/>
    </w:rPr>
  </w:style>
  <w:style w:type="paragraph" w:customStyle="1" w:styleId="58">
    <w:name w:val="_Style 7"/>
    <w:basedOn w:val="1"/>
    <w:qFormat/>
    <w:uiPriority w:val="34"/>
    <w:pPr>
      <w:ind w:firstLine="420" w:firstLineChars="200"/>
    </w:pPr>
    <w:rPr>
      <w:rFonts w:ascii="Calibri" w:hAnsi="Calibri" w:eastAsia="宋体" w:cs="Times New Roman"/>
      <w:szCs w:val="22"/>
    </w:rPr>
  </w:style>
  <w:style w:type="paragraph" w:customStyle="1" w:styleId="59">
    <w:name w:val="列出段落1"/>
    <w:basedOn w:val="1"/>
    <w:qFormat/>
    <w:uiPriority w:val="0"/>
    <w:pPr>
      <w:ind w:firstLine="420" w:firstLineChars="200"/>
    </w:pPr>
    <w:rPr>
      <w:rFonts w:ascii="Calibri" w:hAnsi="Calibri" w:eastAsia="等线" w:cs="Times New Roman"/>
      <w:szCs w:val="22"/>
    </w:rPr>
  </w:style>
  <w:style w:type="paragraph" w:customStyle="1" w:styleId="60">
    <w:name w:val="Normal_0_1"/>
    <w:qFormat/>
    <w:uiPriority w:val="0"/>
    <w:rPr>
      <w:rFonts w:ascii="Times New Roman" w:hAnsi="Times New Roman" w:eastAsia="Times New Roman" w:cs="Times New Roman"/>
      <w:sz w:val="24"/>
      <w:szCs w:val="24"/>
      <w:lang w:val="en-US" w:eastAsia="zh-CN" w:bidi="ar-SA"/>
    </w:rPr>
  </w:style>
  <w:style w:type="character" w:customStyle="1" w:styleId="61">
    <w:name w:val="正文文本 Char"/>
    <w:basedOn w:val="31"/>
    <w:link w:val="9"/>
    <w:qFormat/>
    <w:uiPriority w:val="0"/>
    <w:rPr>
      <w:kern w:val="2"/>
      <w:sz w:val="21"/>
      <w:szCs w:val="24"/>
    </w:rPr>
  </w:style>
  <w:style w:type="character" w:customStyle="1" w:styleId="62">
    <w:name w:val="正文首行缩进 Char"/>
    <w:basedOn w:val="61"/>
    <w:link w:val="27"/>
    <w:qFormat/>
    <w:uiPriority w:val="0"/>
    <w:rPr>
      <w:kern w:val="2"/>
      <w:sz w:val="21"/>
      <w:szCs w:val="24"/>
    </w:rPr>
  </w:style>
  <w:style w:type="character" w:customStyle="1" w:styleId="63">
    <w:name w:val="NormalCharacter"/>
    <w:qFormat/>
    <w:uiPriority w:val="0"/>
    <w:rPr>
      <w:rFonts w:ascii="Times New Roman" w:hAnsi="Times New Roman"/>
      <w:kern w:val="2"/>
      <w:sz w:val="21"/>
      <w:lang w:val="en-US" w:eastAsia="zh-CN" w:bidi="ar-SA"/>
    </w:rPr>
  </w:style>
  <w:style w:type="paragraph" w:customStyle="1" w:styleId="64">
    <w:name w:val="样式 正文11 + 首行缩进:  2 字符"/>
    <w:basedOn w:val="1"/>
    <w:qFormat/>
    <w:uiPriority w:val="0"/>
    <w:pPr>
      <w:ind w:firstLine="560"/>
    </w:pPr>
    <w:rPr>
      <w:rFonts w:ascii="宋体" w:hAnsi="宋体" w:eastAsia="微软雅黑" w:cs="宋体"/>
      <w:color w:val="FF0000"/>
      <w:szCs w:val="20"/>
    </w:rPr>
  </w:style>
  <w:style w:type="paragraph" w:customStyle="1" w:styleId="6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HtmlNormal"/>
    <w:basedOn w:val="1"/>
    <w:qFormat/>
    <w:uiPriority w:val="0"/>
    <w:pPr>
      <w:widowControl/>
      <w:spacing w:before="100" w:beforeAutospacing="1" w:after="100" w:afterAutospacing="1"/>
      <w:jc w:val="left"/>
      <w:textAlignment w:val="baseline"/>
    </w:pPr>
    <w:rPr>
      <w:rFonts w:ascii="宋体" w:hAnsi="宋体"/>
      <w:kern w:val="0"/>
      <w:sz w:val="24"/>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宋体" w:hAnsi="宋体" w:eastAsia="宋体" w:cs="宋体"/>
      <w:sz w:val="18"/>
      <w:szCs w:val="18"/>
      <w:lang w:eastAsia="en-US"/>
    </w:rPr>
  </w:style>
  <w:style w:type="table" w:customStyle="1" w:styleId="6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ca99dc42-e975-4f69-abd4-6b4bd9c5b485</errorID>
      <errorWord>-</errorWord>
      <group>L1_Format</group>
      <groupName>格式问题</groupName>
      <ability>L2_HalfPunc</ability>
      <abilityName>全半角检查</abilityName>
      <candidateList>
        <item>－</item>
      </candidateList>
      <explain>文本全半角错误。</explain>
      <paraID>7ABAF8FF</paraID>
      <start>11</start>
      <end>12</end>
      <status>ignored</status>
      <modifiedWord/>
      <trackRevisions>false</trackRevisions>
    </reviewItem>
    <reviewItem>
      <errorID>37dde800-f91b-485e-9cc8-4b0ac28f68ed</errorID>
      <errorWord>[2025]</errorWord>
      <group>L1_Punc</group>
      <groupName>标点问题</groupName>
      <ability>L2_Punc</ability>
      <abilityName>标点符号检查</abilityName>
      <candidateList>
        <item>〔2025〕</item>
      </candidateList>
      <explain/>
      <paraID>7ABAF8FF</paraID>
      <start>12</start>
      <end>18</end>
      <status>ignored</status>
      <modifiedWord/>
      <trackRevisions>false</trackRevisions>
    </reviewItem>
    <reviewItem>
      <errorID>a2b7e551-4ed1-4a86-9730-cb40a4488dfc</errorID>
      <errorWord>-</errorWord>
      <group>L1_AI</group>
      <groupName>深度校对</groupName>
      <ability>L2_AI_Punc</ability>
      <abilityName>标点纠错</abilityName>
      <candidateList>
        <item/>
      </candidateList>
      <explain/>
      <paraID>7ABAF8FF</paraID>
      <start>36</start>
      <end>37</end>
      <status>ignored</status>
      <modifiedWord/>
      <trackRevisions>false</trackRevisions>
    </reviewItem>
    <reviewItem>
      <errorID>25319358-3bb7-42b1-afd2-aff9584c637a</errorID>
      <errorWord>-</errorWord>
      <group>L1_Format</group>
      <groupName>格式问题</groupName>
      <ability>L2_HalfPunc</ability>
      <abilityName>全半角检查</abilityName>
      <candidateList>
        <item>－</item>
      </candidateList>
      <explain>文本全半角错误。</explain>
      <paraID>182B33D6</paraID>
      <start>13</start>
      <end>14</end>
      <status>unmodified</status>
      <modifiedWord/>
      <trackRevisions>false</trackRevisions>
    </reviewItem>
    <reviewItem>
      <errorID>4a0eed74-8f10-4271-bcfb-dd7e7288af19</errorID>
      <errorWord>[2025]</errorWord>
      <group>L1_Punc</group>
      <groupName>标点问题</groupName>
      <ability>L2_Punc</ability>
      <abilityName>标点符号检查</abilityName>
      <candidateList>
        <item>〔2025〕</item>
      </candidateList>
      <explain/>
      <paraID>182B33D6</paraID>
      <start>14</start>
      <end>20</end>
      <status>unmodified</status>
      <modifiedWord/>
      <trackRevisions>false</trackRevisions>
    </reviewItem>
    <reviewItem>
      <errorID>6426f6ba-a50a-474b-833d-472adadf8cee</errorID>
      <errorWord>-</errorWord>
      <group>L1_AI</group>
      <groupName>深度校对</groupName>
      <ability>L2_AI_Punc</ability>
      <abilityName>标点纠错</abilityName>
      <candidateList>
        <item/>
      </candidateList>
      <explain/>
      <paraID>182B33D6</paraID>
      <start>38</start>
      <end>39</end>
      <status>unmodified</status>
      <modifiedWord/>
      <trackRevisions>false</trackRevisions>
    </reviewItem>
    <reviewItem>
      <errorID>87a17d1d-c010-423e-bc12-1bf35a992539</errorID>
      <errorWord>玻璃幕的</errorWord>
      <group>L1_Knowledge</group>
      <groupName>知识性问题</groupName>
      <ability>L2_Term</ability>
      <abilityName>专业术语</abilityName>
      <candidateList>
        <item>玻璃幕墙</item>
      </candidateList>
      <explain/>
      <paraID>556FEF08</paraID>
      <start>68</start>
      <end>72</end>
      <status>unmodified</status>
      <modifiedWord/>
      <trackRevisions>false</trackRevisions>
    </reviewItem>
    <reviewItem>
      <errorID>7a33f27e-cada-485e-b4c8-d9bd69d7cd81</errorID>
      <errorWord>[2020]46号</errorWord>
      <group>L1_Knowledge</group>
      <groupName>知识性问题</groupName>
      <ability>L2_Knowledge</ability>
      <abilityName>其他知识</abilityName>
      <candidateList>
        <item>〔2020〕46号</item>
      </candidateList>
      <explain>发文字号格式错误。</explain>
      <paraID>5B239CC5</paraID>
      <start>24</start>
      <end>33</end>
      <status>unmodified</status>
      <modifiedWord/>
      <trackRevisions>false</trackRevisions>
    </reviewItem>
    <reviewItem>
      <errorID>ee9912c9-a77b-4717-9ba6-aacb9fc7d0e9</errorID>
      <errorWord>[2014]68号</errorWord>
      <group>L1_Knowledge</group>
      <groupName>知识性问题</groupName>
      <ability>L2_Knowledge</ability>
      <abilityName>其他知识</abilityName>
      <candidateList>
        <item>〔2014〕68号</item>
      </candidateList>
      <explain>发文字号格式错误。</explain>
      <paraID>46138404</paraID>
      <start>29</start>
      <end>38</end>
      <status>unmodified</status>
      <modifiedWord/>
      <trackRevisions>false</trackRevisions>
    </reviewItem>
    <reviewItem>
      <errorID>b8e307a0-7ecb-43e8-a177-802aa240a55b</errorID>
      <errorWord>[2017]141号</errorWord>
      <group>L1_Knowledge</group>
      <groupName>知识性问题</groupName>
      <ability>L2_Knowledge</ability>
      <abilityName>其他知识</abilityName>
      <candidateList>
        <item>〔2017〕141号</item>
      </candidateList>
      <explain>发文字号格式错误。</explain>
      <paraID>2DD2DA69</paraID>
      <start>26</start>
      <end>36</end>
      <status>unmodified</status>
      <modifiedWord/>
      <trackRevisions>false</trackRevisions>
    </reviewItem>
    <reviewItem>
      <errorID>c3475e9f-9103-4a4c-8f08-0f1f5648c7d1</errorID>
      <errorWord>[2019]9号</errorWord>
      <group>L1_Knowledge</group>
      <groupName>知识性问题</groupName>
      <ability>L2_Knowledge</ability>
      <abilityName>其他知识</abilityName>
      <candidateList>
        <item>〔2019〕9号</item>
      </candidateList>
      <explain>发文字号格式错误。</explain>
      <paraID>6A0E0E62</paraID>
      <start>36</start>
      <end>44</end>
      <status>unmodified</status>
      <modifiedWord/>
      <trackRevisions>false</trackRevisions>
    </reviewItem>
    <reviewItem>
      <errorID>83881ffa-5d30-4a6d-8c83-86a13d114ee8</errorID>
      <errorWord>3.本项目的特定资格要求：</errorWord>
      <group>L1_AI</group>
      <groupName>深度校对</groupName>
      <ability>L2_AI_Title</ability>
      <abilityName>标题检查</abilityName>
      <candidateList/>
      <explain>相邻标题序号不连续。在二级标题‘二、申请人的资格要求：’下，‘3.本项目的特定资格要求：’前的序号应连续为‘3.’，但该标题下的序号又重新从‘1.’开始，导致相邻标题序号不连续，后续‘2.拟派出的项目经理须具备……’‘3.近三年（2022年至今）财务状况……’等标题也存在同样的序号不连续问题。</explain>
      <paraID> C0A2EDB</paraID>
      <start>0</start>
      <end>13</end>
      <status>ignored</status>
      <modifiedWord/>
      <trackRevisions>false</trackRevisions>
    </reviewItem>
    <reviewItem>
      <errorID>f0c13830-4e2f-405b-8b88-6c98d23f5c36</errorID>
      <errorWord>。</errorWord>
      <group>L1_AI</group>
      <groupName>深度校对</groupName>
      <ability>L2_AI_Punc</ability>
      <abilityName>标点纠错</abilityName>
      <candidateList>
        <item>：</item>
      </candidateList>
      <explain/>
      <paraID>39E5BA86</paraID>
      <start>19</start>
      <end>20</end>
      <status>unmodified</status>
      <modifiedWord/>
      <trackRevisions>false</trackRevisions>
    </reviewItem>
    <reviewItem>
      <errorID>86ae1a77-c5d5-4dec-9727-6ff5e9960b85</errorID>
      <errorWord>[2016]125号</errorWord>
      <group>L1_Knowledge</group>
      <groupName>知识性问题</groupName>
      <ability>L2_Knowledge</ability>
      <abilityName>其他知识</abilityName>
      <candidateList>
        <item>〔2016〕125号</item>
      </candidateList>
      <explain>发文字号格式错误。</explain>
      <paraID>68EEA27D</paraID>
      <start>78</start>
      <end>88</end>
      <status>unmodified</status>
      <modifiedWord/>
      <trackRevisions>false</trackRevisions>
    </reviewItem>
    <reviewItem>
      <errorID>a022f613-b3e9-4984-8ee3-f189008b7644</errorID>
      <errorWord>记录期间</errorWord>
      <group>L1_AI</group>
      <groupName>深度校对</groupName>
      <ability>L2_AI_Grammar</ability>
      <abilityName>语法纠错</abilityName>
      <candidateList>
        <item>记录</item>
      </candidateList>
      <explain>❶〈动〉把听到的话或发生的事写下来：～在案。❷〈名〉当场记录下来的材料：会议～。❸〈名〉做记录的人：推举他当～。‖也作纪录。❹同“纪录”▲。</explain>
      <paraID>29925530</paraID>
      <start>15</start>
      <end>19</end>
      <status>unmodified</status>
      <modifiedWord/>
      <trackRevisions>false</trackRevisions>
    </reviewItem>
    <reviewItem>
      <errorID>c368a7c8-d1c4-4397-8dcb-103a6219b79e</errorID>
      <errorWord>）</errorWord>
      <group>L1_AI</group>
      <groupName>深度校对</groupName>
      <ability>L2_AI_Punc</ability>
      <abilityName>标点纠错</abilityName>
      <candidateList>
        <item>）。</item>
      </candidateList>
      <explain/>
      <paraID>486EA22B</paraID>
      <start>32</start>
      <end>33</end>
      <status>unmodified</status>
      <modifiedWord/>
      <trackRevisions>false</trackRevisions>
    </reviewItem>
    <reviewItem>
      <errorID>30bfba7c-8644-4062-9b82-9915d1b0e11c</errorID>
      <errorWord>。</errorWord>
      <group>L1_AI</group>
      <groupName>深度校对</groupName>
      <ability>L2_AI_Punc</ability>
      <abilityName>标点纠错</abilityName>
      <candidateList>
        <item>；</item>
      </candidateList>
      <explain/>
      <paraID>7785824D</paraID>
      <start>66</start>
      <end>67</end>
      <status>unmodified</status>
      <modifiedWord/>
      <trackRevisions>false</trackRevisions>
    </reviewItem>
    <reviewItem>
      <errorID>61b7fb83-b4c1-4ea2-ac33-6d0b680f2965</errorID>
      <errorWord>。</errorWord>
      <group>L1_AI</group>
      <groupName>深度校对</groupName>
      <ability>L2_AI_Grammar</ability>
      <abilityName>语法纠错</abilityName>
      <candidateList>
        <item>无异议。</item>
      </candidateList>
      <explain/>
      <paraID>27A128CA</paraID>
      <start>14</start>
      <end>15</end>
      <status>unmodified</status>
      <modifiedWord/>
      <trackRevisions>false</trackRevisions>
    </reviewItem>
    <reviewItem>
      <errorID>81cff991-0ca8-4be2-aef0-763799d053e2</errorID>
      <errorWord>请按</errorWord>
      <group>L1_AI</group>
      <groupName>深度校对</groupName>
      <ability>L2_AI_Word</ability>
      <abilityName>字词纠错</abilityName>
      <candidateList>
        <item>如有</item>
      </candidateList>
      <explain/>
      <paraID>6178A63A</paraID>
      <start>13</start>
      <end>15</end>
      <status>unmodified</status>
      <modifiedWord/>
      <trackRevisions>false</trackRevisions>
    </reviewItem>
    <reviewItem>
      <errorID>9695d6b2-032d-41db-bde5-946232302a23</errorID>
      <errorWord>玻璃幕的</errorWord>
      <group>L1_Knowledge</group>
      <groupName>知识性问题</groupName>
      <ability>L2_Term</ability>
      <abilityName>专业术语</abilityName>
      <candidateList>
        <item>玻璃幕墙</item>
      </candidateList>
      <explain/>
      <paraID>356E8687</paraID>
      <start>58</start>
      <end>62</end>
      <status>unmodified</status>
      <modifiedWord/>
      <trackRevisions>false</trackRevisions>
    </reviewItem>
    <reviewItem>
      <errorID>186ab4c0-45ea-4fc5-a6d6-0aeba1b022c1</errorID>
      <errorWord>沥青路上</errorWord>
      <group>L1_Word</group>
      <groupName>字词问题</groupName>
      <ability>L2_Typo</ability>
      <abilityName>字词错误</abilityName>
      <candidateList>
        <item>沥青路</item>
      </candidateList>
      <explain/>
      <paraID>356E8687</paraID>
      <start>84</start>
      <end>88</end>
      <status>unmodified</status>
      <modifiedWord/>
      <trackRevisions>false</trackRevisions>
    </reviewItem>
    <reviewItem>
      <errorID>70e46eb6-39d8-46e7-8ca0-742522402f49</errorID>
      <errorWord>[2020]46号</errorWord>
      <group>L1_Knowledge</group>
      <groupName>知识性问题</groupName>
      <ability>L2_Knowledge</ability>
      <abilityName>其他知识</abilityName>
      <candidateList>
        <item>〔2020〕46号</item>
      </candidateList>
      <explain>发文字号格式错误。</explain>
      <paraID>23B97AA2</paraID>
      <start>24</start>
      <end>33</end>
      <status>unmodified</status>
      <modifiedWord/>
      <trackRevisions>false</trackRevisions>
    </reviewItem>
    <reviewItem>
      <errorID>7023a299-34a1-4fd0-b1f8-e8ade84d6800</errorID>
      <errorWord>[2014]68号</errorWord>
      <group>L1_Knowledge</group>
      <groupName>知识性问题</groupName>
      <ability>L2_Knowledge</ability>
      <abilityName>其他知识</abilityName>
      <candidateList>
        <item>〔2014〕68号</item>
      </candidateList>
      <explain>发文字号格式错误。</explain>
      <paraID>6C78FA9C</paraID>
      <start>29</start>
      <end>38</end>
      <status>unmodified</status>
      <modifiedWord/>
      <trackRevisions>false</trackRevisions>
    </reviewItem>
    <reviewItem>
      <errorID>6ad62bad-a54d-4697-9896-adf7eaf182ee</errorID>
      <errorWord>[2017]141号</errorWord>
      <group>L1_Knowledge</group>
      <groupName>知识性问题</groupName>
      <ability>L2_Knowledge</ability>
      <abilityName>其他知识</abilityName>
      <candidateList>
        <item>〔2017〕141号</item>
      </candidateList>
      <explain>发文字号格式错误。</explain>
      <paraID>39785970</paraID>
      <start>26</start>
      <end>36</end>
      <status>unmodified</status>
      <modifiedWord/>
      <trackRevisions>false</trackRevisions>
    </reviewItem>
    <reviewItem>
      <errorID>f85f62bb-85c3-4d03-91c6-ffe2c855f850</errorID>
      <errorWord>[2019]9号</errorWord>
      <group>L1_Knowledge</group>
      <groupName>知识性问题</groupName>
      <ability>L2_Knowledge</ability>
      <abilityName>其他知识</abilityName>
      <candidateList>
        <item>〔2019〕9号</item>
      </candidateList>
      <explain>发文字号格式错误。</explain>
      <paraID>391C24B0</paraID>
      <start>36</start>
      <end>44</end>
      <status>unmodified</status>
      <modifiedWord/>
      <trackRevisions>false</trackRevisions>
    </reviewItem>
    <reviewItem>
      <errorID>6fdbbae4-58a5-4b38-be90-67a3ac8b5326</errorID>
      <errorWord>[2016]125号</errorWord>
      <group>L1_Knowledge</group>
      <groupName>知识性问题</groupName>
      <ability>L2_Knowledge</ability>
      <abilityName>其他知识</abilityName>
      <candidateList>
        <item>〔2016〕125号</item>
      </candidateList>
      <explain>发文字号格式错误。</explain>
      <paraID>14050684</paraID>
      <start>78</start>
      <end>88</end>
      <status>unmodified</status>
      <modifiedWord/>
      <trackRevisions>false</trackRevisions>
    </reviewItem>
    <reviewItem>
      <errorID>edc45b95-2c6c-471c-8473-c9b24c3487c2</errorID>
      <errorWord>年</errorWord>
      <group>L1_Word</group>
      <groupName>字词问题</groupName>
      <ability>L2_Typo</ability>
      <abilityName>字词错误</abilityName>
      <candidateList>
        <item>年来</item>
      </candidateList>
      <explain/>
      <paraID>469C2826</paraID>
      <start>1</start>
      <end>2</end>
      <status>unmodified</status>
      <modifiedWord/>
      <trackRevisions>false</trackRevisions>
    </reviewItem>
    <reviewItem>
      <errorID>91c4bb4a-2456-437c-8a37-e3a3f0c8d531</errorID>
      <errorWord>[2015]299号</errorWord>
      <group>L1_Knowledge</group>
      <groupName>知识性问题</groupName>
      <ability>L2_Knowledge</ability>
      <abilityName>其他知识</abilityName>
      <candidateList>
        <item>〔2015〕299号</item>
      </candidateList>
      <explain>发文字号格式错误。</explain>
      <paraID>2279AA01</paraID>
      <start>78</start>
      <end>88</end>
      <status>unmodified</status>
      <modifiedWord/>
      <trackRevisions>false</trackRevisions>
    </reviewItem>
    <reviewItem>
      <errorID>4a42d785-08a7-4629-b979-b6cdde12a9f1</errorID>
      <errorWord>）</errorWord>
      <group>L1_Word</group>
      <groupName>字词问题</groupName>
      <ability>L2_Typo</ability>
      <abilityName>字词错误</abilityName>
      <candidateList>
        <item>）作</item>
      </candidateList>
      <explain/>
      <paraID>4E72CAA5</paraID>
      <start>2</start>
      <end>3</end>
      <status>unmodified</status>
      <modifiedWord/>
      <trackRevisions>false</trackRevisions>
    </reviewItem>
    <reviewItem>
      <errorID>fea04363-58a8-4f68-93a8-04757d2b3f4d</errorID>
      <errorWord>，</errorWord>
      <group>L1_Word</group>
      <groupName>字词问题</groupName>
      <ability>L2_Typo</ability>
      <abilityName>字词错误</abilityName>
      <candidateList>
        <item>，在</item>
      </candidateList>
      <explain/>
      <paraID>6531F60B</paraID>
      <start>32</start>
      <end>33</end>
      <status>unmodified</status>
      <modifiedWord/>
      <trackRevisions>false</trackRevisions>
    </reviewItem>
    <reviewItem>
      <errorID>d10b26be-5457-4ec1-a6ba-422cc2261b48</errorID>
      <errorWord>、</errorWord>
      <group>L1_Word</group>
      <groupName>字词问题</groupName>
      <ability>L2_Typo</ability>
      <abilityName>字词错误</abilityName>
      <candidateList>
        <item>、加</item>
      </candidateList>
      <explain/>
      <paraID>6380031E</paraID>
      <start>41</start>
      <end>42</end>
      <status>unmodified</status>
      <modifiedWord/>
      <trackRevisions>false</trackRevisions>
    </reviewItem>
    <reviewItem>
      <errorID>dccf67bb-7309-4fcf-a0d7-07f894287998</errorID>
      <errorWord>提出质疑</errorWord>
      <group>L1_Word</group>
      <groupName>字词问题</groupName>
      <ability>L2_Typo</ability>
      <abilityName>字词错误</abilityName>
      <candidateList>
        <item>质疑</item>
      </candidateList>
      <explain>〈动〉提出疑问：～问难。</explain>
      <paraID>5A5240DF</paraID>
      <start>70</start>
      <end>74</end>
      <status>unmodified</status>
      <modifiedWord/>
      <trackRevisions>false</trackRevisions>
    </reviewItem>
    <reviewItem>
      <errorID>5b70cbe5-9222-4115-ab1d-df6f59aea242</errorID>
      <errorWord>以记名投票</errorWord>
      <group>L1_Knowledge</group>
      <groupName>知识性问题</groupName>
      <ability>L2_Term</ability>
      <abilityName>专业术语</abilityName>
      <candidateList>
        <item>无记名投票</item>
      </candidateList>
      <explain/>
      <paraID>26E0F3F3</paraID>
      <start>50</start>
      <end>55</end>
      <status>unmodified</status>
      <modifiedWord/>
      <trackRevisions>false</trackRevisions>
    </reviewItem>
    <reviewItem>
      <errorID>b9caf8a5-3583-434c-814c-df1d841f8192</errorID>
      <errorWord>价格分</errorWord>
      <group>L1_Word</group>
      <groupName>字词问题</groupName>
      <ability>L2_Typo</ability>
      <abilityName>字词错误</abilityName>
      <candidateList>
        <item>价格</item>
      </candidateList>
      <explain/>
      <paraID>3983793A</paraID>
      <start>107</start>
      <end>110</end>
      <status>unmodified</status>
      <modifiedWord/>
      <trackRevisions>false</trackRevisions>
    </reviewItem>
    <reviewItem>
      <errorID>513fc2ec-4d95-4b41-907d-5826bdcfea04</errorID>
      <errorWord>价格分</errorWord>
      <group>L1_Word</group>
      <groupName>字词问题</groupName>
      <ability>L2_Typo</ability>
      <abilityName>字词错误</abilityName>
      <candidateList>
        <item>价格</item>
      </candidateList>
      <explain/>
      <paraID>59BCCB86</paraID>
      <start>115</start>
      <end>118</end>
      <status>unmodified</status>
      <modifiedWord/>
      <trackRevisions>false</trackRevisions>
    </reviewItem>
    <reviewItem>
      <errorID>280a7f26-974d-4933-8c71-faf6310417f9</errorID>
      <errorWord>[2016]125号</errorWord>
      <group>L1_Knowledge</group>
      <groupName>知识性问题</groupName>
      <ability>L2_Knowledge</ability>
      <abilityName>其他知识</abilityName>
      <candidateList>
        <item>〔2016〕125号</item>
      </candidateList>
      <explain>发文字号格式错误。</explain>
      <paraID> 18E302C</paraID>
      <start>75</start>
      <end>85</end>
      <status>unmodified</status>
      <modifiedWord/>
      <trackRevisions>false</trackRevisions>
    </reviewItem>
    <reviewItem>
      <errorID>065cb006-6f3b-405c-99cf-6aa15f37d1e8</errorID>
      <errorWord>须附</errorWord>
      <group>L1_Word</group>
      <groupName>字词问题</groupName>
      <ability>L2_Typo</ability>
      <abilityName>字词错误</abilityName>
      <candidateList>
        <item>须持</item>
      </candidateList>
      <explain/>
      <paraID>42BA7B83</paraID>
      <start>35</start>
      <end>37</end>
      <status>unmodified</status>
      <modifiedWord/>
      <trackRevisions>false</trackRevisions>
    </reviewItem>
    <reviewItem>
      <errorID>e553b386-7a32-45f6-80a2-82b2bf0f691b</errorID>
      <errorWord>遵守的</errorWord>
      <group>L1_Word</group>
      <groupName>字词问题</groupName>
      <ability>L2_Typo</ability>
      <abilityName>字词错误</abilityName>
      <candidateList>
        <item>遵守</item>
      </candidateList>
      <explain/>
      <paraID>59276B79</paraID>
      <start>9</start>
      <end>12</end>
      <status>unmodified</status>
      <modifiedWord/>
      <trackRevisions>false</trackRevisions>
    </reviewItem>
    <reviewItem>
      <errorID>d9aaf704-57fd-4d5f-8caa-cb899abaf25b</errorID>
      <errorWord>其它</errorWord>
      <group>L1_Word</group>
      <groupName>字词问题</groupName>
      <ability>L2_Alias</ability>
      <abilityName>也作/曾用词</abilityName>
      <candidateList>
        <item>其他</item>
      </candidateList>
      <explain>词汇[其它]为不规范表述或旧称，其规范书面表述为[其他]。</explain>
      <paraID> CCA0713</paraID>
      <start>3</start>
      <end>5</end>
      <status>unmodified</status>
      <modifiedWord/>
      <trackRevisions>false</trackRevisions>
    </reviewItem>
    <reviewItem>
      <errorID>52d255c6-a620-440a-be87-57944c6e74a4</errorID>
      <errorWord>其它</errorWord>
      <group>L1_Word</group>
      <groupName>字词问题</groupName>
      <ability>L2_Alias</ability>
      <abilityName>也作/曾用词</abilityName>
      <candidateList>
        <item>其他</item>
      </candidateList>
      <explain>词汇[其它]为不规范表述或旧称，其规范书面表述为[其他]。</explain>
      <paraID> CCA0713</paraID>
      <start>46</start>
      <end>48</end>
      <status>unmodified</status>
      <modifiedWord/>
      <trackRevisions>false</trackRevisions>
    </reviewItem>
    <reviewItem>
      <errorID>80acb866-52d9-4103-87bc-de42c7426cc1</errorID>
      <errorWord>(</errorWord>
      <group>L1_Format</group>
      <groupName>格式问题</groupName>
      <ability>L2_HalfPunc</ability>
      <abilityName>全半角检查</abilityName>
      <candidateList>
        <item>（</item>
      </candidateList>
      <explain>文本全半角错误。</explain>
      <paraID>42713F63</paraID>
      <start>0</start>
      <end>1</end>
      <status>unmodified</status>
      <modifiedWord/>
      <trackRevisions>false</trackRevisions>
    </reviewItem>
    <reviewItem>
      <errorID>9b9598c7-fce5-4fe4-9fcd-96980ac729ae</errorID>
      <errorWord>)</errorWord>
      <group>L1_Format</group>
      <groupName>格式问题</groupName>
      <ability>L2_HalfPunc</ability>
      <abilityName>全半角检查</abilityName>
      <candidateList>
        <item>）</item>
      </candidateList>
      <explain>文本全半角错误。</explain>
      <paraID>4A23C1F3</paraID>
      <start>15</start>
      <end>16</end>
      <status>unmodified</status>
      <modifiedWord/>
      <trackRevisions>false</trackRevisions>
    </reviewItem>
    <reviewItem>
      <errorID>ab7fc1c2-8712-47dc-9d27-a5f9e37d65d4</errorID>
      <errorWord>[2011]300号</errorWord>
      <group>L1_Knowledge</group>
      <groupName>知识性问题</groupName>
      <ability>L2_Knowledge</ability>
      <abilityName>其他知识</abilityName>
      <candidateList>
        <item>〔2011〕300号</item>
      </candidateList>
      <explain>发文字号格式错误。</explain>
      <paraID> 510F6AB</paraID>
      <start>6</start>
      <end>16</end>
      <status>unmodified</status>
      <modifiedWord/>
      <trackRevisions>false</trackRevisions>
    </reviewItem>
    <reviewItem>
      <errorID>aa8a0b6b-0817-4029-964b-c995e1846ef3</errorID>
      <errorWord>[2009]36号</errorWord>
      <group>L1_Knowledge</group>
      <groupName>知识性问题</groupName>
      <ability>L2_Knowledge</ability>
      <abilityName>其他知识</abilityName>
      <candidateList>
        <item>〔2009〕36号</item>
      </candidateList>
      <explain>发文字号格式错误。</explain>
      <paraID>2F77BE07</paraID>
      <start>48</start>
      <end>57</end>
      <status>unmodified</status>
      <modifiedWord/>
      <trackRevisions>false</trackRevisions>
    </reviewItem>
    <reviewItem>
      <errorID>0490e8e4-f079-4f13-8283-9a9d07a8337d</errorID>
      <errorWord>二○一一</errorWord>
      <group>L1_Knowledge</group>
      <groupName>知识性问题</groupName>
      <ability>L2_Knowledge</ability>
      <abilityName>其他知识</abilityName>
      <candidateList>
        <item>二〇一一</item>
      </candidateList>
      <explain/>
      <paraID>26A67068</paraID>
      <start>37</start>
      <end>41</end>
      <status>unmodified</status>
      <modifiedWord/>
      <trackRevisions>false</trackRevisions>
    </reviewItem>
    <reviewItem>
      <errorID>6109de92-6548-496e-9549-352c64b7c205</errorID>
      <errorWord>(</errorWord>
      <group>L1_Format</group>
      <groupName>格式问题</groupName>
      <ability>L2_HalfPunc</ability>
      <abilityName>全半角检查</abilityName>
      <candidateList>
        <item>（</item>
      </candidateList>
      <explain>文本全半角错误。</explain>
      <paraID>573CA60C</paraID>
      <start>44</start>
      <end>45</end>
      <status>unmodified</status>
      <modifiedWord/>
      <trackRevisions>false</trackRevisions>
    </reviewItem>
    <reviewItem>
      <errorID>a25bfe0d-4c6f-4efe-a5f4-e0c17d4803ed</errorID>
      <errorWord>[2009]36号</errorWord>
      <group>L1_Knowledge</group>
      <groupName>知识性问题</groupName>
      <ability>L2_Knowledge</ability>
      <abilityName>其他知识</abilityName>
      <candidateList>
        <item>〔2009〕36号</item>
      </candidateList>
      <explain>发文字号格式错误。</explain>
      <paraID>573CA60C</paraID>
      <start>47</start>
      <end>56</end>
      <status>unmodified</status>
      <modifiedWord/>
      <trackRevisions>false</trackRevisions>
    </reviewItem>
    <reviewItem>
      <errorID>d41ab113-4ff6-4694-bed3-c6d69e374737</errorID>
      <errorWord>)</errorWord>
      <group>L1_Format</group>
      <groupName>格式问题</groupName>
      <ability>L2_HalfPunc</ability>
      <abilityName>全半角检查</abilityName>
      <candidateList>
        <item>）</item>
      </candidateList>
      <explain>文本全半角错误。</explain>
      <paraID>573CA60C</paraID>
      <start>56</start>
      <end>57</end>
      <status>unmodified</status>
      <modifiedWord/>
      <trackRevisions>false</trackRevisions>
    </reviewItem>
    <reviewItem>
      <errorID>7e07d99c-bc53-4c3a-99f3-2ee7fa190aef</errorID>
      <errorWord>,</errorWord>
      <group>L1_Format</group>
      <groupName>格式问题</groupName>
      <ability>L2_HalfPunc</ability>
      <abilityName>全半角检查</abilityName>
      <candidateList>
        <item>，</item>
      </candidateList>
      <explain>文本全半角错误。</explain>
      <paraID>7CDEC27E</paraID>
      <start>67</start>
      <end>68</end>
      <status>unmodified</status>
      <modifiedWord/>
      <trackRevisions>false</trackRevisions>
    </reviewItem>
    <reviewItem>
      <errorID>20006507-1bdd-4bbc-929d-b84931da3ce8</errorID>
      <errorWord>中类</errorWord>
      <group>L1_Word</group>
      <groupName>字词问题</groupName>
      <ability>L2_Typo</ability>
      <abilityName>字词错误</abilityName>
      <candidateList>
        <item>种类</item>
      </candidateList>
      <explain/>
      <paraID>404FD478</paraID>
      <start>9</start>
      <end>11</end>
      <status>unmodified</status>
      <modifiedWord/>
      <trackRevisions>false</trackRevisions>
    </reviewItem>
    <reviewItem>
      <errorID>b84c2407-9f02-4b57-b70c-440bbdde7689</errorID>
      <errorWord>)</errorWord>
      <group>L1_Format</group>
      <groupName>格式问题</groupName>
      <ability>L2_HalfPunc</ability>
      <abilityName>全半角检查</abilityName>
      <candidateList>
        <item>）</item>
      </candidateList>
      <explain>文本全半角错误。</explain>
      <paraID> 70D7D4A</paraID>
      <start>6</start>
      <end>7</end>
      <status>unmodified</status>
      <modifiedWord/>
      <trackRevisions>false</trackRevisions>
    </reviewItem>
    <reviewItem>
      <errorID>c6aea0e8-7d09-44d0-bf92-b720e2a7b5e8</errorID>
      <errorWord>＜</errorWord>
      <group>L1_Format</group>
      <groupName>格式问题</groupName>
      <ability>L2_HalfPunc</ability>
      <abilityName>全半角检查</abilityName>
      <candidateList>
        <item>&lt;</item>
      </candidateList>
      <explain>文本全半角错误。</explain>
      <paraID>2F3881F2</paraID>
      <start>6</start>
      <end>7</end>
      <status>unmodified</status>
      <modifiedWord/>
      <trackRevisions>false</trackRevisions>
    </reviewItem>
    <reviewItem>
      <errorID>7b8712be-21be-4fbe-8129-6a6c83357ffd</errorID>
      <errorWord>＜</errorWord>
      <group>L1_Format</group>
      <groupName>格式问题</groupName>
      <ability>L2_HalfPunc</ability>
      <abilityName>全半角检查</abilityName>
      <candidateList>
        <item>&lt;</item>
      </candidateList>
      <explain>文本全半角错误。</explain>
      <paraID>69EEF398</paraID>
      <start>5</start>
      <end>6</end>
      <status>unmodified</status>
      <modifiedWord/>
      <trackRevisions>false</trackRevisions>
    </reviewItem>
    <reviewItem>
      <errorID>209d0183-daf4-4494-a8b8-78c3e5b2f173</errorID>
      <errorWord>＜</errorWord>
      <group>L1_Format</group>
      <groupName>格式问题</groupName>
      <ability>L2_HalfPunc</ability>
      <abilityName>全半角检查</abilityName>
      <candidateList>
        <item>&lt;</item>
      </candidateList>
      <explain>文本全半角错误。</explain>
      <paraID>4EE58148</paraID>
      <start>1</start>
      <end>2</end>
      <status>unmodified</status>
      <modifiedWord/>
      <trackRevisions>false</trackRevisions>
    </reviewItem>
    <reviewItem>
      <errorID>7c03b73a-fb06-4881-9d4d-61e74e58cfcb</errorID>
      <errorWord>(</errorWord>
      <group>L1_Format</group>
      <groupName>格式问题</groupName>
      <ability>L2_HalfPunc</ability>
      <abilityName>全半角检查</abilityName>
      <candidateList>
        <item>（</item>
      </candidateList>
      <explain>文本全半角错误。</explain>
      <paraID>701D5A5C</paraID>
      <start>4</start>
      <end>5</end>
      <status>unmodified</status>
      <modifiedWord/>
      <trackRevisions>false</trackRevisions>
    </reviewItem>
    <reviewItem>
      <errorID>eeb47fae-1c95-4ff3-9a65-dcb53289c5d7</errorID>
      <errorWord>)</errorWord>
      <group>L1_Format</group>
      <groupName>格式问题</groupName>
      <ability>L2_HalfPunc</ability>
      <abilityName>全半角检查</abilityName>
      <candidateList>
        <item>）</item>
      </candidateList>
      <explain>文本全半角错误。</explain>
      <paraID>701D5A5C</paraID>
      <start>6</start>
      <end>7</end>
      <status>unmodified</status>
      <modifiedWord/>
      <trackRevisions>false</trackRevisions>
    </reviewItem>
    <reviewItem>
      <errorID>75e472e3-9769-4c5f-b727-ebed80a9f6ea</errorID>
      <errorWord>＜</errorWord>
      <group>L1_Format</group>
      <groupName>格式问题</groupName>
      <ability>L2_HalfPunc</ability>
      <abilityName>全半角检查</abilityName>
      <candidateList>
        <item>&lt;</item>
      </candidateList>
      <explain>文本全半角错误。</explain>
      <paraID>4F56C189</paraID>
      <start>5</start>
      <end>6</end>
      <status>unmodified</status>
      <modifiedWord/>
      <trackRevisions>false</trackRevisions>
    </reviewItem>
    <reviewItem>
      <errorID>457e2a81-2b7a-47f7-8879-333440c2e4c8</errorID>
      <errorWord>＜</errorWord>
      <group>L1_Format</group>
      <groupName>格式问题</groupName>
      <ability>L2_HalfPunc</ability>
      <abilityName>全半角检查</abilityName>
      <candidateList>
        <item>&lt;</item>
      </candidateList>
      <explain>文本全半角错误。</explain>
      <paraID>66A2DFE3</paraID>
      <start>5</start>
      <end>6</end>
      <status>unmodified</status>
      <modifiedWord/>
      <trackRevisions>false</trackRevisions>
    </reviewItem>
    <reviewItem>
      <errorID>714a61b0-8127-4a78-918d-800e484dfb7c</errorID>
      <errorWord>＜</errorWord>
      <group>L1_Format</group>
      <groupName>格式问题</groupName>
      <ability>L2_HalfPunc</ability>
      <abilityName>全半角检查</abilityName>
      <candidateList>
        <item>&lt;</item>
      </candidateList>
      <explain>文本全半角错误。</explain>
      <paraID> 8AC9C4A</paraID>
      <start>1</start>
      <end>2</end>
      <status>unmodified</status>
      <modifiedWord/>
      <trackRevisions>false</trackRevisions>
    </reviewItem>
    <reviewItem>
      <errorID>e4eeccf2-c52c-4a0d-9afa-08de44ec7bef</errorID>
      <errorWord>(</errorWord>
      <group>L1_Format</group>
      <groupName>格式问题</groupName>
      <ability>L2_HalfPunc</ability>
      <abilityName>全半角检查</abilityName>
      <candidateList>
        <item>（</item>
      </candidateList>
      <explain>文本全半角错误。</explain>
      <paraID>240DCF69</paraID>
      <start>4</start>
      <end>5</end>
      <status>unmodified</status>
      <modifiedWord/>
      <trackRevisions>false</trackRevisions>
    </reviewItem>
    <reviewItem>
      <errorID>2f3cd84d-406f-4d40-951a-84719ccaac65</errorID>
      <errorWord>)</errorWord>
      <group>L1_Format</group>
      <groupName>格式问题</groupName>
      <ability>L2_HalfPunc</ability>
      <abilityName>全半角检查</abilityName>
      <candidateList>
        <item>）</item>
      </candidateList>
      <explain>文本全半角错误。</explain>
      <paraID>240DCF69</paraID>
      <start>6</start>
      <end>7</end>
      <status>unmodified</status>
      <modifiedWord/>
      <trackRevisions>false</trackRevisions>
    </reviewItem>
    <reviewItem>
      <errorID>d3589742-9fd6-4da0-8dad-b9b22e569293</errorID>
      <errorWord>＜</errorWord>
      <group>L1_Format</group>
      <groupName>格式问题</groupName>
      <ability>L2_HalfPunc</ability>
      <abilityName>全半角检查</abilityName>
      <candidateList>
        <item>&lt;</item>
      </candidateList>
      <explain>文本全半角错误。</explain>
      <paraID>75E672A3</paraID>
      <start>6</start>
      <end>7</end>
      <status>unmodified</status>
      <modifiedWord/>
      <trackRevisions>false</trackRevisions>
    </reviewItem>
    <reviewItem>
      <errorID>c9d25e6a-33d8-446c-952d-199a18087c99</errorID>
      <errorWord>＜</errorWord>
      <group>L1_Format</group>
      <groupName>格式问题</groupName>
      <ability>L2_HalfPunc</ability>
      <abilityName>全半角检查</abilityName>
      <candidateList>
        <item>&lt;</item>
      </candidateList>
      <explain>文本全半角错误。</explain>
      <paraID> DFB1CB9</paraID>
      <start>6</start>
      <end>7</end>
      <status>unmodified</status>
      <modifiedWord/>
      <trackRevisions>false</trackRevisions>
    </reviewItem>
    <reviewItem>
      <errorID>4a40cf18-68a8-4648-bbe4-5fd3835608c6</errorID>
      <errorWord>＜</errorWord>
      <group>L1_Format</group>
      <groupName>格式问题</groupName>
      <ability>L2_HalfPunc</ability>
      <abilityName>全半角检查</abilityName>
      <candidateList>
        <item>&lt;</item>
      </candidateList>
      <explain>文本全半角错误。</explain>
      <paraID>1F7D908D</paraID>
      <start>1</start>
      <end>2</end>
      <status>unmodified</status>
      <modifiedWord/>
      <trackRevisions>false</trackRevisions>
    </reviewItem>
    <reviewItem>
      <errorID>21d028cd-3dac-47cd-923c-8ca7b71920bd</errorID>
      <errorWord>(</errorWord>
      <group>L1_Format</group>
      <groupName>格式问题</groupName>
      <ability>L2_HalfPunc</ability>
      <abilityName>全半角检查</abilityName>
      <candidateList>
        <item>（</item>
      </candidateList>
      <explain>文本全半角错误。</explain>
      <paraID>56B36A03</paraID>
      <start>4</start>
      <end>5</end>
      <status>unmodified</status>
      <modifiedWord/>
      <trackRevisions>false</trackRevisions>
    </reviewItem>
    <reviewItem>
      <errorID>bf24543c-4d52-48ec-a1c2-5783f961d146</errorID>
      <errorWord>)</errorWord>
      <group>L1_Format</group>
      <groupName>格式问题</groupName>
      <ability>L2_HalfPunc</ability>
      <abilityName>全半角检查</abilityName>
      <candidateList>
        <item>）</item>
      </candidateList>
      <explain>文本全半角错误。</explain>
      <paraID>56B36A03</paraID>
      <start>6</start>
      <end>7</end>
      <status>unmodified</status>
      <modifiedWord/>
      <trackRevisions>false</trackRevisions>
    </reviewItem>
    <reviewItem>
      <errorID>a5f66607-2200-4c11-acbf-185d94f633c5</errorID>
      <errorWord>＜</errorWord>
      <group>L1_Format</group>
      <groupName>格式问题</groupName>
      <ability>L2_HalfPunc</ability>
      <abilityName>全半角检查</abilityName>
      <candidateList>
        <item>&lt;</item>
      </candidateList>
      <explain>文本全半角错误。</explain>
      <paraID> 39EA8E2</paraID>
      <start>6</start>
      <end>7</end>
      <status>unmodified</status>
      <modifiedWord/>
      <trackRevisions>false</trackRevisions>
    </reviewItem>
    <reviewItem>
      <errorID>6d3d8b71-060a-47da-9cb9-1ade25e66b8a</errorID>
      <errorWord>＜</errorWord>
      <group>L1_Format</group>
      <groupName>格式问题</groupName>
      <ability>L2_HalfPunc</ability>
      <abilityName>全半角检查</abilityName>
      <candidateList>
        <item>&lt;</item>
      </candidateList>
      <explain>文本全半角错误。</explain>
      <paraID> 948B155</paraID>
      <start>6</start>
      <end>7</end>
      <status>unmodified</status>
      <modifiedWord/>
      <trackRevisions>false</trackRevisions>
    </reviewItem>
    <reviewItem>
      <errorID>ddeea81f-9a17-4bbf-836e-a0fe2ab40cb0</errorID>
      <errorWord>＜</errorWord>
      <group>L1_Format</group>
      <groupName>格式问题</groupName>
      <ability>L2_HalfPunc</ability>
      <abilityName>全半角检查</abilityName>
      <candidateList>
        <item>&lt;</item>
      </candidateList>
      <explain>文本全半角错误。</explain>
      <paraID>3B6230BB</paraID>
      <start>1</start>
      <end>2</end>
      <status>unmodified</status>
      <modifiedWord/>
      <trackRevisions>false</trackRevisions>
    </reviewItem>
    <reviewItem>
      <errorID>93c1c172-f82e-4615-9c49-68aedd6a2018</errorID>
      <errorWord>(</errorWord>
      <group>L1_Format</group>
      <groupName>格式问题</groupName>
      <ability>L2_HalfPunc</ability>
      <abilityName>全半角检查</abilityName>
      <candidateList>
        <item>（</item>
      </candidateList>
      <explain>文本全半角错误。</explain>
      <paraID>307FDA6D</paraID>
      <start>4</start>
      <end>5</end>
      <status>unmodified</status>
      <modifiedWord/>
      <trackRevisions>false</trackRevisions>
    </reviewItem>
    <reviewItem>
      <errorID>152a4562-b409-4acc-82b0-e8523bd2557d</errorID>
      <errorWord>)</errorWord>
      <group>L1_Format</group>
      <groupName>格式问题</groupName>
      <ability>L2_HalfPunc</ability>
      <abilityName>全半角检查</abilityName>
      <candidateList>
        <item>）</item>
      </candidateList>
      <explain>文本全半角错误。</explain>
      <paraID>307FDA6D</paraID>
      <start>6</start>
      <end>7</end>
      <status>unmodified</status>
      <modifiedWord/>
      <trackRevisions>false</trackRevisions>
    </reviewItem>
    <reviewItem>
      <errorID>86d1f2d0-575e-4ff8-8548-16add6eedad2</errorID>
      <errorWord>＜</errorWord>
      <group>L1_Format</group>
      <groupName>格式问题</groupName>
      <ability>L2_HalfPunc</ability>
      <abilityName>全半角检查</abilityName>
      <candidateList>
        <item>&lt;</item>
      </candidateList>
      <explain>文本全半角错误。</explain>
      <paraID>6164F5BD</paraID>
      <start>6</start>
      <end>7</end>
      <status>unmodified</status>
      <modifiedWord/>
      <trackRevisions>false</trackRevisions>
    </reviewItem>
    <reviewItem>
      <errorID>1a75c236-f54e-4883-a9e1-0ad3ce9498f3</errorID>
      <errorWord>＜</errorWord>
      <group>L1_Format</group>
      <groupName>格式问题</groupName>
      <ability>L2_HalfPunc</ability>
      <abilityName>全半角检查</abilityName>
      <candidateList>
        <item>&lt;</item>
      </candidateList>
      <explain>文本全半角错误。</explain>
      <paraID>439879B1</paraID>
      <start>6</start>
      <end>7</end>
      <status>unmodified</status>
      <modifiedWord/>
      <trackRevisions>false</trackRevisions>
    </reviewItem>
    <reviewItem>
      <errorID>39a85f05-c190-484c-bb4c-84835fd100c6</errorID>
      <errorWord>＜</errorWord>
      <group>L1_Format</group>
      <groupName>格式问题</groupName>
      <ability>L2_HalfPunc</ability>
      <abilityName>全半角检查</abilityName>
      <candidateList>
        <item>&lt;</item>
      </candidateList>
      <explain>文本全半角错误。</explain>
      <paraID> 23E025A</paraID>
      <start>1</start>
      <end>2</end>
      <status>unmodified</status>
      <modifiedWord/>
      <trackRevisions>false</trackRevisions>
    </reviewItem>
    <reviewItem>
      <errorID>37fc7615-172a-4acf-ade2-787ea6d70b6c</errorID>
      <errorWord>(</errorWord>
      <group>L1_Format</group>
      <groupName>格式问题</groupName>
      <ability>L2_HalfPunc</ability>
      <abilityName>全半角检查</abilityName>
      <candidateList>
        <item>（</item>
      </candidateList>
      <explain>文本全半角错误。</explain>
      <paraID>426FB6D2</paraID>
      <start>4</start>
      <end>5</end>
      <status>unmodified</status>
      <modifiedWord/>
      <trackRevisions>false</trackRevisions>
    </reviewItem>
    <reviewItem>
      <errorID>3f813119-c9cb-41e8-bfd4-bc8d0d3473d0</errorID>
      <errorWord>)</errorWord>
      <group>L1_Format</group>
      <groupName>格式问题</groupName>
      <ability>L2_HalfPunc</ability>
      <abilityName>全半角检查</abilityName>
      <candidateList>
        <item>）</item>
      </candidateList>
      <explain>文本全半角错误。</explain>
      <paraID>426FB6D2</paraID>
      <start>6</start>
      <end>7</end>
      <status>unmodified</status>
      <modifiedWord/>
      <trackRevisions>false</trackRevisions>
    </reviewItem>
    <reviewItem>
      <errorID>c85dca5c-2ccf-4a35-b919-4ab4791fa38c</errorID>
      <errorWord>＜</errorWord>
      <group>L1_Format</group>
      <groupName>格式问题</groupName>
      <ability>L2_HalfPunc</ability>
      <abilityName>全半角检查</abilityName>
      <candidateList>
        <item>&lt;</item>
      </candidateList>
      <explain>文本全半角错误。</explain>
      <paraID>73C770FA</paraID>
      <start>4</start>
      <end>5</end>
      <status>unmodified</status>
      <modifiedWord/>
      <trackRevisions>false</trackRevisions>
    </reviewItem>
    <reviewItem>
      <errorID>f701dd49-e9c2-4d8f-a70e-bd0cc5a74569</errorID>
      <errorWord>＜</errorWord>
      <group>L1_Format</group>
      <groupName>格式问题</groupName>
      <ability>L2_HalfPunc</ability>
      <abilityName>全半角检查</abilityName>
      <candidateList>
        <item>&lt;</item>
      </candidateList>
      <explain>文本全半角错误。</explain>
      <paraID>526BA606</paraID>
      <start>4</start>
      <end>5</end>
      <status>unmodified</status>
      <modifiedWord/>
      <trackRevisions>false</trackRevisions>
    </reviewItem>
    <reviewItem>
      <errorID>07c989f7-9b03-4b0b-b8cc-0551e8ea61af</errorID>
      <errorWord>＜</errorWord>
      <group>L1_Format</group>
      <groupName>格式问题</groupName>
      <ability>L2_HalfPunc</ability>
      <abilityName>全半角检查</abilityName>
      <candidateList>
        <item>&lt;</item>
      </candidateList>
      <explain>文本全半角错误。</explain>
      <paraID> B447D70</paraID>
      <start>1</start>
      <end>2</end>
      <status>unmodified</status>
      <modifiedWord/>
      <trackRevisions>false</trackRevisions>
    </reviewItem>
    <reviewItem>
      <errorID>9b9aa994-04cf-4513-9512-c297d1ffe079</errorID>
      <errorWord>(</errorWord>
      <group>L1_Format</group>
      <groupName>格式问题</groupName>
      <ability>L2_HalfPunc</ability>
      <abilityName>全半角检查</abilityName>
      <candidateList>
        <item>（</item>
      </candidateList>
      <explain>文本全半角错误。</explain>
      <paraID>4A20B8B0</paraID>
      <start>4</start>
      <end>5</end>
      <status>unmodified</status>
      <modifiedWord/>
      <trackRevisions>false</trackRevisions>
    </reviewItem>
    <reviewItem>
      <errorID>637da8aa-049f-4e29-b6d7-bd743cb0341b</errorID>
      <errorWord>)</errorWord>
      <group>L1_Format</group>
      <groupName>格式问题</groupName>
      <ability>L2_HalfPunc</ability>
      <abilityName>全半角检查</abilityName>
      <candidateList>
        <item>）</item>
      </candidateList>
      <explain>文本全半角错误。</explain>
      <paraID>4A20B8B0</paraID>
      <start>6</start>
      <end>7</end>
      <status>unmodified</status>
      <modifiedWord/>
      <trackRevisions>false</trackRevisions>
    </reviewItem>
    <reviewItem>
      <errorID>b2b34e00-1124-4a8f-8c17-d1b0687f1fda</errorID>
      <errorWord>＜</errorWord>
      <group>L1_Format</group>
      <groupName>格式问题</groupName>
      <ability>L2_HalfPunc</ability>
      <abilityName>全半角检查</abilityName>
      <candidateList>
        <item>&lt;</item>
      </candidateList>
      <explain>文本全半角错误。</explain>
      <paraID> 60D2475</paraID>
      <start>6</start>
      <end>7</end>
      <status>unmodified</status>
      <modifiedWord/>
      <trackRevisions>false</trackRevisions>
    </reviewItem>
    <reviewItem>
      <errorID>5c39bea0-2992-4878-8929-7fc18df403b7</errorID>
      <errorWord>＜</errorWord>
      <group>L1_Format</group>
      <groupName>格式问题</groupName>
      <ability>L2_HalfPunc</ability>
      <abilityName>全半角检查</abilityName>
      <candidateList>
        <item>&lt;</item>
      </candidateList>
      <explain>文本全半角错误。</explain>
      <paraID>10CBAC7F</paraID>
      <start>6</start>
      <end>7</end>
      <status>unmodified</status>
      <modifiedWord/>
      <trackRevisions>false</trackRevisions>
    </reviewItem>
    <reviewItem>
      <errorID>f64ccf9d-5c44-4bd5-800c-126234c18ccd</errorID>
      <errorWord>＜</errorWord>
      <group>L1_Format</group>
      <groupName>格式问题</groupName>
      <ability>L2_HalfPunc</ability>
      <abilityName>全半角检查</abilityName>
      <candidateList>
        <item>&lt;</item>
      </candidateList>
      <explain>文本全半角错误。</explain>
      <paraID>5B4CEF06</paraID>
      <start>1</start>
      <end>2</end>
      <status>unmodified</status>
      <modifiedWord/>
      <trackRevisions>false</trackRevisions>
    </reviewItem>
    <reviewItem>
      <errorID>b2199241-2c14-426d-b276-22cf10189529</errorID>
      <errorWord>(</errorWord>
      <group>L1_Format</group>
      <groupName>格式问题</groupName>
      <ability>L2_HalfPunc</ability>
      <abilityName>全半角检查</abilityName>
      <candidateList>
        <item>（</item>
      </candidateList>
      <explain>文本全半角错误。</explain>
      <paraID>188D1EA9</paraID>
      <start>4</start>
      <end>5</end>
      <status>unmodified</status>
      <modifiedWord/>
      <trackRevisions>false</trackRevisions>
    </reviewItem>
    <reviewItem>
      <errorID>d5c6e0a3-710b-458f-8d9f-8d13e4004c37</errorID>
      <errorWord>)</errorWord>
      <group>L1_Format</group>
      <groupName>格式问题</groupName>
      <ability>L2_HalfPunc</ability>
      <abilityName>全半角检查</abilityName>
      <candidateList>
        <item>）</item>
      </candidateList>
      <explain>文本全半角错误。</explain>
      <paraID>188D1EA9</paraID>
      <start>6</start>
      <end>7</end>
      <status>unmodified</status>
      <modifiedWord/>
      <trackRevisions>false</trackRevisions>
    </reviewItem>
    <reviewItem>
      <errorID>17013cd1-41f2-4133-8bed-2e49a474b1e9</errorID>
      <errorWord>＜</errorWord>
      <group>L1_Format</group>
      <groupName>格式问题</groupName>
      <ability>L2_HalfPunc</ability>
      <abilityName>全半角检查</abilityName>
      <candidateList>
        <item>&lt;</item>
      </candidateList>
      <explain>文本全半角错误。</explain>
      <paraID>11F6FC70</paraID>
      <start>4</start>
      <end>5</end>
      <status>unmodified</status>
      <modifiedWord/>
      <trackRevisions>false</trackRevisions>
    </reviewItem>
    <reviewItem>
      <errorID>39081229-5e57-4560-b4ad-b850bc426aa8</errorID>
      <errorWord>＜</errorWord>
      <group>L1_Format</group>
      <groupName>格式问题</groupName>
      <ability>L2_HalfPunc</ability>
      <abilityName>全半角检查</abilityName>
      <candidateList>
        <item>&lt;</item>
      </candidateList>
      <explain>文本全半角错误。</explain>
      <paraID>65D8335E</paraID>
      <start>4</start>
      <end>5</end>
      <status>unmodified</status>
      <modifiedWord/>
      <trackRevisions>false</trackRevisions>
    </reviewItem>
    <reviewItem>
      <errorID>b908fe85-ebf9-437d-9dcb-3c48e5d143ce</errorID>
      <errorWord>＜</errorWord>
      <group>L1_Format</group>
      <groupName>格式问题</groupName>
      <ability>L2_HalfPunc</ability>
      <abilityName>全半角检查</abilityName>
      <candidateList>
        <item>&lt;</item>
      </candidateList>
      <explain>文本全半角错误。</explain>
      <paraID>6940E360</paraID>
      <start>1</start>
      <end>2</end>
      <status>unmodified</status>
      <modifiedWord/>
      <trackRevisions>false</trackRevisions>
    </reviewItem>
    <reviewItem>
      <errorID>c4b2c7d4-406c-4b03-8364-4972fb2c2e19</errorID>
      <errorWord>(</errorWord>
      <group>L1_Format</group>
      <groupName>格式问题</groupName>
      <ability>L2_HalfPunc</ability>
      <abilityName>全半角检查</abilityName>
      <candidateList>
        <item>（</item>
      </candidateList>
      <explain>文本全半角错误。</explain>
      <paraID> EBE5D35</paraID>
      <start>4</start>
      <end>5</end>
      <status>unmodified</status>
      <modifiedWord/>
      <trackRevisions>false</trackRevisions>
    </reviewItem>
    <reviewItem>
      <errorID>c1b59e30-0440-45f3-b9f6-5f9df5c4dad1</errorID>
      <errorWord>)</errorWord>
      <group>L1_Format</group>
      <groupName>格式问题</groupName>
      <ability>L2_HalfPunc</ability>
      <abilityName>全半角检查</abilityName>
      <candidateList>
        <item>）</item>
      </candidateList>
      <explain>文本全半角错误。</explain>
      <paraID> EBE5D35</paraID>
      <start>6</start>
      <end>7</end>
      <status>unmodified</status>
      <modifiedWord/>
      <trackRevisions>false</trackRevisions>
    </reviewItem>
    <reviewItem>
      <errorID>5e549a6f-9283-4743-a790-7ddbed0b829f</errorID>
      <errorWord>＜</errorWord>
      <group>L1_Format</group>
      <groupName>格式问题</groupName>
      <ability>L2_HalfPunc</ability>
      <abilityName>全半角检查</abilityName>
      <candidateList>
        <item>&lt;</item>
      </candidateList>
      <explain>文本全半角错误。</explain>
      <paraID>28FDB492</paraID>
      <start>6</start>
      <end>7</end>
      <status>unmodified</status>
      <modifiedWord/>
      <trackRevisions>false</trackRevisions>
    </reviewItem>
    <reviewItem>
      <errorID>82032bad-feb6-4780-93df-8e8aa21fb136</errorID>
      <errorWord>＜</errorWord>
      <group>L1_Format</group>
      <groupName>格式问题</groupName>
      <ability>L2_HalfPunc</ability>
      <abilityName>全半角检查</abilityName>
      <candidateList>
        <item>&lt;</item>
      </candidateList>
      <explain>文本全半角错误。</explain>
      <paraID>48B75518</paraID>
      <start>5</start>
      <end>6</end>
      <status>unmodified</status>
      <modifiedWord/>
      <trackRevisions>false</trackRevisions>
    </reviewItem>
    <reviewItem>
      <errorID>9e5e408a-c035-4c26-83fb-e0fee951e9b6</errorID>
      <errorWord>＜</errorWord>
      <group>L1_Format</group>
      <groupName>格式问题</groupName>
      <ability>L2_HalfPunc</ability>
      <abilityName>全半角检查</abilityName>
      <candidateList>
        <item>&lt;</item>
      </candidateList>
      <explain>文本全半角错误。</explain>
      <paraID>44CFABA3</paraID>
      <start>1</start>
      <end>2</end>
      <status>unmodified</status>
      <modifiedWord/>
      <trackRevisions>false</trackRevisions>
    </reviewItem>
    <reviewItem>
      <errorID>5db76ddb-6178-4af7-8fee-dd4a68ac8a0e</errorID>
      <errorWord>(</errorWord>
      <group>L1_Format</group>
      <groupName>格式问题</groupName>
      <ability>L2_HalfPunc</ability>
      <abilityName>全半角检查</abilityName>
      <candidateList>
        <item>（</item>
      </candidateList>
      <explain>文本全半角错误。</explain>
      <paraID>43A13BC9</paraID>
      <start>4</start>
      <end>5</end>
      <status>unmodified</status>
      <modifiedWord/>
      <trackRevisions>false</trackRevisions>
    </reviewItem>
    <reviewItem>
      <errorID>2f432dc8-2675-4660-a279-8daa3b7e73df</errorID>
      <errorWord>)</errorWord>
      <group>L1_Format</group>
      <groupName>格式问题</groupName>
      <ability>L2_HalfPunc</ability>
      <abilityName>全半角检查</abilityName>
      <candidateList>
        <item>）</item>
      </candidateList>
      <explain>文本全半角错误。</explain>
      <paraID>43A13BC9</paraID>
      <start>6</start>
      <end>7</end>
      <status>unmodified</status>
      <modifiedWord/>
      <trackRevisions>false</trackRevisions>
    </reviewItem>
    <reviewItem>
      <errorID>a5225d57-0771-491b-b1a6-c4f17c9b497f</errorID>
      <errorWord>＜</errorWord>
      <group>L1_Format</group>
      <groupName>格式问题</groupName>
      <ability>L2_HalfPunc</ability>
      <abilityName>全半角检查</abilityName>
      <candidateList>
        <item>&lt;</item>
      </candidateList>
      <explain>文本全半角错误。</explain>
      <paraID>6763F598</paraID>
      <start>5</start>
      <end>6</end>
      <status>unmodified</status>
      <modifiedWord/>
      <trackRevisions>false</trackRevisions>
    </reviewItem>
    <reviewItem>
      <errorID>b3beb9f5-6fdc-41a4-b973-28d5e9ea0064</errorID>
      <errorWord>＜</errorWord>
      <group>L1_Format</group>
      <groupName>格式问题</groupName>
      <ability>L2_HalfPunc</ability>
      <abilityName>全半角检查</abilityName>
      <candidateList>
        <item>&lt;</item>
      </candidateList>
      <explain>文本全半角错误。</explain>
      <paraID>2372FEB6</paraID>
      <start>5</start>
      <end>6</end>
      <status>unmodified</status>
      <modifiedWord/>
      <trackRevisions>false</trackRevisions>
    </reviewItem>
    <reviewItem>
      <errorID>4c73d862-2458-4bf1-85ce-6592cde3adaf</errorID>
      <errorWord>＜</errorWord>
      <group>L1_Format</group>
      <groupName>格式问题</groupName>
      <ability>L2_HalfPunc</ability>
      <abilityName>全半角检查</abilityName>
      <candidateList>
        <item>&lt;</item>
      </candidateList>
      <explain>文本全半角错误。</explain>
      <paraID>33204AC6</paraID>
      <start>1</start>
      <end>2</end>
      <status>unmodified</status>
      <modifiedWord/>
      <trackRevisions>false</trackRevisions>
    </reviewItem>
    <reviewItem>
      <errorID>cb5595e2-e7e9-4da8-b0a9-db7801ec5ecb</errorID>
      <errorWord>(</errorWord>
      <group>L1_Format</group>
      <groupName>格式问题</groupName>
      <ability>L2_HalfPunc</ability>
      <abilityName>全半角检查</abilityName>
      <candidateList>
        <item>（</item>
      </candidateList>
      <explain>文本全半角错误。</explain>
      <paraID>257A59E7</paraID>
      <start>4</start>
      <end>5</end>
      <status>unmodified</status>
      <modifiedWord/>
      <trackRevisions>false</trackRevisions>
    </reviewItem>
    <reviewItem>
      <errorID>af8a5208-d5a6-4607-914d-aebeb85c7240</errorID>
      <errorWord>)</errorWord>
      <group>L1_Format</group>
      <groupName>格式问题</groupName>
      <ability>L2_HalfPunc</ability>
      <abilityName>全半角检查</abilityName>
      <candidateList>
        <item>）</item>
      </candidateList>
      <explain>文本全半角错误。</explain>
      <paraID>257A59E7</paraID>
      <start>6</start>
      <end>7</end>
      <status>unmodified</status>
      <modifiedWord/>
      <trackRevisions>false</trackRevisions>
    </reviewItem>
    <reviewItem>
      <errorID>e44f7f6a-f12e-4ac1-b97d-5051f89ed3aa</errorID>
      <errorWord>＜</errorWord>
      <group>L1_Format</group>
      <groupName>格式问题</groupName>
      <ability>L2_HalfPunc</ability>
      <abilityName>全半角检查</abilityName>
      <candidateList>
        <item>&lt;</item>
      </candidateList>
      <explain>文本全半角错误。</explain>
      <paraID>7BE4D53E</paraID>
      <start>6</start>
      <end>7</end>
      <status>unmodified</status>
      <modifiedWord/>
      <trackRevisions>false</trackRevisions>
    </reviewItem>
    <reviewItem>
      <errorID>8d3ed18c-1224-40de-9b54-a41d7896b9eb</errorID>
      <errorWord>＜</errorWord>
      <group>L1_Format</group>
      <groupName>格式问题</groupName>
      <ability>L2_HalfPunc</ability>
      <abilityName>全半角检查</abilityName>
      <candidateList>
        <item>&lt;</item>
      </candidateList>
      <explain>文本全半角错误。</explain>
      <paraID> BB7415A</paraID>
      <start>6</start>
      <end>7</end>
      <status>unmodified</status>
      <modifiedWord/>
      <trackRevisions>false</trackRevisions>
    </reviewItem>
    <reviewItem>
      <errorID>8af19063-3147-4add-b009-26dc3b1e46f3</errorID>
      <errorWord>＜</errorWord>
      <group>L1_Format</group>
      <groupName>格式问题</groupName>
      <ability>L2_HalfPunc</ability>
      <abilityName>全半角检查</abilityName>
      <candidateList>
        <item>&lt;</item>
      </candidateList>
      <explain>文本全半角错误。</explain>
      <paraID>749B60C4</paraID>
      <start>1</start>
      <end>2</end>
      <status>unmodified</status>
      <modifiedWord/>
      <trackRevisions>false</trackRevisions>
    </reviewItem>
    <reviewItem>
      <errorID>3ae44aed-8ad4-4e8d-a430-24c58fb41692</errorID>
      <errorWord>(</errorWord>
      <group>L1_Format</group>
      <groupName>格式问题</groupName>
      <ability>L2_HalfPunc</ability>
      <abilityName>全半角检查</abilityName>
      <candidateList>
        <item>（</item>
      </candidateList>
      <explain>文本全半角错误。</explain>
      <paraID> D95F370</paraID>
      <start>4</start>
      <end>5</end>
      <status>unmodified</status>
      <modifiedWord/>
      <trackRevisions>false</trackRevisions>
    </reviewItem>
    <reviewItem>
      <errorID>7b1296e8-e07a-4766-8d43-c0563eb0769e</errorID>
      <errorWord>)</errorWord>
      <group>L1_Format</group>
      <groupName>格式问题</groupName>
      <ability>L2_HalfPunc</ability>
      <abilityName>全半角检查</abilityName>
      <candidateList>
        <item>）</item>
      </candidateList>
      <explain>文本全半角错误。</explain>
      <paraID> D95F370</paraID>
      <start>6</start>
      <end>7</end>
      <status>unmodified</status>
      <modifiedWord/>
      <trackRevisions>false</trackRevisions>
    </reviewItem>
    <reviewItem>
      <errorID>97135564-2653-4ab4-8957-0c48dc9a33e0</errorID>
      <errorWord>＜</errorWord>
      <group>L1_Format</group>
      <groupName>格式问题</groupName>
      <ability>L2_HalfPunc</ability>
      <abilityName>全半角检查</abilityName>
      <candidateList>
        <item>&lt;</item>
      </candidateList>
      <explain>文本全半角错误。</explain>
      <paraID>16E41284</paraID>
      <start>5</start>
      <end>6</end>
      <status>unmodified</status>
      <modifiedWord/>
      <trackRevisions>false</trackRevisions>
    </reviewItem>
    <reviewItem>
      <errorID>75b786a6-ee28-4e77-bfe1-6046459be632</errorID>
      <errorWord>＜</errorWord>
      <group>L1_Format</group>
      <groupName>格式问题</groupName>
      <ability>L2_HalfPunc</ability>
      <abilityName>全半角检查</abilityName>
      <candidateList>
        <item>&lt;</item>
      </candidateList>
      <explain>文本全半角错误。</explain>
      <paraID>60C3045A</paraID>
      <start>5</start>
      <end>6</end>
      <status>unmodified</status>
      <modifiedWord/>
      <trackRevisions>false</trackRevisions>
    </reviewItem>
    <reviewItem>
      <errorID>846dff28-632f-415a-8ed6-58eb0caf184d</errorID>
      <errorWord>＜</errorWord>
      <group>L1_Format</group>
      <groupName>格式问题</groupName>
      <ability>L2_HalfPunc</ability>
      <abilityName>全半角检查</abilityName>
      <candidateList>
        <item>&lt;</item>
      </candidateList>
      <explain>文本全半角错误。</explain>
      <paraID>10E1989D</paraID>
      <start>1</start>
      <end>2</end>
      <status>unmodified</status>
      <modifiedWord/>
      <trackRevisions>false</trackRevisions>
    </reviewItem>
    <reviewItem>
      <errorID>3b415c25-445a-4989-8039-581f033d8f10</errorID>
      <errorWord>(</errorWord>
      <group>L1_Format</group>
      <groupName>格式问题</groupName>
      <ability>L2_HalfPunc</ability>
      <abilityName>全半角检查</abilityName>
      <candidateList>
        <item>（</item>
      </candidateList>
      <explain>文本全半角错误。</explain>
      <paraID>4563B434</paraID>
      <start>4</start>
      <end>5</end>
      <status>unmodified</status>
      <modifiedWord/>
      <trackRevisions>false</trackRevisions>
    </reviewItem>
    <reviewItem>
      <errorID>b9d38d9a-b881-4b73-bdbb-99dcafdc573a</errorID>
      <errorWord>)</errorWord>
      <group>L1_Format</group>
      <groupName>格式问题</groupName>
      <ability>L2_HalfPunc</ability>
      <abilityName>全半角检查</abilityName>
      <candidateList>
        <item>）</item>
      </candidateList>
      <explain>文本全半角错误。</explain>
      <paraID>4563B434</paraID>
      <start>6</start>
      <end>7</end>
      <status>unmodified</status>
      <modifiedWord/>
      <trackRevisions>false</trackRevisions>
    </reviewItem>
    <reviewItem>
      <errorID>f5f0f9e8-c32f-4d79-8969-f12eb0aab829</errorID>
      <errorWord>＜</errorWord>
      <group>L1_Format</group>
      <groupName>格式问题</groupName>
      <ability>L2_HalfPunc</ability>
      <abilityName>全半角检查</abilityName>
      <candidateList>
        <item>&lt;</item>
      </candidateList>
      <explain>文本全半角错误。</explain>
      <paraID> 648D3C2</paraID>
      <start>6</start>
      <end>7</end>
      <status>unmodified</status>
      <modifiedWord/>
      <trackRevisions>false</trackRevisions>
    </reviewItem>
    <reviewItem>
      <errorID>fe2a0378-e7e4-4244-a0ce-22f8482b990d</errorID>
      <errorWord>＜</errorWord>
      <group>L1_Format</group>
      <groupName>格式问题</groupName>
      <ability>L2_HalfPunc</ability>
      <abilityName>全半角检查</abilityName>
      <candidateList>
        <item>&lt;</item>
      </candidateList>
      <explain>文本全半角错误。</explain>
      <paraID>60528FA3</paraID>
      <start>6</start>
      <end>7</end>
      <status>unmodified</status>
      <modifiedWord/>
      <trackRevisions>false</trackRevisions>
    </reviewItem>
    <reviewItem>
      <errorID>48259a9e-fa0d-4885-a336-46658cdf43fa</errorID>
      <errorWord>＜</errorWord>
      <group>L1_Format</group>
      <groupName>格式问题</groupName>
      <ability>L2_HalfPunc</ability>
      <abilityName>全半角检查</abilityName>
      <candidateList>
        <item>&lt;</item>
      </candidateList>
      <explain>文本全半角错误。</explain>
      <paraID>3B767634</paraID>
      <start>1</start>
      <end>2</end>
      <status>unmodified</status>
      <modifiedWord/>
      <trackRevisions>false</trackRevisions>
    </reviewItem>
    <reviewItem>
      <errorID>dab3c861-0691-4f3d-88ce-70c3b1735a8d</errorID>
      <errorWord>(</errorWord>
      <group>L1_Format</group>
      <groupName>格式问题</groupName>
      <ability>L2_HalfPunc</ability>
      <abilityName>全半角检查</abilityName>
      <candidateList>
        <item>（</item>
      </candidateList>
      <explain>文本全半角错误。</explain>
      <paraID> EAC9299</paraID>
      <start>4</start>
      <end>5</end>
      <status>unmodified</status>
      <modifiedWord/>
      <trackRevisions>false</trackRevisions>
    </reviewItem>
    <reviewItem>
      <errorID>7dd6ab10-3510-4678-b87c-73bf52f9c188</errorID>
      <errorWord>)</errorWord>
      <group>L1_Format</group>
      <groupName>格式问题</groupName>
      <ability>L2_HalfPunc</ability>
      <abilityName>全半角检查</abilityName>
      <candidateList>
        <item>）</item>
      </candidateList>
      <explain>文本全半角错误。</explain>
      <paraID> EAC9299</paraID>
      <start>6</start>
      <end>7</end>
      <status>unmodified</status>
      <modifiedWord/>
      <trackRevisions>false</trackRevisions>
    </reviewItem>
    <reviewItem>
      <errorID>0d0d93be-87a4-4e4e-aa36-c22014b31b12</errorID>
      <errorWord>＜</errorWord>
      <group>L1_Format</group>
      <groupName>格式问题</groupName>
      <ability>L2_HalfPunc</ability>
      <abilityName>全半角检查</abilityName>
      <candidateList>
        <item>&lt;</item>
      </candidateList>
      <explain>文本全半角错误。</explain>
      <paraID>15339C5E</paraID>
      <start>5</start>
      <end>6</end>
      <status>unmodified</status>
      <modifiedWord/>
      <trackRevisions>false</trackRevisions>
    </reviewItem>
    <reviewItem>
      <errorID>29b02852-df91-4bf2-bddb-167b01800729</errorID>
      <errorWord>＜</errorWord>
      <group>L1_Format</group>
      <groupName>格式问题</groupName>
      <ability>L2_HalfPunc</ability>
      <abilityName>全半角检查</abilityName>
      <candidateList>
        <item>&lt;</item>
      </candidateList>
      <explain>文本全半角错误。</explain>
      <paraID>77341812</paraID>
      <start>5</start>
      <end>6</end>
      <status>unmodified</status>
      <modifiedWord/>
      <trackRevisions>false</trackRevisions>
    </reviewItem>
    <reviewItem>
      <errorID>b4449dd0-99ba-49aa-bec2-5fafb9dbfd3f</errorID>
      <errorWord>＜</errorWord>
      <group>L1_Format</group>
      <groupName>格式问题</groupName>
      <ability>L2_HalfPunc</ability>
      <abilityName>全半角检查</abilityName>
      <candidateList>
        <item>&lt;</item>
      </candidateList>
      <explain>文本全半角错误。</explain>
      <paraID>6785C866</paraID>
      <start>1</start>
      <end>2</end>
      <status>unmodified</status>
      <modifiedWord/>
      <trackRevisions>false</trackRevisions>
    </reviewItem>
    <reviewItem>
      <errorID>1dad0336-1d23-4511-b40f-8f01b597fda1</errorID>
      <errorWord>(</errorWord>
      <group>L1_Format</group>
      <groupName>格式问题</groupName>
      <ability>L2_HalfPunc</ability>
      <abilityName>全半角检查</abilityName>
      <candidateList>
        <item>（</item>
      </candidateList>
      <explain>文本全半角错误。</explain>
      <paraID>67796889</paraID>
      <start>4</start>
      <end>5</end>
      <status>unmodified</status>
      <modifiedWord/>
      <trackRevisions>false</trackRevisions>
    </reviewItem>
    <reviewItem>
      <errorID>571f4eb0-0876-4da2-ba4b-ac0789800f83</errorID>
      <errorWord>)</errorWord>
      <group>L1_Format</group>
      <groupName>格式问题</groupName>
      <ability>L2_HalfPunc</ability>
      <abilityName>全半角检查</abilityName>
      <candidateList>
        <item>）</item>
      </candidateList>
      <explain>文本全半角错误。</explain>
      <paraID>67796889</paraID>
      <start>6</start>
      <end>7</end>
      <status>unmodified</status>
      <modifiedWord/>
      <trackRevisions>false</trackRevisions>
    </reviewItem>
    <reviewItem>
      <errorID>2216bfa5-6c52-4efe-b7c8-744d6aae8030</errorID>
      <errorWord>＜</errorWord>
      <group>L1_Format</group>
      <groupName>格式问题</groupName>
      <ability>L2_HalfPunc</ability>
      <abilityName>全半角检查</abilityName>
      <candidateList>
        <item>&lt;</item>
      </candidateList>
      <explain>文本全半角错误。</explain>
      <paraID>75BD180E</paraID>
      <start>6</start>
      <end>7</end>
      <status>unmodified</status>
      <modifiedWord/>
      <trackRevisions>false</trackRevisions>
    </reviewItem>
    <reviewItem>
      <errorID>53226fb2-69f2-47cf-97fa-847ba48f1be5</errorID>
      <errorWord>＜</errorWord>
      <group>L1_Format</group>
      <groupName>格式问题</groupName>
      <ability>L2_HalfPunc</ability>
      <abilityName>全半角检查</abilityName>
      <candidateList>
        <item>&lt;</item>
      </candidateList>
      <explain>文本全半角错误。</explain>
      <paraID>3CF57E2A</paraID>
      <start>6</start>
      <end>7</end>
      <status>unmodified</status>
      <modifiedWord/>
      <trackRevisions>false</trackRevisions>
    </reviewItem>
    <reviewItem>
      <errorID>363305e2-69e8-43bc-8bdb-361e15a8ed17</errorID>
      <errorWord>＜</errorWord>
      <group>L1_Format</group>
      <groupName>格式问题</groupName>
      <ability>L2_HalfPunc</ability>
      <abilityName>全半角检查</abilityName>
      <candidateList>
        <item>&lt;</item>
      </candidateList>
      <explain>文本全半角错误。</explain>
      <paraID>2063ED0E</paraID>
      <start>1</start>
      <end>2</end>
      <status>unmodified</status>
      <modifiedWord/>
      <trackRevisions>false</trackRevisions>
    </reviewItem>
    <reviewItem>
      <errorID>508a6e46-9d55-488b-83b4-bc3597559ab6</errorID>
      <errorWord>(</errorWord>
      <group>L1_Format</group>
      <groupName>格式问题</groupName>
      <ability>L2_HalfPunc</ability>
      <abilityName>全半角检查</abilityName>
      <candidateList>
        <item>（</item>
      </candidateList>
      <explain>文本全半角错误。</explain>
      <paraID>3A980451</paraID>
      <start>4</start>
      <end>5</end>
      <status>unmodified</status>
      <modifiedWord/>
      <trackRevisions>false</trackRevisions>
    </reviewItem>
    <reviewItem>
      <errorID>c0fce0a2-a35b-440f-b167-c967d5660631</errorID>
      <errorWord>)</errorWord>
      <group>L1_Format</group>
      <groupName>格式问题</groupName>
      <ability>L2_HalfPunc</ability>
      <abilityName>全半角检查</abilityName>
      <candidateList>
        <item>）</item>
      </candidateList>
      <explain>文本全半角错误。</explain>
      <paraID>3A980451</paraID>
      <start>6</start>
      <end>7</end>
      <status>unmodified</status>
      <modifiedWord/>
      <trackRevisions>false</trackRevisions>
    </reviewItem>
    <reviewItem>
      <errorID>c0bd2e43-e177-42d4-abca-3cd63dbda64e</errorID>
      <errorWord>＜</errorWord>
      <group>L1_Format</group>
      <groupName>格式问题</groupName>
      <ability>L2_HalfPunc</ability>
      <abilityName>全半角检查</abilityName>
      <candidateList>
        <item>&lt;</item>
      </candidateList>
      <explain>文本全半角错误。</explain>
      <paraID>2E33DEC2</paraID>
      <start>5</start>
      <end>6</end>
      <status>unmodified</status>
      <modifiedWord/>
      <trackRevisions>false</trackRevisions>
    </reviewItem>
    <reviewItem>
      <errorID>0fe2adf9-c0cb-413e-a0a5-0fe7e3e5e46c</errorID>
      <errorWord>＜</errorWord>
      <group>L1_Format</group>
      <groupName>格式问题</groupName>
      <ability>L2_HalfPunc</ability>
      <abilityName>全半角检查</abilityName>
      <candidateList>
        <item>&lt;</item>
      </candidateList>
      <explain>文本全半角错误。</explain>
      <paraID>33541C7D</paraID>
      <start>5</start>
      <end>6</end>
      <status>unmodified</status>
      <modifiedWord/>
      <trackRevisions>false</trackRevisions>
    </reviewItem>
    <reviewItem>
      <errorID>fe101e6e-3832-4cd5-8b3b-acdfa739eb5a</errorID>
      <errorWord>＜</errorWord>
      <group>L1_Format</group>
      <groupName>格式问题</groupName>
      <ability>L2_HalfPunc</ability>
      <abilityName>全半角检查</abilityName>
      <candidateList>
        <item>&lt;</item>
      </candidateList>
      <explain>文本全半角错误。</explain>
      <paraID>5479551D</paraID>
      <start>1</start>
      <end>2</end>
      <status>unmodified</status>
      <modifiedWord/>
      <trackRevisions>false</trackRevisions>
    </reviewItem>
    <reviewItem>
      <errorID>9a775066-20a5-4c8d-824a-31d541779223</errorID>
      <errorWord>(</errorWord>
      <group>L1_Format</group>
      <groupName>格式问题</groupName>
      <ability>L2_HalfPunc</ability>
      <abilityName>全半角检查</abilityName>
      <candidateList>
        <item>（</item>
      </candidateList>
      <explain>文本全半角错误。</explain>
      <paraID>706CDF38</paraID>
      <start>4</start>
      <end>5</end>
      <status>unmodified</status>
      <modifiedWord/>
      <trackRevisions>false</trackRevisions>
    </reviewItem>
    <reviewItem>
      <errorID>09ed23fd-3039-43f0-81d7-9cf15f5b957f</errorID>
      <errorWord>)</errorWord>
      <group>L1_Format</group>
      <groupName>格式问题</groupName>
      <ability>L2_HalfPunc</ability>
      <abilityName>全半角检查</abilityName>
      <candidateList>
        <item>）</item>
      </candidateList>
      <explain>文本全半角错误。</explain>
      <paraID>706CDF38</paraID>
      <start>6</start>
      <end>7</end>
      <status>unmodified</status>
      <modifiedWord/>
      <trackRevisions>false</trackRevisions>
    </reviewItem>
    <reviewItem>
      <errorID>4a7d24ae-8eaa-449c-a0d1-61c93888efea</errorID>
      <errorWord>＜</errorWord>
      <group>L1_Format</group>
      <groupName>格式问题</groupName>
      <ability>L2_HalfPunc</ability>
      <abilityName>全半角检查</abilityName>
      <candidateList>
        <item>&lt;</item>
      </candidateList>
      <explain>文本全半角错误。</explain>
      <paraID> 4D92751</paraID>
      <start>6</start>
      <end>7</end>
      <status>unmodified</status>
      <modifiedWord/>
      <trackRevisions>false</trackRevisions>
    </reviewItem>
    <reviewItem>
      <errorID>685db1ed-5370-49d4-91a6-97ede6a8d825</errorID>
      <errorWord>＜</errorWord>
      <group>L1_Format</group>
      <groupName>格式问题</groupName>
      <ability>L2_HalfPunc</ability>
      <abilityName>全半角检查</abilityName>
      <candidateList>
        <item>&lt;</item>
      </candidateList>
      <explain>文本全半角错误。</explain>
      <paraID>13EB73F2</paraID>
      <start>6</start>
      <end>7</end>
      <status>unmodified</status>
      <modifiedWord/>
      <trackRevisions>false</trackRevisions>
    </reviewItem>
    <reviewItem>
      <errorID>a4ad0aa0-34a5-4fb0-b62e-dbea17671f59</errorID>
      <errorWord>＜</errorWord>
      <group>L1_Format</group>
      <groupName>格式问题</groupName>
      <ability>L2_HalfPunc</ability>
      <abilityName>全半角检查</abilityName>
      <candidateList>
        <item>&lt;</item>
      </candidateList>
      <explain>文本全半角错误。</explain>
      <paraID>1B89987C</paraID>
      <start>1</start>
      <end>2</end>
      <status>unmodified</status>
      <modifiedWord/>
      <trackRevisions>false</trackRevisions>
    </reviewItem>
    <reviewItem>
      <errorID>48deaf1c-7099-4e32-81d8-7d888e3ef02e</errorID>
      <errorWord>(</errorWord>
      <group>L1_Format</group>
      <groupName>格式问题</groupName>
      <ability>L2_HalfPunc</ability>
      <abilityName>全半角检查</abilityName>
      <candidateList>
        <item>（</item>
      </candidateList>
      <explain>文本全半角错误。</explain>
      <paraID>4ED6A3D1</paraID>
      <start>4</start>
      <end>5</end>
      <status>unmodified</status>
      <modifiedWord/>
      <trackRevisions>false</trackRevisions>
    </reviewItem>
    <reviewItem>
      <errorID>77cde1c0-f90c-41ce-add7-962ce6cef039</errorID>
      <errorWord>)</errorWord>
      <group>L1_Format</group>
      <groupName>格式问题</groupName>
      <ability>L2_HalfPunc</ability>
      <abilityName>全半角检查</abilityName>
      <candidateList>
        <item>）</item>
      </candidateList>
      <explain>文本全半角错误。</explain>
      <paraID>4ED6A3D1</paraID>
      <start>6</start>
      <end>7</end>
      <status>unmodified</status>
      <modifiedWord/>
      <trackRevisions>false</trackRevisions>
    </reviewItem>
    <reviewItem>
      <errorID>ef35be12-1746-464c-bd06-1b922829c9e9</errorID>
      <errorWord>＜</errorWord>
      <group>L1_Format</group>
      <groupName>格式问题</groupName>
      <ability>L2_HalfPunc</ability>
      <abilityName>全半角检查</abilityName>
      <candidateList>
        <item>&lt;</item>
      </candidateList>
      <explain>文本全半角错误。</explain>
      <paraID>5FC983D3</paraID>
      <start>5</start>
      <end>6</end>
      <status>unmodified</status>
      <modifiedWord/>
      <trackRevisions>false</trackRevisions>
    </reviewItem>
    <reviewItem>
      <errorID>239946f1-0786-4559-bfcd-160ae3295cc7</errorID>
      <errorWord>＜</errorWord>
      <group>L1_Format</group>
      <groupName>格式问题</groupName>
      <ability>L2_HalfPunc</ability>
      <abilityName>全半角检查</abilityName>
      <candidateList>
        <item>&lt;</item>
      </candidateList>
      <explain>文本全半角错误。</explain>
      <paraID>6CAD0933</paraID>
      <start>5</start>
      <end>6</end>
      <status>unmodified</status>
      <modifiedWord/>
      <trackRevisions>false</trackRevisions>
    </reviewItem>
    <reviewItem>
      <errorID>bd4d64ee-a304-4584-9643-78b5981e9b2e</errorID>
      <errorWord>＜</errorWord>
      <group>L1_Format</group>
      <groupName>格式问题</groupName>
      <ability>L2_HalfPunc</ability>
      <abilityName>全半角检查</abilityName>
      <candidateList>
        <item>&lt;</item>
      </candidateList>
      <explain>文本全半角错误。</explain>
      <paraID>4FED42A8</paraID>
      <start>1</start>
      <end>2</end>
      <status>unmodified</status>
      <modifiedWord/>
      <trackRevisions>false</trackRevisions>
    </reviewItem>
    <reviewItem>
      <errorID>d6b65996-8ff7-43a8-b036-36a72a31394c</errorID>
      <errorWord>(</errorWord>
      <group>L1_Format</group>
      <groupName>格式问题</groupName>
      <ability>L2_HalfPunc</ability>
      <abilityName>全半角检查</abilityName>
      <candidateList>
        <item>（</item>
      </candidateList>
      <explain>文本全半角错误。</explain>
      <paraID>4E787511</paraID>
      <start>4</start>
      <end>5</end>
      <status>unmodified</status>
      <modifiedWord/>
      <trackRevisions>false</trackRevisions>
    </reviewItem>
    <reviewItem>
      <errorID>8e3d2bb3-35c9-49d8-a0a4-43317bf5214c</errorID>
      <errorWord>)</errorWord>
      <group>L1_Format</group>
      <groupName>格式问题</groupName>
      <ability>L2_HalfPunc</ability>
      <abilityName>全半角检查</abilityName>
      <candidateList>
        <item>）</item>
      </candidateList>
      <explain>文本全半角错误。</explain>
      <paraID>4E787511</paraID>
      <start>6</start>
      <end>7</end>
      <status>unmodified</status>
      <modifiedWord/>
      <trackRevisions>false</trackRevisions>
    </reviewItem>
    <reviewItem>
      <errorID>a8c3ab88-c34d-4ae6-bfb0-fbb6a2ecd465</errorID>
      <errorWord>＜</errorWord>
      <group>L1_Format</group>
      <groupName>格式问题</groupName>
      <ability>L2_HalfPunc</ability>
      <abilityName>全半角检查</abilityName>
      <candidateList>
        <item>&lt;</item>
      </candidateList>
      <explain>文本全半角错误。</explain>
      <paraID>1E518AB0</paraID>
      <start>6</start>
      <end>7</end>
      <status>unmodified</status>
      <modifiedWord/>
      <trackRevisions>false</trackRevisions>
    </reviewItem>
    <reviewItem>
      <errorID>c6ae546a-8d98-4954-aa27-27379b893eaa</errorID>
      <errorWord>＜</errorWord>
      <group>L1_Format</group>
      <groupName>格式问题</groupName>
      <ability>L2_HalfPunc</ability>
      <abilityName>全半角检查</abilityName>
      <candidateList>
        <item>&lt;</item>
      </candidateList>
      <explain>文本全半角错误。</explain>
      <paraID>42FD2DE8</paraID>
      <start>6</start>
      <end>7</end>
      <status>unmodified</status>
      <modifiedWord/>
      <trackRevisions>false</trackRevisions>
    </reviewItem>
    <reviewItem>
      <errorID>cd3dd23e-498c-43bc-b5c5-d634c2e38b37</errorID>
      <errorWord>＜</errorWord>
      <group>L1_Format</group>
      <groupName>格式问题</groupName>
      <ability>L2_HalfPunc</ability>
      <abilityName>全半角检查</abilityName>
      <candidateList>
        <item>&lt;</item>
      </candidateList>
      <explain>文本全半角错误。</explain>
      <paraID> 23DC9F1</paraID>
      <start>1</start>
      <end>2</end>
      <status>unmodified</status>
      <modifiedWord/>
      <trackRevisions>false</trackRevisions>
    </reviewItem>
    <reviewItem>
      <errorID>e38e7204-b091-401e-ac14-bb0ae004adc1</errorID>
      <errorWord>(</errorWord>
      <group>L1_Format</group>
      <groupName>格式问题</groupName>
      <ability>L2_HalfPunc</ability>
      <abilityName>全半角检查</abilityName>
      <candidateList>
        <item>（</item>
      </candidateList>
      <explain>文本全半角错误。</explain>
      <paraID>2F3F2C8F</paraID>
      <start>4</start>
      <end>5</end>
      <status>unmodified</status>
      <modifiedWord/>
      <trackRevisions>false</trackRevisions>
    </reviewItem>
    <reviewItem>
      <errorID>867e3420-ab15-4b8c-b70f-0971d8992425</errorID>
      <errorWord>)</errorWord>
      <group>L1_Format</group>
      <groupName>格式问题</groupName>
      <ability>L2_HalfPunc</ability>
      <abilityName>全半角检查</abilityName>
      <candidateList>
        <item>）</item>
      </candidateList>
      <explain>文本全半角错误。</explain>
      <paraID>2F3F2C8F</paraID>
      <start>6</start>
      <end>7</end>
      <status>unmodified</status>
      <modifiedWord/>
      <trackRevisions>false</trackRevisions>
    </reviewItem>
    <reviewItem>
      <errorID>733c58c0-ec6a-48bc-a952-f0eac7e1ca66</errorID>
      <errorWord>＜</errorWord>
      <group>L1_Format</group>
      <groupName>格式问题</groupName>
      <ability>L2_HalfPunc</ability>
      <abilityName>全半角检查</abilityName>
      <candidateList>
        <item>&lt;</item>
      </candidateList>
      <explain>文本全半角错误。</explain>
      <paraID>583AEF82</paraID>
      <start>5</start>
      <end>6</end>
      <status>unmodified</status>
      <modifiedWord/>
      <trackRevisions>false</trackRevisions>
    </reviewItem>
    <reviewItem>
      <errorID>cceb8c0e-4432-4781-9d79-bf04d129afbb</errorID>
      <errorWord>＜</errorWord>
      <group>L1_Format</group>
      <groupName>格式问题</groupName>
      <ability>L2_HalfPunc</ability>
      <abilityName>全半角检查</abilityName>
      <candidateList>
        <item>&lt;</item>
      </candidateList>
      <explain>文本全半角错误。</explain>
      <paraID>78599B28</paraID>
      <start>5</start>
      <end>6</end>
      <status>unmodified</status>
      <modifiedWord/>
      <trackRevisions>false</trackRevisions>
    </reviewItem>
    <reviewItem>
      <errorID>ec366c91-24b4-42f3-9b35-5af2ed868cc6</errorID>
      <errorWord>＜</errorWord>
      <group>L1_Format</group>
      <groupName>格式问题</groupName>
      <ability>L2_HalfPunc</ability>
      <abilityName>全半角检查</abilityName>
      <candidateList>
        <item>&lt;</item>
      </candidateList>
      <explain>文本全半角错误。</explain>
      <paraID>181730B7</paraID>
      <start>1</start>
      <end>2</end>
      <status>unmodified</status>
      <modifiedWord/>
      <trackRevisions>false</trackRevisions>
    </reviewItem>
    <reviewItem>
      <errorID>92294bb4-2154-4eb3-a5d6-ec45f29855e3</errorID>
      <errorWord>(</errorWord>
      <group>L1_Format</group>
      <groupName>格式问题</groupName>
      <ability>L2_HalfPunc</ability>
      <abilityName>全半角检查</abilityName>
      <candidateList>
        <item>（</item>
      </candidateList>
      <explain>文本全半角错误。</explain>
      <paraID>66C54760</paraID>
      <start>4</start>
      <end>5</end>
      <status>unmodified</status>
      <modifiedWord/>
      <trackRevisions>false</trackRevisions>
    </reviewItem>
    <reviewItem>
      <errorID>a627f3d1-d62c-4fa9-9ecd-9b18ad49cc97</errorID>
      <errorWord>)</errorWord>
      <group>L1_Format</group>
      <groupName>格式问题</groupName>
      <ability>L2_HalfPunc</ability>
      <abilityName>全半角检查</abilityName>
      <candidateList>
        <item>）</item>
      </candidateList>
      <explain>文本全半角错误。</explain>
      <paraID>66C54760</paraID>
      <start>6</start>
      <end>7</end>
      <status>unmodified</status>
      <modifiedWord/>
      <trackRevisions>false</trackRevisions>
    </reviewItem>
    <reviewItem>
      <errorID>857df4f9-e8fc-40dd-8ed3-27bbfc6b44e2</errorID>
      <errorWord>＜</errorWord>
      <group>L1_Format</group>
      <groupName>格式问题</groupName>
      <ability>L2_HalfPunc</ability>
      <abilityName>全半角检查</abilityName>
      <candidateList>
        <item>&lt;</item>
      </candidateList>
      <explain>文本全半角错误。</explain>
      <paraID> 365C8E1</paraID>
      <start>7</start>
      <end>8</end>
      <status>unmodified</status>
      <modifiedWord/>
      <trackRevisions>false</trackRevisions>
    </reviewItem>
    <reviewItem>
      <errorID>36fa551a-8427-4924-8ab5-0c9926db2402</errorID>
      <errorWord>＜</errorWord>
      <group>L1_Format</group>
      <groupName>格式问题</groupName>
      <ability>L2_HalfPunc</ability>
      <abilityName>全半角检查</abilityName>
      <candidateList>
        <item>&lt;</item>
      </candidateList>
      <explain>文本全半角错误。</explain>
      <paraID>2D296B7D</paraID>
      <start>6</start>
      <end>7</end>
      <status>unmodified</status>
      <modifiedWord/>
      <trackRevisions>false</trackRevisions>
    </reviewItem>
    <reviewItem>
      <errorID>01b71583-a216-4a03-8cee-68c4a1b5eed1</errorID>
      <errorWord>＜</errorWord>
      <group>L1_Format</group>
      <groupName>格式问题</groupName>
      <ability>L2_HalfPunc</ability>
      <abilityName>全半角检查</abilityName>
      <candidateList>
        <item>&lt;</item>
      </candidateList>
      <explain>文本全半角错误。</explain>
      <paraID>7C4977E3</paraID>
      <start>1</start>
      <end>2</end>
      <status>unmodified</status>
      <modifiedWord/>
      <trackRevisions>false</trackRevisions>
    </reviewItem>
    <reviewItem>
      <errorID>32822eac-b378-4816-9c19-70d909e4d414</errorID>
      <errorWord>(</errorWord>
      <group>L1_Format</group>
      <groupName>格式问题</groupName>
      <ability>L2_HalfPunc</ability>
      <abilityName>全半角检查</abilityName>
      <candidateList>
        <item>（</item>
      </candidateList>
      <explain>文本全半角错误。</explain>
      <paraID>6F20EF09</paraID>
      <start>4</start>
      <end>5</end>
      <status>ignored</status>
      <modifiedWord/>
      <trackRevisions>false</trackRevisions>
    </reviewItem>
    <reviewItem>
      <errorID>1736791d-a1b9-4dc4-a0b2-1c7b627cb1fa</errorID>
      <errorWord>)</errorWord>
      <group>L1_Format</group>
      <groupName>格式问题</groupName>
      <ability>L2_HalfPunc</ability>
      <abilityName>全半角检查</abilityName>
      <candidateList>
        <item>）</item>
      </candidateList>
      <explain>文本全半角错误。</explain>
      <paraID>6F20EF09</paraID>
      <start>6</start>
      <end>7</end>
      <status>unmodified</status>
      <modifiedWord/>
      <trackRevisions>false</trackRevisions>
    </reviewItem>
    <reviewItem>
      <errorID>06f29a54-2c9b-4c88-a56f-d01d1d1042a6</errorID>
      <errorWord>＜</errorWord>
      <group>L1_Format</group>
      <groupName>格式问题</groupName>
      <ability>L2_HalfPunc</ability>
      <abilityName>全半角检查</abilityName>
      <candidateList>
        <item>&lt;</item>
      </candidateList>
      <explain>文本全半角错误。</explain>
      <paraID>5EC67C01</paraID>
      <start>5</start>
      <end>6</end>
      <status>unmodified</status>
      <modifiedWord/>
      <trackRevisions>false</trackRevisions>
    </reviewItem>
    <reviewItem>
      <errorID>2af4badd-b3e2-449c-ab01-18e710b784e8</errorID>
      <errorWord>＜</errorWord>
      <group>L1_Format</group>
      <groupName>格式问题</groupName>
      <ability>L2_HalfPunc</ability>
      <abilityName>全半角检查</abilityName>
      <candidateList>
        <item>&lt;</item>
      </candidateList>
      <explain>文本全半角错误。</explain>
      <paraID>5CA930F0</paraID>
      <start>5</start>
      <end>6</end>
      <status>unmodified</status>
      <modifiedWord/>
      <trackRevisions>false</trackRevisions>
    </reviewItem>
    <reviewItem>
      <errorID>d799f1be-5ea7-428b-91fb-e95a6abf5df2</errorID>
      <errorWord>＜</errorWord>
      <group>L1_Format</group>
      <groupName>格式问题</groupName>
      <ability>L2_HalfPunc</ability>
      <abilityName>全半角检查</abilityName>
      <candidateList>
        <item>&lt;</item>
      </candidateList>
      <explain>文本全半角错误。</explain>
      <paraID>5EA6C152</paraID>
      <start>1</start>
      <end>2</end>
      <status>unmodified</status>
      <modifiedWord/>
      <trackRevisions>false</trackRevisions>
    </reviewItem>
    <reviewItem>
      <errorID>c187c429-0d39-462f-8a0a-d955a854df96</errorID>
      <errorWord>(</errorWord>
      <group>L1_Format</group>
      <groupName>格式问题</groupName>
      <ability>L2_HalfPunc</ability>
      <abilityName>全半角检查</abilityName>
      <candidateList>
        <item>（</item>
      </candidateList>
      <explain>文本全半角错误。</explain>
      <paraID>300AE843</paraID>
      <start>4</start>
      <end>5</end>
      <status>ignored</status>
      <modifiedWord/>
      <trackRevisions>false</trackRevisions>
    </reviewItem>
    <reviewItem>
      <errorID>702c46d5-e682-4850-9742-4f089e155a7e</errorID>
      <errorWord>)</errorWord>
      <group>L1_Format</group>
      <groupName>格式问题</groupName>
      <ability>L2_HalfPunc</ability>
      <abilityName>全半角检查</abilityName>
      <candidateList>
        <item>）</item>
      </candidateList>
      <explain>文本全半角错误。</explain>
      <paraID>300AE843</paraID>
      <start>6</start>
      <end>7</end>
      <status>ignored</status>
      <modifiedWord/>
      <trackRevisions>false</trackRevisions>
    </reviewItem>
    <reviewItem>
      <errorID>91790f6c-e5f5-4aef-af1b-98ada8f4955b</errorID>
      <errorWord>＜</errorWord>
      <group>L1_Format</group>
      <groupName>格式问题</groupName>
      <ability>L2_HalfPunc</ability>
      <abilityName>全半角检查</abilityName>
      <candidateList>
        <item>&lt;</item>
      </candidateList>
      <explain>文本全半角错误。</explain>
      <paraID>721EC285</paraID>
      <start>6</start>
      <end>7</end>
      <status>ignored</status>
      <modifiedWord/>
      <trackRevisions>false</trackRevisions>
    </reviewItem>
    <reviewItem>
      <errorID>e0175fd3-67cd-4ae3-bddf-2fc87f8e5c17</errorID>
      <errorWord>＜</errorWord>
      <group>L1_Format</group>
      <groupName>格式问题</groupName>
      <ability>L2_HalfPunc</ability>
      <abilityName>全半角检查</abilityName>
      <candidateList>
        <item>&lt;</item>
      </candidateList>
      <explain>文本全半角错误。</explain>
      <paraID>62EFF456</paraID>
      <start>6</start>
      <end>7</end>
      <status>ignored</status>
      <modifiedWord/>
      <trackRevisions>false</trackRevisions>
    </reviewItem>
    <reviewItem>
      <errorID>0a22a1f9-31df-4e57-957c-f61fd073fd75</errorID>
      <errorWord>＜</errorWord>
      <group>L1_Format</group>
      <groupName>格式问题</groupName>
      <ability>L2_HalfPunc</ability>
      <abilityName>全半角检查</abilityName>
      <candidateList>
        <item>&lt;</item>
      </candidateList>
      <explain>文本全半角错误。</explain>
      <paraID>53E292A3</paraID>
      <start>1</start>
      <end>2</end>
      <status>ignored</status>
      <modifiedWord/>
      <trackRevisions>false</trackRevisions>
    </reviewItem>
    <reviewItem>
      <errorID>81f8f826-df10-4c7b-8cc5-cc3086402b81</errorID>
      <errorWord>(</errorWord>
      <group>L1_Format</group>
      <groupName>格式问题</groupName>
      <ability>L2_HalfPunc</ability>
      <abilityName>全半角检查</abilityName>
      <candidateList>
        <item>（</item>
      </candidateList>
      <explain>文本全半角错误。</explain>
      <paraID>5B47563A</paraID>
      <start>4</start>
      <end>5</end>
      <status>ignored</status>
      <modifiedWord/>
      <trackRevisions>false</trackRevisions>
    </reviewItem>
    <reviewItem>
      <errorID>3af790f2-76a8-4ae7-9037-dc1851d90a9c</errorID>
      <errorWord>)</errorWord>
      <group>L1_Format</group>
      <groupName>格式问题</groupName>
      <ability>L2_HalfPunc</ability>
      <abilityName>全半角检查</abilityName>
      <candidateList>
        <item>）</item>
      </candidateList>
      <explain>文本全半角错误。</explain>
      <paraID>5B47563A</paraID>
      <start>6</start>
      <end>7</end>
      <status>ignored</status>
      <modifiedWord/>
      <trackRevisions>false</trackRevisions>
    </reviewItem>
    <reviewItem>
      <errorID>10606465-8a8f-4d7e-a64e-420c4d0dd2dd</errorID>
      <errorWord>＜</errorWord>
      <group>L1_Format</group>
      <groupName>格式问题</groupName>
      <ability>L2_HalfPunc</ability>
      <abilityName>全半角检查</abilityName>
      <candidateList>
        <item>&lt;</item>
      </candidateList>
      <explain>文本全半角错误。</explain>
      <paraID>681DFD6E</paraID>
      <start>7</start>
      <end>8</end>
      <status>ignored</status>
      <modifiedWord/>
      <trackRevisions>false</trackRevisions>
    </reviewItem>
    <reviewItem>
      <errorID>d5b37d8e-5e7c-44e7-9e6d-c3e44a5a3cb3</errorID>
      <errorWord>＜</errorWord>
      <group>L1_Format</group>
      <groupName>格式问题</groupName>
      <ability>L2_HalfPunc</ability>
      <abilityName>全半角检查</abilityName>
      <candidateList>
        <item>&lt;</item>
      </candidateList>
      <explain>文本全半角错误。</explain>
      <paraID> 5F909C4</paraID>
      <start>6</start>
      <end>7</end>
      <status>ignored</status>
      <modifiedWord/>
      <trackRevisions>false</trackRevisions>
    </reviewItem>
    <reviewItem>
      <errorID>8f1e67d1-e39e-4f84-8162-df8b367f5daa</errorID>
      <errorWord>＜</errorWord>
      <group>L1_Format</group>
      <groupName>格式问题</groupName>
      <ability>L2_HalfPunc</ability>
      <abilityName>全半角检查</abilityName>
      <candidateList>
        <item>&lt;</item>
      </candidateList>
      <explain>文本全半角错误。</explain>
      <paraID>24D3E7B8</paraID>
      <start>1</start>
      <end>2</end>
      <status>ignored</status>
      <modifiedWord/>
      <trackRevisions>false</trackRevisions>
    </reviewItem>
    <reviewItem>
      <errorID>e4b4bcf1-0232-45f1-baad-ef307fc8f698</errorID>
      <errorWord>(</errorWord>
      <group>L1_Format</group>
      <groupName>格式问题</groupName>
      <ability>L2_HalfPunc</ability>
      <abilityName>全半角检查</abilityName>
      <candidateList>
        <item>（</item>
      </candidateList>
      <explain>文本全半角错误。</explain>
      <paraID>776F2E5F</paraID>
      <start>4</start>
      <end>5</end>
      <status>ignored</status>
      <modifiedWord/>
      <trackRevisions>false</trackRevisions>
    </reviewItem>
    <reviewItem>
      <errorID>1dd08db9-80a0-492d-9fef-7878fae0a752</errorID>
      <errorWord>)</errorWord>
      <group>L1_Format</group>
      <groupName>格式问题</groupName>
      <ability>L2_HalfPunc</ability>
      <abilityName>全半角检查</abilityName>
      <candidateList>
        <item>）</item>
      </candidateList>
      <explain>文本全半角错误。</explain>
      <paraID>776F2E5F</paraID>
      <start>6</start>
      <end>7</end>
      <status>ignored</status>
      <modifiedWord/>
      <trackRevisions>false</trackRevisions>
    </reviewItem>
    <reviewItem>
      <errorID>b0cd2333-e456-4237-8d96-05ae1a07d8d0</errorID>
      <errorWord>＜</errorWord>
      <group>L1_Format</group>
      <groupName>格式问题</groupName>
      <ability>L2_HalfPunc</ability>
      <abilityName>全半角检查</abilityName>
      <candidateList>
        <item>&lt;</item>
      </candidateList>
      <explain>文本全半角错误。</explain>
      <paraID>3D87A905</paraID>
      <start>6</start>
      <end>7</end>
      <status>ignored</status>
      <modifiedWord/>
      <trackRevisions>false</trackRevisions>
    </reviewItem>
    <reviewItem>
      <errorID>66353901-7123-46f6-a4fb-e1b23e73df74</errorID>
      <errorWord>＜</errorWord>
      <group>L1_Format</group>
      <groupName>格式问题</groupName>
      <ability>L2_HalfPunc</ability>
      <abilityName>全半角检查</abilityName>
      <candidateList>
        <item>&lt;</item>
      </candidateList>
      <explain>文本全半角错误。</explain>
      <paraID>7094E58D</paraID>
      <start>6</start>
      <end>7</end>
      <status>ignored</status>
      <modifiedWord/>
      <trackRevisions>false</trackRevisions>
    </reviewItem>
    <reviewItem>
      <errorID>744e8cab-dfca-43dc-b56c-a2bfef0739ae</errorID>
      <errorWord>＜</errorWord>
      <group>L1_Format</group>
      <groupName>格式问题</groupName>
      <ability>L2_HalfPunc</ability>
      <abilityName>全半角检查</abilityName>
      <candidateList>
        <item>&lt;</item>
      </candidateList>
      <explain>文本全半角错误。</explain>
      <paraID> FDECD5F</paraID>
      <start>1</start>
      <end>2</end>
      <status>ignored</status>
      <modifiedWord/>
      <trackRevisions>false</trackRevisions>
    </reviewItem>
    <reviewItem>
      <errorID>cd735824-2dfc-4982-86b4-a24d4b973594</errorID>
      <errorWord>(</errorWord>
      <group>L1_Format</group>
      <groupName>格式问题</groupName>
      <ability>L2_HalfPunc</ability>
      <abilityName>全半角检查</abilityName>
      <candidateList>
        <item>（</item>
      </candidateList>
      <explain>文本全半角错误。</explain>
      <paraID>16334802</paraID>
      <start>4</start>
      <end>5</end>
      <status>ignored</status>
      <modifiedWord/>
      <trackRevisions>false</trackRevisions>
    </reviewItem>
    <reviewItem>
      <errorID>a0629498-65cc-4cd3-8e97-4bcb9d0345f1</errorID>
      <errorWord>)</errorWord>
      <group>L1_Format</group>
      <groupName>格式问题</groupName>
      <ability>L2_HalfPunc</ability>
      <abilityName>全半角检查</abilityName>
      <candidateList>
        <item>）</item>
      </candidateList>
      <explain>文本全半角错误。</explain>
      <paraID>16334802</paraID>
      <start>6</start>
      <end>7</end>
      <status>ignored</status>
      <modifiedWord/>
      <trackRevisions>false</trackRevisions>
    </reviewItem>
    <reviewItem>
      <errorID>f7b2627f-18bf-45fe-af30-2ab8186a938a</errorID>
      <errorWord>＜</errorWord>
      <group>L1_Format</group>
      <groupName>格式问题</groupName>
      <ability>L2_HalfPunc</ability>
      <abilityName>全半角检查</abilityName>
      <candidateList>
        <item>&lt;</item>
      </candidateList>
      <explain>文本全半角错误。</explain>
      <paraID> 20DE711</paraID>
      <start>5</start>
      <end>6</end>
      <status>ignored</status>
      <modifiedWord/>
      <trackRevisions>false</trackRevisions>
    </reviewItem>
    <reviewItem>
      <errorID>f94ffea0-1d82-459b-9e63-932a660687bb</errorID>
      <errorWord>＜</errorWord>
      <group>L1_Format</group>
      <groupName>格式问题</groupName>
      <ability>L2_HalfPunc</ability>
      <abilityName>全半角检查</abilityName>
      <candidateList>
        <item>&lt;</item>
      </candidateList>
      <explain>文本全半角错误。</explain>
      <paraID>7E945F1D</paraID>
      <start>5</start>
      <end>6</end>
      <status>ignored</status>
      <modifiedWord/>
      <trackRevisions>false</trackRevisions>
    </reviewItem>
    <reviewItem>
      <errorID>8ca7b115-2d86-4d33-8796-d03b5315cca6</errorID>
      <errorWord>＜</errorWord>
      <group>L1_Format</group>
      <groupName>格式问题</groupName>
      <ability>L2_HalfPunc</ability>
      <abilityName>全半角检查</abilityName>
      <candidateList>
        <item>&lt;</item>
      </candidateList>
      <explain>文本全半角错误。</explain>
      <paraID>4EE7C486</paraID>
      <start>1</start>
      <end>2</end>
      <status>ignored</status>
      <modifiedWord/>
      <trackRevisions>false</trackRevisions>
    </reviewItem>
    <reviewItem>
      <errorID>3861e8a9-9c06-4e5e-8ea8-b260fc8307d0</errorID>
      <errorWord>(</errorWord>
      <group>L1_Format</group>
      <groupName>格式问题</groupName>
      <ability>L2_HalfPunc</ability>
      <abilityName>全半角检查</abilityName>
      <candidateList>
        <item>（</item>
      </candidateList>
      <explain>文本全半角错误。</explain>
      <paraID>63F10C98</paraID>
      <start>4</start>
      <end>5</end>
      <status>ignored</status>
      <modifiedWord/>
      <trackRevisions>false</trackRevisions>
    </reviewItem>
    <reviewItem>
      <errorID>87d0c855-38a1-4e1d-b4fb-0f493673f060</errorID>
      <errorWord>)</errorWord>
      <group>L1_Format</group>
      <groupName>格式问题</groupName>
      <ability>L2_HalfPunc</ability>
      <abilityName>全半角检查</abilityName>
      <candidateList>
        <item>）</item>
      </candidateList>
      <explain>文本全半角错误。</explain>
      <paraID>63F10C98</paraID>
      <start>6</start>
      <end>7</end>
      <status>ignored</status>
      <modifiedWord/>
      <trackRevisions>false</trackRevisions>
    </reviewItem>
    <reviewItem>
      <errorID>40313ed6-806c-47b3-ae7e-741fdc5a261f</errorID>
      <errorWord>＜</errorWord>
      <group>L1_Format</group>
      <groupName>格式问题</groupName>
      <ability>L2_HalfPunc</ability>
      <abilityName>全半角检查</abilityName>
      <candidateList>
        <item>&lt;</item>
      </candidateList>
      <explain>文本全半角错误。</explain>
      <paraID>60095AFF</paraID>
      <start>6</start>
      <end>7</end>
      <status>ignored</status>
      <modifiedWord/>
      <trackRevisions>false</trackRevisions>
    </reviewItem>
    <reviewItem>
      <errorID>e9c33e5b-6739-4460-9843-4fe898a2025d</errorID>
      <errorWord>＜</errorWord>
      <group>L1_Format</group>
      <groupName>格式问题</groupName>
      <ability>L2_HalfPunc</ability>
      <abilityName>全半角检查</abilityName>
      <candidateList>
        <item>&lt;</item>
      </candidateList>
      <explain>文本全半角错误。</explain>
      <paraID>64CC894B</paraID>
      <start>6</start>
      <end>7</end>
      <status>ignored</status>
      <modifiedWord/>
      <trackRevisions>false</trackRevisions>
    </reviewItem>
    <reviewItem>
      <errorID>7b0b296f-3fe5-4a72-9f19-d049c67d2bda</errorID>
      <errorWord>＜</errorWord>
      <group>L1_Format</group>
      <groupName>格式问题</groupName>
      <ability>L2_HalfPunc</ability>
      <abilityName>全半角检查</abilityName>
      <candidateList>
        <item>&lt;</item>
      </candidateList>
      <explain>文本全半角错误。</explain>
      <paraID>5B0E8D9E</paraID>
      <start>1</start>
      <end>2</end>
      <status>ignored</status>
      <modifiedWord/>
      <trackRevisions>false</trackRevisions>
    </reviewItem>
    <reviewItem>
      <errorID>cae6737d-a9f2-41f6-8ca8-1c51b5c2d6c9</errorID>
      <errorWord>(</errorWord>
      <group>L1_Format</group>
      <groupName>格式问题</groupName>
      <ability>L2_HalfPunc</ability>
      <abilityName>全半角检查</abilityName>
      <candidateList>
        <item>（</item>
      </candidateList>
      <explain>文本全半角错误。</explain>
      <paraID>5B5FD75C</paraID>
      <start>4</start>
      <end>5</end>
      <status>ignored</status>
      <modifiedWord/>
      <trackRevisions>false</trackRevisions>
    </reviewItem>
    <reviewItem>
      <errorID>8a89093e-adc6-4975-b195-c417fa72e4af</errorID>
      <errorWord>)</errorWord>
      <group>L1_Format</group>
      <groupName>格式问题</groupName>
      <ability>L2_HalfPunc</ability>
      <abilityName>全半角检查</abilityName>
      <candidateList>
        <item>）</item>
      </candidateList>
      <explain>文本全半角错误。</explain>
      <paraID>5B5FD75C</paraID>
      <start>6</start>
      <end>7</end>
      <status>ignored</status>
      <modifiedWord/>
      <trackRevisions>false</trackRevisions>
    </reviewItem>
    <reviewItem>
      <errorID>05a024c7-8b2f-4f0a-83e2-93f8dbe0e774</errorID>
      <errorWord>＜</errorWord>
      <group>L1_Format</group>
      <groupName>格式问题</groupName>
      <ability>L2_HalfPunc</ability>
      <abilityName>全半角检查</abilityName>
      <candidateList>
        <item>&lt;</item>
      </candidateList>
      <explain>文本全半角错误。</explain>
      <paraID>203E591C</paraID>
      <start>5</start>
      <end>6</end>
      <status>ignored</status>
      <modifiedWord/>
      <trackRevisions>false</trackRevisions>
    </reviewItem>
    <reviewItem>
      <errorID>a2a7fa4c-2cc5-40c6-8443-909c91ed54b4</errorID>
      <errorWord>＜</errorWord>
      <group>L1_Format</group>
      <groupName>格式问题</groupName>
      <ability>L2_HalfPunc</ability>
      <abilityName>全半角检查</abilityName>
      <candidateList>
        <item>&lt;</item>
      </candidateList>
      <explain>文本全半角错误。</explain>
      <paraID>4A46DB3E</paraID>
      <start>5</start>
      <end>6</end>
      <status>ignored</status>
      <modifiedWord/>
      <trackRevisions>false</trackRevisions>
    </reviewItem>
    <reviewItem>
      <errorID>21bc1559-8dbb-4f2c-a9e1-297b3a8687a6</errorID>
      <errorWord>＜</errorWord>
      <group>L1_Format</group>
      <groupName>格式问题</groupName>
      <ability>L2_HalfPunc</ability>
      <abilityName>全半角检查</abilityName>
      <candidateList>
        <item>&lt;</item>
      </candidateList>
      <explain>文本全半角错误。</explain>
      <paraID>5168877A</paraID>
      <start>1</start>
      <end>2</end>
      <status>ignored</status>
      <modifiedWord/>
      <trackRevisions>false</trackRevisions>
    </reviewItem>
    <reviewItem>
      <errorID>f2db33e7-4199-4d74-82e0-ddc199b69f25</errorID>
      <errorWord>(</errorWord>
      <group>L1_Format</group>
      <groupName>格式问题</groupName>
      <ability>L2_HalfPunc</ability>
      <abilityName>全半角检查</abilityName>
      <candidateList>
        <item>（</item>
      </candidateList>
      <explain>文本全半角错误。</explain>
      <paraID>6EA862CC</paraID>
      <start>4</start>
      <end>5</end>
      <status>ignored</status>
      <modifiedWord/>
      <trackRevisions>false</trackRevisions>
    </reviewItem>
    <reviewItem>
      <errorID>c973b099-9791-4a05-9ad3-0a56ff54137a</errorID>
      <errorWord>)</errorWord>
      <group>L1_Format</group>
      <groupName>格式问题</groupName>
      <ability>L2_HalfPunc</ability>
      <abilityName>全半角检查</abilityName>
      <candidateList>
        <item>）</item>
      </candidateList>
      <explain>文本全半角错误。</explain>
      <paraID>6EA862CC</paraID>
      <start>6</start>
      <end>7</end>
      <status>ignored</status>
      <modifiedWord/>
      <trackRevisions>false</trackRevisions>
    </reviewItem>
    <reviewItem>
      <errorID>dbfe460c-9f16-4dde-ad80-dc973df221f6</errorID>
      <errorWord>＜</errorWord>
      <group>L1_Format</group>
      <groupName>格式问题</groupName>
      <ability>L2_HalfPunc</ability>
      <abilityName>全半角检查</abilityName>
      <candidateList>
        <item>&lt;</item>
      </candidateList>
      <explain>文本全半角错误。</explain>
      <paraID>3DE4DDED</paraID>
      <start>7</start>
      <end>8</end>
      <status>ignored</status>
      <modifiedWord/>
      <trackRevisions>false</trackRevisions>
    </reviewItem>
    <reviewItem>
      <errorID>180586c7-b4db-4b6c-8a44-22fb511260b0</errorID>
      <errorWord>＜</errorWord>
      <group>L1_Format</group>
      <groupName>格式问题</groupName>
      <ability>L2_HalfPunc</ability>
      <abilityName>全半角检查</abilityName>
      <candidateList>
        <item>&lt;</item>
      </candidateList>
      <explain>文本全半角错误。</explain>
      <paraID>5DF4CA28</paraID>
      <start>6</start>
      <end>7</end>
      <status>ignored</status>
      <modifiedWord/>
      <trackRevisions>false</trackRevisions>
    </reviewItem>
    <reviewItem>
      <errorID>a838e05c-12a7-4ee8-adc2-f2a375bc5391</errorID>
      <errorWord>＜</errorWord>
      <group>L1_Format</group>
      <groupName>格式问题</groupName>
      <ability>L2_HalfPunc</ability>
      <abilityName>全半角检查</abilityName>
      <candidateList>
        <item>&lt;</item>
      </candidateList>
      <explain>文本全半角错误。</explain>
      <paraID>61C7CFFF</paraID>
      <start>1</start>
      <end>2</end>
      <status>ignored</status>
      <modifiedWord/>
      <trackRevisions>false</trackRevisions>
    </reviewItem>
    <reviewItem>
      <errorID>e04576b0-a344-4c39-8eb3-641772807e5e</errorID>
      <errorWord>(</errorWord>
      <group>L1_Format</group>
      <groupName>格式问题</groupName>
      <ability>L2_HalfPunc</ability>
      <abilityName>全半角检查</abilityName>
      <candidateList>
        <item>（</item>
      </candidateList>
      <explain>文本全半角错误。</explain>
      <paraID>6832871C</paraID>
      <start>4</start>
      <end>5</end>
      <status>ignored</status>
      <modifiedWord/>
      <trackRevisions>false</trackRevisions>
    </reviewItem>
    <reviewItem>
      <errorID>a4ccd9d9-f5d3-4295-8c53-93b8ff7bf31d</errorID>
      <errorWord>)</errorWord>
      <group>L1_Format</group>
      <groupName>格式问题</groupName>
      <ability>L2_HalfPunc</ability>
      <abilityName>全半角检查</abilityName>
      <candidateList>
        <item>）</item>
      </candidateList>
      <explain>文本全半角错误。</explain>
      <paraID>6832871C</paraID>
      <start>6</start>
      <end>7</end>
      <status>ignored</status>
      <modifiedWord/>
      <trackRevisions>false</trackRevisions>
    </reviewItem>
    <reviewItem>
      <errorID>2a325424-3cd3-4ce4-92cf-7772a1218b06</errorID>
      <errorWord>＜</errorWord>
      <group>L1_Format</group>
      <groupName>格式问题</groupName>
      <ability>L2_HalfPunc</ability>
      <abilityName>全半角检查</abilityName>
      <candidateList>
        <item>&lt;</item>
      </candidateList>
      <explain>文本全半角错误。</explain>
      <paraID>716E5716</paraID>
      <start>5</start>
      <end>6</end>
      <status>ignored</status>
      <modifiedWord/>
      <trackRevisions>false</trackRevisions>
    </reviewItem>
    <reviewItem>
      <errorID>ca827cad-e116-48cf-9327-732159720592</errorID>
      <errorWord>＜</errorWord>
      <group>L1_Format</group>
      <groupName>格式问题</groupName>
      <ability>L2_HalfPunc</ability>
      <abilityName>全半角检查</abilityName>
      <candidateList>
        <item>&lt;</item>
      </candidateList>
      <explain>文本全半角错误。</explain>
      <paraID>3AD73273</paraID>
      <start>5</start>
      <end>6</end>
      <status>ignored</status>
      <modifiedWord/>
      <trackRevisions>false</trackRevisions>
    </reviewItem>
    <reviewItem>
      <errorID>682487df-7f7a-4022-b46b-b06e5892cf7f</errorID>
      <errorWord>＜</errorWord>
      <group>L1_Format</group>
      <groupName>格式问题</groupName>
      <ability>L2_HalfPunc</ability>
      <abilityName>全半角检查</abilityName>
      <candidateList>
        <item>&lt;</item>
      </candidateList>
      <explain>文本全半角错误。</explain>
      <paraID>7237E421</paraID>
      <start>1</start>
      <end>2</end>
      <status>ignored</status>
      <modifiedWord/>
      <trackRevisions>false</trackRevisions>
    </reviewItem>
    <reviewItem>
      <errorID>159b55e3-f256-4b8d-8e8b-eb9e9a8d1e95</errorID>
      <errorWord>须</errorWord>
      <group>L1_Word</group>
      <groupName>字词问题</groupName>
      <ability>L2_Typo</ability>
      <abilityName>字词错误</abilityName>
      <candidateList>
        <item>需</item>
      </candidateList>
      <explain>存在发音相同字词的误用。</explain>
      <paraID>4143A8FE</paraID>
      <start>39</start>
      <end>40</end>
      <status>unmodified</status>
      <modifiedWord/>
      <trackRevisions>false</trackRevisions>
    </reviewItem>
    <reviewItem>
      <errorID>6e2186b9-6759-4b8e-804b-21cff05c3b55</errorID>
      <errorWord>;</errorWord>
      <group>L1_Format</group>
      <groupName>格式问题</groupName>
      <ability>L2_HalfPunc</ability>
      <abilityName>全半角检查</abilityName>
      <candidateList>
        <item>；</item>
      </candidateList>
      <explain>文本全半角错误。</explain>
      <paraID>4603B1B8</paraID>
      <start>186</start>
      <end>187</end>
      <status>unmodified</status>
      <modifiedWord/>
      <trackRevisions>false</trackRevisions>
    </reviewItem>
    <reviewItem>
      <errorID>a468d5cd-403c-4d9a-9155-b365af5b21a7</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7305AEB9</paraID>
      <start>138</start>
      <end>140</end>
      <status>unmodified</status>
      <modifiedWord/>
      <trackRevisions>false</trackRevisions>
    </reviewItem>
    <reviewItem>
      <errorID>6fe9095f-fbc8-492d-80dc-eefed0ae0e6b</errorID>
      <errorWord>(</errorWord>
      <group>L1_Format</group>
      <groupName>格式问题</groupName>
      <ability>L2_HalfPunc</ability>
      <abilityName>全半角检查</abilityName>
      <candidateList>
        <item>（</item>
      </candidateList>
      <explain>文本全半角错误。</explain>
      <paraID>2D406420</paraID>
      <start>36</start>
      <end>37</end>
      <status>unmodified</status>
      <modifiedWord/>
      <trackRevisions>false</trackRevisions>
    </reviewItem>
    <reviewItem>
      <errorID>982f5b4b-2820-4076-ad8d-3cc583dfc916</errorID>
      <errorWord>)</errorWord>
      <group>L1_Format</group>
      <groupName>格式问题</groupName>
      <ability>L2_HalfPunc</ability>
      <abilityName>全半角检查</abilityName>
      <candidateList>
        <item>）</item>
      </candidateList>
      <explain>文本全半角错误。</explain>
      <paraID>2D406420</paraID>
      <start>43</start>
      <end>44</end>
      <status>unmodified</status>
      <modifiedWord/>
      <trackRevisions>false</trackRevisions>
    </reviewItem>
    <reviewItem>
      <errorID>22ef5f0c-fb54-48e9-9cc6-01f700d68fb8</errorID>
      <errorWord>,</errorWord>
      <group>L1_Format</group>
      <groupName>格式问题</groupName>
      <ability>L2_HalfPunc</ability>
      <abilityName>全半角检查</abilityName>
      <candidateList>
        <item>，</item>
      </candidateList>
      <explain>文本全半角错误。</explain>
      <paraID> A76C991</paraID>
      <start>78</start>
      <end>79</end>
      <status>unmodified</status>
      <modifiedWord/>
      <trackRevisions>false</trackRevisions>
    </reviewItem>
    <reviewItem>
      <errorID>ef028578-0e85-4656-ba6d-eb1e9e0ce53b</errorID>
      <errorWord>，</errorWord>
      <group>L1_Word</group>
      <groupName>字词问题</groupName>
      <ability>L2_Typo</ability>
      <abilityName>字词错误</abilityName>
      <candidateList>
        <item>，并</item>
      </candidateList>
      <explain/>
      <paraID>35CAD87C</paraID>
      <start>48</start>
      <end>49</end>
      <status>unmodified</status>
      <modifiedWord/>
      <trackRevisions>false</trackRevisions>
    </reviewItem>
    <reviewItem>
      <errorID>aac29726-7f2d-4254-b5dc-dd773c7fca15</errorID>
      <errorWord>(</errorWord>
      <group>L1_Format</group>
      <groupName>格式问题</groupName>
      <ability>L2_HalfPunc</ability>
      <abilityName>全半角检查</abilityName>
      <candidateList>
        <item>（</item>
      </candidateList>
      <explain>文本全半角错误。</explain>
      <paraID>20EC549B</paraID>
      <start>11</start>
      <end>12</end>
      <status>unmodified</status>
      <modifiedWord/>
      <trackRevisions>false</trackRevisions>
    </reviewItem>
    <reviewItem>
      <errorID>eb362bf4-abac-4712-97f6-a79932516520</errorID>
      <errorWord>)</errorWord>
      <group>L1_Format</group>
      <groupName>格式问题</groupName>
      <ability>L2_HalfPunc</ability>
      <abilityName>全半角检查</abilityName>
      <candidateList>
        <item>）</item>
      </candidateList>
      <explain>文本全半角错误。</explain>
      <paraID>20EC549B</paraID>
      <start>30</start>
      <end>31</end>
      <status>unmodified</status>
      <modifiedWord/>
      <trackRevisions>false</trackRevisions>
    </reviewItem>
    <reviewItem>
      <errorID>057d61b4-03fb-4a45-b3d0-10952110eabc</errorID>
      <errorWord>(</errorWord>
      <group>L1_Format</group>
      <groupName>格式问题</groupName>
      <ability>L2_HalfPunc</ability>
      <abilityName>全半角检查</abilityName>
      <candidateList>
        <item>（</item>
      </candidateList>
      <explain>文本全半角错误。</explain>
      <paraID>220D9C49</paraID>
      <start>2</start>
      <end>3</end>
      <status>unmodified</status>
      <modifiedWord/>
      <trackRevisions>false</trackRevisions>
    </reviewItem>
    <reviewItem>
      <errorID>8de3eddd-2826-46b8-a200-9c9b0d569152</errorID>
      <errorWord>)</errorWord>
      <group>L1_Format</group>
      <groupName>格式问题</groupName>
      <ability>L2_HalfPunc</ability>
      <abilityName>全半角检查</abilityName>
      <candidateList>
        <item>）</item>
      </candidateList>
      <explain>文本全半角错误。</explain>
      <paraID>220D9C49</paraID>
      <start>5</start>
      <end>6</end>
      <status>unmodified</status>
      <modifiedWord/>
      <trackRevisions>false</trackRevisions>
    </reviewItem>
    <reviewItem>
      <errorID>bcfa0199-feae-4e2e-8ef6-0c83810e36f9</errorID>
      <errorWord>(</errorWord>
      <group>L1_Format</group>
      <groupName>格式问题</groupName>
      <ability>L2_HalfPunc</ability>
      <abilityName>全半角检查</abilityName>
      <candidateList>
        <item>（</item>
      </candidateList>
      <explain>文本全半角错误。</explain>
      <paraID>220D9C49</paraID>
      <start>30</start>
      <end>31</end>
      <status>unmodified</status>
      <modifiedWord/>
      <trackRevisions>false</trackRevisions>
    </reviewItem>
    <reviewItem>
      <errorID>97f64731-44ff-44f6-84a4-ca7e3738dbf0</errorID>
      <errorWord>)</errorWord>
      <group>L1_Format</group>
      <groupName>格式问题</groupName>
      <ability>L2_HalfPunc</ability>
      <abilityName>全半角检查</abilityName>
      <candidateList>
        <item>）</item>
      </candidateList>
      <explain>文本全半角错误。</explain>
      <paraID>220D9C49</paraID>
      <start>33</start>
      <end>34</end>
      <status>unmodified</status>
      <modifiedWord/>
      <trackRevisions>false</trackRevisions>
    </reviewItem>
    <reviewItem>
      <errorID>5d12237b-d570-44e5-b806-98962b7bda88</errorID>
      <errorWord>(</errorWord>
      <group>L1_Format</group>
      <groupName>格式问题</groupName>
      <ability>L2_HalfPunc</ability>
      <abilityName>全半角检查</abilityName>
      <candidateList>
        <item>（</item>
      </candidateList>
      <explain>文本全半角错误。</explain>
      <paraID>4322AD08</paraID>
      <start>5</start>
      <end>6</end>
      <status>unmodified</status>
      <modifiedWord/>
      <trackRevisions>false</trackRevisions>
    </reviewItem>
    <reviewItem>
      <errorID>a6eb8718-ad2b-463b-8734-c2125c6a33fd</errorID>
      <errorWord>(</errorWord>
      <group>L1_Format</group>
      <groupName>格式问题</groupName>
      <ability>L2_HalfPunc</ability>
      <abilityName>全半角检查</abilityName>
      <candidateList>
        <item>（</item>
      </candidateList>
      <explain>文本全半角错误。</explain>
      <paraID>4322AD08</paraID>
      <start>27</start>
      <end>28</end>
      <status>unmodified</status>
      <modifiedWord/>
      <trackRevisions>false</trackRevisions>
    </reviewItem>
    <reviewItem>
      <errorID>3cbff2fd-0680-44d3-b800-3ca656c9bb6e</errorID>
      <errorWord>(</errorWord>
      <group>L1_Format</group>
      <groupName>格式问题</groupName>
      <ability>L2_HalfPunc</ability>
      <abilityName>全半角检查</abilityName>
      <candidateList>
        <item>（</item>
      </candidateList>
      <explain>文本全半角错误。</explain>
      <paraID>77B9315D</paraID>
      <start>0</start>
      <end>1</end>
      <status>ignored</status>
      <modifiedWord/>
      <trackRevisions>false</trackRevisions>
    </reviewItem>
    <reviewItem>
      <errorID>4b02e51d-aaad-4652-9b28-133b974d57e2</errorID>
      <errorWord>)</errorWord>
      <group>L1_Format</group>
      <groupName>格式问题</groupName>
      <ability>L2_HalfPunc</ability>
      <abilityName>全半角检查</abilityName>
      <candidateList>
        <item>）</item>
      </candidateList>
      <explain>文本全半角错误。</explain>
      <paraID>77B9315D</paraID>
      <start>3</start>
      <end>4</end>
      <status>ignored</status>
      <modifiedWord/>
      <trackRevisions>false</trackRevisions>
    </reviewItem>
    <reviewItem>
      <errorID>baddfeae-087b-45c4-b665-af35a420077d</errorID>
      <errorWord>)</errorWord>
      <group>L1_Format</group>
      <groupName>格式问题</groupName>
      <ability>L2_HalfPunc</ability>
      <abilityName>全半角检查</abilityName>
      <candidateList>
        <item>）</item>
      </candidateList>
      <explain>文本全半角错误。</explain>
      <paraID>77B9315D</paraID>
      <start>32</start>
      <end>33</end>
      <status>unmodified</status>
      <modifiedWord/>
      <trackRevisions>false</trackRevisions>
    </reviewItem>
    <reviewItem>
      <errorID>9251d6c0-c390-4a49-a79c-2e11727024a9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BE12FF2</paraID>
      <start>0</start>
      <end>2</end>
      <status>unmodified</status>
      <modifiedWord/>
      <trackRevisions>false</trackRevisions>
    </reviewItem>
    <reviewItem>
      <errorID>e3623982-0809-4c05-bf03-fbdfe98cf3c4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2A6822E2</paraID>
      <start>0</start>
      <end>2</end>
      <status>unmodified</status>
      <modifiedWord/>
      <trackRevisions>false</trackRevisions>
    </reviewItem>
    <reviewItem>
      <errorID>76ff9ae9-3c61-472d-a10e-751aba9b4b90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2CCB2901</paraID>
      <start>0</start>
      <end>2</end>
      <status>unmodified</status>
      <modifiedWord/>
      <trackRevisions>false</trackRevisions>
    </reviewItem>
    <reviewItem>
      <errorID>1ca48227-380b-48f2-840c-b60fe8ee9abd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7B3CBB72</paraID>
      <start>0</start>
      <end>2</end>
      <status>unmodified</status>
      <modifiedWord/>
      <trackRevisions>false</trackRevisions>
    </reviewItem>
    <reviewItem>
      <errorID>02bbaf61-86e9-4df2-8edf-4fa0e519e741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2F88E261</paraID>
      <start>0</start>
      <end>2</end>
      <status>unmodified</status>
      <modifiedWord/>
      <trackRevisions>false</trackRevisions>
    </reviewItem>
    <reviewItem>
      <errorID>ea31c7d3-a322-47b7-9886-4e2b968bd5c5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2DF92477</paraID>
      <start>0</start>
      <end>2</end>
      <status>unmodified</status>
      <modifiedWord/>
      <trackRevisions>false</trackRevisions>
    </reviewItem>
    <reviewItem>
      <errorID>2fb4abd5-e01b-4e3e-ae6e-541671576d74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1AD19E36</paraID>
      <start>0</start>
      <end>2</end>
      <status>unmodified</status>
      <modifiedWord/>
      <trackRevisions>false</trackRevisions>
    </reviewItem>
    <reviewItem>
      <errorID>cfa80edb-b005-428f-bca1-9bfe10a0cb62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2A71EBAC</paraID>
      <start>0</start>
      <end>2</end>
      <status>unmodified</status>
      <modifiedWord/>
      <trackRevisions>false</trackRevisions>
    </reviewItem>
    <reviewItem>
      <errorID>8f783545-d3aa-4346-8748-8b9ce669eef7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1B8810A</paraID>
      <start>0</start>
      <end>2</end>
      <status>unmodified</status>
      <modifiedWord/>
      <trackRevisions>false</trackRevisions>
    </reviewItem>
    <reviewItem>
      <errorID>893266e1-4971-4ca6-bc8a-ec5c61bd2a84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1D9E5BF8</paraID>
      <start>0</start>
      <end>2</end>
      <status>unmodified</status>
      <modifiedWord/>
      <trackRevisions>false</trackRevisions>
    </reviewItem>
    <reviewItem>
      <errorID>7c34fb1d-a56e-40fb-a7c6-db690aaa208a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75AFBD7D</paraID>
      <start>0</start>
      <end>2</end>
      <status>unmodified</status>
      <modifiedWord/>
      <trackRevisions>false</trackRevisions>
    </reviewItem>
    <reviewItem>
      <errorID>8542faaa-800c-46a7-9eec-2b6a833d0acf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2B707930</paraID>
      <start>0</start>
      <end>2</end>
      <status>unmodified</status>
      <modifiedWord/>
      <trackRevisions>false</trackRevisions>
    </reviewItem>
    <reviewItem>
      <errorID>aa2cdbc8-f020-470e-8770-4f9c13e338fb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3EC40B77</paraID>
      <start>0</start>
      <end>2</end>
      <status>unmodified</status>
      <modifiedWord/>
      <trackRevisions>false</trackRevisions>
    </reviewItem>
    <reviewItem>
      <errorID>9a475e5b-f28d-45b3-a1ae-95b47b13a923</errorID>
      <errorWord>(</errorWord>
      <group>L1_Format</group>
      <groupName>格式问题</groupName>
      <ability>L2_HalfPunc</ability>
      <abilityName>全半角检查</abilityName>
      <candidateList>
        <item>（</item>
      </candidateList>
      <explain>文本全半角错误。</explain>
      <paraID>5E74BE3B</paraID>
      <start>54</start>
      <end>55</end>
      <status>unmodified</status>
      <modifiedWord/>
      <trackRevisions>false</trackRevisions>
    </reviewItem>
    <reviewItem>
      <errorID>e6dd2a05-c78c-4dc2-a99d-cc5ac5edd878</errorID>
      <errorWord>)</errorWord>
      <group>L1_Format</group>
      <groupName>格式问题</groupName>
      <ability>L2_HalfPunc</ability>
      <abilityName>全半角检查</abilityName>
      <candidateList>
        <item>）</item>
      </candidateList>
      <explain>文本全半角错误。</explain>
      <paraID>5E74BE3B</paraID>
      <start>58</start>
      <end>59</end>
      <status>unmodified</status>
      <modifiedWord/>
      <trackRevisions>false</trackRevisions>
    </reviewItem>
    <reviewItem>
      <errorID>b7336da6-fea5-42a6-988e-86a34f3be5cf</errorID>
      <errorWord>，</errorWord>
      <group>L1_Word</group>
      <groupName>字词问题</groupName>
      <ability>L2_Typo</ability>
      <abilityName>字词错误</abilityName>
      <candidateList>
        <item>，并</item>
      </candidateList>
      <explain/>
      <paraID>5E74BE3B</paraID>
      <start>59</start>
      <end>60</end>
      <status>unmodified</status>
      <modifiedWord/>
      <trackRevisions>false</trackRevisions>
    </reviewItem>
    <reviewItem>
      <errorID>bc6ab33a-1759-4f7c-a544-514d7ebd9d52</errorID>
      <errorWord>标书中</errorWord>
      <group>L1_Word</group>
      <groupName>字词问题</groupName>
      <ability>L2_Typo</ability>
      <abilityName>字词错误</abilityName>
      <candidateList>
        <item>标书</item>
      </candidateList>
      <explain/>
      <paraID>5E74BE3B</paraID>
      <start>105</start>
      <end>108</end>
      <status>unmodified</status>
      <modifiedWord/>
      <trackRevisions>false</trackRevisions>
    </reviewItem>
    <reviewItem>
      <errorID>93170e92-6404-4733-828e-3af4b1db1dab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4219EF65</paraID>
      <start>0</start>
      <end>2</end>
      <status>unmodified</status>
      <modifiedWord/>
      <trackRevisions>false</trackRevisions>
    </reviewItem>
    <reviewItem>
      <errorID>93a59782-53cf-48b3-9588-801a5f164c33</errorID>
      <errorWord>标书中</errorWord>
      <group>L1_Word</group>
      <groupName>字词问题</groupName>
      <ability>L2_Typo</ability>
      <abilityName>字词错误</abilityName>
      <candidateList>
        <item>标书</item>
      </candidateList>
      <explain/>
      <paraID>38A06CAD</paraID>
      <start>94</start>
      <end>97</end>
      <status>unmodified</status>
      <modifiedWord/>
      <trackRevisions>false</trackRevisions>
    </reviewItem>
    <reviewItem>
      <errorID>25561a89-ca64-44b9-8d4a-da88c697e7f2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16961B76</paraID>
      <start>0</start>
      <end>2</end>
      <status>unmodified</status>
      <modifiedWord/>
      <trackRevisions>false</trackRevisions>
    </reviewItem>
    <reviewItem>
      <errorID>99605fa8-d004-4508-a3e6-ff09b98b2d5a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4E2852BF</paraID>
      <start>0</start>
      <end>2</end>
      <status>unmodified</status>
      <modifiedWord/>
      <trackRevisions>false</trackRevisions>
    </reviewItem>
    <reviewItem>
      <errorID>3aae272d-3127-4e27-a80c-23826df51bf5</errorID>
      <errorWord>，</errorWord>
      <group>L1_Word</group>
      <groupName>字词问题</groupName>
      <ability>L2_Typo</ability>
      <abilityName>字词错误</abilityName>
      <candidateList>
        <item>，在</item>
      </candidateList>
      <explain/>
      <paraID>4E2852BF</paraID>
      <start>73</start>
      <end>74</end>
      <status>unmodified</status>
      <modifiedWord/>
      <trackRevisions>false</trackRevisions>
    </reviewItem>
    <reviewItem>
      <errorID>4bb0a0fe-7fef-4177-9ec3-0c5370f0a340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778A2500</paraID>
      <start>0</start>
      <end>2</end>
      <status>unmodified</status>
      <modifiedWord/>
      <trackRevisions>false</trackRevisions>
    </reviewItem>
    <reviewItem>
      <errorID>d5a36b5e-3db9-4489-afde-4d1a770aa16e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3BAE1CFF</paraID>
      <start>0</start>
      <end>2</end>
      <status>unmodified</status>
      <modifiedWord/>
      <trackRevisions>false</trackRevisions>
    </reviewItem>
    <reviewItem>
      <errorID>7d166e01-78d8-45b3-bf8d-5c2fc42195dc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1E46FADD</paraID>
      <start>0</start>
      <end>2</end>
      <status>unmodified</status>
      <modifiedWord/>
      <trackRevisions>false</trackRevisions>
    </reviewItem>
    <reviewItem>
      <errorID>0494e58b-ba68-44c4-9e8b-3b5f852b4229</errorID>
      <errorWord>(</errorWord>
      <group>L1_Format</group>
      <groupName>格式问题</groupName>
      <ability>L2_HalfPunc</ability>
      <abilityName>全半角检查</abilityName>
      <candidateList>
        <item>（</item>
      </candidateList>
      <explain>文本全半角错误。</explain>
      <paraID>6C86F5DD</paraID>
      <start>0</start>
      <end>1</end>
      <status>unmodified</status>
      <modifiedWord/>
      <trackRevisions>false</trackRevisions>
    </reviewItem>
    <reviewItem>
      <errorID>8ab83cd9-1624-4170-b1fc-c6e2d108b63f</errorID>
      <errorWord>(</errorWord>
      <group>L1_Format</group>
      <groupName>格式问题</groupName>
      <ability>L2_HalfPunc</ability>
      <abilityName>全半角检查</abilityName>
      <candidateList>
        <item>（</item>
      </candidateList>
      <explain>文本全半角错误。</explain>
      <paraID>55468D52</paraID>
      <start>0</start>
      <end>1</end>
      <status>unmodified</status>
      <modifiedWord/>
      <trackRevisions>false</trackRevisions>
    </reviewItem>
    <reviewItem>
      <errorID>13ea047d-6b97-42d3-9df0-f203d16f1d79</errorID>
      <errorWord>(</errorWord>
      <group>L1_Format</group>
      <groupName>格式问题</groupName>
      <ability>L2_HalfPunc</ability>
      <abilityName>全半角检查</abilityName>
      <candidateList>
        <item>（</item>
      </candidateList>
      <explain>文本全半角错误。</explain>
      <paraID>6FA06AB9</paraID>
      <start>0</start>
      <end>1</end>
      <status>ignored</status>
      <modifiedWord/>
      <trackRevisions>false</trackRevisions>
    </reviewItem>
    <reviewItem>
      <errorID>551076ff-c015-47e3-8977-bb366fb60535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7DECFB52</paraID>
      <start>0</start>
      <end>2</end>
      <status>unmodified</status>
      <modifiedWord/>
      <trackRevisions>false</trackRevisions>
    </reviewItem>
    <reviewItem>
      <errorID>34d6f4ca-30ec-48c5-afc7-1cc3e0bcb1de</errorID>
      <errorWord>(</errorWord>
      <group>L1_Format</group>
      <groupName>格式问题</groupName>
      <ability>L2_HalfPunc</ability>
      <abilityName>全半角检查</abilityName>
      <candidateList>
        <item>（</item>
      </candidateList>
      <explain>文本全半角错误。</explain>
      <paraID>7AB9D65E</paraID>
      <start>49</start>
      <end>50</end>
      <status>unmodified</status>
      <modifiedWord/>
      <trackRevisions>false</trackRevisions>
    </reviewItem>
    <reviewItem>
      <errorID>0c52aed8-fd28-4eac-b215-0fbec3f7ba36</errorID>
      <errorWord>)</errorWord>
      <group>L1_Format</group>
      <groupName>格式问题</groupName>
      <ability>L2_HalfPunc</ability>
      <abilityName>全半角检查</abilityName>
      <candidateList>
        <item>）</item>
      </candidateList>
      <explain>文本全半角错误。</explain>
      <paraID>7AB9D65E</paraID>
      <start>53</start>
      <end>54</end>
      <status>unmodified</status>
      <modifiedWord/>
      <trackRevisions>false</trackRevisions>
    </reviewItem>
    <reviewItem>
      <errorID>0f7ed19d-7581-4302-b76d-c939ceb551ba</errorID>
      <errorWord>(</errorWord>
      <group>L1_Format</group>
      <groupName>格式问题</groupName>
      <ability>L2_HalfPunc</ability>
      <abilityName>全半角检查</abilityName>
      <candidateList>
        <item>（</item>
      </candidateList>
      <explain>文本全半角错误。</explain>
      <paraID>45C1C313</paraID>
      <start>5</start>
      <end>6</end>
      <status>unmodified</status>
      <modifiedWord/>
      <trackRevisions>false</trackRevisions>
    </reviewItem>
    <reviewItem>
      <errorID>6f56f016-22ef-4456-ba03-104e4a280aa8</errorID>
      <errorWord>等</errorWord>
      <group>L1_Word</group>
      <groupName>字词问题</groupName>
      <ability>L2_Typo</ability>
      <abilityName>字词错误</abilityName>
      <candidateList>
        <item>等以</item>
      </candidateList>
      <explain/>
      <paraID>172B6F2D</paraID>
      <start>69</start>
      <end>70</end>
      <status>unmodified</status>
      <modifiedWord/>
      <trackRevisions>false</trackRevisions>
    </reviewItem>
    <reviewItem>
      <errorID>d55137f3-61d5-45f6-a0af-f971b59b62b8</errorID>
      <errorWord>KW</errorWord>
      <group>L1_Word</group>
      <groupName>字词问题</groupName>
      <ability>L2_Typo</ability>
      <abilityName>字词错误</abilityName>
      <candidateList>
        <item>kW</item>
      </candidateList>
      <explain/>
      <paraID>335B1575</paraID>
      <start>2</start>
      <end>4</end>
      <status>unmodified</status>
      <modifiedWord/>
      <trackRevisions>false</trackRevisions>
    </reviewItem>
    <reviewItem>
      <errorID>ed2519ae-870d-4b56-b59f-a7109177d258</errorID>
      <errorWord>遵守的</errorWord>
      <group>L1_Word</group>
      <groupName>字词问题</groupName>
      <ability>L2_Typo</ability>
      <abilityName>字词错误</abilityName>
      <candidateList>
        <item>遵守</item>
      </candidateList>
      <explain/>
      <paraID>114E6993</paraID>
      <start>9</start>
      <end>12</end>
      <status>unmodified</status>
      <modifiedWord/>
      <trackRevisions>false</trackRevisions>
    </reviewItem>
    <reviewItem>
      <errorID>da1eb979-dda8-4e5a-af2d-4e409918f691</errorID>
      <errorWord>其它</errorWord>
      <group>L1_Word</group>
      <groupName>字词问题</groupName>
      <ability>L2_Alias</ability>
      <abilityName>也作/曾用词</abilityName>
      <candidateList>
        <item>其他</item>
      </candidateList>
      <explain>词汇[其它]为不规范表述或旧称，其规范书面表述为[其他]。</explain>
      <paraID>5E5AF26F</paraID>
      <start>3</start>
      <end>5</end>
      <status>unmodified</status>
      <modifiedWord/>
      <trackRevisions>false</trackRevisions>
    </reviewItem>
    <reviewItem>
      <errorID>1efc7715-4c57-476d-84ad-4ece94a7b9e8</errorID>
      <errorWord>其它</errorWord>
      <group>L1_Word</group>
      <groupName>字词问题</groupName>
      <ability>L2_Alias</ability>
      <abilityName>也作/曾用词</abilityName>
      <candidateList>
        <item>其他</item>
      </candidateList>
      <explain>词汇[其它]为不规范表述或旧称，其规范书面表述为[其他]。</explain>
      <paraID>5E5AF26F</paraID>
      <start>46</start>
      <end>48</end>
      <status>unmodified</status>
      <modifiedWord/>
      <trackRevisions>false</trackRevisions>
    </reviewItem>
    <reviewItem>
      <errorID>ed2cd1cd-ec67-46cd-bc14-61f5cc0b2296</errorID>
      <errorWord>标</errorWord>
      <group>L1_Word</group>
      <groupName>字词问题</groupName>
      <ability>L2_Typo</ability>
      <abilityName>字词错误</abilityName>
      <candidateList>
        <item>标书</item>
      </candidateList>
      <explain/>
      <paraID> D09E5CA</paraID>
      <start>4</start>
      <end>5</end>
      <status>unmodified</status>
      <modifiedWord/>
      <trackRevisions>false</trackRevisions>
    </reviewItem>
    <reviewItem>
      <errorID>b0139a04-b624-485f-843c-fc8509a8bcf1</errorID>
      <errorWord>(</errorWord>
      <group>L1_Format</group>
      <groupName>格式问题</groupName>
      <ability>L2_HalfPunc</ability>
      <abilityName>全半角检查</abilityName>
      <candidateList>
        <item>（</item>
      </candidateList>
      <explain>文本全半角错误。</explain>
      <paraID>3E40584B</paraID>
      <start>7</start>
      <end>8</end>
      <status>unmodified</status>
      <modifiedWord/>
      <trackRevisions>false</trackRevisions>
    </reviewItem>
    <reviewItem>
      <errorID>0248fc64-0333-4dcd-a551-972247327c92</errorID>
      <errorWord>)</errorWord>
      <group>L1_Format</group>
      <groupName>格式问题</groupName>
      <ability>L2_HalfPunc</ability>
      <abilityName>全半角检查</abilityName>
      <candidateList>
        <item>）</item>
      </candidateList>
      <explain>文本全半角错误。</explain>
      <paraID>3E40584B</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10BA6-330A-40F0-8D53-A760F1B776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109</Pages>
  <Words>22878</Words>
  <Characters>24062</Characters>
  <Lines>371</Lines>
  <Paragraphs>104</Paragraphs>
  <TotalTime>47</TotalTime>
  <ScaleCrop>false</ScaleCrop>
  <LinksUpToDate>false</LinksUpToDate>
  <CharactersWithSpaces>24289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2023-06-13T06:58:00Z</dcterms:created>
  <dc:creator>Administrator</dc:creator>
  <cp:lastModifiedBy>Administrator</cp:lastModifiedBy>
  <cp:lastPrinted>2026-04-23T07:19:00Z</cp:lastPrinted>
  <dcterms:modified xsi:type="dcterms:W3CDTF">2026-05-07T04:33:49Z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7B8B36EFE11D4EA2B43BA4E855C415D5_13</vt:lpwstr>
  </property>
  <property fmtid="{D5CDD505-2E9C-101B-9397-08002B2CF9AE}" pid="4" name="KSOTemplateDocerSaveRecord">
    <vt:lpwstr>eyJoZGlkIjoiNWU5ZWYxNjg2MDFmOTMwNTI0YzRkODg0ZDhjY2RmYjciLCJ1c2VySWQiOiIzNjQxMjMwIn0=</vt:lpwstr>
  </property>
</Properties>
</file>