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0A414">
      <w:pPr>
        <w:adjustRightInd w:val="0"/>
        <w:snapToGrid w:val="0"/>
        <w:spacing w:before="100" w:beforeAutospacing="1" w:after="100" w:afterAutospacing="1" w:line="360" w:lineRule="auto"/>
        <w:jc w:val="center"/>
        <w:rPr>
          <w:rFonts w:hint="eastAsia" w:ascii="仿宋_GB2312" w:hAnsi="仿宋" w:eastAsia="仿宋_GB2312" w:cs="仿宋"/>
          <w:b/>
          <w:spacing w:val="-20"/>
          <w:sz w:val="40"/>
          <w:szCs w:val="40"/>
          <w:lang w:eastAsia="zh-CN"/>
        </w:rPr>
      </w:pPr>
    </w:p>
    <w:p w14:paraId="1354EAD7">
      <w:pPr>
        <w:adjustRightInd w:val="0"/>
        <w:snapToGrid w:val="0"/>
        <w:spacing w:before="100" w:beforeAutospacing="1" w:after="100" w:afterAutospacing="1" w:line="360" w:lineRule="auto"/>
        <w:jc w:val="center"/>
        <w:rPr>
          <w:rFonts w:hint="eastAsia" w:ascii="仿宋_GB2312" w:hAnsi="仿宋" w:eastAsia="仿宋_GB2312" w:cs="仿宋"/>
          <w:b/>
          <w:spacing w:val="-20"/>
          <w:sz w:val="40"/>
          <w:szCs w:val="40"/>
          <w:lang w:eastAsia="zh-CN"/>
        </w:rPr>
      </w:pPr>
      <w:r>
        <w:rPr>
          <w:rFonts w:hint="eastAsia" w:ascii="仿宋_GB2312" w:hAnsi="仿宋" w:eastAsia="仿宋_GB2312" w:cs="仿宋"/>
          <w:b/>
          <w:spacing w:val="-20"/>
          <w:sz w:val="40"/>
          <w:szCs w:val="40"/>
          <w:lang w:eastAsia="zh-CN"/>
        </w:rPr>
        <w:t>中共浙江省委组织部（本级）</w:t>
      </w:r>
      <w:r>
        <w:rPr>
          <w:rFonts w:hint="eastAsia" w:ascii="仿宋_GB2312" w:hAnsi="仿宋" w:eastAsia="仿宋_GB2312" w:cs="仿宋"/>
          <w:b/>
          <w:spacing w:val="-20"/>
          <w:sz w:val="40"/>
          <w:szCs w:val="40"/>
          <w:lang w:val="en-US" w:eastAsia="zh-CN"/>
        </w:rPr>
        <w:t>流动党员一体智管</w:t>
      </w:r>
      <w:r>
        <w:rPr>
          <w:rFonts w:hint="eastAsia" w:ascii="仿宋_GB2312" w:hAnsi="仿宋" w:eastAsia="仿宋_GB2312" w:cs="仿宋"/>
          <w:b/>
          <w:spacing w:val="-20"/>
          <w:sz w:val="40"/>
          <w:szCs w:val="40"/>
          <w:lang w:eastAsia="zh-CN"/>
        </w:rPr>
        <w:t>项目</w:t>
      </w:r>
    </w:p>
    <w:p w14:paraId="06C0E32E">
      <w:pPr>
        <w:adjustRightInd w:val="0"/>
        <w:snapToGrid w:val="0"/>
        <w:spacing w:before="100" w:beforeAutospacing="1" w:after="100" w:afterAutospacing="1" w:line="360" w:lineRule="auto"/>
        <w:jc w:val="center"/>
        <w:rPr>
          <w:rFonts w:ascii="仿宋_GB2312" w:hAnsi="仿宋" w:eastAsia="仿宋_GB2312" w:cs="仿宋"/>
          <w:b/>
          <w:sz w:val="48"/>
          <w:szCs w:val="48"/>
        </w:rPr>
      </w:pPr>
      <w:r>
        <w:rPr>
          <w:rFonts w:hint="eastAsia" w:ascii="仿宋_GB2312" w:hAnsi="仿宋" w:eastAsia="仿宋_GB2312" w:cs="仿宋"/>
          <w:b/>
          <w:sz w:val="48"/>
          <w:szCs w:val="48"/>
        </w:rPr>
        <w:t>磋 商 文 件</w:t>
      </w:r>
    </w:p>
    <w:p w14:paraId="219DA35F">
      <w:pPr>
        <w:adjustRightInd w:val="0"/>
        <w:snapToGrid w:val="0"/>
        <w:spacing w:before="100" w:beforeAutospacing="1" w:after="100" w:afterAutospacing="1" w:line="360" w:lineRule="auto"/>
        <w:jc w:val="center"/>
        <w:rPr>
          <w:rFonts w:ascii="仿宋_GB2312" w:hAnsi="仿宋" w:eastAsia="仿宋_GB2312" w:cs="仿宋"/>
          <w:b/>
          <w:sz w:val="32"/>
          <w:szCs w:val="32"/>
        </w:rPr>
      </w:pPr>
      <w:r>
        <w:rPr>
          <w:rFonts w:hint="eastAsia" w:ascii="仿宋_GB2312" w:hAnsi="仿宋" w:eastAsia="仿宋_GB2312" w:cs="仿宋"/>
          <w:b/>
          <w:sz w:val="32"/>
          <w:szCs w:val="32"/>
        </w:rPr>
        <w:t>（政采云电子招投标）</w:t>
      </w:r>
    </w:p>
    <w:p w14:paraId="2E715BC9">
      <w:pPr>
        <w:pStyle w:val="17"/>
        <w:adjustRightInd w:val="0"/>
        <w:snapToGrid w:val="0"/>
        <w:spacing w:beforeLines="0" w:afterLines="0" w:line="360" w:lineRule="auto"/>
        <w:jc w:val="center"/>
        <w:rPr>
          <w:rFonts w:hint="default" w:ascii="仿宋_GB2312" w:hAnsi="仿宋" w:eastAsia="仿宋_GB2312" w:cs="仿宋"/>
          <w:b/>
          <w:bCs/>
          <w:w w:val="95"/>
          <w:sz w:val="30"/>
          <w:szCs w:val="30"/>
          <w:lang w:val="en-US"/>
        </w:rPr>
      </w:pPr>
      <w:r>
        <w:rPr>
          <w:rFonts w:hint="eastAsia" w:ascii="仿宋_GB2312" w:hAnsi="仿宋" w:eastAsia="仿宋_GB2312" w:cs="仿宋"/>
          <w:b/>
          <w:bCs/>
          <w:sz w:val="32"/>
          <w:szCs w:val="32"/>
        </w:rPr>
        <w:t>项目编号：</w:t>
      </w:r>
      <w:r>
        <w:rPr>
          <w:rFonts w:hint="eastAsia" w:ascii="仿宋_GB2312" w:hAnsi="仿宋" w:eastAsia="仿宋_GB2312" w:cs="仿宋"/>
          <w:b/>
          <w:bCs/>
          <w:sz w:val="32"/>
          <w:szCs w:val="32"/>
          <w:lang w:eastAsia="zh-CN"/>
        </w:rPr>
        <w:t>ZJTY202</w:t>
      </w:r>
      <w:r>
        <w:rPr>
          <w:rFonts w:hint="eastAsia" w:ascii="仿宋_GB2312" w:hAnsi="仿宋" w:eastAsia="仿宋_GB2312" w:cs="仿宋"/>
          <w:b/>
          <w:bCs/>
          <w:sz w:val="32"/>
          <w:szCs w:val="32"/>
          <w:lang w:val="en-US" w:eastAsia="zh-CN"/>
        </w:rPr>
        <w:t>6M</w:t>
      </w:r>
      <w:r>
        <w:rPr>
          <w:rFonts w:hint="eastAsia" w:ascii="仿宋_GB2312" w:hAnsi="仿宋" w:eastAsia="仿宋_GB2312" w:cs="仿宋"/>
          <w:b/>
          <w:bCs/>
          <w:sz w:val="32"/>
          <w:szCs w:val="32"/>
          <w:lang w:eastAsia="zh-CN"/>
        </w:rPr>
        <w:t>-JF-</w:t>
      </w:r>
      <w:r>
        <w:rPr>
          <w:rFonts w:hint="eastAsia" w:ascii="仿宋_GB2312" w:hAnsi="仿宋" w:eastAsia="仿宋_GB2312" w:cs="仿宋"/>
          <w:b/>
          <w:bCs/>
          <w:sz w:val="32"/>
          <w:szCs w:val="32"/>
          <w:lang w:val="en-US" w:eastAsia="zh-CN"/>
        </w:rPr>
        <w:t>32</w:t>
      </w:r>
    </w:p>
    <w:p w14:paraId="4CF89E82">
      <w:pPr>
        <w:pStyle w:val="17"/>
        <w:adjustRightInd w:val="0"/>
        <w:snapToGrid w:val="0"/>
        <w:spacing w:beforeLines="0" w:afterLines="0" w:line="360" w:lineRule="auto"/>
        <w:jc w:val="center"/>
        <w:rPr>
          <w:rFonts w:ascii="仿宋_GB2312" w:hAnsi="仿宋" w:eastAsia="仿宋_GB2312" w:cs="仿宋"/>
          <w:b/>
          <w:bCs/>
          <w:w w:val="95"/>
          <w:sz w:val="30"/>
          <w:szCs w:val="30"/>
        </w:rPr>
      </w:pPr>
    </w:p>
    <w:p w14:paraId="7EBB8FE7">
      <w:pPr>
        <w:pStyle w:val="17"/>
        <w:adjustRightInd w:val="0"/>
        <w:snapToGrid w:val="0"/>
        <w:spacing w:beforeLines="0" w:afterLines="0" w:line="360" w:lineRule="auto"/>
        <w:rPr>
          <w:rFonts w:ascii="仿宋_GB2312" w:hAnsi="仿宋" w:eastAsia="仿宋_GB2312" w:cs="仿宋"/>
          <w:b/>
          <w:bCs/>
          <w:w w:val="95"/>
          <w:sz w:val="30"/>
          <w:szCs w:val="30"/>
        </w:rPr>
      </w:pPr>
    </w:p>
    <w:p w14:paraId="35563250">
      <w:pPr>
        <w:pStyle w:val="17"/>
        <w:adjustRightInd w:val="0"/>
        <w:snapToGrid w:val="0"/>
        <w:spacing w:beforeLines="0" w:afterLines="0" w:line="360" w:lineRule="auto"/>
        <w:rPr>
          <w:rFonts w:ascii="仿宋_GB2312" w:hAnsi="仿宋" w:eastAsia="仿宋_GB2312" w:cs="仿宋"/>
          <w:b/>
          <w:bCs/>
          <w:w w:val="95"/>
          <w:sz w:val="30"/>
          <w:szCs w:val="30"/>
        </w:rPr>
      </w:pPr>
    </w:p>
    <w:p w14:paraId="1E54C3B9">
      <w:pPr>
        <w:pStyle w:val="17"/>
        <w:adjustRightInd w:val="0"/>
        <w:snapToGrid w:val="0"/>
        <w:spacing w:beforeLines="0" w:afterLines="0" w:line="360" w:lineRule="auto"/>
        <w:rPr>
          <w:rFonts w:ascii="仿宋_GB2312" w:hAnsi="仿宋" w:eastAsia="仿宋_GB2312" w:cs="仿宋"/>
          <w:b/>
          <w:bCs/>
          <w:w w:val="95"/>
          <w:sz w:val="30"/>
          <w:szCs w:val="30"/>
        </w:rPr>
      </w:pPr>
    </w:p>
    <w:p w14:paraId="733520C6">
      <w:pPr>
        <w:pStyle w:val="17"/>
        <w:adjustRightInd w:val="0"/>
        <w:snapToGrid w:val="0"/>
        <w:spacing w:beforeLines="0" w:afterLines="0" w:line="360" w:lineRule="auto"/>
        <w:rPr>
          <w:rFonts w:ascii="仿宋_GB2312" w:hAnsi="仿宋" w:eastAsia="仿宋_GB2312" w:cs="仿宋"/>
          <w:b/>
          <w:bCs/>
          <w:w w:val="95"/>
          <w:sz w:val="30"/>
          <w:szCs w:val="30"/>
        </w:rPr>
      </w:pPr>
    </w:p>
    <w:p w14:paraId="22FA1CF5">
      <w:pPr>
        <w:pStyle w:val="17"/>
        <w:adjustRightInd w:val="0"/>
        <w:snapToGrid w:val="0"/>
        <w:spacing w:beforeLines="0" w:afterLines="0" w:line="360" w:lineRule="auto"/>
        <w:rPr>
          <w:rFonts w:ascii="仿宋_GB2312" w:hAnsi="仿宋" w:eastAsia="仿宋_GB2312" w:cs="仿宋"/>
          <w:b/>
          <w:bCs/>
          <w:w w:val="95"/>
          <w:sz w:val="30"/>
          <w:szCs w:val="30"/>
        </w:rPr>
      </w:pPr>
    </w:p>
    <w:p w14:paraId="1BB8A0BB">
      <w:pPr>
        <w:pStyle w:val="17"/>
        <w:adjustRightInd w:val="0"/>
        <w:snapToGrid w:val="0"/>
        <w:spacing w:beforeLines="0" w:afterLines="0" w:line="360" w:lineRule="auto"/>
        <w:jc w:val="center"/>
        <w:rPr>
          <w:rFonts w:ascii="仿宋_GB2312" w:hAnsi="仿宋" w:eastAsia="仿宋_GB2312" w:cs="仿宋"/>
          <w:b/>
          <w:bCs/>
          <w:w w:val="95"/>
          <w:sz w:val="30"/>
          <w:szCs w:val="30"/>
        </w:rPr>
      </w:pPr>
    </w:p>
    <w:p w14:paraId="1AF2B578">
      <w:pPr>
        <w:pStyle w:val="17"/>
        <w:adjustRightInd w:val="0"/>
        <w:snapToGrid w:val="0"/>
        <w:spacing w:beforeLines="0" w:afterLines="0" w:line="360" w:lineRule="auto"/>
        <w:rPr>
          <w:rFonts w:ascii="仿宋_GB2312" w:hAnsi="仿宋" w:eastAsia="仿宋_GB2312" w:cs="仿宋"/>
          <w:b/>
          <w:bCs/>
          <w:w w:val="95"/>
          <w:sz w:val="32"/>
          <w:szCs w:val="32"/>
        </w:rPr>
      </w:pPr>
    </w:p>
    <w:p w14:paraId="3933552F">
      <w:pPr>
        <w:pStyle w:val="17"/>
        <w:adjustRightInd w:val="0"/>
        <w:snapToGrid w:val="0"/>
        <w:spacing w:beforeLines="0" w:afterLines="0" w:line="360" w:lineRule="auto"/>
        <w:ind w:firstLine="1374" w:firstLineChars="450"/>
        <w:rPr>
          <w:rFonts w:hint="eastAsia" w:ascii="仿宋_GB2312" w:hAnsi="仿宋" w:eastAsia="仿宋_GB2312" w:cs="仿宋"/>
          <w:b/>
          <w:bCs/>
          <w:w w:val="95"/>
          <w:sz w:val="32"/>
          <w:szCs w:val="32"/>
        </w:rPr>
      </w:pPr>
    </w:p>
    <w:p w14:paraId="4CA255EA">
      <w:pPr>
        <w:pStyle w:val="17"/>
        <w:adjustRightInd w:val="0"/>
        <w:snapToGrid w:val="0"/>
        <w:spacing w:beforeLines="0" w:afterLines="0" w:line="360" w:lineRule="auto"/>
        <w:ind w:firstLine="1374" w:firstLineChars="450"/>
        <w:rPr>
          <w:rFonts w:hint="eastAsia" w:ascii="仿宋_GB2312" w:hAnsi="仿宋" w:eastAsia="仿宋_GB2312" w:cs="仿宋"/>
          <w:b/>
          <w:bCs/>
          <w:w w:val="95"/>
          <w:sz w:val="32"/>
          <w:szCs w:val="32"/>
        </w:rPr>
      </w:pPr>
    </w:p>
    <w:p w14:paraId="6091D4E6">
      <w:pPr>
        <w:pStyle w:val="17"/>
        <w:adjustRightInd w:val="0"/>
        <w:snapToGrid w:val="0"/>
        <w:spacing w:beforeLines="0" w:afterLines="0" w:line="360" w:lineRule="auto"/>
        <w:ind w:firstLine="1374" w:firstLineChars="450"/>
        <w:rPr>
          <w:rFonts w:hint="eastAsia" w:ascii="仿宋_GB2312" w:hAnsi="仿宋" w:eastAsia="仿宋_GB2312" w:cs="仿宋"/>
          <w:b/>
          <w:bCs/>
          <w:w w:val="95"/>
          <w:sz w:val="32"/>
          <w:szCs w:val="32"/>
        </w:rPr>
      </w:pPr>
    </w:p>
    <w:p w14:paraId="46E6EA68">
      <w:pPr>
        <w:pStyle w:val="17"/>
        <w:adjustRightInd w:val="0"/>
        <w:snapToGrid w:val="0"/>
        <w:spacing w:beforeLines="0" w:afterLines="0" w:line="360" w:lineRule="auto"/>
        <w:ind w:firstLine="1374" w:firstLineChars="450"/>
        <w:rPr>
          <w:rFonts w:hint="default" w:ascii="仿宋_GB2312" w:hAnsi="仿宋" w:eastAsia="仿宋_GB2312" w:cs="仿宋"/>
          <w:b/>
          <w:bCs/>
          <w:w w:val="95"/>
          <w:sz w:val="32"/>
          <w:szCs w:val="32"/>
          <w:lang w:val="en-US" w:eastAsia="zh-CN"/>
        </w:rPr>
      </w:pPr>
      <w:r>
        <w:rPr>
          <w:rFonts w:hint="eastAsia" w:ascii="仿宋_GB2312" w:hAnsi="仿宋" w:eastAsia="仿宋_GB2312" w:cs="仿宋"/>
          <w:b/>
          <w:bCs/>
          <w:w w:val="95"/>
          <w:sz w:val="32"/>
          <w:szCs w:val="32"/>
        </w:rPr>
        <w:t xml:space="preserve">采 </w:t>
      </w:r>
      <w:r>
        <w:rPr>
          <w:rFonts w:ascii="仿宋_GB2312" w:hAnsi="仿宋" w:eastAsia="仿宋_GB2312" w:cs="仿宋"/>
          <w:b/>
          <w:bCs/>
          <w:w w:val="95"/>
          <w:sz w:val="32"/>
          <w:szCs w:val="32"/>
        </w:rPr>
        <w:t xml:space="preserve">  </w:t>
      </w:r>
      <w:r>
        <w:rPr>
          <w:rFonts w:hint="eastAsia" w:ascii="仿宋_GB2312" w:hAnsi="仿宋" w:eastAsia="仿宋_GB2312" w:cs="仿宋"/>
          <w:b/>
          <w:bCs/>
          <w:w w:val="95"/>
          <w:sz w:val="32"/>
          <w:szCs w:val="32"/>
        </w:rPr>
        <w:t xml:space="preserve">购 </w:t>
      </w:r>
      <w:r>
        <w:rPr>
          <w:rFonts w:ascii="仿宋_GB2312" w:hAnsi="仿宋" w:eastAsia="仿宋_GB2312" w:cs="仿宋"/>
          <w:b/>
          <w:bCs/>
          <w:w w:val="95"/>
          <w:sz w:val="32"/>
          <w:szCs w:val="32"/>
        </w:rPr>
        <w:t xml:space="preserve">  </w:t>
      </w:r>
      <w:r>
        <w:rPr>
          <w:rFonts w:hint="eastAsia" w:ascii="仿宋_GB2312" w:hAnsi="仿宋" w:eastAsia="仿宋_GB2312" w:cs="仿宋"/>
          <w:b/>
          <w:bCs/>
          <w:w w:val="95"/>
          <w:sz w:val="32"/>
          <w:szCs w:val="32"/>
        </w:rPr>
        <w:t>人：</w:t>
      </w:r>
      <w:r>
        <w:rPr>
          <w:rFonts w:hint="eastAsia" w:ascii="仿宋_GB2312" w:hAnsi="仿宋" w:eastAsia="仿宋_GB2312" w:cs="仿宋"/>
          <w:b/>
          <w:bCs/>
          <w:w w:val="95"/>
          <w:sz w:val="32"/>
          <w:szCs w:val="32"/>
          <w:lang w:eastAsia="zh-CN"/>
        </w:rPr>
        <w:t>中共浙江省委组织部（本级）</w:t>
      </w:r>
    </w:p>
    <w:p w14:paraId="63FDA622">
      <w:pPr>
        <w:pStyle w:val="17"/>
        <w:adjustRightInd w:val="0"/>
        <w:snapToGrid w:val="0"/>
        <w:spacing w:beforeLines="0" w:afterLines="0" w:line="360" w:lineRule="auto"/>
        <w:ind w:firstLine="1374" w:firstLineChars="450"/>
        <w:rPr>
          <w:rFonts w:ascii="仿宋_GB2312" w:hAnsi="仿宋" w:eastAsia="仿宋_GB2312" w:cs="仿宋"/>
          <w:b/>
          <w:bCs/>
          <w:w w:val="95"/>
          <w:sz w:val="32"/>
          <w:szCs w:val="32"/>
        </w:rPr>
      </w:pPr>
      <w:r>
        <w:rPr>
          <w:rFonts w:hint="eastAsia" w:ascii="仿宋_GB2312" w:hAnsi="仿宋" w:eastAsia="仿宋_GB2312" w:cs="仿宋"/>
          <w:b/>
          <w:bCs/>
          <w:w w:val="95"/>
          <w:sz w:val="32"/>
          <w:szCs w:val="32"/>
        </w:rPr>
        <w:t>采购代理机构：浙江通用招标代理有限公司</w:t>
      </w:r>
    </w:p>
    <w:p w14:paraId="3B56230B">
      <w:pPr>
        <w:adjustRightInd w:val="0"/>
        <w:snapToGrid w:val="0"/>
        <w:spacing w:line="360" w:lineRule="auto"/>
        <w:jc w:val="center"/>
        <w:rPr>
          <w:rFonts w:ascii="仿宋_GB2312" w:hAnsi="仿宋" w:eastAsia="仿宋_GB2312" w:cs="仿宋"/>
        </w:rPr>
        <w:sectPr>
          <w:headerReference r:id="rId4" w:type="first"/>
          <w:headerReference r:id="rId3" w:type="default"/>
          <w:footerReference r:id="rId5" w:type="default"/>
          <w:footerReference r:id="rId6" w:type="even"/>
          <w:pgSz w:w="11906" w:h="16838"/>
          <w:pgMar w:top="1587" w:right="1134" w:bottom="1134" w:left="1134" w:header="851" w:footer="992" w:gutter="0"/>
          <w:pgNumType w:start="1"/>
          <w:cols w:space="720" w:num="1"/>
          <w:titlePg/>
          <w:docGrid w:type="lines" w:linePitch="312" w:charSpace="0"/>
        </w:sectPr>
      </w:pPr>
      <w:r>
        <w:rPr>
          <w:rFonts w:hint="eastAsia" w:ascii="仿宋_GB2312" w:hAnsi="仿宋" w:eastAsia="仿宋_GB2312" w:cs="仿宋"/>
          <w:b/>
          <w:bCs/>
          <w:w w:val="95"/>
          <w:sz w:val="32"/>
          <w:szCs w:val="32"/>
        </w:rPr>
        <w:t>202</w:t>
      </w:r>
      <w:r>
        <w:rPr>
          <w:rFonts w:hint="eastAsia" w:ascii="仿宋_GB2312" w:hAnsi="仿宋" w:eastAsia="仿宋_GB2312" w:cs="仿宋"/>
          <w:b/>
          <w:bCs/>
          <w:w w:val="95"/>
          <w:sz w:val="32"/>
          <w:szCs w:val="32"/>
          <w:lang w:val="en-US" w:eastAsia="zh-CN"/>
        </w:rPr>
        <w:t>6</w:t>
      </w:r>
      <w:r>
        <w:rPr>
          <w:rFonts w:hint="eastAsia" w:ascii="仿宋_GB2312" w:hAnsi="仿宋" w:eastAsia="仿宋_GB2312" w:cs="仿宋"/>
          <w:b/>
          <w:bCs/>
          <w:w w:val="95"/>
          <w:sz w:val="32"/>
          <w:szCs w:val="32"/>
        </w:rPr>
        <w:t>年</w:t>
      </w:r>
      <w:r>
        <w:rPr>
          <w:rFonts w:hint="eastAsia" w:ascii="仿宋_GB2312" w:hAnsi="仿宋" w:eastAsia="仿宋_GB2312" w:cs="仿宋"/>
          <w:b/>
          <w:bCs/>
          <w:w w:val="95"/>
          <w:sz w:val="32"/>
          <w:szCs w:val="32"/>
          <w:lang w:val="en-US" w:eastAsia="zh-CN"/>
        </w:rPr>
        <w:t>5</w:t>
      </w:r>
      <w:r>
        <w:rPr>
          <w:rFonts w:hint="eastAsia" w:ascii="仿宋_GB2312" w:hAnsi="仿宋" w:eastAsia="仿宋_GB2312" w:cs="仿宋"/>
          <w:b/>
          <w:bCs/>
          <w:w w:val="95"/>
          <w:sz w:val="32"/>
          <w:szCs w:val="32"/>
        </w:rPr>
        <w:t>月</w:t>
      </w:r>
    </w:p>
    <w:p w14:paraId="11D68DC3">
      <w:pPr>
        <w:adjustRightInd w:val="0"/>
        <w:snapToGrid w:val="0"/>
        <w:spacing w:line="360" w:lineRule="auto"/>
        <w:jc w:val="center"/>
        <w:rPr>
          <w:rFonts w:ascii="仿宋_GB2312" w:hAnsi="仿宋" w:eastAsia="仿宋_GB2312" w:cs="仿宋"/>
          <w:b/>
          <w:sz w:val="36"/>
          <w:szCs w:val="36"/>
        </w:rPr>
      </w:pPr>
      <w:r>
        <w:rPr>
          <w:rFonts w:hint="eastAsia" w:ascii="仿宋_GB2312" w:hAnsi="仿宋" w:eastAsia="仿宋_GB2312" w:cs="仿宋"/>
          <w:b/>
          <w:sz w:val="36"/>
          <w:szCs w:val="36"/>
        </w:rPr>
        <w:t>目    录</w:t>
      </w:r>
    </w:p>
    <w:p w14:paraId="3738AF48">
      <w:pPr>
        <w:adjustRightInd w:val="0"/>
        <w:snapToGrid w:val="0"/>
        <w:spacing w:line="360" w:lineRule="auto"/>
        <w:rPr>
          <w:rFonts w:ascii="仿宋_GB2312" w:hAnsi="仿宋" w:eastAsia="仿宋_GB2312" w:cs="仿宋"/>
          <w:sz w:val="32"/>
        </w:rPr>
      </w:pPr>
    </w:p>
    <w:p w14:paraId="43207915">
      <w:pPr>
        <w:adjustRightInd w:val="0"/>
        <w:snapToGrid w:val="0"/>
        <w:spacing w:line="360" w:lineRule="auto"/>
        <w:jc w:val="center"/>
        <w:rPr>
          <w:rFonts w:ascii="仿宋_GB2312" w:hAnsi="仿宋" w:eastAsia="仿宋_GB2312" w:cs="仿宋"/>
          <w:sz w:val="30"/>
          <w:szCs w:val="30"/>
        </w:rPr>
      </w:pPr>
      <w:r>
        <w:rPr>
          <w:rFonts w:hint="eastAsia" w:ascii="仿宋_GB2312" w:hAnsi="仿宋" w:eastAsia="仿宋_GB2312" w:cs="仿宋"/>
          <w:sz w:val="30"/>
          <w:szCs w:val="30"/>
        </w:rPr>
        <w:t>第一部分   磋商公告……………………………………… 2</w:t>
      </w:r>
    </w:p>
    <w:p w14:paraId="5FD1609D">
      <w:pPr>
        <w:adjustRightInd w:val="0"/>
        <w:snapToGrid w:val="0"/>
        <w:spacing w:line="360" w:lineRule="auto"/>
        <w:jc w:val="center"/>
        <w:rPr>
          <w:rFonts w:ascii="仿宋_GB2312" w:hAnsi="仿宋" w:eastAsia="仿宋_GB2312" w:cs="仿宋"/>
          <w:sz w:val="30"/>
          <w:szCs w:val="30"/>
        </w:rPr>
      </w:pPr>
      <w:r>
        <w:rPr>
          <w:rFonts w:hint="eastAsia" w:ascii="仿宋_GB2312" w:hAnsi="仿宋" w:eastAsia="仿宋_GB2312" w:cs="仿宋"/>
          <w:sz w:val="30"/>
          <w:szCs w:val="30"/>
        </w:rPr>
        <w:t>第二部分   磋商供应商须知……………………………… 6</w:t>
      </w:r>
    </w:p>
    <w:p w14:paraId="2C6B9581">
      <w:pPr>
        <w:adjustRightInd w:val="0"/>
        <w:snapToGrid w:val="0"/>
        <w:spacing w:line="360" w:lineRule="auto"/>
        <w:jc w:val="center"/>
        <w:rPr>
          <w:rFonts w:ascii="仿宋_GB2312" w:hAnsi="仿宋" w:eastAsia="仿宋_GB2312" w:cs="仿宋"/>
          <w:sz w:val="30"/>
          <w:szCs w:val="30"/>
        </w:rPr>
      </w:pPr>
      <w:r>
        <w:rPr>
          <w:rFonts w:hint="eastAsia" w:ascii="仿宋_GB2312" w:hAnsi="仿宋" w:eastAsia="仿宋_GB2312" w:cs="仿宋"/>
          <w:sz w:val="30"/>
          <w:szCs w:val="30"/>
        </w:rPr>
        <w:t>第三部分   采购需求………………………………………29</w:t>
      </w:r>
    </w:p>
    <w:p w14:paraId="1CBCF5DF">
      <w:pPr>
        <w:adjustRightInd w:val="0"/>
        <w:snapToGrid w:val="0"/>
        <w:spacing w:line="360" w:lineRule="auto"/>
        <w:jc w:val="center"/>
        <w:rPr>
          <w:rFonts w:hint="eastAsia" w:ascii="仿宋_GB2312" w:hAnsi="仿宋" w:eastAsia="仿宋_GB2312" w:cs="仿宋"/>
          <w:sz w:val="30"/>
          <w:szCs w:val="30"/>
          <w:lang w:eastAsia="zh-CN"/>
        </w:rPr>
      </w:pPr>
      <w:r>
        <w:rPr>
          <w:rFonts w:hint="eastAsia" w:ascii="仿宋_GB2312" w:hAnsi="仿宋" w:eastAsia="仿宋_GB2312" w:cs="仿宋"/>
          <w:sz w:val="30"/>
          <w:szCs w:val="30"/>
        </w:rPr>
        <w:t>第四部分   评分办法及评分标准…………………………3</w:t>
      </w:r>
      <w:r>
        <w:rPr>
          <w:rFonts w:hint="eastAsia" w:ascii="仿宋_GB2312" w:hAnsi="仿宋" w:eastAsia="仿宋_GB2312" w:cs="仿宋"/>
          <w:sz w:val="30"/>
          <w:szCs w:val="30"/>
          <w:lang w:val="en-US" w:eastAsia="zh-CN"/>
        </w:rPr>
        <w:t>2</w:t>
      </w:r>
    </w:p>
    <w:p w14:paraId="7642A8CE">
      <w:pPr>
        <w:adjustRightInd w:val="0"/>
        <w:snapToGrid w:val="0"/>
        <w:spacing w:line="360" w:lineRule="auto"/>
        <w:jc w:val="center"/>
        <w:rPr>
          <w:rFonts w:hint="eastAsia" w:ascii="仿宋_GB2312" w:hAnsi="仿宋" w:eastAsia="仿宋_GB2312" w:cs="仿宋"/>
          <w:sz w:val="30"/>
          <w:szCs w:val="30"/>
          <w:lang w:val="en-US" w:eastAsia="zh-CN"/>
        </w:rPr>
      </w:pPr>
      <w:r>
        <w:rPr>
          <w:rFonts w:hint="eastAsia" w:ascii="仿宋_GB2312" w:hAnsi="仿宋" w:eastAsia="仿宋_GB2312" w:cs="仿宋"/>
          <w:sz w:val="30"/>
          <w:szCs w:val="30"/>
        </w:rPr>
        <w:t>第五部分   合同主要条款…………………………………</w:t>
      </w:r>
      <w:r>
        <w:rPr>
          <w:rFonts w:hint="eastAsia" w:ascii="仿宋_GB2312" w:hAnsi="仿宋" w:eastAsia="仿宋_GB2312" w:cs="仿宋"/>
          <w:sz w:val="30"/>
          <w:szCs w:val="30"/>
          <w:lang w:val="en-US" w:eastAsia="zh-CN"/>
        </w:rPr>
        <w:t>36</w:t>
      </w:r>
    </w:p>
    <w:p w14:paraId="25B2EAD3">
      <w:pPr>
        <w:adjustRightInd w:val="0"/>
        <w:snapToGrid w:val="0"/>
        <w:spacing w:line="360" w:lineRule="auto"/>
        <w:jc w:val="center"/>
        <w:rPr>
          <w:rFonts w:hint="default" w:ascii="仿宋_GB2312" w:hAnsi="仿宋" w:eastAsia="仿宋_GB2312" w:cs="仿宋"/>
          <w:sz w:val="32"/>
          <w:lang w:val="en-US" w:eastAsia="zh-CN"/>
        </w:rPr>
      </w:pPr>
      <w:r>
        <w:rPr>
          <w:rFonts w:hint="eastAsia" w:ascii="仿宋_GB2312" w:hAnsi="仿宋" w:eastAsia="仿宋_GB2312" w:cs="仿宋"/>
          <w:sz w:val="30"/>
          <w:szCs w:val="30"/>
        </w:rPr>
        <w:t xml:space="preserve">第六部分   </w:t>
      </w:r>
      <w:bookmarkStart w:id="0" w:name="_Hlt91233176"/>
      <w:bookmarkEnd w:id="0"/>
      <w:r>
        <w:rPr>
          <w:rFonts w:hint="eastAsia" w:ascii="仿宋_GB2312" w:hAnsi="仿宋" w:eastAsia="仿宋_GB2312" w:cs="仿宋"/>
          <w:sz w:val="30"/>
          <w:szCs w:val="30"/>
        </w:rPr>
        <w:t>磋商响应文件格式……………………………</w:t>
      </w:r>
      <w:r>
        <w:rPr>
          <w:rFonts w:hint="eastAsia" w:ascii="仿宋_GB2312" w:hAnsi="仿宋" w:eastAsia="仿宋_GB2312" w:cs="仿宋"/>
          <w:sz w:val="30"/>
          <w:szCs w:val="30"/>
          <w:lang w:val="en-US" w:eastAsia="zh-CN"/>
        </w:rPr>
        <w:t>40</w:t>
      </w:r>
    </w:p>
    <w:p w14:paraId="7E437C8C">
      <w:pPr>
        <w:pStyle w:val="17"/>
        <w:adjustRightInd w:val="0"/>
        <w:snapToGrid w:val="0"/>
        <w:spacing w:beforeLines="0" w:afterLines="0" w:line="360" w:lineRule="auto"/>
        <w:jc w:val="center"/>
        <w:outlineLvl w:val="0"/>
        <w:rPr>
          <w:rFonts w:ascii="仿宋_GB2312" w:hAnsi="仿宋" w:eastAsia="仿宋_GB2312" w:cs="仿宋"/>
          <w:b/>
          <w:sz w:val="32"/>
          <w:szCs w:val="32"/>
        </w:rPr>
      </w:pPr>
      <w:r>
        <w:rPr>
          <w:rFonts w:hint="eastAsia" w:ascii="仿宋_GB2312" w:hAnsi="仿宋" w:eastAsia="仿宋_GB2312" w:cs="仿宋"/>
          <w:sz w:val="28"/>
          <w:szCs w:val="28"/>
        </w:rPr>
        <w:br w:type="page"/>
      </w:r>
      <w:r>
        <w:rPr>
          <w:rFonts w:hint="eastAsia" w:ascii="仿宋_GB2312" w:hAnsi="仿宋" w:eastAsia="仿宋_GB2312" w:cs="仿宋"/>
          <w:b/>
          <w:sz w:val="32"/>
          <w:szCs w:val="32"/>
        </w:rPr>
        <w:t>第一部分  磋商公告</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5472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9620" w:type="dxa"/>
          </w:tcPr>
          <w:p w14:paraId="5ACD994E">
            <w:pPr>
              <w:adjustRightInd w:val="0"/>
              <w:snapToGrid w:val="0"/>
              <w:spacing w:line="360" w:lineRule="auto"/>
              <w:rPr>
                <w:rFonts w:ascii="仿宋" w:hAnsi="仿宋" w:eastAsia="仿宋" w:cs="仿宋"/>
                <w:sz w:val="24"/>
              </w:rPr>
            </w:pPr>
            <w:r>
              <w:rPr>
                <w:rFonts w:hint="eastAsia" w:ascii="仿宋" w:hAnsi="仿宋" w:eastAsia="仿宋" w:cs="仿宋"/>
                <w:sz w:val="24"/>
              </w:rPr>
              <w:t>项目概况                                    </w:t>
            </w:r>
          </w:p>
          <w:p w14:paraId="5983828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eastAsia="zh-CN"/>
              </w:rPr>
              <w:t>中共浙江省委组织部（本级）</w:t>
            </w:r>
            <w:r>
              <w:rPr>
                <w:rFonts w:hint="eastAsia" w:ascii="仿宋" w:hAnsi="仿宋" w:eastAsia="仿宋" w:cs="仿宋"/>
                <w:sz w:val="24"/>
                <w:lang w:val="en-US" w:eastAsia="zh-CN"/>
              </w:rPr>
              <w:t>流动党员一体智管系统</w:t>
            </w:r>
            <w:r>
              <w:rPr>
                <w:rFonts w:hint="eastAsia" w:ascii="仿宋" w:hAnsi="仿宋" w:eastAsia="仿宋" w:cs="仿宋"/>
                <w:sz w:val="24"/>
              </w:rPr>
              <w:t>项目</w:t>
            </w:r>
            <w:r>
              <w:rPr>
                <w:rFonts w:hint="eastAsia" w:ascii="仿宋" w:hAnsi="仿宋" w:eastAsia="仿宋" w:cs="仿宋"/>
                <w:sz w:val="24"/>
                <w:highlight w:val="none"/>
              </w:rPr>
              <w:t>的潜在</w:t>
            </w:r>
            <w:r>
              <w:rPr>
                <w:rFonts w:hint="eastAsia" w:ascii="仿宋" w:hAnsi="仿宋" w:eastAsia="仿宋" w:cs="仿宋"/>
                <w:sz w:val="24"/>
              </w:rPr>
              <w:t>磋商供应商应在政采云平台（www.zcygov.cn）获取（下载）磋商文件，并于</w:t>
            </w:r>
            <w:r>
              <w:rPr>
                <w:rFonts w:hint="eastAsia" w:ascii="仿宋" w:hAnsi="仿宋" w:eastAsia="仿宋" w:cs="仿宋"/>
                <w:sz w:val="24"/>
                <w:u w:val="none"/>
              </w:rPr>
              <w:t>202</w:t>
            </w:r>
            <w:r>
              <w:rPr>
                <w:rFonts w:hint="eastAsia" w:ascii="仿宋" w:hAnsi="仿宋" w:eastAsia="仿宋" w:cs="仿宋"/>
                <w:sz w:val="24"/>
                <w:u w:val="none"/>
                <w:lang w:val="en-US" w:eastAsia="zh-CN"/>
              </w:rPr>
              <w:t>6</w:t>
            </w:r>
            <w:r>
              <w:rPr>
                <w:rFonts w:hint="eastAsia" w:ascii="仿宋" w:hAnsi="仿宋" w:eastAsia="仿宋" w:cs="仿宋"/>
                <w:sz w:val="24"/>
                <w:u w:val="none"/>
              </w:rPr>
              <w:t>年</w:t>
            </w:r>
            <w:r>
              <w:rPr>
                <w:rFonts w:hint="eastAsia" w:ascii="仿宋" w:hAnsi="仿宋" w:eastAsia="仿宋" w:cs="仿宋"/>
                <w:sz w:val="24"/>
                <w:u w:val="none"/>
                <w:lang w:val="en-US" w:eastAsia="zh-CN"/>
              </w:rPr>
              <w:t>5</w:t>
            </w:r>
            <w:r>
              <w:rPr>
                <w:rFonts w:hint="eastAsia" w:ascii="仿宋" w:hAnsi="仿宋" w:eastAsia="仿宋" w:cs="仿宋"/>
                <w:sz w:val="24"/>
                <w:u w:val="none"/>
              </w:rPr>
              <w:t>月</w:t>
            </w:r>
            <w:r>
              <w:rPr>
                <w:rFonts w:hint="eastAsia" w:ascii="仿宋" w:hAnsi="仿宋" w:eastAsia="仿宋" w:cs="仿宋"/>
                <w:sz w:val="24"/>
                <w:u w:val="none"/>
                <w:lang w:val="en-US" w:eastAsia="zh-CN"/>
              </w:rPr>
              <w:t>2</w:t>
            </w:r>
            <w:del w:id="0" w:author="Y。" w:date="2026-05-11T09:31:24Z">
              <w:r>
                <w:rPr>
                  <w:rFonts w:hint="default" w:ascii="仿宋" w:hAnsi="仿宋" w:eastAsia="仿宋" w:cs="仿宋"/>
                  <w:sz w:val="24"/>
                  <w:u w:val="none"/>
                  <w:lang w:val="en-US" w:eastAsia="zh-CN"/>
                </w:rPr>
                <w:delText>0</w:delText>
              </w:r>
            </w:del>
            <w:ins w:id="1" w:author="Y。" w:date="2026-05-11T09:31:24Z">
              <w:r>
                <w:rPr>
                  <w:rFonts w:hint="eastAsia" w:ascii="仿宋" w:hAnsi="仿宋" w:eastAsia="仿宋" w:cs="仿宋"/>
                  <w:sz w:val="24"/>
                  <w:u w:val="none"/>
                  <w:lang w:val="en-US" w:eastAsia="zh-CN"/>
                </w:rPr>
                <w:t>1</w:t>
              </w:r>
            </w:ins>
            <w:r>
              <w:rPr>
                <w:rFonts w:hint="eastAsia" w:ascii="仿宋" w:hAnsi="仿宋" w:eastAsia="仿宋" w:cs="仿宋"/>
                <w:sz w:val="24"/>
                <w:u w:val="none"/>
              </w:rPr>
              <w:t>日</w:t>
            </w:r>
            <w:r>
              <w:rPr>
                <w:rFonts w:hint="eastAsia" w:ascii="仿宋" w:hAnsi="仿宋" w:eastAsia="仿宋" w:cs="仿宋"/>
                <w:sz w:val="24"/>
                <w:u w:val="none"/>
                <w:lang w:val="en-US" w:eastAsia="zh-CN"/>
              </w:rPr>
              <w:t xml:space="preserve"> 14 </w:t>
            </w:r>
            <w:r>
              <w:rPr>
                <w:rFonts w:hint="eastAsia" w:ascii="仿宋" w:hAnsi="仿宋" w:eastAsia="仿宋" w:cs="仿宋"/>
                <w:sz w:val="24"/>
                <w:u w:val="none"/>
                <w:lang w:eastAsia="zh-CN"/>
              </w:rPr>
              <w:t>时</w:t>
            </w:r>
            <w:r>
              <w:rPr>
                <w:rFonts w:hint="eastAsia" w:ascii="仿宋" w:hAnsi="仿宋" w:eastAsia="仿宋" w:cs="仿宋"/>
                <w:sz w:val="24"/>
                <w:u w:val="none"/>
                <w:lang w:val="en-US" w:eastAsia="zh-CN"/>
              </w:rPr>
              <w:t xml:space="preserve"> 00</w:t>
            </w:r>
            <w:r>
              <w:rPr>
                <w:rFonts w:hint="eastAsia" w:ascii="仿宋" w:hAnsi="仿宋" w:eastAsia="仿宋" w:cs="仿宋"/>
                <w:sz w:val="24"/>
                <w:u w:val="none"/>
                <w:lang w:eastAsia="zh-CN"/>
              </w:rPr>
              <w:t>分</w:t>
            </w:r>
            <w:r>
              <w:rPr>
                <w:rFonts w:hint="eastAsia" w:ascii="仿宋" w:hAnsi="仿宋" w:eastAsia="仿宋" w:cs="仿宋"/>
                <w:sz w:val="24"/>
                <w:highlight w:val="none"/>
              </w:rPr>
              <w:t>（</w:t>
            </w:r>
            <w:r>
              <w:rPr>
                <w:rFonts w:hint="eastAsia" w:ascii="仿宋" w:hAnsi="仿宋" w:eastAsia="仿宋" w:cs="仿宋"/>
                <w:sz w:val="24"/>
              </w:rPr>
              <w:t>北京时间）前递交（上传）磋商响应文件。 </w:t>
            </w:r>
          </w:p>
        </w:tc>
      </w:tr>
    </w:tbl>
    <w:p w14:paraId="7B37FD21">
      <w:pPr>
        <w:adjustRightInd w:val="0"/>
        <w:snapToGrid w:val="0"/>
        <w:spacing w:line="360" w:lineRule="auto"/>
        <w:rPr>
          <w:rFonts w:ascii="仿宋" w:hAnsi="仿宋" w:eastAsia="仿宋" w:cs="仿宋"/>
          <w:sz w:val="24"/>
        </w:rPr>
      </w:pPr>
    </w:p>
    <w:p w14:paraId="03DE7DB5">
      <w:pPr>
        <w:adjustRightInd w:val="0"/>
        <w:snapToGrid w:val="0"/>
        <w:spacing w:line="360" w:lineRule="auto"/>
        <w:rPr>
          <w:rFonts w:ascii="仿宋" w:hAnsi="仿宋" w:eastAsia="仿宋" w:cs="仿宋"/>
          <w:sz w:val="24"/>
        </w:rPr>
      </w:pPr>
      <w:r>
        <w:rPr>
          <w:rFonts w:hint="eastAsia" w:ascii="仿宋" w:hAnsi="仿宋" w:eastAsia="仿宋" w:cs="仿宋"/>
          <w:b/>
          <w:bCs/>
          <w:sz w:val="24"/>
        </w:rPr>
        <w:t>一、项目基本情况</w:t>
      </w:r>
    </w:p>
    <w:p w14:paraId="2B5C76EE">
      <w:pPr>
        <w:adjustRightInd w:val="0"/>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eastAsia="zh-CN"/>
        </w:rPr>
        <w:t>ZJTY202</w:t>
      </w:r>
      <w:r>
        <w:rPr>
          <w:rFonts w:hint="eastAsia" w:ascii="仿宋" w:hAnsi="仿宋" w:eastAsia="仿宋" w:cs="仿宋"/>
          <w:sz w:val="24"/>
          <w:lang w:val="en-US" w:eastAsia="zh-CN"/>
        </w:rPr>
        <w:t>6M</w:t>
      </w:r>
      <w:r>
        <w:rPr>
          <w:rFonts w:hint="eastAsia" w:ascii="仿宋" w:hAnsi="仿宋" w:eastAsia="仿宋" w:cs="仿宋"/>
          <w:sz w:val="24"/>
          <w:lang w:eastAsia="zh-CN"/>
        </w:rPr>
        <w:t>-JF-</w:t>
      </w:r>
      <w:r>
        <w:rPr>
          <w:rFonts w:hint="eastAsia" w:ascii="仿宋" w:hAnsi="仿宋" w:eastAsia="仿宋" w:cs="仿宋"/>
          <w:sz w:val="24"/>
          <w:lang w:val="en-US" w:eastAsia="zh-CN"/>
        </w:rPr>
        <w:t>32</w:t>
      </w:r>
    </w:p>
    <w:p w14:paraId="6AF0A8B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中共浙江省委组织部（本级）</w:t>
      </w:r>
      <w:r>
        <w:rPr>
          <w:rFonts w:hint="eastAsia" w:ascii="仿宋" w:hAnsi="仿宋" w:eastAsia="仿宋" w:cs="仿宋"/>
          <w:sz w:val="24"/>
          <w:lang w:val="en-US" w:eastAsia="zh-CN"/>
        </w:rPr>
        <w:t>流动党员一体智管系统</w:t>
      </w:r>
      <w:r>
        <w:rPr>
          <w:rFonts w:hint="eastAsia" w:ascii="仿宋" w:hAnsi="仿宋" w:eastAsia="仿宋" w:cs="仿宋"/>
          <w:sz w:val="24"/>
        </w:rPr>
        <w:t>项目</w:t>
      </w:r>
    </w:p>
    <w:p w14:paraId="2F346345">
      <w:pPr>
        <w:adjustRightInd w:val="0"/>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预算金额（元）：</w:t>
      </w:r>
      <w:r>
        <w:rPr>
          <w:rFonts w:hint="eastAsia" w:ascii="仿宋" w:hAnsi="仿宋" w:eastAsia="仿宋" w:cs="仿宋"/>
          <w:sz w:val="24"/>
          <w:lang w:val="en-US" w:eastAsia="zh-CN"/>
        </w:rPr>
        <w:t>339500.00</w:t>
      </w:r>
    </w:p>
    <w:p w14:paraId="66390A09">
      <w:pPr>
        <w:adjustRightInd w:val="0"/>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最高限价（元）：</w:t>
      </w:r>
      <w:r>
        <w:rPr>
          <w:rFonts w:hint="eastAsia" w:ascii="仿宋" w:hAnsi="仿宋" w:eastAsia="仿宋" w:cs="仿宋"/>
          <w:sz w:val="24"/>
          <w:lang w:val="en-US" w:eastAsia="zh-CN"/>
        </w:rPr>
        <w:t>339500.00</w:t>
      </w:r>
    </w:p>
    <w:p w14:paraId="3391AD8F">
      <w:pPr>
        <w:adjustRightInd w:val="0"/>
        <w:snapToGrid w:val="0"/>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简要规格描述：对</w:t>
      </w:r>
      <w:r>
        <w:rPr>
          <w:rFonts w:hint="eastAsia" w:ascii="仿宋" w:hAnsi="仿宋" w:eastAsia="仿宋" w:cs="仿宋"/>
          <w:sz w:val="24"/>
          <w:lang w:val="en-US" w:eastAsia="zh-CN"/>
        </w:rPr>
        <w:t>流动党员一体智管应用</w:t>
      </w:r>
      <w:r>
        <w:rPr>
          <w:rFonts w:hint="eastAsia" w:ascii="仿宋" w:hAnsi="仿宋" w:eastAsia="仿宋" w:cs="仿宋"/>
          <w:sz w:val="24"/>
        </w:rPr>
        <w:t>流程优化、功能完善的角度进行迭代</w:t>
      </w:r>
      <w:r>
        <w:rPr>
          <w:rFonts w:hint="eastAsia" w:ascii="仿宋" w:hAnsi="仿宋" w:eastAsia="仿宋" w:cs="仿宋"/>
          <w:sz w:val="24"/>
          <w:lang w:eastAsia="zh-CN"/>
        </w:rPr>
        <w:t>，详见采购文件“第三部分</w:t>
      </w:r>
      <w:r>
        <w:rPr>
          <w:rFonts w:hint="eastAsia" w:ascii="仿宋" w:hAnsi="仿宋" w:eastAsia="仿宋" w:cs="仿宋"/>
          <w:sz w:val="24"/>
          <w:lang w:val="en-US" w:eastAsia="zh-CN"/>
        </w:rPr>
        <w:t xml:space="preserve"> 采购需求</w:t>
      </w:r>
      <w:r>
        <w:rPr>
          <w:rFonts w:hint="eastAsia" w:ascii="仿宋" w:hAnsi="仿宋" w:eastAsia="仿宋" w:cs="仿宋"/>
          <w:sz w:val="24"/>
          <w:lang w:eastAsia="zh-CN"/>
        </w:rPr>
        <w:t>”。</w:t>
      </w:r>
    </w:p>
    <w:p w14:paraId="234CA51A">
      <w:pPr>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合同履约期限：合同签订之日起2个月内完成系统开发，完成试运行后进行验收。</w:t>
      </w:r>
    </w:p>
    <w:p w14:paraId="297E343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本项目接受联合体投标：</w:t>
      </w:r>
      <w:r>
        <w:rPr>
          <w:rFonts w:hint="eastAsia" w:ascii="Wingdings" w:hAnsi="Wingdings" w:eastAsia="MS Mincho" w:cs="MS Mincho"/>
          <w:b/>
          <w:sz w:val="24"/>
        </w:rPr>
        <w:sym w:font="Wingdings" w:char="00A8"/>
      </w:r>
      <w:r>
        <w:rPr>
          <w:rFonts w:hint="eastAsia" w:ascii="仿宋" w:hAnsi="仿宋" w:eastAsia="仿宋" w:cs="仿宋"/>
          <w:sz w:val="24"/>
        </w:rPr>
        <w:t>是，</w:t>
      </w:r>
      <w:r>
        <w:rPr>
          <w:rFonts w:hint="eastAsia" w:ascii="Wingdings" w:hAnsi="Wingdings" w:eastAsia="MS Mincho" w:cs="MS Mincho"/>
          <w:b/>
          <w:sz w:val="24"/>
        </w:rPr>
        <w:sym w:font="Wingdings" w:char="00FE"/>
      </w:r>
      <w:r>
        <w:rPr>
          <w:rFonts w:hint="eastAsia" w:ascii="仿宋" w:hAnsi="仿宋" w:eastAsia="仿宋" w:cs="仿宋"/>
          <w:sz w:val="24"/>
        </w:rPr>
        <w:t>否。</w:t>
      </w:r>
    </w:p>
    <w:p w14:paraId="4357C13C">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二、申请人的资格要求</w:t>
      </w:r>
    </w:p>
    <w:p w14:paraId="5CBF8C69">
      <w:pPr>
        <w:adjustRightInd w:val="0"/>
        <w:spacing w:line="360" w:lineRule="auto"/>
        <w:ind w:firstLine="480" w:firstLineChars="200"/>
        <w:rPr>
          <w:rFonts w:ascii="仿宋" w:hAnsi="仿宋" w:eastAsia="仿宋" w:cs="仿宋"/>
          <w:sz w:val="24"/>
        </w:rPr>
      </w:pPr>
      <w:r>
        <w:rPr>
          <w:rFonts w:hint="eastAsia" w:ascii="仿宋" w:hAnsi="仿宋" w:eastAsia="仿宋" w:cs="仿宋"/>
          <w:sz w:val="24"/>
        </w:rPr>
        <w:t> 1.满足《中华人民共和国政府采购法》第二十二条规定；未被“信用中国”（www.creditchina.gov.cn)、中国政府采购网（www.ccgp.gov.cn）列入失信被执行人、重大税收违法案件当事人名单、政府采购严重违法失信行为记录名单。</w:t>
      </w:r>
    </w:p>
    <w:p w14:paraId="1B965206">
      <w:pPr>
        <w:adjustRightInd w:val="0"/>
        <w:spacing w:line="360" w:lineRule="auto"/>
        <w:ind w:firstLine="480" w:firstLineChars="200"/>
        <w:rPr>
          <w:rFonts w:ascii="仿宋" w:hAnsi="仿宋" w:eastAsia="仿宋" w:cs="仿宋"/>
          <w:sz w:val="24"/>
          <w:highlight w:val="yellow"/>
        </w:rPr>
      </w:pPr>
      <w:r>
        <w:rPr>
          <w:rFonts w:hint="eastAsia" w:ascii="仿宋" w:hAnsi="仿宋" w:eastAsia="仿宋" w:cs="仿宋"/>
          <w:sz w:val="24"/>
        </w:rPr>
        <w:t> 2.</w:t>
      </w:r>
      <w:r>
        <w:rPr>
          <w:rFonts w:hint="eastAsia" w:ascii="仿宋" w:hAnsi="仿宋" w:eastAsia="仿宋" w:cs="仿宋"/>
          <w:sz w:val="24"/>
          <w:highlight w:val="none"/>
        </w:rPr>
        <w:t>落实政府采购政策需满足的资格要求：</w:t>
      </w:r>
      <w:r>
        <w:rPr>
          <w:rFonts w:hint="eastAsia" w:ascii="仿宋" w:hAnsi="仿宋" w:eastAsia="仿宋" w:cs="仿宋"/>
          <w:sz w:val="24"/>
          <w:highlight w:val="none"/>
          <w:lang w:val="en-US" w:eastAsia="zh-CN"/>
        </w:rPr>
        <w:t>无</w:t>
      </w:r>
      <w:r>
        <w:rPr>
          <w:rFonts w:hint="eastAsia" w:ascii="仿宋" w:hAnsi="仿宋" w:eastAsia="仿宋" w:cs="仿宋"/>
          <w:sz w:val="24"/>
          <w:highlight w:val="none"/>
        </w:rPr>
        <w:t>。</w:t>
      </w:r>
    </w:p>
    <w:p w14:paraId="7DEE823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sym w:font="Wingdings" w:char="00FE"/>
      </w:r>
      <w:r>
        <w:rPr>
          <w:rFonts w:hint="eastAsia" w:ascii="仿宋" w:hAnsi="仿宋" w:eastAsia="仿宋" w:cs="仿宋"/>
          <w:color w:val="auto"/>
          <w:sz w:val="24"/>
        </w:rPr>
        <w:t>无</w:t>
      </w:r>
      <w:r>
        <w:rPr>
          <w:rFonts w:hint="eastAsia" w:ascii="仿宋" w:hAnsi="仿宋" w:eastAsia="仿宋" w:cs="仿宋"/>
          <w:snapToGrid/>
          <w:color w:val="auto"/>
          <w:kern w:val="2"/>
          <w:sz w:val="24"/>
          <w:szCs w:val="24"/>
        </w:rPr>
        <w:t>（注：不得限制大中型企业与小微企业组成联合体参与投标）</w:t>
      </w:r>
      <w:r>
        <w:rPr>
          <w:rFonts w:hint="eastAsia" w:ascii="仿宋" w:hAnsi="仿宋" w:eastAsia="仿宋" w:cs="仿宋"/>
          <w:color w:val="auto"/>
          <w:sz w:val="24"/>
        </w:rPr>
        <w:t>；</w:t>
      </w:r>
    </w:p>
    <w:p w14:paraId="43FF21E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sym w:font="Wingdings" w:char="00A8"/>
      </w:r>
      <w:r>
        <w:rPr>
          <w:rFonts w:hint="eastAsia" w:ascii="仿宋" w:hAnsi="仿宋" w:eastAsia="仿宋" w:cs="仿宋"/>
          <w:color w:val="auto"/>
          <w:kern w:val="2"/>
          <w:sz w:val="24"/>
          <w:highlight w:val="none"/>
        </w:rPr>
        <w:t>专</w:t>
      </w:r>
      <w:r>
        <w:rPr>
          <w:rFonts w:hint="eastAsia" w:ascii="仿宋" w:hAnsi="仿宋" w:eastAsia="仿宋" w:cs="仿宋"/>
          <w:color w:val="auto"/>
          <w:sz w:val="24"/>
          <w:highlight w:val="none"/>
        </w:rPr>
        <w:t>门面向中小企业</w:t>
      </w:r>
    </w:p>
    <w:p w14:paraId="3681E697">
      <w:pPr>
        <w:adjustRightInd w:val="0"/>
        <w:snapToGrid/>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kern w:val="2"/>
          <w:sz w:val="24"/>
          <w:szCs w:val="24"/>
          <w:highlight w:val="none"/>
          <w:lang w:val="en-US" w:eastAsia="zh-CN" w:bidi="ar-SA"/>
        </w:rPr>
        <w:sym w:font="Wingdings" w:char="00A8"/>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全部由符合政策要求的中小企业</w:t>
      </w:r>
      <w:r>
        <w:rPr>
          <w:rFonts w:hint="eastAsia" w:ascii="仿宋" w:hAnsi="仿宋" w:eastAsia="仿宋" w:cs="仿宋"/>
          <w:color w:val="auto"/>
          <w:sz w:val="24"/>
          <w:highlight w:val="none"/>
          <w:lang w:eastAsia="zh-CN"/>
        </w:rPr>
        <w:t>承接</w:t>
      </w:r>
      <w:r>
        <w:rPr>
          <w:rFonts w:hint="eastAsia" w:ascii="仿宋" w:hAnsi="仿宋" w:eastAsia="仿宋" w:cs="仿宋"/>
          <w:color w:val="auto"/>
          <w:sz w:val="24"/>
          <w:highlight w:val="none"/>
        </w:rPr>
        <w:t>，提供中小企业声明函；</w:t>
      </w:r>
    </w:p>
    <w:p w14:paraId="329C2533">
      <w:pPr>
        <w:spacing w:line="360" w:lineRule="auto"/>
        <w:ind w:firstLine="480" w:firstLineChars="200"/>
        <w:rPr>
          <w:rFonts w:hint="eastAsia" w:ascii="仿宋" w:hAnsi="仿宋" w:eastAsia="仿宋" w:cs="仿宋"/>
          <w:sz w:val="24"/>
        </w:rPr>
      </w:pPr>
      <w:r>
        <w:rPr>
          <w:rFonts w:hint="eastAsia" w:ascii="仿宋" w:hAnsi="仿宋" w:eastAsia="仿宋" w:cs="仿宋"/>
          <w:color w:val="auto"/>
          <w:kern w:val="2"/>
          <w:sz w:val="24"/>
          <w:szCs w:val="24"/>
          <w:lang w:val="en-US" w:eastAsia="zh-CN" w:bidi="ar-SA"/>
        </w:rPr>
        <w:sym w:font="Wingdings" w:char="00A8"/>
      </w:r>
      <w:r>
        <w:rPr>
          <w:rFonts w:hint="eastAsia" w:ascii="仿宋" w:hAnsi="仿宋" w:eastAsia="仿宋" w:cs="仿宋"/>
          <w:color w:val="auto"/>
          <w:sz w:val="24"/>
          <w:lang w:eastAsia="zh-CN"/>
        </w:rPr>
        <w:t>服务</w:t>
      </w:r>
      <w:r>
        <w:rPr>
          <w:rFonts w:hint="eastAsia" w:ascii="仿宋" w:hAnsi="仿宋" w:eastAsia="仿宋" w:cs="仿宋"/>
          <w:color w:val="auto"/>
          <w:sz w:val="24"/>
        </w:rPr>
        <w:t>全部由符合政策要求的中小企业</w:t>
      </w:r>
      <w:r>
        <w:rPr>
          <w:rFonts w:hint="eastAsia" w:ascii="仿宋" w:hAnsi="仿宋" w:eastAsia="仿宋" w:cs="仿宋"/>
          <w:color w:val="auto"/>
          <w:sz w:val="24"/>
          <w:lang w:eastAsia="zh-CN"/>
        </w:rPr>
        <w:t>承接</w:t>
      </w:r>
      <w:r>
        <w:rPr>
          <w:rFonts w:hint="eastAsia" w:ascii="仿宋" w:hAnsi="仿宋" w:eastAsia="仿宋" w:cs="仿宋"/>
          <w:color w:val="auto"/>
          <w:sz w:val="24"/>
        </w:rPr>
        <w:t>，提供中小企业声明函；</w:t>
      </w:r>
      <w:bookmarkStart w:id="1" w:name="_Hlk101132524"/>
      <w:r>
        <w:rPr>
          <w:rFonts w:hint="eastAsia" w:ascii="仿宋" w:hAnsi="仿宋" w:eastAsia="仿宋" w:cs="仿宋"/>
          <w:color w:val="auto"/>
          <w:kern w:val="2"/>
          <w:sz w:val="24"/>
          <w:szCs w:val="24"/>
          <w:lang w:val="en-US" w:eastAsia="zh-CN" w:bidi="ar-SA"/>
        </w:rPr>
        <w:sym w:font="Wingdings" w:char="00A8"/>
      </w:r>
      <w:r>
        <w:rPr>
          <w:rFonts w:hint="eastAsia" w:ascii="仿宋" w:hAnsi="仿宋" w:eastAsia="仿宋" w:cs="仿宋"/>
          <w:color w:val="auto"/>
          <w:sz w:val="24"/>
        </w:rPr>
        <w:t>要求以联合体形式参加，提供联合协议和中小企业声明函，联合协议中中小企业合</w:t>
      </w:r>
      <w:r>
        <w:rPr>
          <w:rFonts w:hint="eastAsia" w:ascii="仿宋" w:hAnsi="仿宋" w:eastAsia="仿宋" w:cs="仿宋"/>
          <w:sz w:val="24"/>
        </w:rPr>
        <w:t>同金额应当达到</w:t>
      </w:r>
      <w:r>
        <w:rPr>
          <w:rFonts w:hint="eastAsia" w:ascii="仿宋" w:hAnsi="仿宋" w:eastAsia="仿宋" w:cs="仿宋"/>
          <w:sz w:val="24"/>
          <w:u w:val="none"/>
        </w:rPr>
        <w:t xml:space="preserve">  </w:t>
      </w:r>
      <w:r>
        <w:rPr>
          <w:rFonts w:hint="eastAsia" w:ascii="仿宋" w:hAnsi="仿宋" w:eastAsia="仿宋" w:cs="仿宋"/>
          <w:sz w:val="24"/>
        </w:rPr>
        <w:t>%，其中小微企业合同金额应当达到</w:t>
      </w:r>
      <w:r>
        <w:rPr>
          <w:rFonts w:hint="eastAsia" w:ascii="仿宋" w:hAnsi="仿宋" w:eastAsia="仿宋" w:cs="仿宋"/>
          <w:sz w:val="24"/>
          <w:u w:val="none"/>
        </w:rPr>
        <w:t xml:space="preserve"> </w:t>
      </w:r>
      <w:r>
        <w:rPr>
          <w:rFonts w:hint="eastAsia" w:ascii="仿宋" w:hAnsi="仿宋" w:eastAsia="仿宋" w:cs="仿宋"/>
          <w:sz w:val="24"/>
        </w:rPr>
        <w:t>%;</w:t>
      </w:r>
      <w:r>
        <w:rPr>
          <w:rFonts w:hint="eastAsia" w:ascii="仿宋" w:hAnsi="仿宋" w:eastAsia="仿宋" w:cs="仿宋"/>
          <w:spacing w:val="0"/>
          <w:kern w:val="2"/>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sz w:val="24"/>
        </w:rPr>
        <w:t>；</w:t>
      </w:r>
    </w:p>
    <w:bookmarkEnd w:id="1"/>
    <w:p w14:paraId="441CED26">
      <w:pPr>
        <w:adjustRightInd/>
        <w:spacing w:line="360" w:lineRule="auto"/>
        <w:ind w:firstLine="480" w:firstLineChars="200"/>
        <w:rPr>
          <w:rFonts w:hint="eastAsia" w:ascii="仿宋" w:hAnsi="仿宋" w:eastAsia="仿宋" w:cs="仿宋"/>
          <w:sz w:val="24"/>
        </w:rPr>
      </w:pPr>
      <w:r>
        <w:rPr>
          <w:rFonts w:hint="eastAsia" w:ascii="仿宋" w:hAnsi="仿宋" w:eastAsia="仿宋" w:cs="仿宋"/>
          <w:color w:val="auto"/>
          <w:kern w:val="2"/>
          <w:sz w:val="24"/>
          <w:szCs w:val="24"/>
          <w:lang w:val="en-US" w:eastAsia="zh-CN" w:bidi="ar-SA"/>
        </w:rPr>
        <w:sym w:font="Wingdings" w:char="00A8"/>
      </w:r>
      <w:r>
        <w:rPr>
          <w:rFonts w:hint="eastAsia" w:ascii="仿宋" w:hAnsi="仿宋" w:eastAsia="仿宋" w:cs="仿宋"/>
          <w:color w:val="auto"/>
          <w:sz w:val="24"/>
        </w:rPr>
        <w:t>要求合同分包，提供分包意向协议和中小企业声明函，分包意向协议中中小企业合</w:t>
      </w:r>
      <w:r>
        <w:rPr>
          <w:rFonts w:hint="eastAsia" w:ascii="仿宋" w:hAnsi="仿宋" w:eastAsia="仿宋" w:cs="仿宋"/>
          <w:sz w:val="24"/>
        </w:rPr>
        <w:t>同金额应当达到达到</w:t>
      </w:r>
      <w:r>
        <w:rPr>
          <w:rFonts w:hint="eastAsia" w:ascii="仿宋" w:hAnsi="仿宋" w:eastAsia="仿宋" w:cs="仿宋"/>
          <w:sz w:val="24"/>
          <w:u w:val="none"/>
        </w:rPr>
        <w:t xml:space="preserve">  </w:t>
      </w:r>
      <w:r>
        <w:rPr>
          <w:rFonts w:hint="eastAsia" w:ascii="仿宋" w:hAnsi="仿宋" w:eastAsia="仿宋" w:cs="仿宋"/>
          <w:sz w:val="24"/>
        </w:rPr>
        <w:t>% ，其中小微企业合同金额应当达到</w:t>
      </w:r>
      <w:r>
        <w:rPr>
          <w:rFonts w:hint="eastAsia" w:ascii="仿宋" w:hAnsi="仿宋" w:eastAsia="仿宋" w:cs="仿宋"/>
          <w:sz w:val="24"/>
          <w:u w:val="none"/>
        </w:rPr>
        <w:t xml:space="preserve"> </w:t>
      </w:r>
      <w:r>
        <w:rPr>
          <w:rFonts w:hint="eastAsia" w:ascii="仿宋" w:hAnsi="仿宋" w:eastAsia="仿宋" w:cs="仿宋"/>
          <w:sz w:val="24"/>
        </w:rPr>
        <w:t>% ;</w:t>
      </w:r>
      <w:r>
        <w:rPr>
          <w:rFonts w:hint="eastAsia" w:ascii="仿宋" w:hAnsi="仿宋" w:eastAsia="仿宋" w:cs="仿宋"/>
          <w:spacing w:val="0"/>
          <w:kern w:val="2"/>
          <w:sz w:val="24"/>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sz w:val="24"/>
        </w:rPr>
        <w:t>；</w:t>
      </w:r>
    </w:p>
    <w:p w14:paraId="350FCCE9">
      <w:pPr>
        <w:adjustRightInd/>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 3.本项目的特定资格要求：</w:t>
      </w:r>
      <w:r>
        <w:rPr>
          <w:rFonts w:hint="eastAsia" w:ascii="仿宋" w:hAnsi="仿宋" w:eastAsia="仿宋" w:cs="仿宋"/>
          <w:sz w:val="24"/>
          <w:lang w:val="en-US" w:eastAsia="zh-CN"/>
        </w:rPr>
        <w:t>无</w:t>
      </w:r>
    </w:p>
    <w:p w14:paraId="752B23B9">
      <w:pPr>
        <w:adjustRightInd w:val="0"/>
        <w:spacing w:line="360" w:lineRule="auto"/>
        <w:ind w:firstLine="480" w:firstLineChars="200"/>
        <w:rPr>
          <w:rFonts w:ascii="仿宋" w:hAnsi="仿宋" w:eastAsia="仿宋" w:cs="仿宋"/>
          <w:sz w:val="24"/>
        </w:rPr>
      </w:pPr>
      <w:r>
        <w:rPr>
          <w:rFonts w:hint="eastAsia" w:ascii="仿宋" w:hAnsi="仿宋" w:eastAsia="仿宋" w:cs="仿宋"/>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7856900">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三、获取磋商文件</w:t>
      </w:r>
    </w:p>
    <w:p w14:paraId="56F1AB2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时间：/至</w:t>
      </w:r>
      <w:r>
        <w:rPr>
          <w:rFonts w:hint="eastAsia" w:ascii="仿宋" w:hAnsi="仿宋" w:eastAsia="仿宋" w:cs="仿宋"/>
          <w:sz w:val="24"/>
          <w:highlight w:val="none"/>
        </w:rPr>
        <w:t xml:space="preserve"> 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 xml:space="preserve"> 5 </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w:t>
      </w:r>
      <w:del w:id="2" w:author="Y。" w:date="2026-05-11T09:31:34Z">
        <w:r>
          <w:rPr>
            <w:rFonts w:hint="default" w:ascii="仿宋" w:hAnsi="仿宋" w:eastAsia="仿宋" w:cs="仿宋"/>
            <w:sz w:val="24"/>
            <w:highlight w:val="none"/>
            <w:lang w:val="en-US" w:eastAsia="zh-CN"/>
          </w:rPr>
          <w:delText>0</w:delText>
        </w:r>
      </w:del>
      <w:ins w:id="3" w:author="Y。" w:date="2026-05-11T09:31:34Z">
        <w:r>
          <w:rPr>
            <w:rFonts w:hint="eastAsia" w:ascii="仿宋" w:hAnsi="仿宋" w:eastAsia="仿宋" w:cs="仿宋"/>
            <w:sz w:val="24"/>
            <w:highlight w:val="none"/>
            <w:lang w:val="en-US" w:eastAsia="zh-CN"/>
          </w:rPr>
          <w:t>1</w:t>
        </w:r>
      </w:ins>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日（北</w:t>
      </w:r>
      <w:r>
        <w:rPr>
          <w:rFonts w:hint="eastAsia" w:ascii="仿宋" w:hAnsi="仿宋" w:eastAsia="仿宋" w:cs="仿宋"/>
          <w:sz w:val="24"/>
        </w:rPr>
        <w:t>京时间，线上获取法定节假日均可，线下获取文件法定节假日除外）</w:t>
      </w:r>
    </w:p>
    <w:p w14:paraId="4308786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地点（网址）：政采云平台（www.zcygov.cn） </w:t>
      </w:r>
    </w:p>
    <w:p w14:paraId="29F066D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方式：潜在供应商登陆政采云平台，在线申请获取磋商文件（进入“项目采购”应用，在获取磋商文件菜单中选择项目，申请获取磋商文件，本项目磋商文件不收取工本费；仅需浏览磋商文件的供应商可点击“游客，浏览磋商文件”直接下载磋商文件浏览）</w:t>
      </w:r>
    </w:p>
    <w:p w14:paraId="74E83D8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售价（元）：0 </w:t>
      </w:r>
    </w:p>
    <w:p w14:paraId="3E93AC9B">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四、提交磋商响应文件截止时间、开标时间和地点</w:t>
      </w:r>
      <w:bookmarkStart w:id="14" w:name="_GoBack"/>
      <w:bookmarkEnd w:id="14"/>
    </w:p>
    <w:p w14:paraId="0FFB48DC">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rPr>
        <w:t>提交磋商响应文件截止时间</w:t>
      </w: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 xml:space="preserve"> 5 </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 xml:space="preserve"> 2</w:t>
      </w:r>
      <w:del w:id="4" w:author="Y。" w:date="2026-05-11T09:31:40Z">
        <w:r>
          <w:rPr>
            <w:rFonts w:hint="default" w:ascii="仿宋" w:hAnsi="仿宋" w:eastAsia="仿宋" w:cs="仿宋"/>
            <w:sz w:val="24"/>
            <w:highlight w:val="none"/>
            <w:lang w:val="en-US" w:eastAsia="zh-CN"/>
          </w:rPr>
          <w:delText>0</w:delText>
        </w:r>
      </w:del>
      <w:ins w:id="5" w:author="Y。" w:date="2026-05-11T09:31:40Z">
        <w:r>
          <w:rPr>
            <w:rFonts w:hint="eastAsia" w:ascii="仿宋" w:hAnsi="仿宋" w:eastAsia="仿宋" w:cs="仿宋"/>
            <w:sz w:val="24"/>
            <w:highlight w:val="none"/>
            <w:lang w:val="en-US" w:eastAsia="zh-CN"/>
          </w:rPr>
          <w:t>1</w:t>
        </w:r>
      </w:ins>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 xml:space="preserve"> 14  </w:t>
      </w:r>
      <w:r>
        <w:rPr>
          <w:rFonts w:hint="eastAsia" w:ascii="仿宋" w:hAnsi="仿宋" w:eastAsia="仿宋" w:cs="仿宋"/>
          <w:sz w:val="24"/>
          <w:highlight w:val="none"/>
          <w:lang w:eastAsia="zh-CN"/>
        </w:rPr>
        <w:t>时</w:t>
      </w:r>
      <w:r>
        <w:rPr>
          <w:rFonts w:hint="eastAsia" w:ascii="仿宋" w:hAnsi="仿宋" w:eastAsia="仿宋" w:cs="仿宋"/>
          <w:sz w:val="24"/>
          <w:highlight w:val="none"/>
          <w:lang w:val="en-US" w:eastAsia="zh-CN"/>
        </w:rPr>
        <w:t xml:space="preserve"> 00  </w:t>
      </w:r>
      <w:r>
        <w:rPr>
          <w:rFonts w:hint="eastAsia" w:ascii="仿宋" w:hAnsi="仿宋" w:eastAsia="仿宋" w:cs="仿宋"/>
          <w:sz w:val="24"/>
          <w:highlight w:val="none"/>
          <w:lang w:eastAsia="zh-CN"/>
        </w:rPr>
        <w:t>分</w:t>
      </w:r>
      <w:r>
        <w:rPr>
          <w:rFonts w:hint="eastAsia" w:ascii="仿宋" w:hAnsi="仿宋" w:eastAsia="仿宋" w:cs="仿宋"/>
          <w:sz w:val="24"/>
          <w:highlight w:val="none"/>
        </w:rPr>
        <w:t>（北京时间）</w:t>
      </w:r>
    </w:p>
    <w:p w14:paraId="5A5AA6EA">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提交地点（网址）：政府采购云平台（www.zcygov.cn）</w:t>
      </w:r>
    </w:p>
    <w:p w14:paraId="3221015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磋商时间</w:t>
      </w: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 xml:space="preserve"> 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 xml:space="preserve"> 2</w:t>
      </w:r>
      <w:del w:id="6" w:author="Y。" w:date="2026-05-11T09:31:43Z">
        <w:r>
          <w:rPr>
            <w:rFonts w:hint="default" w:ascii="仿宋" w:hAnsi="仿宋" w:eastAsia="仿宋" w:cs="仿宋"/>
            <w:sz w:val="24"/>
            <w:highlight w:val="none"/>
            <w:lang w:val="en-US" w:eastAsia="zh-CN"/>
          </w:rPr>
          <w:delText>0</w:delText>
        </w:r>
      </w:del>
      <w:ins w:id="7" w:author="Y。" w:date="2026-05-11T09:31:43Z">
        <w:r>
          <w:rPr>
            <w:rFonts w:hint="eastAsia" w:ascii="仿宋" w:hAnsi="仿宋" w:eastAsia="仿宋" w:cs="仿宋"/>
            <w:sz w:val="24"/>
            <w:highlight w:val="none"/>
            <w:lang w:val="en-US" w:eastAsia="zh-CN"/>
          </w:rPr>
          <w:t>1</w:t>
        </w:r>
      </w:ins>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 xml:space="preserve"> 14 </w:t>
      </w:r>
      <w:r>
        <w:rPr>
          <w:rFonts w:hint="eastAsia" w:ascii="仿宋" w:hAnsi="仿宋" w:eastAsia="仿宋" w:cs="仿宋"/>
          <w:sz w:val="24"/>
          <w:highlight w:val="none"/>
          <w:lang w:eastAsia="zh-CN"/>
        </w:rPr>
        <w:t>时</w:t>
      </w:r>
      <w:r>
        <w:rPr>
          <w:rFonts w:hint="eastAsia" w:ascii="仿宋" w:hAnsi="仿宋" w:eastAsia="仿宋" w:cs="仿宋"/>
          <w:sz w:val="24"/>
          <w:highlight w:val="none"/>
          <w:lang w:val="en-US" w:eastAsia="zh-CN"/>
        </w:rPr>
        <w:t xml:space="preserve"> 00 </w:t>
      </w:r>
      <w:r>
        <w:rPr>
          <w:rFonts w:hint="eastAsia" w:ascii="仿宋" w:hAnsi="仿宋" w:eastAsia="仿宋" w:cs="仿宋"/>
          <w:sz w:val="24"/>
          <w:highlight w:val="none"/>
          <w:lang w:eastAsia="zh-CN"/>
        </w:rPr>
        <w:t>分</w:t>
      </w:r>
      <w:r>
        <w:rPr>
          <w:rFonts w:hint="eastAsia" w:ascii="仿宋" w:hAnsi="仿宋" w:eastAsia="仿宋" w:cs="仿宋"/>
          <w:sz w:val="24"/>
        </w:rPr>
        <w:t>（北京时间）</w:t>
      </w:r>
    </w:p>
    <w:p w14:paraId="0EFBEA5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磋商地点（网址）：政府采购云平台（www.zcygov.cn）</w:t>
      </w:r>
    </w:p>
    <w:p w14:paraId="5C0B3783">
      <w:pPr>
        <w:adjustRightInd w:val="0"/>
        <w:snapToGrid w:val="0"/>
        <w:spacing w:line="360" w:lineRule="auto"/>
        <w:rPr>
          <w:rFonts w:ascii="仿宋" w:hAnsi="仿宋" w:eastAsia="仿宋" w:cs="仿宋"/>
          <w:sz w:val="24"/>
        </w:rPr>
      </w:pPr>
      <w:r>
        <w:rPr>
          <w:rFonts w:hint="eastAsia" w:ascii="仿宋" w:hAnsi="仿宋" w:eastAsia="仿宋" w:cs="仿宋"/>
          <w:b/>
          <w:bCs/>
          <w:sz w:val="24"/>
        </w:rPr>
        <w:t>五、公告期限</w:t>
      </w:r>
    </w:p>
    <w:p w14:paraId="743C33C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自本公告发布之日起3个工作日。</w:t>
      </w:r>
    </w:p>
    <w:p w14:paraId="531A243B">
      <w:pPr>
        <w:pStyle w:val="32"/>
        <w:ind w:left="0" w:leftChars="0" w:firstLine="0" w:firstLineChars="0"/>
        <w:rPr>
          <w:rFonts w:hint="eastAsia" w:ascii="仿宋" w:hAnsi="仿宋" w:eastAsia="仿宋" w:cs="仿宋"/>
          <w:b/>
          <w:bCs/>
          <w:sz w:val="24"/>
          <w:lang w:val="en-US" w:eastAsia="zh-CN"/>
        </w:rPr>
      </w:pPr>
      <w:r>
        <w:rPr>
          <w:rFonts w:hint="eastAsia" w:ascii="仿宋" w:hAnsi="仿宋" w:eastAsia="仿宋" w:cs="仿宋"/>
          <w:b/>
          <w:bCs/>
          <w:sz w:val="24"/>
          <w:lang w:val="en-US" w:eastAsia="zh-CN"/>
        </w:rPr>
        <w:t>六：采购意向公告链接</w:t>
      </w:r>
    </w:p>
    <w:p w14:paraId="1C414967">
      <w:pPr>
        <w:adjustRightInd w:val="0"/>
        <w:snapToGrid w:val="0"/>
        <w:spacing w:line="360" w:lineRule="auto"/>
        <w:ind w:firstLine="420" w:firstLineChars="200"/>
        <w:rPr>
          <w:rFonts w:hint="eastAsia" w:ascii="仿宋" w:hAnsi="仿宋" w:eastAsia="仿宋" w:cs="仿宋"/>
          <w:b/>
          <w:bCs/>
          <w:sz w:val="24"/>
          <w:lang w:val="en-US" w:eastAsia="zh-CN"/>
        </w:rPr>
      </w:pPr>
      <w:r>
        <w:rPr>
          <w:rFonts w:hint="eastAsia"/>
        </w:rPr>
        <w:t>https://zfcg.czt.zj.gov.cn/luban/detail?parentId=600007&amp;articleId=WG2pAANy0/kVZ3Dlp9Nzxw==&amp;utm=web-micro-app-back-front.39c2d9bb.0.0.d7786d703ee611f1bafebb7021b781d2</w:t>
      </w:r>
    </w:p>
    <w:p w14:paraId="5A0E6241">
      <w:pPr>
        <w:numPr>
          <w:ilvl w:val="0"/>
          <w:numId w:val="6"/>
        </w:num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其他补充事宜</w:t>
      </w:r>
    </w:p>
    <w:p w14:paraId="6F171A04">
      <w:pPr>
        <w:widowControl/>
        <w:adjustRightInd w:val="0"/>
        <w:snapToGrid w:val="0"/>
        <w:spacing w:before="0" w:after="0" w:line="360" w:lineRule="auto"/>
        <w:ind w:firstLine="0" w:firstLineChars="0"/>
        <w:jc w:val="left"/>
        <w:rPr>
          <w:rFonts w:ascii="仿宋" w:hAnsi="仿宋" w:eastAsia="仿宋" w:cs="仿宋"/>
          <w:sz w:val="24"/>
        </w:rPr>
      </w:pPr>
      <w:r>
        <w:rPr>
          <w:rFonts w:hint="eastAsia" w:ascii="仿宋" w:hAnsi="仿宋" w:eastAsia="仿宋" w:cs="仿宋"/>
          <w:b/>
          <w:bCs/>
          <w:sz w:val="24"/>
          <w:lang w:val="en-US" w:eastAsia="zh-CN"/>
        </w:rPr>
        <w:t xml:space="preserve">   </w:t>
      </w:r>
      <w:r>
        <w:rPr>
          <w:rFonts w:hint="eastAsia" w:ascii="仿宋" w:hAnsi="仿宋" w:eastAsia="仿宋" w:cs="仿宋"/>
          <w:sz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3D25CD58">
      <w:pPr>
        <w:widowControl/>
        <w:spacing w:before="75" w:after="75" w:line="360" w:lineRule="auto"/>
        <w:ind w:firstLine="480" w:firstLineChars="200"/>
        <w:jc w:val="left"/>
        <w:rPr>
          <w:rFonts w:ascii="仿宋" w:hAnsi="仿宋" w:eastAsia="仿宋" w:cs="仿宋"/>
          <w:sz w:val="24"/>
        </w:rPr>
      </w:pPr>
      <w:r>
        <w:rPr>
          <w:rFonts w:hint="eastAsia" w:ascii="仿宋" w:hAnsi="仿宋" w:eastAsia="仿宋" w:cs="仿宋"/>
          <w:sz w:val="24"/>
        </w:rPr>
        <w:t>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6428CD2">
      <w:pPr>
        <w:widowControl/>
        <w:spacing w:before="75" w:after="75" w:line="360" w:lineRule="auto"/>
        <w:ind w:firstLine="480" w:firstLineChars="200"/>
        <w:jc w:val="left"/>
        <w:rPr>
          <w:rFonts w:ascii="仿宋" w:hAnsi="仿宋" w:eastAsia="仿宋" w:cs="仿宋"/>
          <w:sz w:val="24"/>
        </w:rPr>
      </w:pPr>
      <w:r>
        <w:rPr>
          <w:rFonts w:hint="eastAsia" w:ascii="仿宋" w:hAnsi="仿宋" w:eastAsia="仿宋" w:cs="仿宋"/>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CC3F6C5">
      <w:pPr>
        <w:widowControl/>
        <w:spacing w:before="75" w:after="75" w:line="360" w:lineRule="auto"/>
        <w:ind w:firstLine="480" w:firstLineChars="200"/>
        <w:jc w:val="left"/>
        <w:rPr>
          <w:rFonts w:ascii="仿宋" w:hAnsi="仿宋" w:eastAsia="仿宋" w:cs="仿宋"/>
          <w:sz w:val="24"/>
        </w:rPr>
      </w:pPr>
      <w:r>
        <w:rPr>
          <w:rFonts w:hint="eastAsia" w:ascii="仿宋" w:hAnsi="仿宋" w:eastAsia="仿宋" w:cs="仿宋"/>
          <w:sz w:val="24"/>
        </w:rPr>
        <w:t>4. 其他事项：（1）需要落实的政府采购政策：包括节约资源、保护环境、支持创新、促进中小企业发展等，详见磋商文件第三部分。（2）电子交易的说明: 1）电子交易：本项目以数据电文形式，依托“政府采购云平台（www.zcygov.cn）”进行采购活动，不接受纸质响应文件。2）响应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3）磋商文件的获取：使用账号登录或者使用CA登录政采云平台；进入“项目采购”应用，在获取采购文件菜单中选择项目，获取磋商文件。4）响应文件的制作：在“政采云电子交易客户端”中完成“填写基本信息”、“导入投标文件”、“标书关联”、“标书检查”、“电子签名”、“生成电子标书”等操作。5）采购人、采购代理机构将依托政采云平台完成本项目的电子交易活动，平台不接受未按本公告约定方式获取磋商文件的供应商进行响应活动；6）对未按上述方式获取磋商文件的供应商对该文件提出的质疑，采购人或采购代理机构将不予处理；7）不提供磋商文件纸质版；8）响应文件的传输提交：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9）响应文件的解密：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具体操作指南：详见政采云平台“服务中心-帮助文档-项目采购-操作流程-电子招投标-政府采购项目电子交易管理操作指南-供应商”。（3磋商文件公告期限与磋商公告的公告期限一致。</w:t>
      </w:r>
    </w:p>
    <w:p w14:paraId="3CE51F6A">
      <w:pPr>
        <w:adjustRightInd w:val="0"/>
        <w:snapToGrid w:val="0"/>
        <w:spacing w:line="360" w:lineRule="auto"/>
        <w:rPr>
          <w:rFonts w:ascii="仿宋" w:hAnsi="仿宋" w:eastAsia="仿宋" w:cs="仿宋"/>
          <w:b/>
          <w:bCs/>
          <w:sz w:val="24"/>
        </w:rPr>
      </w:pPr>
      <w:r>
        <w:rPr>
          <w:rFonts w:hint="eastAsia" w:ascii="仿宋" w:hAnsi="仿宋" w:eastAsia="仿宋" w:cs="仿宋"/>
          <w:b/>
          <w:bCs/>
          <w:sz w:val="24"/>
          <w:lang w:val="en-US" w:eastAsia="zh-CN"/>
        </w:rPr>
        <w:t>八</w:t>
      </w:r>
      <w:r>
        <w:rPr>
          <w:rFonts w:hint="eastAsia" w:ascii="仿宋" w:hAnsi="仿宋" w:eastAsia="仿宋" w:cs="仿宋"/>
          <w:b/>
          <w:bCs/>
          <w:sz w:val="24"/>
        </w:rPr>
        <w:t>、对本次采购提出询问、质疑、投诉，请按以下方式联系</w:t>
      </w:r>
    </w:p>
    <w:p w14:paraId="0CE4D75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1.采购人信息</w:t>
      </w:r>
    </w:p>
    <w:p w14:paraId="2E11F732">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名    称：</w:t>
      </w:r>
      <w:r>
        <w:rPr>
          <w:rFonts w:hint="eastAsia" w:ascii="仿宋" w:hAnsi="仿宋" w:eastAsia="仿宋" w:cs="仿宋"/>
          <w:sz w:val="24"/>
          <w:lang w:eastAsia="zh-CN"/>
        </w:rPr>
        <w:t>中共浙江省委组织部（本级）</w:t>
      </w:r>
    </w:p>
    <w:p w14:paraId="1CCC6BF0">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lang w:val="en-US" w:eastAsia="zh-CN"/>
        </w:rPr>
        <w:t>西湖区省府路8号</w:t>
      </w:r>
    </w:p>
    <w:p w14:paraId="22AC5173">
      <w:pP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eastAsia="zh-CN"/>
        </w:rPr>
        <w:t>何老师</w:t>
      </w:r>
    </w:p>
    <w:p w14:paraId="18620A0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项目联系方式（询问）：0571-87053638</w:t>
      </w:r>
    </w:p>
    <w:p w14:paraId="6437EBE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质疑联系人：朱老师</w:t>
      </w:r>
    </w:p>
    <w:p w14:paraId="2D566119">
      <w:pPr>
        <w:adjustRightInd w:val="0"/>
        <w:snapToGrid w:val="0"/>
        <w:spacing w:line="360" w:lineRule="auto"/>
        <w:ind w:firstLine="480" w:firstLineChars="200"/>
        <w:rPr>
          <w:rFonts w:hint="default" w:ascii="仿宋" w:hAnsi="仿宋" w:eastAsia="仿宋" w:cs="宋体"/>
          <w:color w:val="auto"/>
          <w:sz w:val="24"/>
          <w:highlight w:val="none"/>
          <w:lang w:val="en-US"/>
        </w:rPr>
      </w:pPr>
      <w:r>
        <w:rPr>
          <w:rFonts w:hint="eastAsia" w:ascii="仿宋" w:hAnsi="仿宋" w:eastAsia="仿宋" w:cs="仿宋"/>
          <w:color w:val="auto"/>
          <w:sz w:val="24"/>
          <w:highlight w:val="none"/>
        </w:rPr>
        <w:t>质疑联系方式：0571-81050802</w:t>
      </w:r>
    </w:p>
    <w:p w14:paraId="0A2929CF">
      <w:pPr>
        <w:pStyle w:val="14"/>
      </w:pPr>
    </w:p>
    <w:p w14:paraId="377D648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2.采购代理机构信息</w:t>
      </w:r>
    </w:p>
    <w:p w14:paraId="61AF029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名    称：浙江通用招标代理有限公司</w:t>
      </w:r>
    </w:p>
    <w:p w14:paraId="2D1F0A61">
      <w:pPr>
        <w:adjustRightInd w:val="0"/>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地    址：杭州市上城区清泰街571号</w:t>
      </w:r>
      <w:r>
        <w:rPr>
          <w:rFonts w:hint="eastAsia" w:ascii="仿宋" w:hAnsi="仿宋" w:eastAsia="仿宋" w:cs="仿宋"/>
          <w:sz w:val="24"/>
          <w:lang w:val="en-US" w:eastAsia="zh-CN"/>
        </w:rPr>
        <w:t>11F</w:t>
      </w:r>
    </w:p>
    <w:p w14:paraId="5387A98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项目联系人（询问）：</w:t>
      </w:r>
      <w:r>
        <w:rPr>
          <w:rFonts w:hint="eastAsia" w:ascii="仿宋" w:hAnsi="仿宋" w:eastAsia="仿宋" w:cs="仿宋"/>
          <w:sz w:val="24"/>
          <w:lang w:eastAsia="zh-CN"/>
        </w:rPr>
        <w:t>马</w:t>
      </w:r>
      <w:r>
        <w:rPr>
          <w:rFonts w:hint="eastAsia" w:ascii="仿宋" w:hAnsi="仿宋" w:eastAsia="仿宋" w:cs="仿宋"/>
          <w:sz w:val="24"/>
          <w:lang w:val="en-US" w:eastAsia="zh-CN"/>
        </w:rPr>
        <w:t>工</w:t>
      </w:r>
      <w:r>
        <w:rPr>
          <w:rFonts w:hint="eastAsia" w:ascii="仿宋" w:hAnsi="仿宋" w:eastAsia="仿宋" w:cs="仿宋"/>
          <w:sz w:val="24"/>
        </w:rPr>
        <w:t>   </w:t>
      </w:r>
    </w:p>
    <w:p w14:paraId="29199147">
      <w:pPr>
        <w:adjustRightInd w:val="0"/>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项目联系方式（询问）：</w:t>
      </w:r>
      <w:r>
        <w:rPr>
          <w:rFonts w:hint="eastAsia" w:ascii="仿宋" w:hAnsi="仿宋" w:eastAsia="仿宋" w:cs="仿宋"/>
          <w:sz w:val="24"/>
          <w:lang w:val="en-US" w:eastAsia="zh-CN"/>
        </w:rPr>
        <w:t>15658849580</w:t>
      </w:r>
    </w:p>
    <w:p w14:paraId="3333FC2D">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质疑联系人：</w:t>
      </w:r>
      <w:r>
        <w:rPr>
          <w:rFonts w:hint="eastAsia" w:ascii="仿宋" w:hAnsi="仿宋" w:eastAsia="仿宋" w:cs="仿宋"/>
          <w:sz w:val="24"/>
          <w:lang w:eastAsia="zh-CN"/>
        </w:rPr>
        <w:t>韩</w:t>
      </w:r>
      <w:r>
        <w:rPr>
          <w:rFonts w:hint="eastAsia" w:ascii="仿宋" w:hAnsi="仿宋" w:eastAsia="仿宋" w:cs="仿宋"/>
          <w:sz w:val="24"/>
          <w:lang w:val="en-US" w:eastAsia="zh-CN"/>
        </w:rPr>
        <w:t>工</w:t>
      </w:r>
    </w:p>
    <w:p w14:paraId="1B4901D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质疑联系方式：0571-86802299</w:t>
      </w:r>
      <w:r>
        <w:rPr>
          <w:rFonts w:hint="eastAsia" w:ascii="仿宋" w:hAnsi="仿宋" w:eastAsia="仿宋" w:cs="仿宋"/>
          <w:sz w:val="24"/>
          <w:lang w:val="en-US" w:eastAsia="zh-CN"/>
        </w:rPr>
        <w:tab/>
      </w:r>
      <w:r>
        <w:rPr>
          <w:rFonts w:hint="eastAsia" w:ascii="仿宋" w:hAnsi="仿宋" w:eastAsia="仿宋" w:cs="仿宋"/>
          <w:sz w:val="24"/>
        </w:rPr>
        <w:t>　　　　　　      </w:t>
      </w:r>
    </w:p>
    <w:p w14:paraId="1B3B34C1">
      <w:pPr>
        <w:adjustRightInd w:val="0"/>
        <w:snapToGrid w:val="0"/>
        <w:spacing w:line="360" w:lineRule="auto"/>
        <w:ind w:firstLine="480" w:firstLineChars="200"/>
        <w:rPr>
          <w:rFonts w:ascii="仿宋" w:hAnsi="仿宋" w:eastAsia="仿宋" w:cs="仿宋"/>
          <w:sz w:val="24"/>
        </w:rPr>
      </w:pPr>
    </w:p>
    <w:p w14:paraId="47F27A5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3.同级政府采购监督管理部门</w:t>
      </w:r>
    </w:p>
    <w:p w14:paraId="76B5D8F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名称：浙江省政府采购行政裁决服务中心</w:t>
      </w:r>
    </w:p>
    <w:p w14:paraId="5633BDF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地址：杭州市上城区四季青街道新业路市民之家G03办公室</w:t>
      </w:r>
    </w:p>
    <w:p w14:paraId="50F79D8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联系人：朱女士、王女士</w:t>
      </w:r>
    </w:p>
    <w:p w14:paraId="5F7026F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监督投诉电话：0571-85252453</w:t>
      </w:r>
    </w:p>
    <w:p w14:paraId="4FA70048">
      <w:pPr>
        <w:adjustRightInd w:val="0"/>
        <w:snapToGrid w:val="0"/>
        <w:spacing w:line="360" w:lineRule="auto"/>
        <w:ind w:firstLine="480" w:firstLineChars="200"/>
        <w:jc w:val="left"/>
        <w:rPr>
          <w:rFonts w:ascii="仿宋_GB2312" w:hAnsi="仿宋" w:eastAsia="仿宋_GB2312" w:cs="仿宋"/>
          <w:b/>
          <w:sz w:val="32"/>
        </w:rPr>
      </w:pPr>
      <w:r>
        <w:rPr>
          <w:rFonts w:hint="eastAsia" w:ascii="仿宋" w:hAnsi="仿宋" w:eastAsia="仿宋" w:cs="仿宋"/>
          <w:sz w:val="24"/>
        </w:rPr>
        <w:t>政策咨询：何一平、冯华，0571-87058424、87055741</w:t>
      </w:r>
    </w:p>
    <w:p w14:paraId="3F43EDF6">
      <w:pPr>
        <w:adjustRightInd w:val="0"/>
        <w:snapToGrid w:val="0"/>
        <w:spacing w:line="360" w:lineRule="auto"/>
        <w:jc w:val="center"/>
        <w:rPr>
          <w:rFonts w:ascii="仿宋_GB2312" w:hAnsi="仿宋" w:eastAsia="仿宋_GB2312" w:cs="仿宋"/>
          <w:b/>
          <w:sz w:val="32"/>
        </w:rPr>
      </w:pPr>
      <w:r>
        <w:rPr>
          <w:rFonts w:hint="eastAsia" w:ascii="仿宋_GB2312" w:hAnsi="仿宋" w:eastAsia="仿宋_GB2312" w:cs="仿宋"/>
          <w:b/>
          <w:sz w:val="32"/>
        </w:rPr>
        <w:t>第二部分  磋商供应商须知</w:t>
      </w:r>
    </w:p>
    <w:p w14:paraId="36E8CFA1">
      <w:pPr>
        <w:adjustRightInd w:val="0"/>
        <w:snapToGrid w:val="0"/>
        <w:spacing w:line="360" w:lineRule="auto"/>
        <w:jc w:val="center"/>
        <w:rPr>
          <w:rFonts w:ascii="仿宋_GB2312" w:hAnsi="仿宋" w:eastAsia="仿宋_GB2312" w:cs="仿宋"/>
          <w:b/>
          <w:sz w:val="24"/>
        </w:rPr>
      </w:pPr>
      <w:r>
        <w:rPr>
          <w:rFonts w:hint="eastAsia" w:ascii="仿宋_GB2312" w:hAnsi="仿宋" w:eastAsia="仿宋_GB2312" w:cs="仿宋"/>
          <w:b/>
          <w:sz w:val="24"/>
        </w:rPr>
        <w:t>前 附 表</w:t>
      </w:r>
    </w:p>
    <w:tbl>
      <w:tblPr>
        <w:tblStyle w:val="33"/>
        <w:tblW w:w="0" w:type="auto"/>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8361"/>
      </w:tblGrid>
      <w:tr w14:paraId="7785E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11" w:type="dxa"/>
            <w:tcBorders>
              <w:top w:val="single" w:color="auto" w:sz="4" w:space="0"/>
              <w:left w:val="single" w:color="auto" w:sz="4" w:space="0"/>
              <w:bottom w:val="single" w:color="auto" w:sz="4" w:space="0"/>
              <w:right w:val="single" w:color="auto" w:sz="4" w:space="0"/>
            </w:tcBorders>
            <w:vAlign w:val="center"/>
          </w:tcPr>
          <w:p w14:paraId="457ACD65">
            <w:pPr>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8361" w:type="dxa"/>
            <w:tcBorders>
              <w:top w:val="single" w:color="auto" w:sz="4" w:space="0"/>
              <w:left w:val="single" w:color="auto" w:sz="4" w:space="0"/>
              <w:bottom w:val="single" w:color="auto" w:sz="4" w:space="0"/>
              <w:right w:val="single" w:color="auto" w:sz="4" w:space="0"/>
            </w:tcBorders>
            <w:vAlign w:val="center"/>
          </w:tcPr>
          <w:p w14:paraId="4AF5E159">
            <w:pPr>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rPr>
              <w:t>内容、要求</w:t>
            </w:r>
          </w:p>
        </w:tc>
      </w:tr>
      <w:tr w14:paraId="1D3C0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11" w:type="dxa"/>
            <w:tcBorders>
              <w:top w:val="single" w:color="auto" w:sz="4" w:space="0"/>
              <w:left w:val="single" w:color="auto" w:sz="4" w:space="0"/>
              <w:bottom w:val="single" w:color="auto" w:sz="4" w:space="0"/>
              <w:right w:val="single" w:color="auto" w:sz="4" w:space="0"/>
            </w:tcBorders>
            <w:vAlign w:val="center"/>
          </w:tcPr>
          <w:p w14:paraId="752A8CD4">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8361" w:type="dxa"/>
            <w:tcBorders>
              <w:top w:val="single" w:color="auto" w:sz="4" w:space="0"/>
              <w:left w:val="single" w:color="auto" w:sz="4" w:space="0"/>
              <w:bottom w:val="single" w:color="auto" w:sz="4" w:space="0"/>
              <w:right w:val="single" w:color="auto" w:sz="4" w:space="0"/>
            </w:tcBorders>
            <w:vAlign w:val="center"/>
          </w:tcPr>
          <w:p w14:paraId="3D9CE250">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b/>
                <w:bCs/>
                <w:sz w:val="24"/>
              </w:rPr>
              <w:t>项目名称</w:t>
            </w:r>
            <w:r>
              <w:rPr>
                <w:rFonts w:hint="eastAsia" w:ascii="仿宋" w:hAnsi="仿宋" w:eastAsia="仿宋" w:cs="仿宋"/>
                <w:sz w:val="24"/>
              </w:rPr>
              <w:t>：</w:t>
            </w:r>
            <w:r>
              <w:rPr>
                <w:rFonts w:hint="eastAsia" w:ascii="仿宋" w:hAnsi="仿宋" w:eastAsia="仿宋" w:cs="仿宋"/>
                <w:sz w:val="24"/>
                <w:lang w:eastAsia="zh-CN"/>
              </w:rPr>
              <w:t>中共浙江省委组织部（本级）</w:t>
            </w:r>
            <w:r>
              <w:rPr>
                <w:rFonts w:hint="eastAsia" w:ascii="仿宋" w:hAnsi="仿宋" w:eastAsia="仿宋" w:cs="仿宋"/>
                <w:sz w:val="24"/>
                <w:lang w:val="en-US" w:eastAsia="zh-CN"/>
              </w:rPr>
              <w:t>流动党员一体智管系统项目</w:t>
            </w:r>
          </w:p>
        </w:tc>
      </w:tr>
      <w:tr w14:paraId="3DD7F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11" w:type="dxa"/>
            <w:tcBorders>
              <w:top w:val="single" w:color="auto" w:sz="4" w:space="0"/>
              <w:left w:val="single" w:color="auto" w:sz="4" w:space="0"/>
              <w:bottom w:val="single" w:color="auto" w:sz="4" w:space="0"/>
              <w:right w:val="single" w:color="auto" w:sz="4" w:space="0"/>
            </w:tcBorders>
            <w:vAlign w:val="center"/>
          </w:tcPr>
          <w:p w14:paraId="089D511F">
            <w:pPr>
              <w:adjustRightInd w:val="0"/>
              <w:snapToGrid w:val="0"/>
              <w:spacing w:line="360" w:lineRule="auto"/>
              <w:jc w:val="center"/>
              <w:rPr>
                <w:rFonts w:ascii="仿宋" w:hAnsi="仿宋" w:eastAsia="仿宋" w:cs="仿宋"/>
                <w:sz w:val="24"/>
              </w:rPr>
            </w:pPr>
            <w:r>
              <w:rPr>
                <w:rFonts w:hint="eastAsia" w:ascii="仿宋" w:hAnsi="仿宋" w:eastAsia="仿宋" w:cs="仿宋"/>
                <w:sz w:val="24"/>
              </w:rPr>
              <w:t>2</w:t>
            </w:r>
          </w:p>
        </w:tc>
        <w:tc>
          <w:tcPr>
            <w:tcW w:w="8361" w:type="dxa"/>
            <w:tcBorders>
              <w:top w:val="single" w:color="auto" w:sz="4" w:space="0"/>
              <w:left w:val="single" w:color="auto" w:sz="4" w:space="0"/>
              <w:bottom w:val="single" w:color="auto" w:sz="4" w:space="0"/>
              <w:right w:val="single" w:color="auto" w:sz="4" w:space="0"/>
            </w:tcBorders>
            <w:vAlign w:val="center"/>
          </w:tcPr>
          <w:p w14:paraId="107CE023">
            <w:pPr>
              <w:adjustRightInd w:val="0"/>
              <w:snapToGrid w:val="0"/>
              <w:spacing w:line="360" w:lineRule="auto"/>
              <w:rPr>
                <w:rFonts w:hint="default" w:ascii="仿宋" w:hAnsi="仿宋" w:eastAsia="仿宋" w:cs="仿宋"/>
                <w:sz w:val="24"/>
                <w:lang w:val="en-US" w:eastAsia="zh-CN"/>
              </w:rPr>
            </w:pPr>
            <w:r>
              <w:rPr>
                <w:rFonts w:hint="eastAsia" w:ascii="仿宋" w:hAnsi="仿宋" w:eastAsia="仿宋" w:cs="仿宋"/>
                <w:b/>
                <w:bCs/>
                <w:sz w:val="24"/>
              </w:rPr>
              <w:t>项目编号：</w:t>
            </w:r>
            <w:r>
              <w:rPr>
                <w:rFonts w:hint="eastAsia" w:ascii="仿宋" w:hAnsi="仿宋" w:eastAsia="仿宋" w:cs="仿宋"/>
                <w:sz w:val="24"/>
                <w:lang w:eastAsia="zh-CN"/>
              </w:rPr>
              <w:t>ZJTY202</w:t>
            </w:r>
            <w:r>
              <w:rPr>
                <w:rFonts w:hint="eastAsia" w:ascii="仿宋" w:hAnsi="仿宋" w:eastAsia="仿宋" w:cs="仿宋"/>
                <w:sz w:val="24"/>
                <w:lang w:val="en-US" w:eastAsia="zh-CN"/>
              </w:rPr>
              <w:t>6M</w:t>
            </w:r>
            <w:r>
              <w:rPr>
                <w:rFonts w:hint="eastAsia" w:ascii="仿宋" w:hAnsi="仿宋" w:eastAsia="仿宋" w:cs="仿宋"/>
                <w:sz w:val="24"/>
                <w:lang w:eastAsia="zh-CN"/>
              </w:rPr>
              <w:t>-JF-</w:t>
            </w:r>
            <w:r>
              <w:rPr>
                <w:rFonts w:hint="eastAsia" w:ascii="仿宋" w:hAnsi="仿宋" w:eastAsia="仿宋" w:cs="仿宋"/>
                <w:sz w:val="24"/>
                <w:lang w:val="en-US" w:eastAsia="zh-CN"/>
              </w:rPr>
              <w:t>32</w:t>
            </w:r>
          </w:p>
        </w:tc>
      </w:tr>
      <w:tr w14:paraId="41E38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11" w:type="dxa"/>
            <w:tcBorders>
              <w:top w:val="single" w:color="auto" w:sz="4" w:space="0"/>
              <w:left w:val="single" w:color="auto" w:sz="4" w:space="0"/>
              <w:bottom w:val="single" w:color="auto" w:sz="4" w:space="0"/>
              <w:right w:val="single" w:color="auto" w:sz="4" w:space="0"/>
            </w:tcBorders>
            <w:vAlign w:val="center"/>
          </w:tcPr>
          <w:p w14:paraId="6319241A">
            <w:pPr>
              <w:adjustRightInd w:val="0"/>
              <w:snapToGrid w:val="0"/>
              <w:spacing w:line="360" w:lineRule="auto"/>
              <w:jc w:val="center"/>
              <w:rPr>
                <w:rFonts w:ascii="仿宋" w:hAnsi="仿宋" w:eastAsia="仿宋" w:cs="仿宋"/>
                <w:sz w:val="24"/>
              </w:rPr>
            </w:pPr>
            <w:r>
              <w:rPr>
                <w:rFonts w:hint="eastAsia" w:ascii="仿宋" w:hAnsi="仿宋" w:eastAsia="仿宋" w:cs="仿宋"/>
                <w:sz w:val="24"/>
              </w:rPr>
              <w:t>3</w:t>
            </w:r>
          </w:p>
        </w:tc>
        <w:tc>
          <w:tcPr>
            <w:tcW w:w="8361" w:type="dxa"/>
            <w:tcBorders>
              <w:top w:val="single" w:color="auto" w:sz="4" w:space="0"/>
              <w:left w:val="single" w:color="auto" w:sz="4" w:space="0"/>
              <w:bottom w:val="single" w:color="auto" w:sz="4" w:space="0"/>
              <w:right w:val="single" w:color="auto" w:sz="4" w:space="0"/>
            </w:tcBorders>
            <w:vAlign w:val="center"/>
          </w:tcPr>
          <w:p w14:paraId="4B06719C">
            <w:pPr>
              <w:adjustRightInd w:val="0"/>
              <w:snapToGrid w:val="0"/>
              <w:spacing w:line="360" w:lineRule="auto"/>
              <w:rPr>
                <w:rFonts w:ascii="仿宋" w:hAnsi="仿宋" w:eastAsia="仿宋" w:cs="仿宋"/>
                <w:sz w:val="24"/>
              </w:rPr>
            </w:pPr>
            <w:r>
              <w:rPr>
                <w:rFonts w:hint="eastAsia" w:ascii="仿宋" w:hAnsi="仿宋" w:eastAsia="仿宋" w:cs="仿宋"/>
                <w:b/>
                <w:bCs/>
                <w:sz w:val="24"/>
              </w:rPr>
              <w:t>采购内容：</w:t>
            </w:r>
            <w:r>
              <w:rPr>
                <w:rFonts w:hint="eastAsia" w:ascii="仿宋" w:hAnsi="仿宋" w:eastAsia="仿宋" w:cs="仿宋"/>
                <w:sz w:val="24"/>
                <w:lang w:eastAsia="zh-CN"/>
              </w:rPr>
              <w:t>中共浙江省委组织部（本级）</w:t>
            </w:r>
            <w:r>
              <w:rPr>
                <w:rFonts w:hint="eastAsia" w:ascii="仿宋" w:hAnsi="仿宋" w:eastAsia="仿宋" w:cs="仿宋"/>
                <w:sz w:val="24"/>
                <w:lang w:val="en-US" w:eastAsia="zh-CN"/>
              </w:rPr>
              <w:t>流动党员一体智管系统项目</w:t>
            </w:r>
            <w:r>
              <w:rPr>
                <w:rFonts w:hint="eastAsia" w:ascii="仿宋" w:hAnsi="仿宋" w:eastAsia="仿宋" w:cs="仿宋"/>
                <w:sz w:val="24"/>
              </w:rPr>
              <w:t>，详见《第三部分 采购需求》</w:t>
            </w:r>
          </w:p>
        </w:tc>
      </w:tr>
      <w:tr w14:paraId="1728B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11" w:type="dxa"/>
            <w:tcBorders>
              <w:top w:val="single" w:color="auto" w:sz="4" w:space="0"/>
              <w:left w:val="single" w:color="auto" w:sz="4" w:space="0"/>
              <w:bottom w:val="single" w:color="auto" w:sz="4" w:space="0"/>
              <w:right w:val="single" w:color="auto" w:sz="4" w:space="0"/>
            </w:tcBorders>
            <w:vAlign w:val="center"/>
          </w:tcPr>
          <w:p w14:paraId="44F232AE">
            <w:pPr>
              <w:adjustRightInd w:val="0"/>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8361" w:type="dxa"/>
            <w:tcBorders>
              <w:top w:val="single" w:color="auto" w:sz="4" w:space="0"/>
              <w:left w:val="single" w:color="auto" w:sz="4" w:space="0"/>
              <w:bottom w:val="single" w:color="auto" w:sz="4" w:space="0"/>
              <w:right w:val="single" w:color="auto" w:sz="4" w:space="0"/>
            </w:tcBorders>
            <w:vAlign w:val="center"/>
          </w:tcPr>
          <w:p w14:paraId="65D5888B">
            <w:pPr>
              <w:adjustRightInd w:val="0"/>
              <w:snapToGrid w:val="0"/>
              <w:spacing w:line="360" w:lineRule="auto"/>
              <w:rPr>
                <w:rFonts w:ascii="仿宋" w:hAnsi="仿宋" w:eastAsia="仿宋" w:cs="仿宋"/>
                <w:sz w:val="24"/>
              </w:rPr>
            </w:pPr>
            <w:r>
              <w:rPr>
                <w:rFonts w:hint="eastAsia" w:ascii="仿宋" w:hAnsi="仿宋" w:eastAsia="仿宋" w:cs="仿宋"/>
                <w:b/>
                <w:bCs/>
                <w:sz w:val="24"/>
              </w:rPr>
              <w:t>项目预算：</w:t>
            </w:r>
            <w:r>
              <w:rPr>
                <w:rFonts w:hint="eastAsia" w:ascii="仿宋" w:hAnsi="仿宋" w:eastAsia="仿宋" w:cs="仿宋"/>
                <w:b w:val="0"/>
                <w:bCs w:val="0"/>
                <w:sz w:val="24"/>
                <w:lang w:val="en-US" w:eastAsia="zh-CN"/>
              </w:rPr>
              <w:t>33.95</w:t>
            </w:r>
            <w:r>
              <w:rPr>
                <w:rFonts w:hint="eastAsia" w:ascii="仿宋" w:hAnsi="仿宋" w:eastAsia="仿宋" w:cs="仿宋"/>
                <w:sz w:val="24"/>
              </w:rPr>
              <w:t>万元人民币</w:t>
            </w:r>
          </w:p>
        </w:tc>
      </w:tr>
      <w:tr w14:paraId="342CC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11" w:type="dxa"/>
            <w:tcBorders>
              <w:top w:val="single" w:color="auto" w:sz="4" w:space="0"/>
              <w:left w:val="single" w:color="auto" w:sz="4" w:space="0"/>
              <w:bottom w:val="single" w:color="auto" w:sz="4" w:space="0"/>
              <w:right w:val="single" w:color="auto" w:sz="4" w:space="0"/>
            </w:tcBorders>
            <w:vAlign w:val="center"/>
          </w:tcPr>
          <w:p w14:paraId="760626EE">
            <w:pPr>
              <w:adjustRightInd w:val="0"/>
              <w:snapToGrid w:val="0"/>
              <w:spacing w:line="360" w:lineRule="auto"/>
              <w:jc w:val="center"/>
              <w:rPr>
                <w:rFonts w:ascii="仿宋" w:hAnsi="仿宋" w:eastAsia="仿宋" w:cs="仿宋"/>
                <w:sz w:val="24"/>
              </w:rPr>
            </w:pPr>
            <w:r>
              <w:rPr>
                <w:rFonts w:hint="eastAsia" w:ascii="仿宋" w:hAnsi="仿宋" w:eastAsia="仿宋" w:cs="仿宋"/>
                <w:sz w:val="24"/>
              </w:rPr>
              <w:t>5</w:t>
            </w:r>
          </w:p>
        </w:tc>
        <w:tc>
          <w:tcPr>
            <w:tcW w:w="8361" w:type="dxa"/>
            <w:tcBorders>
              <w:top w:val="single" w:color="auto" w:sz="4" w:space="0"/>
              <w:left w:val="single" w:color="auto" w:sz="4" w:space="0"/>
              <w:bottom w:val="single" w:color="auto" w:sz="4" w:space="0"/>
              <w:right w:val="single" w:color="auto" w:sz="4" w:space="0"/>
            </w:tcBorders>
            <w:vAlign w:val="center"/>
          </w:tcPr>
          <w:p w14:paraId="113F3CA0">
            <w:pPr>
              <w:adjustRightInd w:val="0"/>
              <w:snapToGrid w:val="0"/>
              <w:spacing w:line="360" w:lineRule="auto"/>
              <w:rPr>
                <w:rFonts w:ascii="仿宋" w:hAnsi="仿宋" w:eastAsia="仿宋" w:cs="仿宋"/>
                <w:sz w:val="24"/>
              </w:rPr>
            </w:pPr>
            <w:r>
              <w:rPr>
                <w:rFonts w:hint="eastAsia" w:ascii="仿宋" w:hAnsi="仿宋" w:eastAsia="仿宋" w:cs="仿宋"/>
                <w:b/>
                <w:bCs/>
                <w:sz w:val="24"/>
              </w:rPr>
              <w:t>资金来源：</w:t>
            </w:r>
            <w:r>
              <w:rPr>
                <w:rFonts w:hint="eastAsia" w:ascii="仿宋" w:hAnsi="仿宋" w:eastAsia="仿宋" w:cs="仿宋"/>
                <w:sz w:val="24"/>
              </w:rPr>
              <w:t>财政资金</w:t>
            </w:r>
          </w:p>
        </w:tc>
      </w:tr>
      <w:tr w14:paraId="18BA0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11" w:type="dxa"/>
            <w:tcBorders>
              <w:top w:val="single" w:color="auto" w:sz="4" w:space="0"/>
              <w:left w:val="single" w:color="auto" w:sz="4" w:space="0"/>
              <w:bottom w:val="single" w:color="auto" w:sz="4" w:space="0"/>
              <w:right w:val="single" w:color="auto" w:sz="4" w:space="0"/>
            </w:tcBorders>
            <w:vAlign w:val="center"/>
          </w:tcPr>
          <w:p w14:paraId="7F14B6CE">
            <w:pPr>
              <w:adjustRightInd w:val="0"/>
              <w:snapToGrid w:val="0"/>
              <w:spacing w:line="360" w:lineRule="auto"/>
              <w:jc w:val="center"/>
              <w:rPr>
                <w:rFonts w:ascii="仿宋" w:hAnsi="仿宋" w:eastAsia="仿宋" w:cs="仿宋"/>
                <w:sz w:val="24"/>
              </w:rPr>
            </w:pPr>
            <w:r>
              <w:rPr>
                <w:rFonts w:hint="eastAsia" w:ascii="仿宋" w:hAnsi="仿宋" w:eastAsia="仿宋" w:cs="仿宋"/>
                <w:sz w:val="24"/>
              </w:rPr>
              <w:t>6</w:t>
            </w:r>
          </w:p>
        </w:tc>
        <w:tc>
          <w:tcPr>
            <w:tcW w:w="8361" w:type="dxa"/>
            <w:tcBorders>
              <w:top w:val="single" w:color="auto" w:sz="4" w:space="0"/>
              <w:left w:val="single" w:color="auto" w:sz="4" w:space="0"/>
              <w:bottom w:val="single" w:color="auto" w:sz="4" w:space="0"/>
              <w:right w:val="single" w:color="auto" w:sz="4" w:space="0"/>
            </w:tcBorders>
            <w:vAlign w:val="center"/>
          </w:tcPr>
          <w:p w14:paraId="7506EC64">
            <w:pPr>
              <w:widowControl/>
              <w:spacing w:line="360" w:lineRule="auto"/>
              <w:rPr>
                <w:rFonts w:hint="eastAsia" w:ascii="仿宋" w:hAnsi="仿宋" w:eastAsia="仿宋" w:cs="仿宋"/>
                <w:sz w:val="24"/>
              </w:rPr>
            </w:pPr>
            <w:r>
              <w:rPr>
                <w:rFonts w:hint="eastAsia" w:ascii="仿宋" w:hAnsi="仿宋" w:eastAsia="仿宋" w:cs="仿宋"/>
                <w:b/>
                <w:bCs/>
                <w:sz w:val="24"/>
              </w:rPr>
              <w:t>服务期限（完成时间）：</w:t>
            </w:r>
            <w:r>
              <w:rPr>
                <w:rFonts w:hint="eastAsia" w:ascii="仿宋" w:hAnsi="仿宋" w:eastAsia="仿宋" w:cs="仿宋"/>
                <w:sz w:val="24"/>
              </w:rPr>
              <w:t>合同签订之日起2个月内完成系统开发，完成试运行后进行验收。</w:t>
            </w:r>
          </w:p>
          <w:p w14:paraId="6489CD80">
            <w:pPr>
              <w:adjustRightInd w:val="0"/>
              <w:snapToGrid w:val="0"/>
              <w:spacing w:line="360" w:lineRule="auto"/>
              <w:rPr>
                <w:rFonts w:hint="eastAsia" w:ascii="仿宋" w:hAnsi="仿宋" w:eastAsia="仿宋" w:cs="仿宋"/>
                <w:sz w:val="24"/>
                <w:lang w:val="en-US" w:eastAsia="zh-CN"/>
              </w:rPr>
            </w:pPr>
          </w:p>
        </w:tc>
      </w:tr>
      <w:tr w14:paraId="7382A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711" w:type="dxa"/>
            <w:tcBorders>
              <w:top w:val="single" w:color="auto" w:sz="4" w:space="0"/>
              <w:left w:val="single" w:color="auto" w:sz="4" w:space="0"/>
              <w:bottom w:val="single" w:color="auto" w:sz="4" w:space="0"/>
              <w:right w:val="single" w:color="auto" w:sz="4" w:space="0"/>
            </w:tcBorders>
            <w:vAlign w:val="center"/>
          </w:tcPr>
          <w:p w14:paraId="2FE32875">
            <w:pPr>
              <w:adjustRightInd w:val="0"/>
              <w:snapToGrid w:val="0"/>
              <w:spacing w:line="360" w:lineRule="auto"/>
              <w:jc w:val="center"/>
              <w:rPr>
                <w:rFonts w:ascii="仿宋" w:hAnsi="仿宋" w:eastAsia="仿宋" w:cs="仿宋"/>
                <w:sz w:val="24"/>
              </w:rPr>
            </w:pPr>
            <w:r>
              <w:rPr>
                <w:rFonts w:hint="eastAsia" w:ascii="仿宋" w:hAnsi="仿宋" w:eastAsia="仿宋" w:cs="仿宋"/>
                <w:sz w:val="24"/>
              </w:rPr>
              <w:t>7</w:t>
            </w:r>
          </w:p>
        </w:tc>
        <w:tc>
          <w:tcPr>
            <w:tcW w:w="8361" w:type="dxa"/>
            <w:tcBorders>
              <w:top w:val="single" w:color="auto" w:sz="4" w:space="0"/>
              <w:left w:val="single" w:color="auto" w:sz="4" w:space="0"/>
              <w:bottom w:val="single" w:color="auto" w:sz="4" w:space="0"/>
              <w:right w:val="single" w:color="auto" w:sz="4" w:space="0"/>
            </w:tcBorders>
            <w:vAlign w:val="center"/>
          </w:tcPr>
          <w:p w14:paraId="7E27C79C">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磋商报价及费用：</w:t>
            </w:r>
          </w:p>
          <w:p w14:paraId="00B1B9E9">
            <w:pPr>
              <w:adjustRightInd w:val="0"/>
              <w:snapToGrid w:val="0"/>
              <w:spacing w:line="360" w:lineRule="auto"/>
              <w:rPr>
                <w:rFonts w:ascii="仿宋" w:hAnsi="仿宋" w:eastAsia="仿宋" w:cs="仿宋"/>
                <w:sz w:val="24"/>
              </w:rPr>
            </w:pPr>
            <w:r>
              <w:rPr>
                <w:rFonts w:hint="eastAsia" w:ascii="仿宋" w:hAnsi="仿宋" w:eastAsia="仿宋" w:cs="仿宋"/>
                <w:sz w:val="24"/>
              </w:rPr>
              <w:t>（1）有关本项目所需的技术方案编写、项目实施费用和税金等所涉及的一切费用。《开标一览表》是报价的唯一载体。磋商响应文件中价格全部采用人民币报价。磋商文件未列明，而磋商供应商认为必需的费用也需列入报价。磋商供应商所承诺的货物或服务未在报价中体现的，采购人一律视为包含在本次报价中；</w:t>
            </w:r>
          </w:p>
          <w:p w14:paraId="2FB9E8BA">
            <w:pPr>
              <w:adjustRightInd w:val="0"/>
              <w:snapToGrid w:val="0"/>
              <w:spacing w:line="360" w:lineRule="auto"/>
              <w:rPr>
                <w:rFonts w:ascii="仿宋" w:hAnsi="仿宋" w:eastAsia="仿宋" w:cs="仿宋"/>
                <w:sz w:val="24"/>
              </w:rPr>
            </w:pPr>
            <w:r>
              <w:rPr>
                <w:rFonts w:hint="eastAsia" w:ascii="仿宋" w:hAnsi="仿宋" w:eastAsia="仿宋" w:cs="仿宋"/>
                <w:b/>
                <w:bCs/>
                <w:sz w:val="24"/>
              </w:rPr>
              <w:t>（2）结算方式：总价包干。</w:t>
            </w:r>
          </w:p>
        </w:tc>
      </w:tr>
      <w:tr w14:paraId="06440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11" w:type="dxa"/>
            <w:tcBorders>
              <w:top w:val="single" w:color="auto" w:sz="4" w:space="0"/>
              <w:left w:val="single" w:color="auto" w:sz="4" w:space="0"/>
              <w:bottom w:val="single" w:color="auto" w:sz="4" w:space="0"/>
              <w:right w:val="single" w:color="auto" w:sz="4" w:space="0"/>
            </w:tcBorders>
            <w:vAlign w:val="center"/>
          </w:tcPr>
          <w:p w14:paraId="06B11563">
            <w:pPr>
              <w:adjustRightInd w:val="0"/>
              <w:snapToGrid w:val="0"/>
              <w:spacing w:line="360" w:lineRule="auto"/>
              <w:jc w:val="center"/>
              <w:rPr>
                <w:rFonts w:ascii="仿宋" w:hAnsi="仿宋" w:eastAsia="仿宋" w:cs="仿宋"/>
                <w:sz w:val="24"/>
              </w:rPr>
            </w:pPr>
            <w:r>
              <w:rPr>
                <w:rFonts w:hint="eastAsia" w:ascii="仿宋" w:hAnsi="仿宋" w:eastAsia="仿宋" w:cs="仿宋"/>
                <w:sz w:val="24"/>
              </w:rPr>
              <w:t>8</w:t>
            </w:r>
          </w:p>
        </w:tc>
        <w:tc>
          <w:tcPr>
            <w:tcW w:w="8361" w:type="dxa"/>
            <w:tcBorders>
              <w:top w:val="single" w:color="auto" w:sz="4" w:space="0"/>
              <w:left w:val="single" w:color="auto" w:sz="4" w:space="0"/>
              <w:bottom w:val="single" w:color="auto" w:sz="4" w:space="0"/>
              <w:right w:val="single" w:color="auto" w:sz="4" w:space="0"/>
            </w:tcBorders>
            <w:vAlign w:val="center"/>
          </w:tcPr>
          <w:p w14:paraId="773963BF">
            <w:pPr>
              <w:adjustRightInd w:val="0"/>
              <w:snapToGrid w:val="0"/>
              <w:spacing w:line="360" w:lineRule="auto"/>
              <w:rPr>
                <w:rFonts w:ascii="仿宋" w:hAnsi="仿宋" w:eastAsia="仿宋" w:cs="仿宋"/>
                <w:sz w:val="24"/>
              </w:rPr>
            </w:pPr>
            <w:r>
              <w:rPr>
                <w:rFonts w:hint="eastAsia" w:ascii="仿宋" w:hAnsi="仿宋" w:eastAsia="仿宋" w:cs="仿宋"/>
                <w:b/>
                <w:bCs/>
                <w:sz w:val="24"/>
              </w:rPr>
              <w:t>资格审查方式：</w:t>
            </w:r>
            <w:r>
              <w:rPr>
                <w:rFonts w:hint="eastAsia" w:ascii="仿宋" w:hAnsi="仿宋" w:eastAsia="仿宋" w:cs="仿宋"/>
                <w:sz w:val="24"/>
              </w:rPr>
              <w:t>资格后审</w:t>
            </w:r>
          </w:p>
        </w:tc>
      </w:tr>
      <w:tr w14:paraId="745BA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11" w:type="dxa"/>
            <w:tcBorders>
              <w:top w:val="single" w:color="auto" w:sz="4" w:space="0"/>
              <w:left w:val="single" w:color="auto" w:sz="4" w:space="0"/>
              <w:bottom w:val="single" w:color="auto" w:sz="4" w:space="0"/>
              <w:right w:val="single" w:color="auto" w:sz="4" w:space="0"/>
            </w:tcBorders>
            <w:vAlign w:val="center"/>
          </w:tcPr>
          <w:p w14:paraId="4BBBF57D">
            <w:pPr>
              <w:adjustRightInd w:val="0"/>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8361" w:type="dxa"/>
            <w:tcBorders>
              <w:top w:val="single" w:color="auto" w:sz="4" w:space="0"/>
              <w:left w:val="single" w:color="auto" w:sz="4" w:space="0"/>
              <w:bottom w:val="single" w:color="auto" w:sz="4" w:space="0"/>
              <w:right w:val="single" w:color="auto" w:sz="4" w:space="0"/>
            </w:tcBorders>
            <w:vAlign w:val="center"/>
          </w:tcPr>
          <w:p w14:paraId="15C9089A">
            <w:pPr>
              <w:widowControl/>
              <w:adjustRightInd w:val="0"/>
              <w:snapToGrid w:val="0"/>
              <w:spacing w:line="360" w:lineRule="auto"/>
              <w:jc w:val="left"/>
              <w:rPr>
                <w:rFonts w:hint="default" w:ascii="仿宋" w:hAnsi="仿宋" w:eastAsia="仿宋" w:cs="仿宋"/>
                <w:sz w:val="24"/>
                <w:lang w:val="en-US"/>
              </w:rPr>
            </w:pPr>
            <w:r>
              <w:rPr>
                <w:rFonts w:hint="eastAsia" w:ascii="仿宋" w:hAnsi="仿宋" w:eastAsia="仿宋" w:cs="仿宋"/>
                <w:b/>
                <w:bCs/>
                <w:sz w:val="24"/>
                <w:szCs w:val="24"/>
                <w:highlight w:val="none"/>
              </w:rPr>
              <w:t>转包与分包</w:t>
            </w:r>
            <w:r>
              <w:rPr>
                <w:rFonts w:hint="eastAsia" w:ascii="仿宋" w:hAnsi="仿宋" w:eastAsia="仿宋" w:cs="仿宋"/>
                <w:b/>
                <w:bCs/>
                <w:sz w:val="24"/>
                <w:lang w:eastAsia="zh-CN"/>
              </w:rPr>
              <w:t>：不</w:t>
            </w:r>
            <w:r>
              <w:rPr>
                <w:rFonts w:hint="eastAsia" w:ascii="仿宋" w:hAnsi="仿宋" w:eastAsia="仿宋" w:cs="仿宋"/>
                <w:b/>
                <w:bCs/>
                <w:sz w:val="24"/>
                <w:lang w:val="en-US" w:eastAsia="zh-CN"/>
              </w:rPr>
              <w:t>允许</w:t>
            </w:r>
            <w:r>
              <w:rPr>
                <w:rFonts w:hint="eastAsia" w:ascii="仿宋" w:hAnsi="仿宋" w:eastAsia="仿宋" w:cs="仿宋"/>
                <w:b/>
                <w:bCs/>
                <w:sz w:val="24"/>
                <w:lang w:eastAsia="zh-CN"/>
              </w:rPr>
              <w:t>分包，</w:t>
            </w:r>
            <w:r>
              <w:rPr>
                <w:rFonts w:hint="eastAsia" w:ascii="仿宋" w:hAnsi="仿宋" w:eastAsia="仿宋" w:cs="仿宋"/>
                <w:b/>
                <w:bCs/>
                <w:sz w:val="24"/>
                <w:lang w:val="en-US" w:eastAsia="zh-CN"/>
              </w:rPr>
              <w:t>不允许转包</w:t>
            </w:r>
          </w:p>
        </w:tc>
      </w:tr>
      <w:tr w14:paraId="1C74A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11" w:type="dxa"/>
            <w:tcBorders>
              <w:top w:val="single" w:color="auto" w:sz="4" w:space="0"/>
              <w:left w:val="single" w:color="auto" w:sz="4" w:space="0"/>
              <w:bottom w:val="single" w:color="auto" w:sz="4" w:space="0"/>
              <w:right w:val="single" w:color="auto" w:sz="4" w:space="0"/>
            </w:tcBorders>
            <w:vAlign w:val="center"/>
          </w:tcPr>
          <w:p w14:paraId="1072A050">
            <w:pPr>
              <w:adjustRightInd w:val="0"/>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8361" w:type="dxa"/>
            <w:tcBorders>
              <w:top w:val="single" w:color="auto" w:sz="4" w:space="0"/>
              <w:left w:val="single" w:color="auto" w:sz="4" w:space="0"/>
              <w:bottom w:val="single" w:color="auto" w:sz="4" w:space="0"/>
              <w:right w:val="single" w:color="auto" w:sz="4" w:space="0"/>
            </w:tcBorders>
            <w:vAlign w:val="center"/>
          </w:tcPr>
          <w:p w14:paraId="5C6C7DE5">
            <w:pPr>
              <w:adjustRightInd w:val="0"/>
              <w:snapToGrid w:val="0"/>
              <w:spacing w:line="360" w:lineRule="auto"/>
              <w:rPr>
                <w:rFonts w:ascii="仿宋" w:hAnsi="仿宋" w:eastAsia="仿宋" w:cs="仿宋"/>
                <w:sz w:val="24"/>
              </w:rPr>
            </w:pPr>
            <w:r>
              <w:rPr>
                <w:rFonts w:hint="eastAsia" w:ascii="仿宋" w:hAnsi="仿宋" w:eastAsia="仿宋" w:cs="仿宋"/>
                <w:b/>
                <w:bCs/>
                <w:sz w:val="24"/>
              </w:rPr>
              <w:t>磋商响应文件有效期：</w:t>
            </w:r>
            <w:r>
              <w:rPr>
                <w:rFonts w:hint="eastAsia" w:ascii="仿宋" w:hAnsi="仿宋" w:eastAsia="仿宋" w:cs="仿宋"/>
                <w:sz w:val="24"/>
              </w:rPr>
              <w:t>自磋商响应截止日起90日历天内有效</w:t>
            </w:r>
          </w:p>
        </w:tc>
      </w:tr>
      <w:tr w14:paraId="7CABD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11" w:type="dxa"/>
            <w:tcBorders>
              <w:top w:val="single" w:color="auto" w:sz="4" w:space="0"/>
              <w:left w:val="single" w:color="auto" w:sz="4" w:space="0"/>
              <w:bottom w:val="single" w:color="auto" w:sz="4" w:space="0"/>
              <w:right w:val="single" w:color="auto" w:sz="4" w:space="0"/>
            </w:tcBorders>
            <w:vAlign w:val="center"/>
          </w:tcPr>
          <w:p w14:paraId="3B8C7024">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p>
        </w:tc>
        <w:tc>
          <w:tcPr>
            <w:tcW w:w="8361" w:type="dxa"/>
            <w:tcBorders>
              <w:top w:val="single" w:color="auto" w:sz="4" w:space="0"/>
              <w:left w:val="single" w:color="auto" w:sz="4" w:space="0"/>
              <w:bottom w:val="single" w:color="auto" w:sz="4" w:space="0"/>
              <w:right w:val="single" w:color="auto" w:sz="4" w:space="0"/>
            </w:tcBorders>
            <w:vAlign w:val="center"/>
          </w:tcPr>
          <w:p w14:paraId="7ED6F99B">
            <w:pPr>
              <w:adjustRightInd w:val="0"/>
              <w:snapToGrid w:val="0"/>
              <w:spacing w:line="360" w:lineRule="auto"/>
              <w:rPr>
                <w:rFonts w:ascii="仿宋" w:hAnsi="仿宋" w:eastAsia="仿宋" w:cs="仿宋"/>
                <w:sz w:val="24"/>
              </w:rPr>
            </w:pPr>
            <w:r>
              <w:rPr>
                <w:rFonts w:hint="eastAsia" w:ascii="仿宋" w:hAnsi="仿宋" w:eastAsia="仿宋" w:cs="仿宋"/>
                <w:b/>
                <w:bCs/>
                <w:sz w:val="24"/>
              </w:rPr>
              <w:t>开标前答疑会或现场考察：</w:t>
            </w:r>
            <w:r>
              <w:rPr>
                <w:rFonts w:hint="eastAsia" w:ascii="仿宋" w:hAnsi="仿宋" w:eastAsia="仿宋" w:cs="仿宋"/>
                <w:sz w:val="24"/>
              </w:rPr>
              <w:t>不组织</w:t>
            </w:r>
          </w:p>
        </w:tc>
      </w:tr>
      <w:tr w14:paraId="25C5B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11" w:type="dxa"/>
            <w:tcBorders>
              <w:top w:val="single" w:color="auto" w:sz="4" w:space="0"/>
              <w:left w:val="single" w:color="auto" w:sz="4" w:space="0"/>
              <w:bottom w:val="single" w:color="auto" w:sz="4" w:space="0"/>
              <w:right w:val="single" w:color="auto" w:sz="4" w:space="0"/>
            </w:tcBorders>
            <w:vAlign w:val="center"/>
          </w:tcPr>
          <w:p w14:paraId="2728EB13">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p>
        </w:tc>
        <w:tc>
          <w:tcPr>
            <w:tcW w:w="8361" w:type="dxa"/>
            <w:tcBorders>
              <w:top w:val="single" w:color="auto" w:sz="4" w:space="0"/>
              <w:left w:val="single" w:color="auto" w:sz="4" w:space="0"/>
              <w:bottom w:val="single" w:color="auto" w:sz="4" w:space="0"/>
              <w:right w:val="single" w:color="auto" w:sz="4" w:space="0"/>
            </w:tcBorders>
            <w:vAlign w:val="center"/>
          </w:tcPr>
          <w:p w14:paraId="14406934">
            <w:pPr>
              <w:adjustRightInd w:val="0"/>
              <w:snapToGrid w:val="0"/>
              <w:spacing w:line="360" w:lineRule="auto"/>
              <w:jc w:val="left"/>
              <w:rPr>
                <w:rFonts w:hint="default" w:ascii="仿宋" w:hAnsi="仿宋" w:eastAsia="仿宋" w:cs="仿宋"/>
                <w:sz w:val="24"/>
                <w:lang w:val="en-US" w:eastAsia="zh-CN"/>
              </w:rPr>
            </w:pPr>
            <w:r>
              <w:rPr>
                <w:rFonts w:hint="eastAsia" w:ascii="仿宋" w:hAnsi="仿宋" w:eastAsia="仿宋" w:cs="仿宋"/>
                <w:b/>
                <w:bCs/>
                <w:sz w:val="24"/>
              </w:rPr>
              <w:t>履约保证金：</w:t>
            </w:r>
            <w:r>
              <w:rPr>
                <w:rFonts w:hint="eastAsia" w:ascii="仿宋" w:hAnsi="仿宋" w:eastAsia="仿宋" w:cs="仿宋"/>
                <w:b/>
                <w:bCs/>
                <w:sz w:val="24"/>
                <w:lang w:val="en-US" w:eastAsia="zh-CN"/>
              </w:rPr>
              <w:t>无</w:t>
            </w:r>
          </w:p>
        </w:tc>
      </w:tr>
      <w:tr w14:paraId="38DFB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11" w:type="dxa"/>
            <w:tcBorders>
              <w:top w:val="single" w:color="auto" w:sz="4" w:space="0"/>
              <w:left w:val="single" w:color="auto" w:sz="4" w:space="0"/>
              <w:bottom w:val="single" w:color="auto" w:sz="4" w:space="0"/>
              <w:right w:val="single" w:color="auto" w:sz="4" w:space="0"/>
            </w:tcBorders>
            <w:vAlign w:val="center"/>
          </w:tcPr>
          <w:p w14:paraId="5FE797A7">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4</w:t>
            </w:r>
          </w:p>
        </w:tc>
        <w:tc>
          <w:tcPr>
            <w:tcW w:w="8361" w:type="dxa"/>
            <w:tcBorders>
              <w:top w:val="single" w:color="auto" w:sz="4" w:space="0"/>
              <w:left w:val="single" w:color="auto" w:sz="4" w:space="0"/>
              <w:bottom w:val="single" w:color="auto" w:sz="4" w:space="0"/>
              <w:right w:val="single" w:color="auto" w:sz="4" w:space="0"/>
            </w:tcBorders>
            <w:vAlign w:val="center"/>
          </w:tcPr>
          <w:p w14:paraId="309FB45B">
            <w:pPr>
              <w:adjustRightInd w:val="0"/>
              <w:snapToGrid w:val="0"/>
              <w:spacing w:line="360" w:lineRule="auto"/>
              <w:rPr>
                <w:rFonts w:ascii="仿宋" w:hAnsi="仿宋" w:eastAsia="仿宋" w:cs="仿宋"/>
                <w:sz w:val="24"/>
              </w:rPr>
            </w:pPr>
            <w:r>
              <w:rPr>
                <w:rFonts w:hint="eastAsia" w:ascii="仿宋" w:hAnsi="仿宋" w:eastAsia="仿宋" w:cs="仿宋"/>
                <w:b/>
                <w:bCs/>
                <w:sz w:val="24"/>
              </w:rPr>
              <w:t>磋商响应文件的签章：</w:t>
            </w:r>
            <w:r>
              <w:rPr>
                <w:rFonts w:hint="eastAsia" w:ascii="仿宋" w:hAnsi="仿宋" w:eastAsia="仿宋" w:cs="仿宋"/>
                <w:sz w:val="24"/>
              </w:rPr>
              <w:t>电子签章</w:t>
            </w:r>
          </w:p>
        </w:tc>
      </w:tr>
      <w:tr w14:paraId="17C70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11" w:type="dxa"/>
            <w:tcBorders>
              <w:top w:val="single" w:color="auto" w:sz="4" w:space="0"/>
              <w:left w:val="single" w:color="auto" w:sz="4" w:space="0"/>
              <w:bottom w:val="single" w:color="auto" w:sz="4" w:space="0"/>
              <w:right w:val="single" w:color="auto" w:sz="4" w:space="0"/>
            </w:tcBorders>
            <w:vAlign w:val="center"/>
          </w:tcPr>
          <w:p w14:paraId="084B6A4A">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5</w:t>
            </w:r>
          </w:p>
        </w:tc>
        <w:tc>
          <w:tcPr>
            <w:tcW w:w="8361" w:type="dxa"/>
            <w:tcBorders>
              <w:top w:val="single" w:color="auto" w:sz="4" w:space="0"/>
              <w:left w:val="single" w:color="auto" w:sz="4" w:space="0"/>
              <w:bottom w:val="single" w:color="auto" w:sz="4" w:space="0"/>
              <w:right w:val="single" w:color="auto" w:sz="4" w:space="0"/>
            </w:tcBorders>
            <w:vAlign w:val="center"/>
          </w:tcPr>
          <w:p w14:paraId="48301EDB">
            <w:pPr>
              <w:adjustRightInd w:val="0"/>
              <w:snapToGrid w:val="0"/>
              <w:spacing w:line="360" w:lineRule="auto"/>
              <w:rPr>
                <w:rFonts w:ascii="仿宋" w:hAnsi="仿宋" w:eastAsia="仿宋" w:cs="仿宋"/>
                <w:sz w:val="24"/>
              </w:rPr>
            </w:pPr>
            <w:r>
              <w:rPr>
                <w:rFonts w:hint="eastAsia" w:ascii="仿宋" w:hAnsi="仿宋" w:eastAsia="仿宋" w:cs="仿宋"/>
                <w:b/>
                <w:bCs/>
                <w:sz w:val="24"/>
              </w:rPr>
              <w:t>磋商响应文件的组成：</w:t>
            </w:r>
            <w:r>
              <w:rPr>
                <w:rFonts w:hint="eastAsia" w:ascii="仿宋" w:hAnsi="仿宋" w:eastAsia="仿宋" w:cs="仿宋"/>
                <w:sz w:val="24"/>
              </w:rPr>
              <w:t>完整的《磋商响应文件》由“资格文件”、“报价文件”和“商务技术文件”三个部分组成。</w:t>
            </w:r>
          </w:p>
        </w:tc>
      </w:tr>
      <w:tr w14:paraId="7DB14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711" w:type="dxa"/>
            <w:tcBorders>
              <w:top w:val="single" w:color="auto" w:sz="4" w:space="0"/>
              <w:left w:val="single" w:color="auto" w:sz="4" w:space="0"/>
              <w:bottom w:val="single" w:color="auto" w:sz="4" w:space="0"/>
              <w:right w:val="single" w:color="auto" w:sz="4" w:space="0"/>
            </w:tcBorders>
            <w:vAlign w:val="center"/>
          </w:tcPr>
          <w:p w14:paraId="1504C431">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p>
        </w:tc>
        <w:tc>
          <w:tcPr>
            <w:tcW w:w="8361" w:type="dxa"/>
            <w:tcBorders>
              <w:top w:val="single" w:color="auto" w:sz="4" w:space="0"/>
              <w:left w:val="single" w:color="auto" w:sz="4" w:space="0"/>
              <w:bottom w:val="single" w:color="auto" w:sz="4" w:space="0"/>
              <w:right w:val="single" w:color="auto" w:sz="4" w:space="0"/>
            </w:tcBorders>
            <w:vAlign w:val="center"/>
          </w:tcPr>
          <w:p w14:paraId="6BBFEA1F">
            <w:pPr>
              <w:adjustRightInd w:val="0"/>
              <w:snapToGrid w:val="0"/>
              <w:spacing w:line="360" w:lineRule="auto"/>
              <w:rPr>
                <w:rFonts w:ascii="仿宋" w:hAnsi="仿宋" w:eastAsia="仿宋" w:cs="仿宋"/>
                <w:sz w:val="24"/>
              </w:rPr>
            </w:pPr>
            <w:r>
              <w:rPr>
                <w:rFonts w:hint="eastAsia" w:ascii="仿宋" w:hAnsi="仿宋" w:eastAsia="仿宋" w:cs="仿宋"/>
                <w:b/>
                <w:bCs/>
                <w:sz w:val="24"/>
              </w:rPr>
              <w:t>磋商响应文件的编制：</w:t>
            </w:r>
            <w:r>
              <w:rPr>
                <w:rFonts w:hint="eastAsia" w:ascii="仿宋" w:hAnsi="仿宋" w:eastAsia="仿宋" w:cs="仿宋"/>
                <w:sz w:val="24"/>
              </w:rPr>
              <w:t>供应商应先安装“政采云电子交易客户端”，并按照本磋商文件和“政府采购云平台”的要求，通过“政采云电子交易客户端”编制并加密磋商响应文件。</w:t>
            </w:r>
          </w:p>
        </w:tc>
      </w:tr>
      <w:tr w14:paraId="665DE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11" w:type="dxa"/>
            <w:tcBorders>
              <w:top w:val="single" w:color="auto" w:sz="4" w:space="0"/>
              <w:left w:val="single" w:color="auto" w:sz="4" w:space="0"/>
              <w:bottom w:val="single" w:color="auto" w:sz="4" w:space="0"/>
              <w:right w:val="single" w:color="auto" w:sz="4" w:space="0"/>
            </w:tcBorders>
            <w:vAlign w:val="center"/>
          </w:tcPr>
          <w:p w14:paraId="0C949567">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7</w:t>
            </w:r>
          </w:p>
        </w:tc>
        <w:tc>
          <w:tcPr>
            <w:tcW w:w="8361" w:type="dxa"/>
            <w:tcBorders>
              <w:top w:val="single" w:color="auto" w:sz="4" w:space="0"/>
              <w:left w:val="single" w:color="auto" w:sz="4" w:space="0"/>
              <w:bottom w:val="single" w:color="auto" w:sz="4" w:space="0"/>
              <w:right w:val="single" w:color="auto" w:sz="4" w:space="0"/>
            </w:tcBorders>
            <w:vAlign w:val="center"/>
          </w:tcPr>
          <w:p w14:paraId="3F0EE4DE">
            <w:pPr>
              <w:adjustRightInd w:val="0"/>
              <w:snapToGrid w:val="0"/>
              <w:spacing w:line="360" w:lineRule="auto"/>
              <w:rPr>
                <w:rFonts w:ascii="仿宋" w:hAnsi="仿宋" w:eastAsia="仿宋" w:cs="仿宋"/>
                <w:sz w:val="24"/>
              </w:rPr>
            </w:pPr>
            <w:r>
              <w:rPr>
                <w:rFonts w:hint="eastAsia" w:ascii="仿宋" w:hAnsi="仿宋" w:eastAsia="仿宋" w:cs="仿宋"/>
                <w:b/>
                <w:bCs/>
                <w:sz w:val="24"/>
              </w:rPr>
              <w:t>磋商响应文件的形式：</w:t>
            </w:r>
            <w:r>
              <w:rPr>
                <w:rFonts w:hint="eastAsia" w:ascii="仿宋" w:hAnsi="仿宋" w:eastAsia="仿宋" w:cs="仿宋"/>
                <w:sz w:val="24"/>
              </w:rPr>
              <w:t>电子磋商响应文件（包括“电子加密磋商响应文件”和“备份磋商响应文件”，在磋商响应文件编制完成后同时生成）；</w:t>
            </w:r>
          </w:p>
          <w:p w14:paraId="357A2F29">
            <w:pPr>
              <w:adjustRightInd w:val="0"/>
              <w:snapToGrid w:val="0"/>
              <w:spacing w:line="360" w:lineRule="auto"/>
              <w:rPr>
                <w:rFonts w:ascii="仿宋" w:hAnsi="仿宋" w:eastAsia="仿宋" w:cs="仿宋"/>
                <w:sz w:val="24"/>
              </w:rPr>
            </w:pPr>
            <w:r>
              <w:rPr>
                <w:rFonts w:hint="eastAsia" w:ascii="仿宋" w:hAnsi="仿宋" w:eastAsia="仿宋" w:cs="仿宋"/>
                <w:sz w:val="24"/>
              </w:rPr>
              <w:t>（1）“电子加密磋商响应文件”是指通过“政采云电子交易客户端”完成磋商响应文件编制后生成并加密的数据电文形式的磋商响应文件。</w:t>
            </w:r>
          </w:p>
          <w:p w14:paraId="2092A424">
            <w:pPr>
              <w:adjustRightInd w:val="0"/>
              <w:snapToGrid w:val="0"/>
              <w:spacing w:line="360" w:lineRule="auto"/>
              <w:rPr>
                <w:rFonts w:ascii="仿宋" w:hAnsi="仿宋" w:eastAsia="仿宋" w:cs="仿宋"/>
                <w:sz w:val="24"/>
              </w:rPr>
            </w:pPr>
            <w:r>
              <w:rPr>
                <w:rFonts w:hint="eastAsia" w:ascii="仿宋" w:hAnsi="仿宋" w:eastAsia="仿宋" w:cs="仿宋"/>
                <w:sz w:val="24"/>
              </w:rPr>
              <w:t>（2）“备份磋商响应文件”是指与“电子加密磋商响应文件”同时生成的数据电文形式的电子文件（备份标书），其他方式编制的备份磋商响应文件视为无效备份磋商响应文件。</w:t>
            </w:r>
          </w:p>
        </w:tc>
      </w:tr>
      <w:tr w14:paraId="319A3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11" w:type="dxa"/>
            <w:tcBorders>
              <w:top w:val="single" w:color="auto" w:sz="4" w:space="0"/>
              <w:left w:val="single" w:color="auto" w:sz="4" w:space="0"/>
              <w:bottom w:val="single" w:color="auto" w:sz="4" w:space="0"/>
              <w:right w:val="single" w:color="auto" w:sz="4" w:space="0"/>
            </w:tcBorders>
            <w:vAlign w:val="center"/>
          </w:tcPr>
          <w:p w14:paraId="7322D4FF">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8</w:t>
            </w:r>
          </w:p>
        </w:tc>
        <w:tc>
          <w:tcPr>
            <w:tcW w:w="8361" w:type="dxa"/>
            <w:tcBorders>
              <w:top w:val="single" w:color="auto" w:sz="4" w:space="0"/>
              <w:left w:val="single" w:color="auto" w:sz="4" w:space="0"/>
              <w:bottom w:val="single" w:color="auto" w:sz="4" w:space="0"/>
              <w:right w:val="single" w:color="auto" w:sz="4" w:space="0"/>
            </w:tcBorders>
            <w:vAlign w:val="center"/>
          </w:tcPr>
          <w:p w14:paraId="62426F1C">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磋商响应文件份数：</w:t>
            </w:r>
          </w:p>
          <w:p w14:paraId="17115548">
            <w:pPr>
              <w:adjustRightInd w:val="0"/>
              <w:snapToGrid w:val="0"/>
              <w:spacing w:line="360" w:lineRule="auto"/>
              <w:rPr>
                <w:rFonts w:ascii="仿宋" w:hAnsi="仿宋" w:eastAsia="仿宋" w:cs="仿宋"/>
                <w:sz w:val="24"/>
              </w:rPr>
            </w:pPr>
            <w:r>
              <w:rPr>
                <w:rFonts w:hint="eastAsia" w:ascii="仿宋" w:hAnsi="仿宋" w:eastAsia="仿宋" w:cs="仿宋"/>
                <w:sz w:val="24"/>
              </w:rPr>
              <w:t>（1）“电子加密磋商响应文件”：在线上传递交，一份。</w:t>
            </w:r>
          </w:p>
          <w:p w14:paraId="2C23665A">
            <w:pPr>
              <w:adjustRightInd w:val="0"/>
              <w:snapToGrid w:val="0"/>
              <w:spacing w:line="360" w:lineRule="auto"/>
              <w:rPr>
                <w:rFonts w:ascii="仿宋" w:hAnsi="仿宋" w:eastAsia="仿宋" w:cs="仿宋"/>
                <w:sz w:val="24"/>
              </w:rPr>
            </w:pPr>
            <w:r>
              <w:rPr>
                <w:rFonts w:hint="eastAsia" w:ascii="仿宋" w:hAnsi="仿宋" w:eastAsia="仿宋" w:cs="仿宋"/>
                <w:sz w:val="24"/>
              </w:rPr>
              <w:t>“备份磋商响应文件”一份：密封包装后于（邮寄形式）磋商响应截止时间前递交</w:t>
            </w:r>
            <w:r>
              <w:rPr>
                <w:rFonts w:hint="eastAsia" w:ascii="仿宋" w:hAnsi="仿宋" w:eastAsia="仿宋" w:cs="仿宋"/>
                <w:b/>
                <w:bCs/>
                <w:sz w:val="24"/>
              </w:rPr>
              <w:t>（邮寄地址：杭州市上城区清泰街571号</w:t>
            </w:r>
            <w:r>
              <w:rPr>
                <w:rFonts w:hint="eastAsia" w:ascii="仿宋" w:hAnsi="仿宋" w:eastAsia="仿宋" w:cs="仿宋"/>
                <w:b/>
                <w:bCs/>
                <w:sz w:val="24"/>
                <w:lang w:val="en-US" w:eastAsia="zh-CN"/>
              </w:rPr>
              <w:t>11F</w:t>
            </w:r>
            <w:r>
              <w:rPr>
                <w:rFonts w:hint="eastAsia" w:ascii="仿宋" w:hAnsi="仿宋" w:eastAsia="仿宋" w:cs="仿宋"/>
                <w:b/>
                <w:bCs/>
                <w:sz w:val="24"/>
              </w:rPr>
              <w:t>；收件人：</w:t>
            </w:r>
            <w:r>
              <w:rPr>
                <w:rFonts w:hint="eastAsia" w:ascii="仿宋" w:hAnsi="仿宋" w:eastAsia="仿宋" w:cs="仿宋"/>
                <w:b/>
                <w:bCs/>
                <w:sz w:val="24"/>
                <w:lang w:val="en-US" w:eastAsia="zh-CN"/>
              </w:rPr>
              <w:t>金梦佳</w:t>
            </w:r>
            <w:r>
              <w:rPr>
                <w:rFonts w:hint="eastAsia" w:ascii="仿宋" w:hAnsi="仿宋" w:eastAsia="仿宋" w:cs="仿宋"/>
                <w:b/>
                <w:bCs/>
                <w:sz w:val="24"/>
              </w:rPr>
              <w:t>；联系电话：</w:t>
            </w:r>
            <w:r>
              <w:rPr>
                <w:rFonts w:hint="eastAsia" w:ascii="仿宋" w:hAnsi="仿宋" w:eastAsia="仿宋" w:cs="仿宋"/>
                <w:b/>
                <w:bCs/>
                <w:sz w:val="24"/>
                <w:lang w:val="en-US" w:eastAsia="zh-CN"/>
              </w:rPr>
              <w:t>15658849580</w:t>
            </w:r>
            <w:r>
              <w:rPr>
                <w:rFonts w:hint="eastAsia" w:ascii="仿宋" w:hAnsi="仿宋" w:eastAsia="仿宋" w:cs="仿宋"/>
                <w:b/>
                <w:bCs/>
                <w:sz w:val="24"/>
              </w:rPr>
              <w:t>）</w:t>
            </w:r>
          </w:p>
          <w:p w14:paraId="2E8FB16B">
            <w:pPr>
              <w:adjustRightInd w:val="0"/>
              <w:snapToGrid w:val="0"/>
              <w:spacing w:line="360" w:lineRule="auto"/>
              <w:rPr>
                <w:rFonts w:ascii="仿宋" w:hAnsi="仿宋" w:eastAsia="仿宋" w:cs="仿宋"/>
                <w:sz w:val="24"/>
              </w:rPr>
            </w:pPr>
            <w:r>
              <w:rPr>
                <w:rFonts w:hint="eastAsia" w:ascii="仿宋" w:hAnsi="仿宋" w:eastAsia="仿宋" w:cs="仿宋"/>
                <w:sz w:val="24"/>
              </w:rPr>
              <w:t>（2）采购结束后，采购人及采购代理机构可要求成交人提供至少1套纸质版磋商响应文件，磋商响应文件须与最终上传电子加密文件一致，因纸质文件与电子文件不一致产生的一切后果，均由磋商供应商承担。</w:t>
            </w:r>
          </w:p>
        </w:tc>
      </w:tr>
      <w:tr w14:paraId="33D5A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11" w:type="dxa"/>
            <w:tcBorders>
              <w:top w:val="single" w:color="auto" w:sz="4" w:space="0"/>
              <w:left w:val="single" w:color="auto" w:sz="4" w:space="0"/>
              <w:bottom w:val="single" w:color="auto" w:sz="4" w:space="0"/>
              <w:right w:val="single" w:color="auto" w:sz="4" w:space="0"/>
            </w:tcBorders>
            <w:vAlign w:val="center"/>
          </w:tcPr>
          <w:p w14:paraId="1279011E">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9</w:t>
            </w:r>
          </w:p>
        </w:tc>
        <w:tc>
          <w:tcPr>
            <w:tcW w:w="8361" w:type="dxa"/>
            <w:tcBorders>
              <w:top w:val="single" w:color="auto" w:sz="4" w:space="0"/>
              <w:left w:val="single" w:color="auto" w:sz="4" w:space="0"/>
              <w:bottom w:val="single" w:color="auto" w:sz="4" w:space="0"/>
              <w:right w:val="single" w:color="auto" w:sz="4" w:space="0"/>
            </w:tcBorders>
            <w:vAlign w:val="center"/>
          </w:tcPr>
          <w:p w14:paraId="18B694BA">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磋商响应文件的上传和递交：</w:t>
            </w:r>
          </w:p>
          <w:p w14:paraId="23D81CEE">
            <w:pPr>
              <w:adjustRightInd w:val="0"/>
              <w:snapToGrid w:val="0"/>
              <w:spacing w:line="360" w:lineRule="auto"/>
              <w:rPr>
                <w:rFonts w:ascii="仿宋" w:hAnsi="仿宋" w:eastAsia="仿宋" w:cs="仿宋"/>
                <w:sz w:val="24"/>
              </w:rPr>
            </w:pPr>
            <w:r>
              <w:rPr>
                <w:rFonts w:hint="eastAsia" w:ascii="仿宋" w:hAnsi="仿宋" w:eastAsia="仿宋" w:cs="仿宋"/>
                <w:sz w:val="24"/>
              </w:rPr>
              <w:t>（1）“电子加密磋商响应文件”的上传、递交：</w:t>
            </w:r>
          </w:p>
          <w:p w14:paraId="61962E34">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a.磋商供应商应在磋商响应截止时间前将“电子加密磋商响应文件”成功上传递交至“政府采购云平台”，否则磋商响应无效。</w:t>
            </w:r>
          </w:p>
          <w:p w14:paraId="50448E69">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b.“电子加密磋商响应文件”成功上传递交后，供应商可自行打印磋商响应文件接收回执。</w:t>
            </w:r>
          </w:p>
          <w:p w14:paraId="136E5A97">
            <w:pPr>
              <w:adjustRightInd w:val="0"/>
              <w:snapToGrid w:val="0"/>
              <w:spacing w:line="360" w:lineRule="auto"/>
              <w:rPr>
                <w:rFonts w:ascii="仿宋" w:hAnsi="仿宋" w:eastAsia="仿宋" w:cs="仿宋"/>
                <w:sz w:val="24"/>
              </w:rPr>
            </w:pPr>
            <w:r>
              <w:rPr>
                <w:rFonts w:hint="eastAsia" w:ascii="仿宋" w:hAnsi="仿宋" w:eastAsia="仿宋" w:cs="仿宋"/>
                <w:sz w:val="24"/>
              </w:rPr>
              <w:t>（2）“备份磋商响应文件”的密封包装、递交：</w:t>
            </w:r>
          </w:p>
          <w:p w14:paraId="25F2CF2A">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a.磋商供应商在“政府采购云平台”完成“电子加密磋商响应文件”的上传递交后，还可以（邮寄形式）在磋商响应截止时间前递交以介质（U盘）存储的 “备份磋商响应文件”（一份）；</w:t>
            </w:r>
          </w:p>
          <w:p w14:paraId="2410F563">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b.“备份磋商响应文件”应当密封包装，并在包装上标注投标项目名称、磋商供应商名称并加盖公章。没有密封包装或者逾期邮寄送达至磋商地点的“备份磋商响应文件”将不予接收；</w:t>
            </w:r>
          </w:p>
          <w:p w14:paraId="638DFA93">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c.通过“政府采购云平台”成功上传递交的“电子加密磋商响应文件”已按时解密的，“备份磋商响应文件”自动失效。磋商响应截止时间前，磋商供应商仅递交了“备份磋商响应文件”而未将“电子加密磋商响应文件”成功上传至“政府采购云平台”的，磋商响应无效。</w:t>
            </w:r>
          </w:p>
        </w:tc>
      </w:tr>
      <w:tr w14:paraId="1C53E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9" w:hRule="atLeast"/>
        </w:trPr>
        <w:tc>
          <w:tcPr>
            <w:tcW w:w="711" w:type="dxa"/>
            <w:tcBorders>
              <w:top w:val="single" w:color="auto" w:sz="4" w:space="0"/>
              <w:left w:val="single" w:color="auto" w:sz="4" w:space="0"/>
              <w:bottom w:val="single" w:color="auto" w:sz="4" w:space="0"/>
              <w:right w:val="single" w:color="auto" w:sz="4" w:space="0"/>
            </w:tcBorders>
            <w:vAlign w:val="center"/>
          </w:tcPr>
          <w:p w14:paraId="0A6A79F6">
            <w:pPr>
              <w:adjustRightInd w:val="0"/>
              <w:snapToGrid w:val="0"/>
              <w:spacing w:line="360" w:lineRule="auto"/>
              <w:jc w:val="center"/>
              <w:rPr>
                <w:rFonts w:ascii="仿宋" w:hAnsi="仿宋" w:eastAsia="仿宋" w:cs="仿宋"/>
                <w:sz w:val="24"/>
              </w:rPr>
            </w:pPr>
            <w:r>
              <w:rPr>
                <w:rFonts w:hint="eastAsia" w:ascii="仿宋" w:hAnsi="仿宋" w:eastAsia="仿宋" w:cs="仿宋"/>
                <w:sz w:val="24"/>
                <w:lang w:val="en-US" w:eastAsia="zh-CN"/>
              </w:rPr>
              <w:t>20</w:t>
            </w:r>
          </w:p>
        </w:tc>
        <w:tc>
          <w:tcPr>
            <w:tcW w:w="8361" w:type="dxa"/>
            <w:tcBorders>
              <w:top w:val="single" w:color="auto" w:sz="4" w:space="0"/>
              <w:left w:val="single" w:color="auto" w:sz="4" w:space="0"/>
              <w:bottom w:val="single" w:color="auto" w:sz="4" w:space="0"/>
              <w:right w:val="single" w:color="auto" w:sz="4" w:space="0"/>
            </w:tcBorders>
            <w:vAlign w:val="center"/>
          </w:tcPr>
          <w:p w14:paraId="17B4F047">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电子加密磋商响应文件的解密和异常情况处理：</w:t>
            </w:r>
          </w:p>
          <w:p w14:paraId="7D90718C">
            <w:pPr>
              <w:adjustRightInd w:val="0"/>
              <w:snapToGrid w:val="0"/>
              <w:spacing w:line="360" w:lineRule="auto"/>
              <w:rPr>
                <w:rFonts w:ascii="仿宋" w:hAnsi="仿宋" w:eastAsia="仿宋" w:cs="仿宋"/>
                <w:sz w:val="24"/>
              </w:rPr>
            </w:pPr>
            <w:r>
              <w:rPr>
                <w:rFonts w:hint="eastAsia" w:ascii="仿宋" w:hAnsi="仿宋" w:eastAsia="仿宋" w:cs="仿宋"/>
                <w:sz w:val="24"/>
              </w:rPr>
              <w:t>（1）开标后，采购代理机构将向各磋商供应商发出“电子加密磋商响应文件”的解密通知，各磋商供应商代表应当在接到解密通知后30分钟内自行完成“电子加密磋商响应文件”的在线解密。</w:t>
            </w:r>
          </w:p>
          <w:p w14:paraId="48E4E231">
            <w:pPr>
              <w:adjustRightInd w:val="0"/>
              <w:snapToGrid w:val="0"/>
              <w:spacing w:line="360" w:lineRule="auto"/>
              <w:rPr>
                <w:rFonts w:ascii="仿宋" w:hAnsi="仿宋" w:eastAsia="仿宋" w:cs="仿宋"/>
                <w:sz w:val="24"/>
              </w:rPr>
            </w:pPr>
            <w:r>
              <w:rPr>
                <w:rFonts w:hint="eastAsia" w:ascii="仿宋" w:hAnsi="仿宋" w:eastAsia="仿宋" w:cs="仿宋"/>
                <w:sz w:val="24"/>
              </w:rPr>
              <w:t>（2）通过“政府采购云平台”成功上传递交的“电子加密磋商响应文件”无法按时解密（磋商供应商已进行解密操作但未完成解密），磋商供应商如按规定递交了“备份磋商响应文件”的，以“备份磋商响应文件”为依据（由采购代理机构按“政府采购云平台”操作规范将“备份磋商响应文件”上传至“政府采购云平台”，上传成功后，“电子加密磋商响应文件”自动失效），否则视为磋商响应文件撤回。</w:t>
            </w:r>
          </w:p>
          <w:p w14:paraId="04095446">
            <w:pPr>
              <w:adjustRightInd w:val="0"/>
              <w:snapToGrid w:val="0"/>
              <w:spacing w:line="360" w:lineRule="auto"/>
              <w:rPr>
                <w:rFonts w:ascii="仿宋" w:hAnsi="仿宋" w:eastAsia="仿宋" w:cs="仿宋"/>
                <w:sz w:val="24"/>
              </w:rPr>
            </w:pPr>
            <w:r>
              <w:rPr>
                <w:rFonts w:hint="eastAsia" w:ascii="仿宋" w:hAnsi="仿宋" w:eastAsia="仿宋" w:cs="仿宋"/>
                <w:sz w:val="24"/>
              </w:rPr>
              <w:t>（3）磋商响应截止时间前，磋商供应商仅递交了“备份磋商响应文件”而未将电子加密磋商响应文件上传至“政府采购云平台”的，磋商响应无效。</w:t>
            </w:r>
          </w:p>
        </w:tc>
      </w:tr>
      <w:tr w14:paraId="51E64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11" w:type="dxa"/>
            <w:tcBorders>
              <w:top w:val="single" w:color="auto" w:sz="4" w:space="0"/>
              <w:left w:val="single" w:color="auto" w:sz="4" w:space="0"/>
              <w:bottom w:val="single" w:color="auto" w:sz="4" w:space="0"/>
              <w:right w:val="single" w:color="auto" w:sz="4" w:space="0"/>
            </w:tcBorders>
            <w:vAlign w:val="center"/>
          </w:tcPr>
          <w:p w14:paraId="1A87A223">
            <w:pPr>
              <w:adjustRightInd w:val="0"/>
              <w:snapToGrid w:val="0"/>
              <w:spacing w:line="360" w:lineRule="auto"/>
              <w:jc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1</w:t>
            </w:r>
          </w:p>
        </w:tc>
        <w:tc>
          <w:tcPr>
            <w:tcW w:w="8361" w:type="dxa"/>
            <w:tcBorders>
              <w:top w:val="single" w:color="auto" w:sz="4" w:space="0"/>
              <w:left w:val="single" w:color="auto" w:sz="4" w:space="0"/>
              <w:bottom w:val="single" w:color="auto" w:sz="4" w:space="0"/>
              <w:right w:val="single" w:color="auto" w:sz="4" w:space="0"/>
            </w:tcBorders>
            <w:vAlign w:val="center"/>
          </w:tcPr>
          <w:p w14:paraId="1F069757">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政策要求：</w:t>
            </w:r>
          </w:p>
          <w:p w14:paraId="4E83CF2D">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1、小微企业、监狱企业、残疾人福利性单位有关政策：</w:t>
            </w:r>
          </w:p>
          <w:p w14:paraId="50609A3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本项目对符合财政扶持政策的中小企业（小型、微型）、监狱企业、残疾人福利性单位给予价格优惠扶持，价格优惠扶持见《评分办法》。</w:t>
            </w:r>
          </w:p>
          <w:p w14:paraId="01D4D7B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满足《政府采购促进中小企业发展管理办法》财库〔2020〕46号文件的规定的中小企业可享受优惠扶持。</w:t>
            </w:r>
          </w:p>
          <w:p w14:paraId="53F368D7">
            <w:pPr>
              <w:adjustRightInd w:val="0"/>
              <w:snapToGrid w:val="0"/>
              <w:spacing w:line="360" w:lineRule="auto"/>
              <w:ind w:firstLine="480" w:firstLineChars="200"/>
              <w:rPr>
                <w:rFonts w:hint="eastAsia" w:ascii="仿宋" w:hAnsi="仿宋" w:eastAsia="仿宋" w:cs="仿宋"/>
                <w:sz w:val="32"/>
                <w:szCs w:val="32"/>
                <w:u w:val="single"/>
              </w:rPr>
            </w:pPr>
            <w:r>
              <w:rPr>
                <w:rFonts w:hint="eastAsia" w:ascii="仿宋" w:hAnsi="仿宋" w:eastAsia="仿宋" w:cs="仿宋"/>
                <w:sz w:val="24"/>
              </w:rPr>
              <w:t>中小企业划分标准所属行业：采购</w:t>
            </w:r>
            <w:r>
              <w:rPr>
                <w:rFonts w:hint="eastAsia" w:ascii="仿宋" w:hAnsi="仿宋" w:eastAsia="仿宋" w:cs="仿宋"/>
                <w:sz w:val="24"/>
                <w:lang w:eastAsia="zh-CN"/>
              </w:rPr>
              <w:t>类型</w:t>
            </w:r>
            <w:r>
              <w:rPr>
                <w:rFonts w:hint="eastAsia" w:ascii="仿宋" w:hAnsi="仿宋" w:eastAsia="仿宋" w:cs="仿宋"/>
                <w:sz w:val="24"/>
              </w:rPr>
              <w:t>：</w:t>
            </w:r>
            <w:r>
              <w:rPr>
                <w:rFonts w:hint="eastAsia" w:ascii="仿宋" w:hAnsi="仿宋" w:eastAsia="仿宋" w:cs="仿宋"/>
                <w:b w:val="0"/>
                <w:bCs w:val="0"/>
                <w:sz w:val="24"/>
                <w:u w:val="single"/>
                <w:lang w:val="en-US" w:eastAsia="zh-CN"/>
              </w:rPr>
              <w:t>服务</w:t>
            </w:r>
            <w:r>
              <w:rPr>
                <w:rFonts w:hint="eastAsia" w:ascii="仿宋" w:hAnsi="仿宋" w:eastAsia="仿宋" w:cs="仿宋"/>
                <w:b w:val="0"/>
                <w:bCs w:val="0"/>
                <w:sz w:val="24"/>
                <w:u w:val="single"/>
              </w:rPr>
              <w:t>类</w:t>
            </w:r>
            <w:r>
              <w:rPr>
                <w:rFonts w:hint="eastAsia" w:ascii="仿宋" w:hAnsi="仿宋" w:eastAsia="仿宋" w:cs="仿宋"/>
                <w:sz w:val="24"/>
              </w:rPr>
              <w:t>，所属行业</w:t>
            </w:r>
            <w:r>
              <w:rPr>
                <w:rFonts w:hint="eastAsia" w:ascii="仿宋" w:hAnsi="仿宋" w:eastAsia="仿宋" w:cs="仿宋"/>
                <w:sz w:val="24"/>
                <w:u w:val="none"/>
              </w:rPr>
              <w:t>：</w:t>
            </w:r>
            <w:r>
              <w:rPr>
                <w:rFonts w:hint="eastAsia" w:ascii="仿宋" w:hAnsi="仿宋" w:eastAsia="仿宋" w:cs="仿宋"/>
                <w:sz w:val="24"/>
                <w:szCs w:val="24"/>
                <w:highlight w:val="none"/>
                <w:u w:val="single"/>
              </w:rPr>
              <w:t>软件和信息技术服务业</w:t>
            </w:r>
            <w:r>
              <w:rPr>
                <w:rFonts w:hint="eastAsia" w:ascii="仿宋" w:hAnsi="仿宋" w:eastAsia="仿宋" w:cs="仿宋"/>
                <w:sz w:val="24"/>
                <w:szCs w:val="24"/>
                <w:highlight w:val="none"/>
                <w:u w:val="single"/>
                <w:lang w:eastAsia="zh-CN"/>
              </w:rPr>
              <w:t>。</w:t>
            </w:r>
          </w:p>
          <w:p w14:paraId="411478C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A2A371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中小企业预留份额情况：根据《政府采购促进中小企业发展管理办法》财库〔2020〕46号文件的规定，本项目</w:t>
            </w:r>
            <w:r>
              <w:rPr>
                <w:rFonts w:hint="eastAsia" w:ascii="仿宋" w:hAnsi="仿宋" w:eastAsia="仿宋" w:cs="仿宋"/>
                <w:sz w:val="24"/>
                <w:lang w:val="en-US" w:eastAsia="zh-CN"/>
              </w:rPr>
              <w:t>不</w:t>
            </w:r>
            <w:r>
              <w:rPr>
                <w:rFonts w:hint="eastAsia" w:ascii="仿宋" w:hAnsi="仿宋" w:eastAsia="仿宋" w:cs="仿宋"/>
                <w:b w:val="0"/>
                <w:bCs w:val="0"/>
                <w:sz w:val="24"/>
                <w:u w:val="none"/>
              </w:rPr>
              <w:t>预留份额专门面向</w:t>
            </w:r>
            <w:r>
              <w:rPr>
                <w:rFonts w:hint="eastAsia" w:ascii="仿宋" w:hAnsi="仿宋" w:eastAsia="仿宋" w:cs="仿宋"/>
                <w:sz w:val="24"/>
              </w:rPr>
              <w:t>中小企业采购。</w:t>
            </w:r>
          </w:p>
          <w:p w14:paraId="0C34F6A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满足关于政府采购支持监狱企业发展有关问题的通知（财库[2014]68号）的规定的供应商可享受优惠扶持。</w:t>
            </w:r>
          </w:p>
          <w:p w14:paraId="3611340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满足关于促进残疾人就业政府采购政策的通知（财库[2017]141号）的规定的供应商可享受优惠扶持。</w:t>
            </w:r>
          </w:p>
          <w:p w14:paraId="60447530">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2、节能产品、环境标志产品的强制采购政策（服务项目不适用）</w:t>
            </w:r>
          </w:p>
          <w:p w14:paraId="0C24223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供应商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523BC2EB">
            <w:p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3、节能产品、环境标志产品的优先采购政策（服务项目不适用）</w:t>
            </w:r>
          </w:p>
          <w:p w14:paraId="170DF24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财政部、国家发展和改革委员会、生态环境部等部门公布的政府采购节能产品、环境标志产品品目清单的规定、依据品目清单和认证证书实施政府优先采购和强制采购。采购人拟采购的产品属于品目清单范围内的优先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592C5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11" w:type="dxa"/>
            <w:tcBorders>
              <w:top w:val="single" w:color="auto" w:sz="4" w:space="0"/>
              <w:left w:val="single" w:color="auto" w:sz="4" w:space="0"/>
              <w:bottom w:val="single" w:color="auto" w:sz="4" w:space="0"/>
              <w:right w:val="single" w:color="auto" w:sz="4" w:space="0"/>
            </w:tcBorders>
            <w:vAlign w:val="center"/>
          </w:tcPr>
          <w:p w14:paraId="00A6203B">
            <w:pPr>
              <w:adjustRightInd w:val="0"/>
              <w:snapToGrid w:val="0"/>
              <w:spacing w:line="360" w:lineRule="auto"/>
              <w:jc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2</w:t>
            </w:r>
          </w:p>
        </w:tc>
        <w:tc>
          <w:tcPr>
            <w:tcW w:w="8361" w:type="dxa"/>
            <w:tcBorders>
              <w:top w:val="single" w:color="auto" w:sz="4" w:space="0"/>
              <w:left w:val="single" w:color="auto" w:sz="4" w:space="0"/>
              <w:bottom w:val="single" w:color="auto" w:sz="4" w:space="0"/>
              <w:right w:val="single" w:color="auto" w:sz="4" w:space="0"/>
            </w:tcBorders>
            <w:vAlign w:val="center"/>
          </w:tcPr>
          <w:p w14:paraId="7537A519">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信用记录：</w:t>
            </w:r>
          </w:p>
          <w:p w14:paraId="61D13FF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根据《关于在政府采购活动中查询及使用信用记录有关问题的通知》财库[2016]125号的规定：</w:t>
            </w:r>
          </w:p>
          <w:p w14:paraId="2E598682">
            <w:pPr>
              <w:adjustRightInd w:val="0"/>
              <w:snapToGrid w:val="0"/>
              <w:spacing w:line="360" w:lineRule="auto"/>
              <w:rPr>
                <w:rFonts w:ascii="仿宋" w:hAnsi="仿宋" w:eastAsia="仿宋" w:cs="仿宋"/>
                <w:sz w:val="24"/>
              </w:rPr>
            </w:pPr>
            <w:r>
              <w:rPr>
                <w:rFonts w:hint="eastAsia" w:ascii="仿宋" w:hAnsi="仿宋" w:eastAsia="仿宋" w:cs="仿宋"/>
                <w:sz w:val="24"/>
              </w:rPr>
              <w:t>（1）采购人或采购代理机构将对本项目供应商的信用记录进行查询。查询渠道为信用中国网站（www.creditchina.gov.cn）、中国政府采购网（www.ccgp.gov.cn）；</w:t>
            </w:r>
          </w:p>
          <w:p w14:paraId="620E3755">
            <w:pPr>
              <w:adjustRightInd w:val="0"/>
              <w:snapToGrid w:val="0"/>
              <w:spacing w:line="360" w:lineRule="auto"/>
              <w:rPr>
                <w:rFonts w:ascii="仿宋" w:hAnsi="仿宋" w:eastAsia="仿宋" w:cs="仿宋"/>
                <w:sz w:val="24"/>
              </w:rPr>
            </w:pPr>
            <w:r>
              <w:rPr>
                <w:rFonts w:hint="eastAsia" w:ascii="仿宋" w:hAnsi="仿宋" w:eastAsia="仿宋" w:cs="仿宋"/>
                <w:sz w:val="24"/>
              </w:rPr>
              <w:t>（2）截止时点：提交磋商响应文件（响应文件）截止时间前3年内；</w:t>
            </w:r>
          </w:p>
          <w:p w14:paraId="1304353C">
            <w:pPr>
              <w:adjustRightInd w:val="0"/>
              <w:snapToGrid w:val="0"/>
              <w:spacing w:line="360" w:lineRule="auto"/>
              <w:rPr>
                <w:rFonts w:ascii="仿宋" w:hAnsi="仿宋" w:eastAsia="仿宋" w:cs="仿宋"/>
                <w:sz w:val="24"/>
              </w:rPr>
            </w:pPr>
            <w:r>
              <w:rPr>
                <w:rFonts w:hint="eastAsia" w:ascii="仿宋" w:hAnsi="仿宋" w:eastAsia="仿宋" w:cs="仿宋"/>
                <w:sz w:val="24"/>
              </w:rPr>
              <w:t>（3）查询记录和证据的留存：信用信息查询记录和证据以网页截图等方式留存。</w:t>
            </w:r>
          </w:p>
          <w:p w14:paraId="6CF4F636">
            <w:pPr>
              <w:adjustRightInd w:val="0"/>
              <w:snapToGrid w:val="0"/>
              <w:spacing w:line="360" w:lineRule="auto"/>
              <w:rPr>
                <w:rFonts w:ascii="仿宋" w:hAnsi="仿宋" w:eastAsia="仿宋" w:cs="仿宋"/>
                <w:sz w:val="24"/>
              </w:rPr>
            </w:pPr>
            <w:r>
              <w:rPr>
                <w:rFonts w:hint="eastAsia" w:ascii="仿宋" w:hAnsi="仿宋" w:eastAsia="仿宋" w:cs="仿宋"/>
                <w:sz w:val="24"/>
              </w:rPr>
              <w:t>（4）使用规则：被列入失信被执行人、重大税收违法案件当事人名单、政府采购严重违法失信行为记录名单及其它不符合《中华人民共和国政府采购法》第二十二条规定条件的，其磋商响应将被拒绝。</w:t>
            </w:r>
          </w:p>
          <w:p w14:paraId="4EE7F960">
            <w:pPr>
              <w:adjustRightInd w:val="0"/>
              <w:snapToGrid w:val="0"/>
              <w:spacing w:line="360" w:lineRule="auto"/>
              <w:rPr>
                <w:rFonts w:ascii="仿宋" w:hAnsi="仿宋" w:eastAsia="仿宋" w:cs="仿宋"/>
                <w:sz w:val="24"/>
              </w:rPr>
            </w:pPr>
            <w:r>
              <w:rPr>
                <w:rFonts w:hint="eastAsia" w:ascii="仿宋" w:hAnsi="仿宋" w:eastAsia="仿宋" w:cs="仿宋"/>
                <w:sz w:val="24"/>
              </w:rPr>
              <w:t>（5）联合体成员任意一方存在不良信用记录的，视同联合体存在不良信用记录。</w:t>
            </w:r>
          </w:p>
        </w:tc>
      </w:tr>
      <w:tr w14:paraId="4DC48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11" w:type="dxa"/>
            <w:tcBorders>
              <w:top w:val="single" w:color="auto" w:sz="4" w:space="0"/>
              <w:left w:val="single" w:color="auto" w:sz="4" w:space="0"/>
              <w:bottom w:val="single" w:color="auto" w:sz="4" w:space="0"/>
              <w:right w:val="single" w:color="auto" w:sz="4" w:space="0"/>
            </w:tcBorders>
            <w:vAlign w:val="center"/>
          </w:tcPr>
          <w:p w14:paraId="008BB00A">
            <w:pPr>
              <w:adjustRightInd w:val="0"/>
              <w:snapToGrid w:val="0"/>
              <w:spacing w:line="360" w:lineRule="auto"/>
              <w:jc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3</w:t>
            </w:r>
          </w:p>
        </w:tc>
        <w:tc>
          <w:tcPr>
            <w:tcW w:w="8361" w:type="dxa"/>
            <w:tcBorders>
              <w:top w:val="single" w:color="auto" w:sz="4" w:space="0"/>
              <w:left w:val="single" w:color="auto" w:sz="4" w:space="0"/>
              <w:bottom w:val="single" w:color="auto" w:sz="4" w:space="0"/>
              <w:right w:val="single" w:color="auto" w:sz="4" w:space="0"/>
            </w:tcBorders>
            <w:vAlign w:val="center"/>
          </w:tcPr>
          <w:p w14:paraId="69B4959A">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特别提示：</w:t>
            </w:r>
          </w:p>
          <w:p w14:paraId="5328AE38">
            <w:pPr>
              <w:adjustRightInd w:val="0"/>
              <w:snapToGrid w:val="0"/>
              <w:spacing w:line="360" w:lineRule="auto"/>
              <w:rPr>
                <w:rFonts w:ascii="仿宋" w:hAnsi="仿宋" w:eastAsia="仿宋" w:cs="仿宋"/>
                <w:sz w:val="24"/>
              </w:rPr>
            </w:pPr>
            <w:r>
              <w:rPr>
                <w:rFonts w:hint="eastAsia" w:ascii="仿宋" w:hAnsi="仿宋" w:eastAsia="仿宋" w:cs="仿宋"/>
                <w:sz w:val="24"/>
              </w:rPr>
              <w:t>（1）该项目结果公示期间，磋商供应商不得通过非正当途径、更不得通过非正当手段获取法律法规规定磋商小组（包括其他相关人员）应当保密的相关内容。即便由此获得资料并作为向采购代理机构或监督管理部门提出异（质）疑或投诉或法院起诉的理由，均属于非法索取的依据。</w:t>
            </w:r>
          </w:p>
          <w:p w14:paraId="53DF3BBE">
            <w:pPr>
              <w:adjustRightInd w:val="0"/>
              <w:snapToGrid w:val="0"/>
              <w:spacing w:line="360" w:lineRule="auto"/>
              <w:rPr>
                <w:rFonts w:ascii="仿宋" w:hAnsi="仿宋" w:eastAsia="仿宋" w:cs="仿宋"/>
                <w:sz w:val="24"/>
              </w:rPr>
            </w:pPr>
            <w:r>
              <w:rPr>
                <w:rFonts w:hint="eastAsia" w:ascii="仿宋" w:hAnsi="仿宋" w:eastAsia="仿宋" w:cs="仿宋"/>
                <w:sz w:val="24"/>
              </w:rPr>
              <w:t>（2）质疑、投诉人未按磋商文件规定进行质疑、投诉（申诉）、举报等，均属于扰乱政府采购市场不良行为，直至公示。</w:t>
            </w:r>
          </w:p>
          <w:p w14:paraId="5264A803">
            <w:pPr>
              <w:adjustRightInd w:val="0"/>
              <w:snapToGrid w:val="0"/>
              <w:spacing w:line="360" w:lineRule="auto"/>
              <w:rPr>
                <w:rFonts w:ascii="仿宋" w:hAnsi="仿宋" w:eastAsia="仿宋" w:cs="仿宋"/>
                <w:sz w:val="24"/>
              </w:rPr>
            </w:pPr>
            <w:r>
              <w:rPr>
                <w:rFonts w:hint="eastAsia" w:ascii="仿宋" w:hAnsi="仿宋" w:eastAsia="仿宋" w:cs="仿宋"/>
                <w:sz w:val="24"/>
              </w:rPr>
              <w:t>（3）潜在磋商供应商需在浙江政府采购网进行免费注册，具体详见浙江政府采购网供应商注册要求。</w:t>
            </w:r>
          </w:p>
          <w:p w14:paraId="2101D820">
            <w:pPr>
              <w:adjustRightInd w:val="0"/>
              <w:snapToGrid w:val="0"/>
              <w:spacing w:line="360" w:lineRule="auto"/>
              <w:rPr>
                <w:rFonts w:ascii="仿宋" w:hAnsi="仿宋" w:eastAsia="仿宋" w:cs="仿宋"/>
                <w:sz w:val="24"/>
              </w:rPr>
            </w:pPr>
            <w:r>
              <w:rPr>
                <w:rFonts w:hint="eastAsia" w:ascii="仿宋" w:hAnsi="仿宋" w:eastAsia="仿宋" w:cs="仿宋"/>
                <w:sz w:val="24"/>
              </w:rPr>
              <w:t>（4）采购人与成交人应当在成交通知书发出之日起三十日内，按照磋商文件确定的事项签订政府采购合同。成交人未在规定时间内签订合同的，采购人有权要求成交人赔偿其未签订合同所造成的损失。</w:t>
            </w:r>
          </w:p>
          <w:p w14:paraId="06DC194B">
            <w:pPr>
              <w:adjustRightInd w:val="0"/>
              <w:snapToGrid w:val="0"/>
              <w:spacing w:line="360" w:lineRule="auto"/>
              <w:rPr>
                <w:rFonts w:ascii="仿宋" w:hAnsi="仿宋" w:eastAsia="仿宋" w:cs="仿宋"/>
                <w:sz w:val="24"/>
              </w:rPr>
            </w:pPr>
            <w:r>
              <w:rPr>
                <w:rFonts w:hint="eastAsia" w:ascii="仿宋" w:hAnsi="仿宋" w:eastAsia="仿宋" w:cs="仿宋"/>
                <w:sz w:val="24"/>
              </w:rPr>
              <w:t>（5）成交人应由法定代表人或其授权代表与采购人代表签订合同。如成交人为联合体的，由联合体成员各方法定代表人或其授权代表与采购人代表签订合同。</w:t>
            </w:r>
          </w:p>
          <w:p w14:paraId="235C48A0">
            <w:pPr>
              <w:adjustRightInd w:val="0"/>
              <w:snapToGrid w:val="0"/>
              <w:spacing w:line="360" w:lineRule="auto"/>
              <w:rPr>
                <w:rFonts w:ascii="仿宋" w:hAnsi="仿宋" w:eastAsia="仿宋" w:cs="仿宋"/>
                <w:sz w:val="24"/>
              </w:rPr>
            </w:pPr>
            <w:r>
              <w:rPr>
                <w:rFonts w:hint="eastAsia" w:ascii="仿宋" w:hAnsi="仿宋" w:eastAsia="仿宋" w:cs="仿宋"/>
                <w:sz w:val="24"/>
              </w:rPr>
              <w:t>（6）如签订合同并生效后，供应商无故拒绝或延期，除按照合同条款处理外，列入不良行为记录一次，并给予通报。</w:t>
            </w:r>
          </w:p>
          <w:p w14:paraId="1373AE09">
            <w:pPr>
              <w:adjustRightInd w:val="0"/>
              <w:snapToGrid w:val="0"/>
              <w:spacing w:line="360" w:lineRule="auto"/>
              <w:rPr>
                <w:rFonts w:ascii="仿宋" w:hAnsi="仿宋" w:eastAsia="仿宋" w:cs="仿宋"/>
                <w:sz w:val="24"/>
              </w:rPr>
            </w:pPr>
            <w:r>
              <w:rPr>
                <w:rFonts w:hint="eastAsia" w:ascii="仿宋" w:hAnsi="仿宋" w:eastAsia="仿宋" w:cs="仿宋"/>
                <w:sz w:val="24"/>
              </w:rPr>
              <w:t>（7）成交人拒绝与采购人签订合同的，采购人可选取第二名为成交人或重新开展政府采购活动。</w:t>
            </w:r>
          </w:p>
          <w:p w14:paraId="110D6B8D">
            <w:pPr>
              <w:adjustRightInd w:val="0"/>
              <w:snapToGrid w:val="0"/>
              <w:spacing w:line="360" w:lineRule="auto"/>
              <w:rPr>
                <w:rFonts w:ascii="仿宋" w:hAnsi="仿宋" w:eastAsia="仿宋" w:cs="仿宋"/>
                <w:sz w:val="24"/>
              </w:rPr>
            </w:pPr>
            <w:r>
              <w:rPr>
                <w:rFonts w:hint="eastAsia" w:ascii="仿宋" w:hAnsi="仿宋" w:eastAsia="仿宋" w:cs="仿宋"/>
                <w:sz w:val="24"/>
              </w:rPr>
              <w:t>（8）存在下列行为的，采购代理机构将其失信行为上报政府采购主管部门，由主管部门按有关规定对其违法失信行为记录进行公开：</w:t>
            </w:r>
          </w:p>
          <w:p w14:paraId="559A668B">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1、成交或者成交后，拒绝签订政府采购合同的；</w:t>
            </w:r>
          </w:p>
          <w:p w14:paraId="01F15FA4">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2、磋商有效期内撤销磋商响应文件的。</w:t>
            </w:r>
          </w:p>
        </w:tc>
      </w:tr>
      <w:tr w14:paraId="37B63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11" w:type="dxa"/>
            <w:tcBorders>
              <w:top w:val="single" w:color="auto" w:sz="4" w:space="0"/>
              <w:left w:val="single" w:color="auto" w:sz="4" w:space="0"/>
              <w:bottom w:val="single" w:color="auto" w:sz="4" w:space="0"/>
              <w:right w:val="single" w:color="auto" w:sz="4" w:space="0"/>
            </w:tcBorders>
            <w:vAlign w:val="center"/>
          </w:tcPr>
          <w:p w14:paraId="105CA5F5">
            <w:pPr>
              <w:adjustRightInd w:val="0"/>
              <w:snapToGrid w:val="0"/>
              <w:spacing w:line="360" w:lineRule="auto"/>
              <w:jc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p>
        </w:tc>
        <w:tc>
          <w:tcPr>
            <w:tcW w:w="8361" w:type="dxa"/>
            <w:tcBorders>
              <w:top w:val="single" w:color="auto" w:sz="4" w:space="0"/>
              <w:left w:val="single" w:color="auto" w:sz="4" w:space="0"/>
              <w:bottom w:val="single" w:color="auto" w:sz="4" w:space="0"/>
              <w:right w:val="single" w:color="auto" w:sz="4" w:space="0"/>
            </w:tcBorders>
            <w:vAlign w:val="center"/>
          </w:tcPr>
          <w:p w14:paraId="417CC18D">
            <w:pPr>
              <w:adjustRightInd w:val="0"/>
              <w:snapToGrid w:val="0"/>
              <w:spacing w:line="360" w:lineRule="auto"/>
              <w:rPr>
                <w:rFonts w:ascii="仿宋" w:hAnsi="仿宋" w:eastAsia="仿宋" w:cs="仿宋"/>
                <w:sz w:val="24"/>
              </w:rPr>
            </w:pPr>
            <w:r>
              <w:rPr>
                <w:rFonts w:hint="eastAsia" w:ascii="仿宋" w:hAnsi="仿宋" w:eastAsia="仿宋" w:cs="仿宋"/>
                <w:sz w:val="24"/>
              </w:rPr>
              <w:t>采购代理服务费：</w:t>
            </w:r>
          </w:p>
          <w:p w14:paraId="25845BD1">
            <w:pPr>
              <w:adjustRightInd w:val="0"/>
              <w:snapToGrid w:val="0"/>
              <w:spacing w:line="360" w:lineRule="auto"/>
              <w:rPr>
                <w:rFonts w:hint="eastAsia" w:ascii="仿宋" w:hAnsi="仿宋" w:eastAsia="仿宋" w:cs="仿宋"/>
                <w:sz w:val="24"/>
              </w:rPr>
            </w:pPr>
            <w:r>
              <w:rPr>
                <w:rFonts w:hint="eastAsia" w:ascii="仿宋" w:hAnsi="仿宋" w:eastAsia="仿宋" w:cs="仿宋"/>
                <w:sz w:val="24"/>
              </w:rPr>
              <w:t>由</w:t>
            </w:r>
            <w:r>
              <w:rPr>
                <w:rFonts w:hint="eastAsia" w:ascii="仿宋" w:hAnsi="仿宋" w:eastAsia="仿宋" w:cs="仿宋"/>
                <w:sz w:val="24"/>
                <w:lang w:eastAsia="zh-CN"/>
              </w:rPr>
              <w:t>中标</w:t>
            </w:r>
            <w:r>
              <w:rPr>
                <w:rFonts w:hint="eastAsia" w:ascii="仿宋" w:hAnsi="仿宋" w:eastAsia="仿宋" w:cs="仿宋"/>
                <w:sz w:val="24"/>
              </w:rPr>
              <w:t>人支付。收费标准按照</w:t>
            </w:r>
            <w:r>
              <w:rPr>
                <w:rFonts w:hint="eastAsia" w:ascii="仿宋" w:hAnsi="仿宋" w:eastAsia="仿宋" w:cs="仿宋"/>
                <w:sz w:val="24"/>
                <w:lang w:eastAsia="zh-CN"/>
              </w:rPr>
              <w:t>浙江省招标投标协会</w:t>
            </w:r>
            <w:r>
              <w:rPr>
                <w:rFonts w:hint="eastAsia" w:ascii="仿宋" w:hAnsi="仿宋" w:eastAsia="仿宋" w:cs="仿宋"/>
                <w:sz w:val="24"/>
              </w:rPr>
              <w:t>关于印发《</w:t>
            </w:r>
            <w:r>
              <w:rPr>
                <w:rFonts w:hint="eastAsia" w:ascii="仿宋" w:hAnsi="仿宋" w:eastAsia="仿宋" w:cs="仿宋"/>
                <w:sz w:val="24"/>
                <w:lang w:eastAsia="zh-CN"/>
              </w:rPr>
              <w:t>浙江省</w:t>
            </w:r>
            <w:r>
              <w:rPr>
                <w:rFonts w:hint="eastAsia" w:ascii="仿宋" w:hAnsi="仿宋" w:eastAsia="仿宋" w:cs="仿宋"/>
                <w:sz w:val="24"/>
              </w:rPr>
              <w:t>招标代理服务收费</w:t>
            </w:r>
            <w:r>
              <w:rPr>
                <w:rFonts w:hint="eastAsia" w:ascii="仿宋" w:hAnsi="仿宋" w:eastAsia="仿宋" w:cs="仿宋"/>
                <w:sz w:val="24"/>
                <w:lang w:eastAsia="zh-CN"/>
              </w:rPr>
              <w:t>指引</w:t>
            </w:r>
            <w:r>
              <w:rPr>
                <w:rFonts w:hint="eastAsia" w:ascii="仿宋" w:hAnsi="仿宋" w:eastAsia="仿宋" w:cs="仿宋"/>
                <w:sz w:val="24"/>
              </w:rPr>
              <w:t>》（</w:t>
            </w:r>
            <w:r>
              <w:rPr>
                <w:rFonts w:hint="eastAsia" w:ascii="仿宋" w:hAnsi="仿宋" w:eastAsia="仿宋" w:cs="仿宋"/>
                <w:sz w:val="24"/>
                <w:lang w:eastAsia="zh-CN"/>
              </w:rPr>
              <w:t>浙招协</w:t>
            </w:r>
            <w:r>
              <w:rPr>
                <w:rFonts w:hint="eastAsia" w:ascii="仿宋" w:hAnsi="仿宋" w:eastAsia="仿宋" w:cs="仿宋"/>
                <w:sz w:val="24"/>
              </w:rPr>
              <w:t>[20</w:t>
            </w:r>
            <w:r>
              <w:rPr>
                <w:rFonts w:hint="eastAsia" w:ascii="仿宋" w:hAnsi="仿宋" w:eastAsia="仿宋" w:cs="仿宋"/>
                <w:sz w:val="24"/>
                <w:lang w:val="en-US" w:eastAsia="zh-CN"/>
              </w:rPr>
              <w:t>26</w:t>
            </w:r>
            <w:r>
              <w:rPr>
                <w:rFonts w:hint="eastAsia" w:ascii="仿宋" w:hAnsi="仿宋" w:eastAsia="仿宋" w:cs="仿宋"/>
                <w:sz w:val="24"/>
              </w:rPr>
              <w:t>]</w:t>
            </w:r>
            <w:r>
              <w:rPr>
                <w:rFonts w:hint="eastAsia" w:ascii="仿宋" w:hAnsi="仿宋" w:eastAsia="仿宋" w:cs="仿宋"/>
                <w:sz w:val="24"/>
                <w:lang w:val="en-US" w:eastAsia="zh-CN"/>
              </w:rPr>
              <w:t>15</w:t>
            </w:r>
            <w:r>
              <w:rPr>
                <w:rFonts w:hint="eastAsia" w:ascii="仿宋" w:hAnsi="仿宋" w:eastAsia="仿宋" w:cs="仿宋"/>
                <w:sz w:val="24"/>
              </w:rPr>
              <w:t>号）规定的80%收取（代理服务费不足5000元的按5000元收费）。中标人在收到成交通知书的同时向采购代理机构一次性支付。</w:t>
            </w:r>
          </w:p>
          <w:p w14:paraId="0065F7D2">
            <w:pPr>
              <w:adjustRightInd w:val="0"/>
              <w:snapToGrid w:val="0"/>
              <w:spacing w:line="360" w:lineRule="auto"/>
              <w:rPr>
                <w:rFonts w:hint="eastAsia" w:eastAsia="仿宋"/>
              </w:rPr>
            </w:pPr>
            <w:r>
              <w:rPr>
                <w:rFonts w:hint="eastAsia" w:ascii="仿宋" w:hAnsi="仿宋" w:eastAsia="仿宋" w:cs="仿宋"/>
                <w:sz w:val="24"/>
              </w:rPr>
              <w:t>账户信息：</w:t>
            </w:r>
          </w:p>
          <w:p w14:paraId="5A994B32">
            <w:pPr>
              <w:adjustRightInd w:val="0"/>
              <w:snapToGrid w:val="0"/>
              <w:spacing w:line="360" w:lineRule="auto"/>
              <w:rPr>
                <w:rFonts w:hint="eastAsia" w:ascii="仿宋" w:hAnsi="仿宋" w:eastAsia="仿宋" w:cs="仿宋"/>
                <w:sz w:val="24"/>
              </w:rPr>
            </w:pPr>
            <w:r>
              <w:rPr>
                <w:rFonts w:hint="eastAsia" w:ascii="仿宋" w:hAnsi="仿宋" w:eastAsia="仿宋" w:cs="仿宋"/>
                <w:sz w:val="24"/>
              </w:rPr>
              <w:t>收款单位（户名）: 浙江通用招标代理有限公司</w:t>
            </w:r>
          </w:p>
          <w:p w14:paraId="3B073CBE">
            <w:pPr>
              <w:adjustRightInd w:val="0"/>
              <w:snapToGrid w:val="0"/>
              <w:spacing w:line="360" w:lineRule="auto"/>
              <w:rPr>
                <w:rFonts w:hint="eastAsia" w:ascii="仿宋" w:hAnsi="仿宋" w:eastAsia="仿宋" w:cs="仿宋"/>
                <w:sz w:val="24"/>
              </w:rPr>
            </w:pPr>
            <w:r>
              <w:rPr>
                <w:rFonts w:hint="eastAsia" w:ascii="仿宋" w:hAnsi="仿宋" w:eastAsia="仿宋" w:cs="仿宋"/>
                <w:sz w:val="24"/>
              </w:rPr>
              <w:t>开户银行：宁波银行杭州分行</w:t>
            </w:r>
          </w:p>
          <w:p w14:paraId="3AACFE73">
            <w:pPr>
              <w:adjustRightInd w:val="0"/>
              <w:snapToGrid w:val="0"/>
              <w:spacing w:line="360" w:lineRule="auto"/>
              <w:rPr>
                <w:rFonts w:eastAsia="仿宋"/>
              </w:rPr>
            </w:pPr>
            <w:r>
              <w:rPr>
                <w:rFonts w:hint="eastAsia" w:ascii="仿宋" w:hAnsi="仿宋" w:eastAsia="仿宋" w:cs="仿宋"/>
                <w:sz w:val="24"/>
              </w:rPr>
              <w:t>银行账号：71010122001488772</w:t>
            </w:r>
          </w:p>
        </w:tc>
      </w:tr>
      <w:tr w14:paraId="4DE7F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11" w:type="dxa"/>
            <w:tcBorders>
              <w:top w:val="single" w:color="auto" w:sz="4" w:space="0"/>
              <w:left w:val="single" w:color="auto" w:sz="4" w:space="0"/>
              <w:bottom w:val="single" w:color="auto" w:sz="4" w:space="0"/>
              <w:right w:val="single" w:color="auto" w:sz="4" w:space="0"/>
            </w:tcBorders>
            <w:vAlign w:val="center"/>
          </w:tcPr>
          <w:p w14:paraId="1A1DFFB9">
            <w:pPr>
              <w:adjustRightInd w:val="0"/>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8361" w:type="dxa"/>
            <w:tcBorders>
              <w:top w:val="single" w:color="auto" w:sz="4" w:space="0"/>
              <w:left w:val="single" w:color="auto" w:sz="4" w:space="0"/>
              <w:bottom w:val="single" w:color="auto" w:sz="4" w:space="0"/>
              <w:right w:val="single" w:color="auto" w:sz="4" w:space="0"/>
            </w:tcBorders>
            <w:vAlign w:val="center"/>
          </w:tcPr>
          <w:p w14:paraId="5DB96CBB">
            <w:pPr>
              <w:adjustRightInd w:val="0"/>
              <w:snapToGrid w:val="0"/>
              <w:spacing w:line="360" w:lineRule="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bCs/>
                <w:sz w:val="24"/>
              </w:rPr>
              <w:t>不同供应商递交的投标（响应）文件出现文档属性中作者名雷同的，需要投标人做出必要的</w:t>
            </w:r>
            <w:r>
              <w:rPr>
                <w:rFonts w:hint="eastAsia" w:ascii="仿宋" w:hAnsi="仿宋" w:eastAsia="仿宋" w:cs="仿宋"/>
                <w:b/>
                <w:bCs/>
                <w:sz w:val="24"/>
                <w:lang w:val="en-US" w:eastAsia="zh-CN"/>
              </w:rPr>
              <w:t>书面</w:t>
            </w:r>
            <w:r>
              <w:rPr>
                <w:rFonts w:hint="eastAsia" w:ascii="仿宋" w:hAnsi="仿宋" w:eastAsia="仿宋" w:cs="仿宋"/>
                <w:b/>
                <w:bCs/>
                <w:sz w:val="24"/>
              </w:rPr>
              <w:t>澄清或说明。若在规定的时间内未作出合理的澄清或合理的说明，按废标处理。</w:t>
            </w:r>
          </w:p>
        </w:tc>
      </w:tr>
    </w:tbl>
    <w:p w14:paraId="6414E5F3">
      <w:pPr>
        <w:pStyle w:val="17"/>
        <w:adjustRightInd w:val="0"/>
        <w:snapToGrid w:val="0"/>
        <w:spacing w:before="0" w:beforeLines="0" w:afterLines="0" w:line="360" w:lineRule="auto"/>
        <w:jc w:val="center"/>
        <w:rPr>
          <w:rFonts w:ascii="仿宋_GB2312" w:hAnsi="仿宋" w:eastAsia="仿宋_GB2312" w:cs="仿宋"/>
          <w:b/>
        </w:rPr>
      </w:pPr>
      <w:r>
        <w:rPr>
          <w:rFonts w:hint="eastAsia" w:ascii="仿宋_GB2312" w:hAnsi="仿宋" w:eastAsia="仿宋_GB2312" w:cs="仿宋"/>
          <w:b/>
        </w:rPr>
        <w:t>注：以上内容如有变化将另行书面通知。另行通知中未提及事项不作变动。</w:t>
      </w:r>
      <w:r>
        <w:rPr>
          <w:rFonts w:hint="eastAsia" w:ascii="仿宋_GB2312" w:hAnsi="仿宋" w:eastAsia="仿宋_GB2312" w:cs="仿宋"/>
          <w:b/>
          <w:sz w:val="32"/>
          <w:szCs w:val="32"/>
        </w:rPr>
        <w:br w:type="page"/>
      </w:r>
      <w:r>
        <w:rPr>
          <w:rFonts w:hint="eastAsia" w:ascii="仿宋_GB2312" w:hAnsi="仿宋" w:eastAsia="仿宋_GB2312" w:cs="仿宋"/>
          <w:b/>
          <w:sz w:val="32"/>
          <w:szCs w:val="32"/>
        </w:rPr>
        <w:t>一、总则</w:t>
      </w:r>
    </w:p>
    <w:p w14:paraId="2A42ABFF">
      <w:pPr>
        <w:adjustRightInd w:val="0"/>
        <w:snapToGrid w:val="0"/>
        <w:spacing w:line="360" w:lineRule="auto"/>
        <w:outlineLvl w:val="1"/>
        <w:rPr>
          <w:rFonts w:ascii="仿宋_GB2312" w:hAnsi="仿宋" w:eastAsia="仿宋_GB2312" w:cs="仿宋"/>
          <w:b/>
          <w:sz w:val="24"/>
        </w:rPr>
      </w:pPr>
      <w:r>
        <w:rPr>
          <w:rFonts w:hint="eastAsia" w:ascii="仿宋_GB2312" w:hAnsi="仿宋" w:eastAsia="仿宋_GB2312" w:cs="仿宋"/>
          <w:b/>
          <w:sz w:val="24"/>
        </w:rPr>
        <w:t>1、适用范围</w:t>
      </w:r>
    </w:p>
    <w:p w14:paraId="19FE521B">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本磋商文件仅适用于本项目的采购、磋商响应、评标、定标、验收、合同履约、付款等行为（法律、法规另有规定的，从其规定）。</w:t>
      </w:r>
    </w:p>
    <w:p w14:paraId="067878D4">
      <w:pPr>
        <w:numPr>
          <w:ilvl w:val="0"/>
          <w:numId w:val="7"/>
        </w:numPr>
        <w:adjustRightInd w:val="0"/>
        <w:snapToGrid w:val="0"/>
        <w:spacing w:line="360" w:lineRule="auto"/>
        <w:outlineLvl w:val="1"/>
        <w:rPr>
          <w:rFonts w:ascii="仿宋_GB2312" w:hAnsi="仿宋" w:eastAsia="仿宋_GB2312" w:cs="仿宋"/>
          <w:b/>
          <w:sz w:val="24"/>
        </w:rPr>
      </w:pPr>
      <w:r>
        <w:rPr>
          <w:rFonts w:hint="eastAsia" w:ascii="仿宋_GB2312" w:hAnsi="仿宋" w:eastAsia="仿宋_GB2312" w:cs="仿宋"/>
          <w:b/>
          <w:sz w:val="24"/>
        </w:rPr>
        <w:t>定义</w:t>
      </w:r>
    </w:p>
    <w:p w14:paraId="014ECF18">
      <w:pPr>
        <w:adjustRightInd w:val="0"/>
        <w:snapToGrid w:val="0"/>
        <w:spacing w:line="360" w:lineRule="auto"/>
        <w:ind w:firstLine="480" w:firstLineChars="200"/>
        <w:outlineLvl w:val="1"/>
        <w:rPr>
          <w:rFonts w:ascii="仿宋_GB2312" w:hAnsi="仿宋" w:eastAsia="仿宋_GB2312" w:cs="仿宋"/>
          <w:sz w:val="24"/>
        </w:rPr>
      </w:pPr>
      <w:r>
        <w:rPr>
          <w:rFonts w:hint="eastAsia" w:ascii="仿宋_GB2312" w:hAnsi="仿宋" w:eastAsia="仿宋_GB2312" w:cs="仿宋"/>
          <w:sz w:val="24"/>
        </w:rPr>
        <w:t>2.1 “采购人”系指</w:t>
      </w:r>
      <w:r>
        <w:rPr>
          <w:rFonts w:hint="eastAsia" w:ascii="仿宋_GB2312" w:hAnsi="仿宋" w:eastAsia="仿宋_GB2312" w:cs="仿宋"/>
          <w:sz w:val="24"/>
          <w:lang w:eastAsia="zh-CN"/>
        </w:rPr>
        <w:t>中共浙江省委组织部（本级）</w:t>
      </w:r>
      <w:r>
        <w:rPr>
          <w:rFonts w:hint="eastAsia" w:ascii="仿宋_GB2312" w:hAnsi="仿宋" w:eastAsia="仿宋_GB2312" w:cs="仿宋"/>
          <w:sz w:val="24"/>
        </w:rPr>
        <w:t>。</w:t>
      </w:r>
    </w:p>
    <w:p w14:paraId="750BEA35">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2.2 “采购代理机构”系指浙江通用招标代理有限公司。</w:t>
      </w:r>
    </w:p>
    <w:p w14:paraId="4A0F8DC3">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2.3 “磋商供应商”系指响应本次磋商，参加磋商响应的供应商。</w:t>
      </w:r>
    </w:p>
    <w:p w14:paraId="1CB631EA">
      <w:pPr>
        <w:adjustRightInd w:val="0"/>
        <w:snapToGrid w:val="0"/>
        <w:spacing w:line="360" w:lineRule="auto"/>
        <w:ind w:firstLine="480" w:firstLineChars="200"/>
        <w:rPr>
          <w:rFonts w:eastAsia="仿宋_GB2312"/>
        </w:rPr>
      </w:pPr>
      <w:r>
        <w:rPr>
          <w:rFonts w:hint="eastAsia" w:ascii="仿宋_GB2312" w:hAnsi="仿宋" w:eastAsia="仿宋_GB2312" w:cs="仿宋"/>
          <w:sz w:val="24"/>
        </w:rPr>
        <w:t>2.4 “货物”系指磋商文件规定磋商供应商须提供的产品。</w:t>
      </w:r>
    </w:p>
    <w:p w14:paraId="5AA0451A">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2.5 “服务”系指磋商文件规定磋商供应商须承担的服务义务。</w:t>
      </w:r>
    </w:p>
    <w:p w14:paraId="051C6E43">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2.6 “书面形式”包括信函、传真、电报等。</w:t>
      </w:r>
    </w:p>
    <w:p w14:paraId="2E9354C9">
      <w:pPr>
        <w:adjustRightInd w:val="0"/>
        <w:snapToGrid w:val="0"/>
        <w:spacing w:line="360" w:lineRule="auto"/>
        <w:outlineLvl w:val="1"/>
        <w:rPr>
          <w:rFonts w:ascii="仿宋_GB2312" w:hAnsi="仿宋" w:eastAsia="仿宋_GB2312" w:cs="仿宋"/>
          <w:b/>
          <w:sz w:val="24"/>
        </w:rPr>
      </w:pPr>
      <w:r>
        <w:rPr>
          <w:rFonts w:hint="eastAsia" w:ascii="仿宋_GB2312" w:hAnsi="仿宋" w:eastAsia="仿宋_GB2312" w:cs="仿宋"/>
          <w:b/>
          <w:sz w:val="24"/>
        </w:rPr>
        <w:t>3、采购方式</w:t>
      </w:r>
    </w:p>
    <w:p w14:paraId="13966EE3">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本项目采用竞争性磋商方式进行。</w:t>
      </w:r>
    </w:p>
    <w:p w14:paraId="63D67BD4">
      <w:pPr>
        <w:adjustRightInd w:val="0"/>
        <w:snapToGrid w:val="0"/>
        <w:spacing w:line="360" w:lineRule="auto"/>
        <w:outlineLvl w:val="1"/>
        <w:rPr>
          <w:rFonts w:ascii="仿宋_GB2312" w:hAnsi="仿宋" w:eastAsia="仿宋_GB2312" w:cs="仿宋"/>
          <w:b/>
          <w:sz w:val="24"/>
        </w:rPr>
      </w:pPr>
      <w:r>
        <w:rPr>
          <w:rFonts w:hint="eastAsia" w:ascii="仿宋_GB2312" w:hAnsi="仿宋" w:eastAsia="仿宋_GB2312" w:cs="仿宋"/>
          <w:b/>
          <w:sz w:val="24"/>
        </w:rPr>
        <w:t>4、磋商响应委托</w:t>
      </w:r>
    </w:p>
    <w:p w14:paraId="41271EEA">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如磋商供应商代表不是法定代表人，须有法定代表人出具的授权委托书;若是法定代表人参加，须填写法定代表人身份证明书（格式见第六部分）。</w:t>
      </w:r>
    </w:p>
    <w:p w14:paraId="517DDE18">
      <w:pPr>
        <w:adjustRightInd w:val="0"/>
        <w:snapToGrid w:val="0"/>
        <w:spacing w:line="360" w:lineRule="auto"/>
        <w:outlineLvl w:val="1"/>
        <w:rPr>
          <w:rFonts w:ascii="仿宋_GB2312" w:hAnsi="仿宋" w:eastAsia="仿宋_GB2312" w:cs="仿宋"/>
          <w:b/>
          <w:sz w:val="24"/>
        </w:rPr>
      </w:pPr>
      <w:r>
        <w:rPr>
          <w:rFonts w:hint="eastAsia" w:ascii="仿宋_GB2312" w:hAnsi="仿宋" w:eastAsia="仿宋_GB2312" w:cs="仿宋"/>
          <w:b/>
          <w:sz w:val="24"/>
        </w:rPr>
        <w:t>5、磋商费用</w:t>
      </w:r>
    </w:p>
    <w:p w14:paraId="0C571BFF">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不论投标结果如何，磋商供应商均应自行承担与投标有关的一切费用。</w:t>
      </w:r>
    </w:p>
    <w:p w14:paraId="4A14530D">
      <w:pPr>
        <w:adjustRightInd w:val="0"/>
        <w:snapToGrid w:val="0"/>
        <w:spacing w:line="360" w:lineRule="auto"/>
        <w:rPr>
          <w:rFonts w:ascii="仿宋_GB2312" w:hAnsi="仿宋" w:eastAsia="仿宋_GB2312" w:cs="仿宋"/>
          <w:b/>
          <w:sz w:val="24"/>
          <w:szCs w:val="20"/>
        </w:rPr>
      </w:pPr>
      <w:r>
        <w:rPr>
          <w:rFonts w:hint="eastAsia" w:ascii="仿宋_GB2312" w:hAnsi="仿宋" w:eastAsia="仿宋_GB2312" w:cs="仿宋"/>
          <w:b/>
          <w:sz w:val="24"/>
        </w:rPr>
        <w:t>6、联合体投标</w:t>
      </w:r>
    </w:p>
    <w:p w14:paraId="70D8871E">
      <w:pPr>
        <w:adjustRightInd w:val="0"/>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本项目接受联合体投标。</w:t>
      </w:r>
    </w:p>
    <w:p w14:paraId="65C6511C">
      <w:pPr>
        <w:adjustRightInd w:val="0"/>
        <w:snapToGrid w:val="0"/>
        <w:spacing w:line="360" w:lineRule="auto"/>
        <w:rPr>
          <w:rFonts w:ascii="仿宋_GB2312" w:hAnsi="仿宋" w:eastAsia="仿宋_GB2312" w:cs="仿宋"/>
          <w:b/>
          <w:sz w:val="24"/>
        </w:rPr>
      </w:pPr>
      <w:r>
        <w:rPr>
          <w:rFonts w:hint="eastAsia" w:ascii="仿宋_GB2312" w:hAnsi="仿宋" w:eastAsia="仿宋_GB2312" w:cs="仿宋"/>
          <w:b/>
          <w:sz w:val="24"/>
        </w:rPr>
        <w:t>7、转包与分包</w:t>
      </w:r>
    </w:p>
    <w:p w14:paraId="3D6F6065">
      <w:pPr>
        <w:adjustRightInd w:val="0"/>
        <w:snapToGrid w:val="0"/>
        <w:spacing w:line="360" w:lineRule="auto"/>
        <w:ind w:firstLine="480" w:firstLineChars="200"/>
        <w:rPr>
          <w:rFonts w:ascii="仿宋_GB2312" w:hAnsi="仿宋" w:eastAsia="仿宋_GB2312" w:cs="仿宋"/>
          <w:sz w:val="24"/>
          <w:highlight w:val="none"/>
        </w:rPr>
      </w:pPr>
      <w:r>
        <w:rPr>
          <w:rFonts w:hint="eastAsia" w:ascii="仿宋_GB2312" w:hAnsi="仿宋" w:eastAsia="仿宋_GB2312" w:cs="仿宋"/>
          <w:sz w:val="24"/>
          <w:highlight w:val="none"/>
        </w:rPr>
        <w:t>本项目允许分包</w:t>
      </w:r>
      <w:r>
        <w:rPr>
          <w:rFonts w:hint="eastAsia" w:ascii="仿宋_GB2312" w:hAnsi="仿宋" w:eastAsia="仿宋_GB2312" w:cs="仿宋"/>
          <w:sz w:val="24"/>
          <w:highlight w:val="none"/>
          <w:lang w:eastAsia="zh-CN"/>
        </w:rPr>
        <w:t>，</w:t>
      </w:r>
      <w:r>
        <w:rPr>
          <w:rFonts w:hint="eastAsia" w:ascii="仿宋_GB2312" w:hAnsi="仿宋" w:eastAsia="仿宋_GB2312" w:cs="仿宋"/>
          <w:sz w:val="24"/>
          <w:highlight w:val="none"/>
          <w:lang w:val="en-US" w:eastAsia="zh-CN"/>
        </w:rPr>
        <w:t>不得</w:t>
      </w:r>
      <w:r>
        <w:rPr>
          <w:rFonts w:hint="eastAsia" w:ascii="仿宋_GB2312" w:hAnsi="仿宋" w:eastAsia="仿宋_GB2312" w:cs="仿宋"/>
          <w:sz w:val="24"/>
          <w:highlight w:val="none"/>
        </w:rPr>
        <w:t>转包。</w:t>
      </w:r>
    </w:p>
    <w:p w14:paraId="7C260582">
      <w:pPr>
        <w:adjustRightInd w:val="0"/>
        <w:snapToGrid w:val="0"/>
        <w:spacing w:line="360" w:lineRule="auto"/>
        <w:outlineLvl w:val="1"/>
        <w:rPr>
          <w:rFonts w:ascii="仿宋_GB2312" w:hAnsi="仿宋" w:eastAsia="仿宋_GB2312" w:cs="仿宋"/>
          <w:b/>
          <w:sz w:val="24"/>
        </w:rPr>
      </w:pPr>
      <w:r>
        <w:rPr>
          <w:rFonts w:hint="eastAsia" w:ascii="仿宋_GB2312" w:hAnsi="仿宋" w:eastAsia="仿宋_GB2312" w:cs="仿宋"/>
          <w:b/>
          <w:sz w:val="24"/>
        </w:rPr>
        <w:t>8、特别说明：</w:t>
      </w:r>
    </w:p>
    <w:p w14:paraId="52A3B9AE">
      <w:pPr>
        <w:adjustRightInd w:val="0"/>
        <w:snapToGrid w:val="0"/>
        <w:spacing w:line="360" w:lineRule="auto"/>
        <w:ind w:firstLine="480" w:firstLineChars="200"/>
        <w:jc w:val="left"/>
        <w:rPr>
          <w:rFonts w:ascii="仿宋_GB2312" w:hAnsi="仿宋" w:eastAsia="仿宋_GB2312" w:cs="仿宋"/>
          <w:kern w:val="0"/>
          <w:sz w:val="24"/>
        </w:rPr>
      </w:pPr>
      <w:r>
        <w:rPr>
          <w:rFonts w:hint="eastAsia" w:ascii="仿宋_GB2312" w:hAnsi="仿宋" w:eastAsia="仿宋_GB2312" w:cs="仿宋"/>
          <w:sz w:val="24"/>
        </w:rPr>
        <w:t xml:space="preserve">8.1 </w:t>
      </w:r>
      <w:r>
        <w:rPr>
          <w:rFonts w:hint="eastAsia" w:ascii="仿宋" w:hAnsi="仿宋" w:eastAsia="仿宋" w:cs="宋体"/>
        </w:rPr>
        <w:t>▲</w:t>
      </w:r>
      <w:r>
        <w:rPr>
          <w:rFonts w:hint="eastAsia" w:ascii="仿宋_GB2312" w:hAnsi="仿宋" w:eastAsia="仿宋_GB2312" w:cs="仿宋"/>
          <w:sz w:val="24"/>
        </w:rPr>
        <w:t>磋商供应商磋商响应所使用的资格、信誉、荣誉、业绩与企业认证必须为本法人所拥有。</w:t>
      </w:r>
    </w:p>
    <w:p w14:paraId="34E2B12C">
      <w:pPr>
        <w:pStyle w:val="17"/>
        <w:adjustRightInd w:val="0"/>
        <w:snapToGrid w:val="0"/>
        <w:spacing w:beforeLines="0" w:afterLines="0" w:line="360" w:lineRule="auto"/>
        <w:ind w:left="2" w:leftChars="1" w:firstLine="480" w:firstLineChars="200"/>
        <w:rPr>
          <w:rFonts w:ascii="仿宋_GB2312" w:hAnsi="仿宋" w:eastAsia="仿宋_GB2312" w:cs="仿宋"/>
        </w:rPr>
      </w:pPr>
      <w:r>
        <w:rPr>
          <w:rFonts w:hint="eastAsia" w:ascii="仿宋_GB2312" w:hAnsi="仿宋" w:eastAsia="仿宋_GB2312" w:cs="仿宋"/>
        </w:rPr>
        <w:t xml:space="preserve">8.2 </w:t>
      </w:r>
      <w:r>
        <w:rPr>
          <w:rFonts w:hint="eastAsia" w:ascii="仿宋" w:hAnsi="仿宋" w:eastAsia="仿宋" w:cs="宋体"/>
        </w:rPr>
        <w:t>▲</w:t>
      </w:r>
      <w:r>
        <w:rPr>
          <w:rFonts w:hint="eastAsia" w:ascii="仿宋_GB2312" w:hAnsi="仿宋" w:eastAsia="仿宋_GB2312" w:cs="仿宋"/>
        </w:rPr>
        <w:t>磋商供应商应仔细阅读磋商文件的所有内容，按照磋商文件的要求提交磋商响应文件，并对所提供的全部资料的真实性承担法律责任。</w:t>
      </w:r>
    </w:p>
    <w:p w14:paraId="3FD4F94D">
      <w:pPr>
        <w:pStyle w:val="17"/>
        <w:adjustRightInd w:val="0"/>
        <w:snapToGrid w:val="0"/>
        <w:spacing w:beforeLines="0" w:afterLines="0" w:line="360" w:lineRule="auto"/>
        <w:ind w:left="2" w:leftChars="1" w:firstLine="480" w:firstLineChars="200"/>
        <w:rPr>
          <w:rFonts w:ascii="仿宋_GB2312" w:hAnsi="仿宋" w:eastAsia="仿宋_GB2312" w:cs="仿宋"/>
        </w:rPr>
      </w:pPr>
      <w:r>
        <w:rPr>
          <w:rFonts w:hint="eastAsia" w:ascii="仿宋_GB2312" w:hAnsi="仿宋" w:eastAsia="仿宋_GB2312" w:cs="仿宋"/>
        </w:rPr>
        <w:t xml:space="preserve">8.3 </w:t>
      </w:r>
      <w:r>
        <w:rPr>
          <w:rFonts w:hint="eastAsia" w:ascii="仿宋" w:hAnsi="仿宋" w:eastAsia="仿宋" w:cs="宋体"/>
        </w:rPr>
        <w:t>▲</w:t>
      </w:r>
      <w:r>
        <w:rPr>
          <w:rFonts w:hint="eastAsia" w:ascii="仿宋_GB2312" w:hAnsi="仿宋" w:eastAsia="仿宋_GB2312" w:cs="仿宋"/>
        </w:rPr>
        <w:t>磋商供应商在磋商活动中提供任何虚假材料,其磋商响应无效；成交后发现的,成交供应商须依照《中华人民共和国消费者权益保护法》第49条之规定双倍赔偿采购人，且民事赔偿并不免除违法磋商供应商的行政与刑事责任。</w:t>
      </w:r>
    </w:p>
    <w:p w14:paraId="3BDB4DE6">
      <w:pPr>
        <w:pStyle w:val="17"/>
        <w:adjustRightInd w:val="0"/>
        <w:snapToGrid w:val="0"/>
        <w:spacing w:beforeLines="0" w:afterLines="0" w:line="360" w:lineRule="auto"/>
        <w:ind w:left="2" w:leftChars="1" w:firstLine="480" w:firstLineChars="200"/>
        <w:rPr>
          <w:rFonts w:ascii="仿宋" w:hAnsi="仿宋" w:eastAsia="仿宋" w:cs="宋体"/>
        </w:rPr>
      </w:pPr>
      <w:r>
        <w:rPr>
          <w:rFonts w:hint="eastAsia" w:ascii="仿宋" w:hAnsi="仿宋" w:eastAsia="仿宋" w:cs="宋体"/>
        </w:rPr>
        <w:t>8.4▲为采购项目提供整体设计、规范编制或者项目管理、监理、检测等服务的供应商，不得再参加该采购项目的其他采购活动。</w:t>
      </w:r>
    </w:p>
    <w:p w14:paraId="7ADAB904">
      <w:pPr>
        <w:pStyle w:val="17"/>
        <w:adjustRightInd w:val="0"/>
        <w:snapToGrid w:val="0"/>
        <w:spacing w:beforeLines="0" w:afterLines="0" w:line="360" w:lineRule="auto"/>
        <w:rPr>
          <w:rFonts w:ascii="仿宋" w:hAnsi="仿宋" w:eastAsia="仿宋" w:cs="宋体"/>
          <w:b/>
          <w:bCs/>
        </w:rPr>
      </w:pPr>
      <w:r>
        <w:rPr>
          <w:rFonts w:hint="eastAsia" w:ascii="仿宋" w:hAnsi="仿宋" w:eastAsia="仿宋" w:cs="宋体"/>
          <w:b/>
          <w:bCs/>
        </w:rPr>
        <w:t>9、采购项目需要落实的政府采购政策</w:t>
      </w:r>
    </w:p>
    <w:p w14:paraId="54618F3B">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9.1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0471601B">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9.2 节能环保要求</w:t>
      </w:r>
    </w:p>
    <w:p w14:paraId="2D017D2A">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9.2.1采购人拟采购的产品属于品目清单范围的，采购人及其委托的采购代理机构将依据国家确定的认证机构出具的、处于有效期之内的节能产品、环境标志产品认证证书，对获得证书的产品实施政府优先采购或强制采购。磋商供应商须按磋商文件要求提供相关产品认证证书。</w:t>
      </w:r>
    </w:p>
    <w:p w14:paraId="6F14DAAD">
      <w:pPr>
        <w:adjustRightInd w:val="0"/>
        <w:snapToGrid w:val="0"/>
        <w:spacing w:line="360" w:lineRule="auto"/>
        <w:ind w:firstLine="480" w:firstLineChars="200"/>
        <w:rPr>
          <w:rFonts w:ascii="仿宋_GB2312" w:hAnsi="仿宋" w:eastAsia="仿宋_GB2312"/>
          <w:b/>
          <w:sz w:val="24"/>
        </w:rPr>
      </w:pPr>
      <w:r>
        <w:rPr>
          <w:rFonts w:hint="eastAsia" w:ascii="仿宋_GB2312" w:hAnsi="仿宋" w:eastAsia="仿宋_GB2312"/>
          <w:sz w:val="24"/>
        </w:rPr>
        <w:t>9.2.2</w:t>
      </w:r>
      <w:r>
        <w:rPr>
          <w:rFonts w:hint="eastAsia" w:ascii="仿宋_GB2312" w:hAnsi="仿宋" w:eastAsia="仿宋_GB2312"/>
          <w:b/>
          <w:sz w:val="24"/>
        </w:rPr>
        <w:t>采购人拟采购的产品属于政府强制采购的节能产品品目清单范围的，磋商供应商未按磋商文件要求提供国家确定的认证机构出具的、处于有效期之内的节能产品认证证书，磋商响应无效。</w:t>
      </w:r>
    </w:p>
    <w:p w14:paraId="0F9FA044">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9.3</w:t>
      </w:r>
      <w:r>
        <w:rPr>
          <w:rFonts w:hint="eastAsia" w:ascii="仿宋_GB2312" w:hAnsi="仿宋" w:eastAsia="仿宋_GB2312"/>
          <w:bCs/>
          <w:sz w:val="24"/>
        </w:rPr>
        <w:t>支持中小企业发展</w:t>
      </w:r>
      <w:r>
        <w:rPr>
          <w:rFonts w:hint="eastAsia" w:ascii="仿宋_GB2312" w:hAnsi="仿宋" w:eastAsia="仿宋_GB2312"/>
          <w:sz w:val="24"/>
        </w:rPr>
        <w:t>。</w:t>
      </w:r>
    </w:p>
    <w:p w14:paraId="100869C8">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9.3.1中小企业</w:t>
      </w:r>
      <w:r>
        <w:rPr>
          <w:rFonts w:ascii="仿宋_GB2312" w:hAnsi="仿宋" w:eastAsia="仿宋_GB2312"/>
          <w:sz w:val="24"/>
        </w:rPr>
        <w:t>，是指在中华人民共和国境内依法设立，依据国务院批准的中小企业划分标准确定的中型企业、小型企业和微型企业，但与大企业的负责人为同一人，或者与大企业存在直接控股、管理关系的除外。</w:t>
      </w:r>
    </w:p>
    <w:p w14:paraId="4A210DE7">
      <w:pPr>
        <w:adjustRightInd w:val="0"/>
        <w:snapToGrid w:val="0"/>
        <w:spacing w:line="360" w:lineRule="auto"/>
        <w:ind w:firstLine="480" w:firstLineChars="200"/>
        <w:rPr>
          <w:rFonts w:ascii="仿宋_GB2312" w:hAnsi="仿宋" w:eastAsia="仿宋_GB2312"/>
          <w:sz w:val="24"/>
        </w:rPr>
      </w:pPr>
      <w:r>
        <w:rPr>
          <w:rFonts w:ascii="仿宋_GB2312" w:hAnsi="仿宋" w:eastAsia="仿宋_GB2312"/>
          <w:sz w:val="24"/>
        </w:rPr>
        <w:t>符合中小企业划分标准的个体工商户，在政府采购活动中视同中小企业。</w:t>
      </w:r>
    </w:p>
    <w:p w14:paraId="3AB52CAC">
      <w:pPr>
        <w:widowControl/>
        <w:adjustRightInd w:val="0"/>
        <w:snapToGrid w:val="0"/>
        <w:spacing w:line="360" w:lineRule="auto"/>
        <w:ind w:firstLine="480" w:firstLineChars="200"/>
        <w:jc w:val="left"/>
        <w:rPr>
          <w:rFonts w:ascii="仿宋_GB2312" w:hAnsi="宋体" w:eastAsia="仿宋_GB2312" w:cs="宋体"/>
          <w:kern w:val="0"/>
          <w:sz w:val="24"/>
        </w:rPr>
      </w:pPr>
      <w:r>
        <w:rPr>
          <w:rFonts w:hint="eastAsia" w:ascii="仿宋_GB2312" w:eastAsia="仿宋_GB2312"/>
          <w:bCs/>
          <w:sz w:val="24"/>
        </w:rPr>
        <w:t>9.3.2</w:t>
      </w:r>
      <w:r>
        <w:rPr>
          <w:rFonts w:hint="eastAsia" w:ascii="仿宋_GB2312" w:hAnsi="宋体" w:eastAsia="仿宋_GB2312" w:cs="宋体"/>
          <w:kern w:val="0"/>
          <w:sz w:val="24"/>
        </w:rPr>
        <w:t>在政府采购活动中，磋商供应商提供的服务符合下列情形的，享受中小企业扶持政策：</w:t>
      </w:r>
    </w:p>
    <w:p w14:paraId="13510974">
      <w:pPr>
        <w:widowControl/>
        <w:adjustRightInd w:val="0"/>
        <w:snapToGrid w:val="0"/>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（1）在服务采购项目中，服务由中小企业承接，即提供服务的人员为中小企业依照《中华人民共和国民法典》订立劳动合同的从业人员。</w:t>
      </w:r>
    </w:p>
    <w:p w14:paraId="0D060841">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9.3.3符合《关于促进残疾人就业政府采购政策的通知》（财库〔2017〕141号）规定的条件并提供《残疾人福利性单位声明函》的残疾人福利性单位视同小型、微型企业；</w:t>
      </w:r>
    </w:p>
    <w:p w14:paraId="5406C8BE">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9.3.4符合《关于政府采购支持监狱企业发展有关问题的通知》（财库[2014]68号）规定的监狱企业并提供由省级以上监狱管理局、戒毒管理局（含新疆生产建设兵团）出具的属于监狱企业证明文件的，视同为小型、微型企业。</w:t>
      </w:r>
    </w:p>
    <w:p w14:paraId="726F3C02">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9.3.5可享受</w:t>
      </w:r>
      <w:r>
        <w:rPr>
          <w:rFonts w:hint="eastAsia" w:ascii="仿宋_GB2312" w:hAnsi="宋体" w:eastAsia="仿宋_GB2312" w:cs="宋体"/>
          <w:kern w:val="0"/>
          <w:sz w:val="24"/>
        </w:rPr>
        <w:t>中小企业扶持政策</w:t>
      </w:r>
      <w:r>
        <w:rPr>
          <w:rFonts w:hint="eastAsia" w:ascii="仿宋_GB2312" w:hAnsi="仿宋" w:eastAsia="仿宋_GB2312"/>
          <w:sz w:val="24"/>
        </w:rPr>
        <w:t>的磋商供应商应按照磋商文件格式要求提供《中小企业声明函》。</w:t>
      </w:r>
    </w:p>
    <w:p w14:paraId="53F093ED">
      <w:pPr>
        <w:pStyle w:val="17"/>
        <w:adjustRightInd w:val="0"/>
        <w:snapToGrid w:val="0"/>
        <w:spacing w:beforeLines="0" w:afterLines="0" w:line="360" w:lineRule="auto"/>
        <w:ind w:firstLine="480" w:firstLineChars="200"/>
        <w:rPr>
          <w:rFonts w:ascii="仿宋" w:hAnsi="仿宋" w:eastAsia="仿宋" w:cs="宋体"/>
        </w:rPr>
      </w:pPr>
      <w:r>
        <w:rPr>
          <w:rFonts w:hint="eastAsia" w:ascii="仿宋_GB2312" w:hAnsi="仿宋" w:eastAsia="仿宋_GB2312"/>
        </w:rPr>
        <w:t>9.3.6中小企业</w:t>
      </w:r>
      <w:r>
        <w:rPr>
          <w:rFonts w:ascii="仿宋_GB2312" w:hAnsi="仿宋" w:eastAsia="仿宋_GB2312"/>
        </w:rPr>
        <w:t>享受扶持政策获得政府采购合同的，小微企业不得将合同分包给大中型企业，中型企业不得将合同分包给大型企业</w:t>
      </w:r>
      <w:r>
        <w:rPr>
          <w:rFonts w:hint="eastAsia" w:ascii="仿宋_GB2312" w:hAnsi="仿宋" w:eastAsia="仿宋_GB2312"/>
        </w:rPr>
        <w:t>。</w:t>
      </w:r>
    </w:p>
    <w:p w14:paraId="1E30E281">
      <w:pPr>
        <w:pStyle w:val="17"/>
        <w:adjustRightInd w:val="0"/>
        <w:snapToGrid w:val="0"/>
        <w:spacing w:before="156" w:afterLines="0" w:line="360" w:lineRule="auto"/>
        <w:jc w:val="center"/>
        <w:outlineLvl w:val="0"/>
        <w:rPr>
          <w:rFonts w:ascii="仿宋_GB2312" w:hAnsi="仿宋" w:eastAsia="仿宋_GB2312" w:cs="仿宋"/>
          <w:b/>
          <w:sz w:val="32"/>
          <w:szCs w:val="32"/>
        </w:rPr>
      </w:pPr>
      <w:r>
        <w:rPr>
          <w:rFonts w:hint="eastAsia" w:ascii="仿宋_GB2312" w:hAnsi="仿宋" w:eastAsia="仿宋_GB2312" w:cs="仿宋"/>
          <w:b/>
          <w:sz w:val="32"/>
          <w:szCs w:val="32"/>
        </w:rPr>
        <w:t>二、磋商文件</w:t>
      </w:r>
    </w:p>
    <w:p w14:paraId="79578DEF">
      <w:pPr>
        <w:adjustRightInd w:val="0"/>
        <w:snapToGrid w:val="0"/>
        <w:spacing w:line="360" w:lineRule="auto"/>
        <w:jc w:val="left"/>
        <w:rPr>
          <w:rFonts w:ascii="仿宋_GB2312" w:hAnsi="仿宋" w:eastAsia="仿宋_GB2312" w:cs="仿宋"/>
          <w:b/>
          <w:sz w:val="24"/>
        </w:rPr>
      </w:pPr>
      <w:r>
        <w:rPr>
          <w:rFonts w:hint="eastAsia" w:ascii="仿宋_GB2312" w:hAnsi="仿宋" w:eastAsia="仿宋_GB2312" w:cs="仿宋"/>
          <w:b/>
          <w:sz w:val="24"/>
        </w:rPr>
        <w:t>10、磋商文件的构成</w:t>
      </w:r>
    </w:p>
    <w:p w14:paraId="08E671E8">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10.1 本磋商文件包括目录所示内容及所有按本须知第11条发出的补充资料。</w:t>
      </w:r>
    </w:p>
    <w:p w14:paraId="71D9F0C0">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10.2 除上述所列内容外，采购人和采购代理机构的任何工作人员对磋商供应商所作的任何口头解释、介绍、答复，只能供磋商供应商参考，对采购人、采购代理机构和磋商供应商无任何约束力。</w:t>
      </w:r>
    </w:p>
    <w:p w14:paraId="6C1E1E64">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10.3 磋商文件是磋商过程进行的有效依据，也是成交后签订合同的依据，对双方均具有约束力，凡不遵守磋商文件规定或对磋商文件的实质性内容不响应的，将可能被拒绝或以无效标处理。</w:t>
      </w:r>
    </w:p>
    <w:p w14:paraId="5321ECA6">
      <w:pPr>
        <w:adjustRightInd w:val="0"/>
        <w:snapToGrid w:val="0"/>
        <w:spacing w:line="360" w:lineRule="auto"/>
        <w:ind w:firstLine="480" w:firstLineChars="200"/>
        <w:rPr>
          <w:rFonts w:ascii="仿宋_GB2312" w:hAnsi="仿宋" w:eastAsia="仿宋_GB2312" w:cs="仿宋"/>
          <w:b/>
          <w:sz w:val="24"/>
        </w:rPr>
      </w:pPr>
      <w:r>
        <w:rPr>
          <w:rFonts w:hint="eastAsia" w:ascii="仿宋" w:hAnsi="仿宋" w:eastAsia="仿宋" w:cs="仿宋"/>
          <w:snapToGrid w:val="0"/>
          <w:kern w:val="0"/>
          <w:sz w:val="24"/>
        </w:rPr>
        <w:t>10.4 本磋商文件由采购人或采购代理机构依据相关法律、法规、规章、省市规定及磋商文件进行解释。</w:t>
      </w:r>
    </w:p>
    <w:p w14:paraId="0E527B7B">
      <w:pPr>
        <w:adjustRightInd w:val="0"/>
        <w:snapToGrid w:val="0"/>
        <w:spacing w:line="360" w:lineRule="auto"/>
        <w:rPr>
          <w:rFonts w:ascii="仿宋_GB2312" w:hAnsi="仿宋" w:eastAsia="仿宋_GB2312" w:cs="仿宋"/>
          <w:sz w:val="24"/>
        </w:rPr>
      </w:pPr>
      <w:r>
        <w:rPr>
          <w:rFonts w:hint="eastAsia" w:ascii="仿宋_GB2312" w:hAnsi="仿宋" w:eastAsia="仿宋_GB2312" w:cs="仿宋"/>
          <w:b/>
          <w:sz w:val="24"/>
        </w:rPr>
        <w:t>11、磋商供应商的风险</w:t>
      </w:r>
    </w:p>
    <w:p w14:paraId="58EE8830">
      <w:pPr>
        <w:pStyle w:val="27"/>
        <w:adjustRightInd w:val="0"/>
        <w:snapToGrid w:val="0"/>
        <w:spacing w:after="0" w:line="360" w:lineRule="auto"/>
        <w:ind w:left="0" w:leftChars="0" w:firstLine="480" w:firstLineChars="200"/>
        <w:rPr>
          <w:rFonts w:ascii="仿宋_GB2312" w:hAnsi="仿宋" w:eastAsia="仿宋_GB2312" w:cs="仿宋"/>
          <w:sz w:val="24"/>
          <w:szCs w:val="24"/>
        </w:rPr>
      </w:pPr>
      <w:r>
        <w:rPr>
          <w:rFonts w:hint="eastAsia" w:ascii="仿宋_GB2312" w:hAnsi="仿宋" w:eastAsia="仿宋_GB2312" w:cs="仿宋"/>
          <w:sz w:val="24"/>
          <w:szCs w:val="24"/>
        </w:rPr>
        <w:t>磋商供应商没有按照磋商文件要求提供全部资料，或者提供虚假资料，或者磋商供应商没有对磋商文件在各方面作出实质性响应是磋商供应商的风险，并可能导致其磋商响应文件被拒绝。</w:t>
      </w:r>
    </w:p>
    <w:p w14:paraId="478EB74C">
      <w:pPr>
        <w:pStyle w:val="7"/>
        <w:widowControl w:val="0"/>
        <w:numPr>
          <w:ilvl w:val="0"/>
          <w:numId w:val="0"/>
        </w:numPr>
        <w:adjustRightInd w:val="0"/>
        <w:snapToGrid w:val="0"/>
        <w:spacing w:afterLines="0" w:line="360" w:lineRule="auto"/>
        <w:ind w:left="282" w:hanging="282" w:hangingChars="117"/>
        <w:rPr>
          <w:rFonts w:ascii="仿宋_GB2312" w:hAnsi="仿宋" w:eastAsia="仿宋_GB2312" w:cs="仿宋"/>
          <w:b/>
          <w:szCs w:val="24"/>
        </w:rPr>
      </w:pPr>
      <w:r>
        <w:rPr>
          <w:rFonts w:hint="eastAsia" w:ascii="仿宋_GB2312" w:hAnsi="仿宋" w:eastAsia="仿宋_GB2312" w:cs="仿宋"/>
          <w:b/>
          <w:szCs w:val="24"/>
        </w:rPr>
        <w:t>12、磋商文件的澄清与修改</w:t>
      </w:r>
    </w:p>
    <w:p w14:paraId="63111192">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12.1 在磋商响应截止期前，由于各种原因，不论是自己主动提出还是答复磋商供应商的澄清要求，采购人和采购代理机构可能会</w:t>
      </w:r>
      <w:r>
        <w:rPr>
          <w:rFonts w:hint="eastAsia" w:ascii="仿宋" w:hAnsi="仿宋" w:eastAsia="仿宋" w:cs="仿宋"/>
          <w:bCs/>
          <w:sz w:val="24"/>
        </w:rPr>
        <w:t>对已发出的磋商文件进行必要澄清或者修改的，应当在磋商文件要求提交磋商响应文件截止时间十五日前，在财政部门指定的政府采购信息发布媒体上发布更正公告，并以书面形式通知所有磋商文件收受人。该澄清或者修改的内容为磋商文件的组成部分。</w:t>
      </w:r>
    </w:p>
    <w:p w14:paraId="3FB954A2">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12.2 磋商文件的修改将以书面形式，包括邮寄、传真和电传，通知所有购买磋商文件的磋商供应商，并对其具有约束力，同时在</w:t>
      </w:r>
      <w:r>
        <w:rPr>
          <w:rFonts w:hint="eastAsia" w:ascii="仿宋" w:hAnsi="仿宋" w:eastAsia="仿宋" w:cs="仿宋"/>
          <w:bCs/>
          <w:sz w:val="24"/>
        </w:rPr>
        <w:t>财政部门指定的政府采购信息发布媒体上发布更正公告</w:t>
      </w:r>
      <w:r>
        <w:rPr>
          <w:rFonts w:hint="eastAsia" w:ascii="仿宋" w:hAnsi="仿宋" w:eastAsia="仿宋" w:cs="仿宋"/>
          <w:snapToGrid w:val="0"/>
          <w:kern w:val="0"/>
          <w:sz w:val="24"/>
        </w:rPr>
        <w:t>。</w:t>
      </w:r>
    </w:p>
    <w:p w14:paraId="7C2C1BBE">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12.3 采购代理机构</w:t>
      </w:r>
      <w:r>
        <w:rPr>
          <w:rFonts w:hint="eastAsia" w:ascii="仿宋" w:hAnsi="仿宋" w:eastAsia="仿宋" w:cs="仿宋"/>
          <w:bCs/>
          <w:sz w:val="24"/>
        </w:rPr>
        <w:t>可以视采购具体情况，延长磋商响应截止时间和开标时间，将变更时间书面通知所有磋商文件收受人，并在财政部门指定的政府采购信息发布媒体上发布变更公告。</w:t>
      </w:r>
    </w:p>
    <w:p w14:paraId="6D96D254">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12.4磋商文件澄清、答复、修改、补充的内容为磋商文件的组成部分。当磋商文件与磋商文件的答复、澄清、修改、补充通知就同一内容的表述不一致时，以最后发出的书面文件为准。</w:t>
      </w:r>
    </w:p>
    <w:p w14:paraId="15DA2A3B">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12.5磋商文件的澄清、答复、修改或补充都应该通过本代理机构以法定形式发布，除此以外的发布不属于磋商文件的组成部分。</w:t>
      </w:r>
    </w:p>
    <w:p w14:paraId="392C68F9">
      <w:pPr>
        <w:pStyle w:val="17"/>
        <w:adjustRightInd w:val="0"/>
        <w:snapToGrid w:val="0"/>
        <w:spacing w:before="156" w:afterLines="0" w:line="360" w:lineRule="auto"/>
        <w:jc w:val="center"/>
        <w:outlineLvl w:val="1"/>
        <w:rPr>
          <w:rFonts w:ascii="仿宋_GB2312" w:hAnsi="仿宋" w:eastAsia="仿宋_GB2312" w:cs="仿宋"/>
          <w:b/>
          <w:sz w:val="32"/>
          <w:szCs w:val="32"/>
        </w:rPr>
      </w:pPr>
      <w:r>
        <w:rPr>
          <w:rFonts w:hint="eastAsia" w:ascii="仿宋_GB2312" w:hAnsi="仿宋" w:eastAsia="仿宋_GB2312" w:cs="仿宋"/>
          <w:b/>
          <w:sz w:val="32"/>
          <w:szCs w:val="32"/>
        </w:rPr>
        <w:t>三、磋商响应文件的编制</w:t>
      </w:r>
    </w:p>
    <w:p w14:paraId="73D5B27E">
      <w:pPr>
        <w:adjustRightInd w:val="0"/>
        <w:snapToGrid w:val="0"/>
        <w:spacing w:line="360" w:lineRule="auto"/>
        <w:ind w:firstLine="472" w:firstLineChars="196"/>
        <w:jc w:val="left"/>
        <w:outlineLvl w:val="0"/>
        <w:rPr>
          <w:rFonts w:ascii="仿宋_GB2312" w:hAnsi="仿宋" w:eastAsia="仿宋_GB2312" w:cs="仿宋"/>
          <w:b/>
          <w:sz w:val="24"/>
        </w:rPr>
      </w:pPr>
      <w:r>
        <w:rPr>
          <w:rFonts w:hint="eastAsia" w:ascii="仿宋_GB2312" w:hAnsi="仿宋" w:eastAsia="仿宋_GB2312" w:cs="仿宋"/>
          <w:b/>
          <w:sz w:val="24"/>
        </w:rPr>
        <w:t>磋商供应商应认真阅读磋商文件中所有的事项、格式、条款和技术要求等内容。如果磋商供应商没有按照磋商文件的要求和规定编制磋商响应文件及提交全部资料，或者磋商响应文件没有对磋商文件中的各方面作出实质性响应，其风险应由磋商供应商承担。</w:t>
      </w:r>
    </w:p>
    <w:p w14:paraId="4D36ECA1">
      <w:pPr>
        <w:adjustRightInd w:val="0"/>
        <w:snapToGrid w:val="0"/>
        <w:spacing w:line="360" w:lineRule="auto"/>
        <w:rPr>
          <w:rFonts w:ascii="仿宋" w:hAnsi="仿宋" w:eastAsia="仿宋" w:cs="仿宋"/>
          <w:b/>
          <w:snapToGrid w:val="0"/>
          <w:kern w:val="0"/>
          <w:sz w:val="24"/>
        </w:rPr>
      </w:pPr>
      <w:r>
        <w:rPr>
          <w:rFonts w:hint="eastAsia" w:ascii="仿宋" w:hAnsi="仿宋" w:eastAsia="仿宋" w:cs="仿宋"/>
          <w:b/>
          <w:snapToGrid w:val="0"/>
          <w:kern w:val="0"/>
          <w:sz w:val="24"/>
        </w:rPr>
        <w:t>13．磋商响应文件的语言及计量单位</w:t>
      </w:r>
    </w:p>
    <w:p w14:paraId="39C040EA">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13.1 磋商响应文件及磋商供应商与采购人和采购代理机构之间与磋商有关的来往通知、函件和文件均应使用简体中文。除签名、盖章、专用名称等特殊情形外，以中文汉语以外的文字表述的磋商响应文件视同未提供。磋商供应商提交的支持文件和印刷的文献可以用另一种语言，但相应内容应附有中文翻译文本，在解释磋商响应文件时以中文翻译文本为准。</w:t>
      </w:r>
    </w:p>
    <w:p w14:paraId="297F5EE7">
      <w:pPr>
        <w:adjustRightInd w:val="0"/>
        <w:snapToGrid w:val="0"/>
        <w:spacing w:line="360" w:lineRule="auto"/>
        <w:ind w:firstLine="480" w:firstLineChars="200"/>
        <w:rPr>
          <w:rFonts w:ascii="仿宋_GB2312" w:hAnsi="仿宋" w:eastAsia="仿宋_GB2312" w:cs="仿宋"/>
          <w:b/>
          <w:sz w:val="24"/>
        </w:rPr>
      </w:pPr>
      <w:r>
        <w:rPr>
          <w:rFonts w:hint="eastAsia" w:ascii="仿宋" w:hAnsi="仿宋" w:eastAsia="仿宋" w:cs="仿宋"/>
          <w:snapToGrid w:val="0"/>
          <w:kern w:val="0"/>
          <w:sz w:val="24"/>
        </w:rPr>
        <w:t>13.2 除磋商文件另有规定外，磋商响应文件所使用的计量单位，均须采用中华人民共和国法定计量单位，否则视同未响应。</w:t>
      </w:r>
    </w:p>
    <w:p w14:paraId="5C9E8482">
      <w:pPr>
        <w:adjustRightInd w:val="0"/>
        <w:snapToGrid w:val="0"/>
        <w:spacing w:line="360" w:lineRule="auto"/>
        <w:jc w:val="left"/>
        <w:outlineLvl w:val="0"/>
        <w:rPr>
          <w:rFonts w:ascii="仿宋_GB2312" w:hAnsi="仿宋" w:eastAsia="仿宋_GB2312" w:cs="仿宋"/>
          <w:b/>
          <w:sz w:val="24"/>
        </w:rPr>
      </w:pPr>
      <w:r>
        <w:rPr>
          <w:rFonts w:hint="eastAsia" w:ascii="仿宋_GB2312" w:hAnsi="仿宋" w:eastAsia="仿宋_GB2312" w:cs="仿宋"/>
          <w:b/>
          <w:sz w:val="24"/>
        </w:rPr>
        <w:t>14、磋商响应文件的组成</w:t>
      </w:r>
    </w:p>
    <w:p w14:paraId="2814A18E">
      <w:pPr>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磋商响应文件由</w:t>
      </w:r>
      <w:r>
        <w:rPr>
          <w:rFonts w:hint="eastAsia" w:ascii="仿宋" w:hAnsi="仿宋" w:eastAsia="仿宋" w:cs="仿宋"/>
          <w:b/>
          <w:sz w:val="24"/>
        </w:rPr>
        <w:t>资格文件</w:t>
      </w:r>
      <w:r>
        <w:rPr>
          <w:rFonts w:hint="eastAsia" w:ascii="仿宋" w:hAnsi="仿宋" w:eastAsia="仿宋" w:cs="仿宋"/>
          <w:kern w:val="0"/>
          <w:sz w:val="24"/>
        </w:rPr>
        <w:t>，</w:t>
      </w:r>
      <w:r>
        <w:rPr>
          <w:rFonts w:hint="eastAsia" w:ascii="仿宋" w:hAnsi="仿宋" w:eastAsia="仿宋" w:cs="仿宋"/>
          <w:b/>
          <w:sz w:val="24"/>
        </w:rPr>
        <w:t>商务技术文件</w:t>
      </w:r>
      <w:r>
        <w:rPr>
          <w:rFonts w:hint="eastAsia" w:ascii="仿宋" w:hAnsi="仿宋" w:eastAsia="仿宋" w:cs="仿宋"/>
          <w:kern w:val="0"/>
          <w:sz w:val="24"/>
        </w:rPr>
        <w:t>，</w:t>
      </w:r>
      <w:r>
        <w:rPr>
          <w:rFonts w:hint="eastAsia" w:ascii="仿宋" w:hAnsi="仿宋" w:eastAsia="仿宋" w:cs="仿宋"/>
          <w:b/>
          <w:kern w:val="0"/>
          <w:sz w:val="24"/>
        </w:rPr>
        <w:t>报价文件三</w:t>
      </w:r>
      <w:r>
        <w:rPr>
          <w:rFonts w:hint="eastAsia" w:ascii="仿宋" w:hAnsi="仿宋" w:eastAsia="仿宋" w:cs="仿宋"/>
          <w:sz w:val="24"/>
        </w:rPr>
        <w:t>部</w:t>
      </w:r>
      <w:r>
        <w:rPr>
          <w:rFonts w:hint="eastAsia" w:ascii="仿宋" w:hAnsi="仿宋" w:eastAsia="仿宋" w:cs="仿宋"/>
          <w:kern w:val="0"/>
          <w:sz w:val="24"/>
        </w:rPr>
        <w:t>分组成，</w:t>
      </w:r>
      <w:r>
        <w:rPr>
          <w:rFonts w:hint="eastAsia" w:ascii="仿宋" w:hAnsi="仿宋" w:eastAsia="仿宋" w:cs="仿宋"/>
          <w:b/>
          <w:bCs/>
          <w:kern w:val="0"/>
          <w:sz w:val="24"/>
        </w:rPr>
        <w:t>政采云平台有相关要求的按照平台文件格式要求制作，内容按照磋商文件要求提供。</w:t>
      </w:r>
    </w:p>
    <w:p w14:paraId="388CFD68">
      <w:pPr>
        <w:adjustRightInd w:val="0"/>
        <w:snapToGrid w:val="0"/>
        <w:spacing w:line="360" w:lineRule="auto"/>
        <w:ind w:firstLine="472" w:firstLineChars="196"/>
        <w:jc w:val="left"/>
        <w:rPr>
          <w:rFonts w:ascii="仿宋_GB2312" w:hAnsi="仿宋" w:eastAsia="仿宋_GB2312" w:cs="仿宋"/>
          <w:b/>
          <w:sz w:val="24"/>
        </w:rPr>
      </w:pPr>
      <w:r>
        <w:rPr>
          <w:rFonts w:hint="eastAsia" w:ascii="仿宋_GB2312" w:hAnsi="仿宋" w:eastAsia="仿宋_GB2312" w:cs="仿宋"/>
          <w:b/>
          <w:sz w:val="24"/>
        </w:rPr>
        <w:t>14.1 资格文件</w:t>
      </w:r>
    </w:p>
    <w:p w14:paraId="33166BB1">
      <w:pPr>
        <w:adjustRightInd w:val="0"/>
        <w:snapToGrid w:val="0"/>
        <w:spacing w:line="360" w:lineRule="auto"/>
        <w:ind w:firstLine="472" w:firstLineChars="196"/>
        <w:jc w:val="left"/>
        <w:rPr>
          <w:rFonts w:ascii="仿宋_GB2312" w:hAnsi="仿宋" w:eastAsia="仿宋_GB2312" w:cs="仿宋"/>
          <w:b/>
          <w:bCs/>
          <w:sz w:val="24"/>
        </w:rPr>
      </w:pPr>
      <w:r>
        <w:rPr>
          <w:rFonts w:hint="eastAsia" w:ascii="仿宋_GB2312" w:hAnsi="仿宋" w:eastAsia="仿宋_GB2312" w:cs="仿宋"/>
          <w:b/>
          <w:bCs/>
          <w:sz w:val="24"/>
        </w:rPr>
        <w:t>一、资格条件：</w:t>
      </w:r>
    </w:p>
    <w:p w14:paraId="4C6DAEC7">
      <w:pPr>
        <w:adjustRightInd w:val="0"/>
        <w:snapToGrid w:val="0"/>
        <w:spacing w:line="360" w:lineRule="auto"/>
        <w:ind w:firstLine="710" w:firstLineChars="296"/>
        <w:jc w:val="left"/>
        <w:rPr>
          <w:rFonts w:ascii="仿宋" w:hAnsi="仿宋" w:eastAsia="仿宋" w:cs="仿宋"/>
          <w:snapToGrid w:val="0"/>
          <w:sz w:val="24"/>
        </w:rPr>
      </w:pPr>
      <w:r>
        <w:rPr>
          <w:rFonts w:hint="eastAsia" w:ascii="仿宋" w:hAnsi="仿宋" w:eastAsia="仿宋" w:cs="仿宋"/>
          <w:snapToGrid w:val="0"/>
          <w:sz w:val="24"/>
        </w:rPr>
        <w:t>1. 满足《中华人民共和国政府采购法》第二十二条规定；未被“信用中国”（www.creditchina.gov.cn)、中国政府采购网（www.ccgp.gov.cn）列入失信被执行人、重大税收违法案件当事人名单、政府采购严重违法失信行为记录名单；</w:t>
      </w:r>
    </w:p>
    <w:p w14:paraId="71FE20F1">
      <w:pPr>
        <w:adjustRightInd w:val="0"/>
        <w:snapToGrid w:val="0"/>
        <w:spacing w:line="360" w:lineRule="auto"/>
        <w:ind w:firstLine="710" w:firstLineChars="296"/>
        <w:jc w:val="left"/>
        <w:rPr>
          <w:rFonts w:ascii="仿宋" w:hAnsi="仿宋" w:eastAsia="仿宋" w:cs="仿宋"/>
          <w:snapToGrid w:val="0"/>
          <w:sz w:val="24"/>
        </w:rPr>
      </w:pPr>
      <w:r>
        <w:rPr>
          <w:rFonts w:hint="eastAsia" w:ascii="仿宋" w:hAnsi="仿宋" w:eastAsia="仿宋" w:cs="仿宋"/>
          <w:snapToGrid w:val="0"/>
          <w:sz w:val="24"/>
        </w:rPr>
        <w:t>2、符合参加政府采购活动应当具备的一般条件的承诺函（如以联合体形式参加政府采购活动的，联合体各方均应提交该承诺函）；</w:t>
      </w:r>
    </w:p>
    <w:p w14:paraId="5A758603">
      <w:pPr>
        <w:pStyle w:val="17"/>
        <w:snapToGrid w:val="0"/>
        <w:spacing w:beforeLines="0" w:afterLines="0" w:line="360" w:lineRule="auto"/>
        <w:ind w:firstLine="720" w:firstLineChars="300"/>
        <w:rPr>
          <w:rFonts w:ascii="仿宋" w:hAnsi="仿宋" w:eastAsia="仿宋" w:cs="仿宋"/>
          <w:snapToGrid w:val="0"/>
        </w:rPr>
      </w:pPr>
      <w:r>
        <w:rPr>
          <w:rFonts w:hint="eastAsia" w:ascii="仿宋" w:hAnsi="仿宋" w:eastAsia="仿宋" w:cs="仿宋"/>
          <w:snapToGrid w:val="0"/>
        </w:rPr>
        <w:t>3、落实政府采购政策需满足的资格要求（如果有)；</w:t>
      </w:r>
    </w:p>
    <w:p w14:paraId="2FF373A6">
      <w:pPr>
        <w:adjustRightInd w:val="0"/>
        <w:snapToGrid w:val="0"/>
        <w:spacing w:line="360" w:lineRule="auto"/>
        <w:ind w:firstLine="710" w:firstLineChars="296"/>
        <w:jc w:val="left"/>
        <w:rPr>
          <w:rFonts w:ascii="仿宋" w:hAnsi="仿宋" w:eastAsia="仿宋" w:cs="仿宋"/>
          <w:snapToGrid w:val="0"/>
          <w:sz w:val="24"/>
        </w:rPr>
      </w:pPr>
      <w:r>
        <w:rPr>
          <w:rFonts w:hint="eastAsia" w:ascii="仿宋" w:hAnsi="仿宋" w:eastAsia="仿宋" w:cs="仿宋"/>
          <w:snapToGrid w:val="0"/>
          <w:sz w:val="24"/>
        </w:rPr>
        <w:t>4、符合特定资格条件的有关证明材料（如果有）。</w:t>
      </w:r>
    </w:p>
    <w:p w14:paraId="577ED230">
      <w:pPr>
        <w:adjustRightInd w:val="0"/>
        <w:snapToGrid w:val="0"/>
        <w:spacing w:line="360" w:lineRule="auto"/>
        <w:ind w:firstLine="710" w:firstLineChars="296"/>
        <w:jc w:val="left"/>
        <w:rPr>
          <w:rFonts w:ascii="仿宋" w:hAnsi="仿宋" w:eastAsia="仿宋" w:cs="仿宋"/>
          <w:b/>
          <w:bCs/>
          <w:snapToGrid w:val="0"/>
          <w:sz w:val="24"/>
        </w:rPr>
      </w:pPr>
      <w:r>
        <w:rPr>
          <w:rFonts w:hint="eastAsia" w:ascii="仿宋" w:hAnsi="仿宋" w:eastAsia="仿宋" w:cs="仿宋"/>
          <w:snapToGrid w:val="0"/>
          <w:sz w:val="24"/>
        </w:rPr>
        <w:t>5、单位负责人为同一人或者存在直接控股、管理关系的不同供应商，不得参加同一合同项下的政府采购活动承诺函；</w:t>
      </w:r>
    </w:p>
    <w:p w14:paraId="4A4A1EA2">
      <w:pPr>
        <w:adjustRightInd w:val="0"/>
        <w:snapToGrid w:val="0"/>
        <w:spacing w:line="360" w:lineRule="auto"/>
        <w:ind w:firstLine="482" w:firstLineChars="200"/>
        <w:jc w:val="left"/>
      </w:pPr>
      <w:r>
        <w:rPr>
          <w:rFonts w:hint="eastAsia" w:ascii="仿宋" w:hAnsi="仿宋" w:eastAsia="仿宋" w:cs="仿宋"/>
          <w:b/>
          <w:bCs/>
          <w:snapToGrid w:val="0"/>
          <w:sz w:val="24"/>
        </w:rPr>
        <w:t>注：上述证明材料有一项未提供或提供不完整的，视为资格审查不通过。</w:t>
      </w:r>
    </w:p>
    <w:p w14:paraId="0F16ED2A">
      <w:pPr>
        <w:adjustRightInd w:val="0"/>
        <w:snapToGrid w:val="0"/>
        <w:spacing w:line="360" w:lineRule="auto"/>
        <w:ind w:firstLine="472" w:firstLineChars="196"/>
        <w:jc w:val="left"/>
        <w:rPr>
          <w:rFonts w:ascii="仿宋_GB2312" w:hAnsi="仿宋" w:eastAsia="仿宋_GB2312" w:cs="仿宋"/>
          <w:b/>
          <w:sz w:val="24"/>
        </w:rPr>
      </w:pPr>
      <w:r>
        <w:rPr>
          <w:rFonts w:hint="eastAsia" w:ascii="仿宋_GB2312" w:hAnsi="仿宋" w:eastAsia="仿宋_GB2312" w:cs="仿宋"/>
          <w:b/>
          <w:sz w:val="24"/>
        </w:rPr>
        <w:t>14.2 商务技术文件</w:t>
      </w:r>
    </w:p>
    <w:p w14:paraId="48E95D66">
      <w:pPr>
        <w:adjustRightIn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（1）磋商声明书；</w:t>
      </w:r>
    </w:p>
    <w:p w14:paraId="4804AA36">
      <w:pPr>
        <w:adjustRightIn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w:t>
      </w:r>
      <w:r>
        <w:rPr>
          <w:rFonts w:hint="eastAsia" w:ascii="仿宋_GB2312" w:hAnsi="仿宋" w:eastAsia="仿宋_GB2312" w:cs="仿宋"/>
          <w:sz w:val="24"/>
          <w:lang w:val="en-US" w:eastAsia="zh-CN"/>
        </w:rPr>
        <w:t>2</w:t>
      </w:r>
      <w:r>
        <w:rPr>
          <w:rFonts w:hint="eastAsia" w:ascii="仿宋_GB2312" w:hAnsi="仿宋" w:eastAsia="仿宋_GB2312" w:cs="仿宋"/>
          <w:sz w:val="24"/>
        </w:rPr>
        <w:t>）授权委托书或法定代表人（单位负责人、自然人本人）身份证明；</w:t>
      </w:r>
    </w:p>
    <w:p w14:paraId="6CEE3FA6">
      <w:pPr>
        <w:adjustRightIn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w:t>
      </w:r>
      <w:r>
        <w:rPr>
          <w:rFonts w:hint="eastAsia" w:ascii="仿宋_GB2312" w:hAnsi="仿宋" w:eastAsia="仿宋_GB2312" w:cs="仿宋"/>
          <w:sz w:val="24"/>
          <w:lang w:val="en-US" w:eastAsia="zh-CN"/>
        </w:rPr>
        <w:t>3</w:t>
      </w:r>
      <w:r>
        <w:rPr>
          <w:rFonts w:hint="eastAsia" w:ascii="仿宋_GB2312" w:hAnsi="仿宋" w:eastAsia="仿宋_GB2312" w:cs="仿宋"/>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38F605C7">
      <w:pPr>
        <w:adjustRightIn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w:t>
      </w:r>
      <w:r>
        <w:rPr>
          <w:rFonts w:hint="eastAsia" w:ascii="仿宋_GB2312" w:hAnsi="仿宋" w:eastAsia="仿宋_GB2312" w:cs="仿宋"/>
          <w:sz w:val="24"/>
          <w:lang w:val="en-US" w:eastAsia="zh-CN"/>
        </w:rPr>
        <w:t>4</w:t>
      </w:r>
      <w:r>
        <w:rPr>
          <w:rFonts w:hint="eastAsia" w:ascii="仿宋_GB2312" w:hAnsi="仿宋" w:eastAsia="仿宋_GB2312" w:cs="仿宋"/>
          <w:sz w:val="24"/>
        </w:rPr>
        <w:t>）</w:t>
      </w:r>
      <w:r>
        <w:rPr>
          <w:rFonts w:hint="eastAsia" w:ascii="仿宋_GB2312" w:hAnsi="仿宋" w:eastAsia="仿宋_GB2312" w:cs="仿宋"/>
          <w:sz w:val="24"/>
          <w:lang w:val="zh-CN"/>
        </w:rPr>
        <w:t>招标服务费承诺书 ；</w:t>
      </w:r>
    </w:p>
    <w:p w14:paraId="2BFF89F4">
      <w:pPr>
        <w:adjustRightInd w:val="0"/>
        <w:spacing w:line="360" w:lineRule="auto"/>
        <w:ind w:firstLine="480" w:firstLineChars="200"/>
        <w:jc w:val="left"/>
        <w:rPr>
          <w:rFonts w:ascii="仿宋_GB2312" w:hAnsi="仿宋" w:eastAsia="仿宋_GB2312" w:cs="仿宋"/>
          <w:sz w:val="24"/>
          <w:lang w:val="zh-CN"/>
        </w:rPr>
      </w:pPr>
      <w:r>
        <w:rPr>
          <w:rFonts w:hint="eastAsia" w:ascii="仿宋_GB2312" w:hAnsi="仿宋" w:eastAsia="仿宋_GB2312" w:cs="仿宋"/>
          <w:sz w:val="24"/>
          <w:lang w:val="zh-CN"/>
        </w:rPr>
        <w:t>（</w:t>
      </w:r>
      <w:r>
        <w:rPr>
          <w:rFonts w:hint="eastAsia" w:ascii="仿宋_GB2312" w:hAnsi="仿宋" w:eastAsia="仿宋_GB2312" w:cs="仿宋"/>
          <w:sz w:val="24"/>
          <w:lang w:val="en-US" w:eastAsia="zh-CN"/>
        </w:rPr>
        <w:t>5</w:t>
      </w:r>
      <w:r>
        <w:rPr>
          <w:rFonts w:hint="eastAsia" w:ascii="仿宋_GB2312" w:hAnsi="仿宋" w:eastAsia="仿宋_GB2312" w:cs="仿宋"/>
          <w:sz w:val="24"/>
          <w:lang w:val="zh-CN"/>
        </w:rPr>
        <w:t>）技术解决方案。针对本项目的完整技术解决方案和实施方案；详细阐述项目方案的实现思路及关键技术；符合本项目对当前和未来发展的要求；以及对功能设计和实施计划的建议；</w:t>
      </w:r>
    </w:p>
    <w:p w14:paraId="357A9CD1">
      <w:pPr>
        <w:adjustRightIn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lang w:val="zh-CN"/>
        </w:rPr>
        <w:t>（</w:t>
      </w:r>
      <w:r>
        <w:rPr>
          <w:rFonts w:hint="eastAsia" w:ascii="仿宋_GB2312" w:hAnsi="仿宋" w:eastAsia="仿宋_GB2312" w:cs="仿宋"/>
          <w:sz w:val="24"/>
          <w:lang w:val="en-US" w:eastAsia="zh-CN"/>
        </w:rPr>
        <w:t>6</w:t>
      </w:r>
      <w:r>
        <w:rPr>
          <w:rFonts w:hint="eastAsia" w:ascii="仿宋_GB2312" w:hAnsi="仿宋" w:eastAsia="仿宋_GB2312" w:cs="仿宋"/>
          <w:sz w:val="24"/>
          <w:lang w:val="zh-CN"/>
        </w:rPr>
        <w:t>）组织实施方案。本项目详细工作实施组织方案，包括(但不限于)以下内容：组织机构、工作时间进度表、工作程序和步骤、管理和协调方法、关键步骤的思路和要点；</w:t>
      </w:r>
    </w:p>
    <w:p w14:paraId="4598B0C2">
      <w:pPr>
        <w:adjustRightIn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lang w:val="zh-CN"/>
        </w:rPr>
        <w:t>（</w:t>
      </w:r>
      <w:r>
        <w:rPr>
          <w:rFonts w:hint="eastAsia" w:ascii="仿宋_GB2312" w:hAnsi="仿宋" w:eastAsia="仿宋_GB2312" w:cs="仿宋"/>
          <w:sz w:val="24"/>
          <w:lang w:val="en-US" w:eastAsia="zh-CN"/>
        </w:rPr>
        <w:t>7</w:t>
      </w:r>
      <w:r>
        <w:rPr>
          <w:rFonts w:hint="eastAsia" w:ascii="仿宋_GB2312" w:hAnsi="仿宋" w:eastAsia="仿宋_GB2312" w:cs="仿宋"/>
          <w:sz w:val="24"/>
          <w:lang w:val="zh-CN"/>
        </w:rPr>
        <w:t>）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180030CF">
      <w:pPr>
        <w:adjustRightIn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lang w:val="zh-CN"/>
        </w:rPr>
        <w:t>（</w:t>
      </w:r>
      <w:r>
        <w:rPr>
          <w:rFonts w:hint="eastAsia" w:ascii="仿宋_GB2312" w:hAnsi="仿宋" w:eastAsia="仿宋_GB2312" w:cs="仿宋"/>
          <w:sz w:val="24"/>
          <w:lang w:val="en-US" w:eastAsia="zh-CN"/>
        </w:rPr>
        <w:t>8</w:t>
      </w:r>
      <w:r>
        <w:rPr>
          <w:rFonts w:hint="eastAsia" w:ascii="仿宋_GB2312" w:hAnsi="仿宋" w:eastAsia="仿宋_GB2312" w:cs="仿宋"/>
          <w:sz w:val="24"/>
          <w:lang w:val="zh-CN"/>
        </w:rPr>
        <w:t>）商务技术响应表；</w:t>
      </w:r>
    </w:p>
    <w:p w14:paraId="322D393F">
      <w:pPr>
        <w:adjustRightInd w:val="0"/>
        <w:spacing w:line="360" w:lineRule="auto"/>
        <w:ind w:firstLine="480" w:firstLineChars="200"/>
        <w:jc w:val="left"/>
        <w:rPr>
          <w:rFonts w:ascii="仿宋_GB2312" w:hAnsi="仿宋" w:eastAsia="仿宋_GB2312" w:cs="仿宋"/>
          <w:sz w:val="24"/>
          <w:lang w:val="zh-CN"/>
        </w:rPr>
      </w:pPr>
      <w:r>
        <w:rPr>
          <w:rFonts w:hint="eastAsia" w:ascii="仿宋_GB2312" w:hAnsi="仿宋" w:eastAsia="仿宋_GB2312" w:cs="仿宋"/>
          <w:sz w:val="24"/>
        </w:rPr>
        <w:t>（</w:t>
      </w:r>
      <w:r>
        <w:rPr>
          <w:rFonts w:hint="eastAsia" w:ascii="仿宋_GB2312" w:hAnsi="仿宋" w:eastAsia="仿宋_GB2312" w:cs="仿宋"/>
          <w:sz w:val="24"/>
          <w:lang w:val="en-US" w:eastAsia="zh-CN"/>
        </w:rPr>
        <w:t>9</w:t>
      </w:r>
      <w:r>
        <w:rPr>
          <w:rFonts w:hint="eastAsia" w:ascii="仿宋_GB2312" w:hAnsi="仿宋" w:eastAsia="仿宋_GB2312" w:cs="仿宋"/>
          <w:sz w:val="24"/>
        </w:rPr>
        <w:t>）</w:t>
      </w:r>
      <w:r>
        <w:rPr>
          <w:rFonts w:hint="eastAsia" w:ascii="仿宋_GB2312" w:hAnsi="仿宋" w:eastAsia="仿宋_GB2312" w:cs="仿宋"/>
          <w:sz w:val="24"/>
          <w:lang w:val="zh-CN"/>
        </w:rPr>
        <w:t>供应商认为需要的其他技术文件或说明（如果有）；</w:t>
      </w:r>
    </w:p>
    <w:p w14:paraId="31CED500">
      <w:pPr>
        <w:adjustRightInd w:val="0"/>
        <w:spacing w:line="360" w:lineRule="auto"/>
        <w:ind w:firstLine="480" w:firstLineChars="200"/>
        <w:jc w:val="left"/>
      </w:pPr>
      <w:r>
        <w:rPr>
          <w:rFonts w:hint="eastAsia" w:ascii="仿宋_GB2312" w:hAnsi="仿宋" w:eastAsia="仿宋_GB2312" w:cs="仿宋"/>
          <w:sz w:val="24"/>
        </w:rPr>
        <w:t>（</w:t>
      </w:r>
      <w:r>
        <w:rPr>
          <w:rFonts w:hint="eastAsia" w:ascii="仿宋_GB2312" w:hAnsi="仿宋" w:eastAsia="仿宋_GB2312" w:cs="仿宋"/>
          <w:sz w:val="24"/>
          <w:lang w:val="en-US" w:eastAsia="zh-CN"/>
        </w:rPr>
        <w:t>10</w:t>
      </w:r>
      <w:r>
        <w:rPr>
          <w:rFonts w:hint="eastAsia" w:ascii="仿宋_GB2312" w:hAnsi="仿宋" w:eastAsia="仿宋_GB2312" w:cs="仿宋"/>
          <w:sz w:val="24"/>
        </w:rPr>
        <w:t>）</w:t>
      </w:r>
      <w:r>
        <w:rPr>
          <w:rFonts w:hint="eastAsia" w:ascii="仿宋_GB2312" w:hAnsi="仿宋" w:eastAsia="仿宋_GB2312" w:cs="仿宋"/>
          <w:sz w:val="24"/>
          <w:lang w:val="zh-CN"/>
        </w:rPr>
        <w:t>政府采购供应商廉洁自律承诺书。</w:t>
      </w:r>
    </w:p>
    <w:p w14:paraId="12EF0976">
      <w:pPr>
        <w:adjustRightInd w:val="0"/>
        <w:snapToGrid w:val="0"/>
        <w:spacing w:line="360" w:lineRule="auto"/>
        <w:ind w:firstLine="472" w:firstLineChars="196"/>
        <w:jc w:val="left"/>
        <w:rPr>
          <w:rFonts w:ascii="仿宋_GB2312" w:hAnsi="仿宋" w:eastAsia="仿宋_GB2312" w:cs="仿宋"/>
          <w:b/>
          <w:sz w:val="24"/>
        </w:rPr>
      </w:pPr>
      <w:r>
        <w:rPr>
          <w:rFonts w:hint="eastAsia" w:ascii="仿宋_GB2312" w:hAnsi="仿宋" w:eastAsia="仿宋_GB2312" w:cs="仿宋"/>
          <w:b/>
          <w:sz w:val="24"/>
        </w:rPr>
        <w:t>14.3 报价文件</w:t>
      </w:r>
    </w:p>
    <w:p w14:paraId="0021B012">
      <w:pPr>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 xml:space="preserve">（1）磋商响应函（格式见附件）； </w:t>
      </w:r>
    </w:p>
    <w:p w14:paraId="03A6C337">
      <w:pPr>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 xml:space="preserve">（2）初次报价（开标）一览表（格式见附件）； </w:t>
      </w:r>
    </w:p>
    <w:p w14:paraId="51F0E4DF">
      <w:pPr>
        <w:adjustRightInd w:val="0"/>
        <w:snapToGrid w:val="0"/>
        <w:spacing w:line="360" w:lineRule="auto"/>
        <w:ind w:firstLine="480" w:firstLineChars="200"/>
        <w:jc w:val="left"/>
        <w:rPr>
          <w:rFonts w:ascii="仿宋_GB2312" w:hAnsi="仿宋" w:eastAsia="仿宋_GB2312" w:cs="仿宋"/>
          <w:bCs/>
          <w:sz w:val="24"/>
          <w:szCs w:val="22"/>
        </w:rPr>
      </w:pPr>
      <w:r>
        <w:rPr>
          <w:rFonts w:hint="eastAsia" w:ascii="仿宋_GB2312" w:hAnsi="仿宋" w:eastAsia="仿宋_GB2312" w:cs="仿宋"/>
          <w:sz w:val="24"/>
        </w:rPr>
        <w:t>（3）报价明细表（格式见附件）；</w:t>
      </w:r>
    </w:p>
    <w:p w14:paraId="2639EDE7">
      <w:pPr>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w:t>
      </w:r>
      <w:r>
        <w:rPr>
          <w:rFonts w:hint="eastAsia" w:ascii="仿宋_GB2312" w:hAnsi="仿宋" w:eastAsia="仿宋_GB2312" w:cs="仿宋"/>
          <w:sz w:val="24"/>
          <w:lang w:val="en-US" w:eastAsia="zh-CN"/>
        </w:rPr>
        <w:t>4</w:t>
      </w:r>
      <w:r>
        <w:rPr>
          <w:rFonts w:hint="eastAsia" w:ascii="仿宋_GB2312" w:hAnsi="仿宋" w:eastAsia="仿宋_GB2312" w:cs="仿宋"/>
          <w:sz w:val="24"/>
        </w:rPr>
        <w:t>）磋商供应商针对报价需要说明的其他文件和说明（如有）。</w:t>
      </w:r>
    </w:p>
    <w:p w14:paraId="1097F801">
      <w:pPr>
        <w:pStyle w:val="28"/>
        <w:adjustRightInd w:val="0"/>
        <w:snapToGrid w:val="0"/>
        <w:spacing w:after="0" w:line="360" w:lineRule="auto"/>
        <w:ind w:firstLine="482" w:firstLineChars="200"/>
        <w:rPr>
          <w:rFonts w:ascii="仿宋_GB2312" w:hAnsi="仿宋" w:eastAsia="仿宋_GB2312" w:cs="仿宋"/>
          <w:b/>
          <w:bCs/>
          <w:sz w:val="24"/>
        </w:rPr>
      </w:pPr>
      <w:r>
        <w:rPr>
          <w:rFonts w:hint="eastAsia" w:ascii="仿宋_GB2312" w:hAnsi="仿宋" w:eastAsia="仿宋_GB2312" w:cs="仿宋"/>
          <w:b/>
          <w:bCs/>
          <w:sz w:val="24"/>
        </w:rPr>
        <w:t>注：1、法定代表人授权委托书、磋商声明书、磋商响应函、（开标）一览表、报价明细表必须由法定代表人或其授权代表签名并加盖公章，否则以无效标处理。磋商供应商应按照磋商文件中所提出的格式、内容编写。磋商供应商可以根据需要增加说明或描述性文字。所提供的各类证件、证书、证明等均须加盖公章。</w:t>
      </w:r>
    </w:p>
    <w:p w14:paraId="7F605077">
      <w:pPr>
        <w:pStyle w:val="28"/>
        <w:adjustRightInd w:val="0"/>
        <w:snapToGrid w:val="0"/>
        <w:spacing w:after="0" w:line="360" w:lineRule="auto"/>
        <w:ind w:firstLine="482" w:firstLineChars="200"/>
        <w:rPr>
          <w:rFonts w:ascii="仿宋_GB2312" w:hAnsi="仿宋" w:eastAsia="仿宋_GB2312" w:cs="仿宋"/>
          <w:b/>
          <w:bCs/>
          <w:sz w:val="24"/>
        </w:rPr>
      </w:pPr>
      <w:r>
        <w:rPr>
          <w:rFonts w:hint="eastAsia" w:ascii="仿宋_GB2312" w:hAnsi="仿宋" w:eastAsia="仿宋_GB2312" w:cs="仿宋"/>
          <w:b/>
          <w:bCs/>
          <w:sz w:val="24"/>
        </w:rPr>
        <w:t>2、商务技术文件中不得出现价格信息，否则以无效标处理。</w:t>
      </w:r>
    </w:p>
    <w:p w14:paraId="641C9B8B">
      <w:pPr>
        <w:adjustRightInd w:val="0"/>
        <w:snapToGrid w:val="0"/>
        <w:spacing w:line="360" w:lineRule="auto"/>
        <w:jc w:val="left"/>
        <w:outlineLvl w:val="0"/>
        <w:rPr>
          <w:rFonts w:ascii="仿宋_GB2312" w:hAnsi="仿宋" w:eastAsia="仿宋_GB2312" w:cs="仿宋"/>
          <w:b/>
          <w:sz w:val="24"/>
        </w:rPr>
      </w:pPr>
      <w:r>
        <w:rPr>
          <w:rFonts w:hint="eastAsia" w:ascii="仿宋_GB2312" w:hAnsi="仿宋" w:eastAsia="仿宋_GB2312" w:cs="仿宋"/>
          <w:b/>
          <w:sz w:val="24"/>
        </w:rPr>
        <w:t>15、磋商报价</w:t>
      </w:r>
    </w:p>
    <w:p w14:paraId="41FED1C1">
      <w:pPr>
        <w:pStyle w:val="17"/>
        <w:adjustRightInd w:val="0"/>
        <w:snapToGrid w:val="0"/>
        <w:spacing w:beforeLines="0" w:afterLines="0" w:line="360" w:lineRule="auto"/>
        <w:ind w:firstLine="480" w:firstLineChars="200"/>
        <w:jc w:val="left"/>
        <w:rPr>
          <w:rFonts w:ascii="仿宋_GB2312" w:hAnsi="仿宋" w:eastAsia="仿宋_GB2312" w:cs="仿宋"/>
        </w:rPr>
      </w:pPr>
      <w:r>
        <w:rPr>
          <w:rFonts w:hint="eastAsia" w:ascii="仿宋_GB2312" w:hAnsi="仿宋" w:eastAsia="仿宋_GB2312" w:cs="仿宋"/>
        </w:rPr>
        <w:t>15.1 磋商报价应按磋商文件中相关附表格式填写。</w:t>
      </w:r>
    </w:p>
    <w:p w14:paraId="1AA9E205">
      <w:pPr>
        <w:pStyle w:val="17"/>
        <w:adjustRightInd w:val="0"/>
        <w:snapToGrid w:val="0"/>
        <w:spacing w:beforeLines="0" w:afterLines="0" w:line="360" w:lineRule="auto"/>
        <w:ind w:firstLine="480" w:firstLineChars="200"/>
        <w:jc w:val="left"/>
        <w:rPr>
          <w:rFonts w:ascii="仿宋_GB2312" w:hAnsi="仿宋" w:eastAsia="仿宋_GB2312" w:cs="仿宋"/>
        </w:rPr>
      </w:pPr>
      <w:r>
        <w:rPr>
          <w:rFonts w:hint="eastAsia" w:ascii="仿宋_GB2312" w:hAnsi="仿宋" w:eastAsia="仿宋_GB2312" w:cs="仿宋"/>
        </w:rPr>
        <w:t>15.2 磋商报价是履行合同的最终价格，应包括为完成本项目所涉及的一切费用。</w:t>
      </w:r>
    </w:p>
    <w:p w14:paraId="65E6A5C9">
      <w:pPr>
        <w:tabs>
          <w:tab w:val="left" w:pos="525"/>
        </w:tabs>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15.3 磋商响应文件只允许有一个报价，有选择的或有条件的报价将不予接受（特别说明的除外）。</w:t>
      </w:r>
    </w:p>
    <w:p w14:paraId="38AD1F9C">
      <w:pPr>
        <w:pStyle w:val="7"/>
        <w:widowControl w:val="0"/>
        <w:numPr>
          <w:ilvl w:val="0"/>
          <w:numId w:val="0"/>
        </w:numPr>
        <w:adjustRightInd w:val="0"/>
        <w:snapToGrid w:val="0"/>
        <w:spacing w:afterLines="0" w:line="360" w:lineRule="auto"/>
        <w:ind w:left="282" w:hanging="282" w:hangingChars="117"/>
        <w:rPr>
          <w:rFonts w:ascii="仿宋_GB2312" w:hAnsi="仿宋" w:eastAsia="仿宋_GB2312" w:cs="仿宋"/>
          <w:b/>
          <w:szCs w:val="24"/>
        </w:rPr>
      </w:pPr>
      <w:r>
        <w:rPr>
          <w:rFonts w:hint="eastAsia" w:ascii="仿宋_GB2312" w:hAnsi="仿宋" w:eastAsia="仿宋_GB2312" w:cs="仿宋"/>
          <w:b/>
          <w:szCs w:val="24"/>
        </w:rPr>
        <w:t>16、磋商响应文件的有效期</w:t>
      </w:r>
    </w:p>
    <w:p w14:paraId="539B7715">
      <w:pPr>
        <w:pStyle w:val="7"/>
        <w:widowControl w:val="0"/>
        <w:numPr>
          <w:ilvl w:val="0"/>
          <w:numId w:val="0"/>
        </w:numPr>
        <w:adjustRightInd w:val="0"/>
        <w:snapToGrid w:val="0"/>
        <w:spacing w:afterLines="0" w:line="360" w:lineRule="auto"/>
        <w:ind w:firstLine="480" w:firstLineChars="200"/>
        <w:rPr>
          <w:rFonts w:ascii="仿宋_GB2312" w:hAnsi="仿宋" w:eastAsia="仿宋_GB2312" w:cs="仿宋"/>
          <w:szCs w:val="24"/>
        </w:rPr>
      </w:pPr>
      <w:r>
        <w:rPr>
          <w:rFonts w:hint="eastAsia" w:ascii="仿宋_GB2312" w:hAnsi="仿宋" w:eastAsia="仿宋_GB2312" w:cs="仿宋"/>
          <w:szCs w:val="24"/>
        </w:rPr>
        <w:t>16.1 自磋商响应截止日起</w:t>
      </w:r>
      <w:r>
        <w:rPr>
          <w:rFonts w:hint="eastAsia" w:ascii="仿宋_GB2312" w:hAnsi="仿宋" w:eastAsia="仿宋_GB2312" w:cs="仿宋"/>
          <w:b/>
          <w:bCs/>
          <w:szCs w:val="24"/>
          <w:u w:val="single"/>
        </w:rPr>
        <w:t xml:space="preserve"> 90 </w:t>
      </w:r>
      <w:r>
        <w:rPr>
          <w:rFonts w:hint="eastAsia" w:ascii="仿宋_GB2312" w:hAnsi="仿宋" w:eastAsia="仿宋_GB2312" w:cs="仿宋"/>
          <w:szCs w:val="24"/>
        </w:rPr>
        <w:t>日历天磋商响应文件应保持有效。有效期不足的磋商响应文件将被拒绝。</w:t>
      </w:r>
    </w:p>
    <w:p w14:paraId="3D82143D">
      <w:pPr>
        <w:pStyle w:val="7"/>
        <w:widowControl w:val="0"/>
        <w:numPr>
          <w:ilvl w:val="0"/>
          <w:numId w:val="0"/>
        </w:numPr>
        <w:adjustRightInd w:val="0"/>
        <w:snapToGrid w:val="0"/>
        <w:spacing w:afterLines="0" w:line="360" w:lineRule="auto"/>
        <w:ind w:firstLine="480" w:firstLineChars="200"/>
        <w:rPr>
          <w:rFonts w:ascii="仿宋_GB2312" w:hAnsi="仿宋" w:eastAsia="仿宋_GB2312" w:cs="仿宋"/>
          <w:szCs w:val="24"/>
        </w:rPr>
      </w:pPr>
      <w:r>
        <w:rPr>
          <w:rFonts w:hint="eastAsia" w:ascii="仿宋_GB2312" w:hAnsi="仿宋" w:eastAsia="仿宋_GB2312" w:cs="仿宋"/>
          <w:szCs w:val="24"/>
        </w:rPr>
        <w:t>16.2 在特殊情况下，采购人可与磋商供应商协商延长投标书的有效期，这种要求和答复均应以书面形式进行。</w:t>
      </w:r>
    </w:p>
    <w:p w14:paraId="554B92EA">
      <w:pPr>
        <w:adjustRightInd w:val="0"/>
        <w:snapToGrid w:val="0"/>
        <w:spacing w:line="360" w:lineRule="auto"/>
        <w:ind w:firstLine="480" w:firstLineChars="200"/>
        <w:jc w:val="left"/>
        <w:outlineLvl w:val="0"/>
        <w:rPr>
          <w:rFonts w:ascii="仿宋_GB2312" w:hAnsi="仿宋" w:eastAsia="仿宋_GB2312" w:cs="仿宋"/>
          <w:sz w:val="24"/>
        </w:rPr>
      </w:pPr>
      <w:r>
        <w:rPr>
          <w:rFonts w:hint="eastAsia" w:ascii="仿宋_GB2312" w:hAnsi="仿宋" w:eastAsia="仿宋_GB2312" w:cs="仿宋"/>
          <w:sz w:val="24"/>
        </w:rPr>
        <w:t>16.3 磋商供应商可拒绝接受延期要求而放弃投标，同意延长有效期的磋商供应商不能修改磋商响应文件。</w:t>
      </w:r>
      <w:r>
        <w:rPr>
          <w:rFonts w:hint="eastAsia" w:ascii="仿宋_GB2312" w:hAnsi="仿宋" w:eastAsia="仿宋_GB2312" w:cs="仿宋"/>
          <w:b/>
          <w:bCs/>
          <w:sz w:val="24"/>
        </w:rPr>
        <w:t>同时，受投标有效期约束的所有权利和义务均延长至新的有效期。</w:t>
      </w:r>
    </w:p>
    <w:p w14:paraId="6298337C">
      <w:pPr>
        <w:adjustRightInd w:val="0"/>
        <w:snapToGrid w:val="0"/>
        <w:spacing w:line="360" w:lineRule="auto"/>
        <w:ind w:firstLine="480" w:firstLineChars="200"/>
        <w:jc w:val="left"/>
        <w:outlineLvl w:val="0"/>
        <w:rPr>
          <w:rFonts w:ascii="仿宋_GB2312" w:hAnsi="仿宋" w:eastAsia="仿宋_GB2312" w:cs="仿宋"/>
          <w:b/>
          <w:sz w:val="24"/>
        </w:rPr>
      </w:pPr>
      <w:r>
        <w:rPr>
          <w:rFonts w:hint="eastAsia" w:ascii="仿宋_GB2312" w:hAnsi="仿宋" w:eastAsia="仿宋_GB2312" w:cs="仿宋"/>
          <w:sz w:val="24"/>
        </w:rPr>
        <w:t>16.4 成交供应商的磋商响应文件自开标之日起至合同履行完毕止均应保持有效。</w:t>
      </w:r>
    </w:p>
    <w:p w14:paraId="0E710843">
      <w:pPr>
        <w:adjustRightInd w:val="0"/>
        <w:snapToGrid w:val="0"/>
        <w:spacing w:line="360" w:lineRule="auto"/>
        <w:jc w:val="left"/>
        <w:outlineLvl w:val="0"/>
        <w:rPr>
          <w:rFonts w:ascii="仿宋_GB2312" w:hAnsi="仿宋" w:eastAsia="仿宋_GB2312" w:cs="仿宋"/>
          <w:b/>
          <w:sz w:val="24"/>
        </w:rPr>
      </w:pPr>
      <w:r>
        <w:rPr>
          <w:rFonts w:hint="eastAsia" w:ascii="仿宋_GB2312" w:hAnsi="仿宋" w:eastAsia="仿宋_GB2312" w:cs="仿宋"/>
          <w:b/>
          <w:sz w:val="24"/>
        </w:rPr>
        <w:t>17、磋商响应文件的份数</w:t>
      </w:r>
    </w:p>
    <w:p w14:paraId="6DB92D10">
      <w:pPr>
        <w:adjustRightInd w:val="0"/>
        <w:snapToGrid w:val="0"/>
        <w:spacing w:line="360" w:lineRule="auto"/>
        <w:ind w:firstLine="480" w:firstLineChars="200"/>
        <w:jc w:val="left"/>
        <w:rPr>
          <w:rFonts w:ascii="仿宋_GB2312" w:hAnsi="仿宋" w:eastAsia="仿宋_GB2312" w:cs="仿宋"/>
          <w:b/>
          <w:sz w:val="24"/>
        </w:rPr>
      </w:pPr>
      <w:r>
        <w:rPr>
          <w:rFonts w:hint="eastAsia" w:ascii="仿宋_GB2312" w:hAnsi="仿宋" w:eastAsia="仿宋_GB2312" w:cs="仿宋"/>
          <w:sz w:val="24"/>
          <w:lang w:val="zh-CN"/>
        </w:rPr>
        <w:t>磋商响应文件为在线上传文件及备份文件，无法在线解密时以备份文件为准，均无法打开为无效投标。</w:t>
      </w:r>
    </w:p>
    <w:p w14:paraId="189609B6">
      <w:pPr>
        <w:pStyle w:val="14"/>
        <w:adjustRightInd w:val="0"/>
        <w:snapToGrid w:val="0"/>
        <w:spacing w:before="156" w:beforeLines="50" w:after="0" w:line="360" w:lineRule="auto"/>
        <w:ind w:left="0" w:leftChars="0"/>
        <w:jc w:val="center"/>
        <w:outlineLvl w:val="1"/>
        <w:rPr>
          <w:rFonts w:ascii="仿宋_GB2312" w:hAnsi="仿宋" w:eastAsia="仿宋_GB2312" w:cs="仿宋"/>
          <w:b/>
          <w:sz w:val="32"/>
          <w:szCs w:val="32"/>
        </w:rPr>
      </w:pPr>
      <w:r>
        <w:rPr>
          <w:rFonts w:hint="eastAsia" w:ascii="仿宋_GB2312" w:hAnsi="仿宋" w:eastAsia="仿宋_GB2312" w:cs="仿宋"/>
          <w:b/>
          <w:sz w:val="32"/>
          <w:szCs w:val="32"/>
        </w:rPr>
        <w:t>四、磋商响应</w:t>
      </w:r>
    </w:p>
    <w:p w14:paraId="2BA1DB47">
      <w:pPr>
        <w:adjustRightInd w:val="0"/>
        <w:snapToGrid w:val="0"/>
        <w:spacing w:line="360" w:lineRule="auto"/>
        <w:jc w:val="left"/>
        <w:rPr>
          <w:rFonts w:ascii="仿宋" w:hAnsi="仿宋" w:eastAsia="仿宋" w:cs="宋体"/>
          <w:b/>
          <w:bCs/>
          <w:sz w:val="24"/>
        </w:rPr>
      </w:pPr>
      <w:r>
        <w:rPr>
          <w:rFonts w:hint="eastAsia" w:ascii="仿宋" w:hAnsi="仿宋" w:eastAsia="仿宋" w:cs="宋体"/>
          <w:b/>
          <w:bCs/>
          <w:sz w:val="24"/>
        </w:rPr>
        <w:t>18、磋商响应文件的上传和递交</w:t>
      </w:r>
    </w:p>
    <w:p w14:paraId="131A8DAB">
      <w:pPr>
        <w:adjustRightInd w:val="0"/>
        <w:snapToGrid w:val="0"/>
        <w:spacing w:line="360" w:lineRule="auto"/>
        <w:ind w:firstLine="420"/>
        <w:jc w:val="left"/>
        <w:rPr>
          <w:rFonts w:ascii="仿宋" w:hAnsi="仿宋" w:eastAsia="仿宋" w:cs="宋体"/>
          <w:sz w:val="24"/>
        </w:rPr>
      </w:pPr>
      <w:r>
        <w:rPr>
          <w:rFonts w:hint="eastAsia" w:ascii="仿宋" w:hAnsi="仿宋" w:eastAsia="仿宋" w:cs="宋体"/>
          <w:sz w:val="24"/>
        </w:rPr>
        <w:t>“磋商响应文件”的上传、递交：见《前附表》。</w:t>
      </w:r>
    </w:p>
    <w:p w14:paraId="35126EFB">
      <w:pPr>
        <w:adjustRightInd w:val="0"/>
        <w:snapToGrid w:val="0"/>
        <w:spacing w:line="360" w:lineRule="auto"/>
        <w:jc w:val="left"/>
        <w:rPr>
          <w:rFonts w:ascii="仿宋" w:hAnsi="仿宋" w:eastAsia="仿宋" w:cs="宋体"/>
          <w:b/>
          <w:bCs/>
          <w:sz w:val="24"/>
        </w:rPr>
      </w:pPr>
      <w:r>
        <w:rPr>
          <w:rFonts w:hint="eastAsia" w:ascii="仿宋" w:hAnsi="仿宋" w:eastAsia="仿宋" w:cs="宋体"/>
          <w:b/>
          <w:bCs/>
          <w:sz w:val="24"/>
        </w:rPr>
        <w:t>19、“电子加密磋商响应文件”解密和异常情况处理</w:t>
      </w:r>
    </w:p>
    <w:p w14:paraId="754F7068">
      <w:pPr>
        <w:adjustRightInd w:val="0"/>
        <w:snapToGrid w:val="0"/>
        <w:spacing w:line="360" w:lineRule="auto"/>
        <w:ind w:firstLine="420"/>
        <w:jc w:val="left"/>
        <w:rPr>
          <w:rFonts w:ascii="仿宋" w:hAnsi="仿宋" w:eastAsia="仿宋" w:cs="宋体"/>
          <w:sz w:val="24"/>
        </w:rPr>
      </w:pPr>
      <w:r>
        <w:rPr>
          <w:rFonts w:hint="eastAsia" w:ascii="仿宋" w:hAnsi="仿宋" w:eastAsia="仿宋" w:cs="宋体"/>
          <w:sz w:val="24"/>
        </w:rPr>
        <w:t>“电子加密磋商响应文件”解密：见《前附表》。</w:t>
      </w:r>
    </w:p>
    <w:p w14:paraId="248F8DCC">
      <w:pPr>
        <w:adjustRightInd w:val="0"/>
        <w:snapToGrid w:val="0"/>
        <w:spacing w:line="360" w:lineRule="auto"/>
        <w:jc w:val="left"/>
        <w:rPr>
          <w:rFonts w:ascii="仿宋" w:hAnsi="仿宋" w:eastAsia="仿宋" w:cs="宋体"/>
          <w:b/>
          <w:bCs/>
          <w:sz w:val="24"/>
        </w:rPr>
      </w:pPr>
      <w:r>
        <w:rPr>
          <w:rFonts w:hint="eastAsia" w:ascii="仿宋" w:hAnsi="仿宋" w:eastAsia="仿宋" w:cs="宋体"/>
          <w:b/>
          <w:bCs/>
          <w:sz w:val="24"/>
        </w:rPr>
        <w:t>20、磋商响应文件的补充、修改或撤回</w:t>
      </w:r>
    </w:p>
    <w:p w14:paraId="39BE919B">
      <w:pPr>
        <w:adjustRightInd w:val="0"/>
        <w:snapToGrid w:val="0"/>
        <w:spacing w:line="360" w:lineRule="auto"/>
        <w:ind w:firstLine="420"/>
        <w:jc w:val="left"/>
        <w:rPr>
          <w:rFonts w:ascii="仿宋" w:hAnsi="仿宋" w:eastAsia="仿宋" w:cs="宋体"/>
          <w:sz w:val="24"/>
        </w:rPr>
      </w:pPr>
      <w:r>
        <w:rPr>
          <w:rFonts w:hint="eastAsia" w:ascii="仿宋" w:hAnsi="仿宋" w:eastAsia="仿宋" w:cs="宋体"/>
          <w:sz w:val="24"/>
        </w:rPr>
        <w:t>20.1 磋商供应商应当在磋商响应截止时间前完成磋商响应文件的上传、递交，并可以补充、修改或者撤回磋商响应文件。补充或者修改磋商响应文件的，应当先行撤回原文件，补充、修改后重新上传、递交。磋商响应截止时间前未完成上传、递交的，视为撤回磋商响应文件。磋商响应截止时间后递交的磋商响应文件，“政府采购云平台”将予以拒收。</w:t>
      </w:r>
    </w:p>
    <w:p w14:paraId="706FE073">
      <w:pPr>
        <w:adjustRightInd w:val="0"/>
        <w:snapToGrid w:val="0"/>
        <w:spacing w:line="360" w:lineRule="auto"/>
        <w:ind w:firstLine="420"/>
        <w:jc w:val="left"/>
        <w:rPr>
          <w:rFonts w:ascii="仿宋" w:hAnsi="仿宋" w:eastAsia="仿宋" w:cs="宋体"/>
          <w:sz w:val="24"/>
        </w:rPr>
      </w:pPr>
      <w:r>
        <w:rPr>
          <w:rFonts w:hint="eastAsia" w:ascii="仿宋" w:hAnsi="仿宋" w:eastAsia="仿宋" w:cs="宋体"/>
          <w:sz w:val="24"/>
        </w:rPr>
        <w:t>20.2 磋商响应截止时间后，磋商供应商不得撤回、修改《磋商响应文件》。</w:t>
      </w:r>
    </w:p>
    <w:p w14:paraId="11893566">
      <w:pPr>
        <w:adjustRightInd w:val="0"/>
        <w:snapToGrid w:val="0"/>
        <w:spacing w:line="360" w:lineRule="auto"/>
        <w:jc w:val="left"/>
        <w:rPr>
          <w:rFonts w:ascii="仿宋" w:hAnsi="仿宋" w:eastAsia="仿宋" w:cs="宋体"/>
          <w:b/>
          <w:bCs/>
          <w:sz w:val="24"/>
        </w:rPr>
      </w:pPr>
      <w:r>
        <w:rPr>
          <w:rFonts w:hint="eastAsia" w:ascii="仿宋" w:hAnsi="仿宋" w:eastAsia="仿宋" w:cs="宋体"/>
          <w:b/>
          <w:bCs/>
          <w:sz w:val="24"/>
        </w:rPr>
        <w:t>21、磋商响应文件的备选方案</w:t>
      </w:r>
    </w:p>
    <w:p w14:paraId="615A0063">
      <w:pPr>
        <w:adjustRightInd w:val="0"/>
        <w:snapToGrid w:val="0"/>
        <w:spacing w:line="360" w:lineRule="auto"/>
        <w:ind w:firstLine="420"/>
        <w:jc w:val="left"/>
        <w:rPr>
          <w:rFonts w:ascii="仿宋" w:hAnsi="仿宋" w:eastAsia="仿宋" w:cs="宋体"/>
          <w:sz w:val="24"/>
        </w:rPr>
      </w:pPr>
      <w:r>
        <w:rPr>
          <w:rFonts w:hint="eastAsia" w:ascii="仿宋" w:hAnsi="仿宋" w:eastAsia="仿宋" w:cs="宋体"/>
          <w:sz w:val="24"/>
        </w:rPr>
        <w:t>磋商供应商不得递交任何的投标备选（替代）方案，否则其磋商响应文件将作无效标处理。与“电子加密磋商响应文件”同时生成的“备份磋商响应文件”不是投标备选（替代）方案。</w:t>
      </w:r>
    </w:p>
    <w:p w14:paraId="1FF1AD75">
      <w:pPr>
        <w:pStyle w:val="14"/>
        <w:adjustRightInd w:val="0"/>
        <w:snapToGrid w:val="0"/>
        <w:spacing w:before="156" w:beforeLines="50" w:after="0" w:line="360" w:lineRule="auto"/>
        <w:ind w:left="0" w:leftChars="0"/>
        <w:jc w:val="center"/>
        <w:outlineLvl w:val="1"/>
        <w:rPr>
          <w:rFonts w:ascii="仿宋_GB2312" w:hAnsi="仿宋" w:eastAsia="仿宋_GB2312" w:cs="仿宋"/>
          <w:b/>
          <w:snapToGrid w:val="0"/>
          <w:sz w:val="32"/>
          <w:szCs w:val="32"/>
        </w:rPr>
      </w:pPr>
      <w:r>
        <w:rPr>
          <w:rFonts w:hint="eastAsia" w:ascii="仿宋_GB2312" w:hAnsi="仿宋" w:eastAsia="仿宋_GB2312" w:cs="仿宋"/>
          <w:b/>
          <w:sz w:val="32"/>
          <w:szCs w:val="32"/>
        </w:rPr>
        <w:t>五、开标</w:t>
      </w:r>
    </w:p>
    <w:p w14:paraId="363C4B62">
      <w:pPr>
        <w:pStyle w:val="4"/>
        <w:adjustRightInd w:val="0"/>
        <w:snapToGrid w:val="0"/>
        <w:spacing w:before="0" w:after="0" w:line="360" w:lineRule="auto"/>
        <w:ind w:left="720" w:hanging="720"/>
        <w:rPr>
          <w:rFonts w:ascii="仿宋" w:hAnsi="仿宋" w:eastAsia="仿宋" w:cs="宋体"/>
          <w:sz w:val="24"/>
          <w:szCs w:val="24"/>
        </w:rPr>
      </w:pPr>
      <w:r>
        <w:rPr>
          <w:rFonts w:hint="eastAsia" w:ascii="仿宋" w:hAnsi="仿宋" w:eastAsia="仿宋" w:cs="宋体"/>
          <w:sz w:val="24"/>
          <w:szCs w:val="24"/>
        </w:rPr>
        <w:t>22、开标形式</w:t>
      </w:r>
    </w:p>
    <w:p w14:paraId="418AE5D1">
      <w:pPr>
        <w:adjustRightInd w:val="0"/>
        <w:snapToGrid w:val="0"/>
        <w:spacing w:line="360" w:lineRule="auto"/>
        <w:ind w:firstLine="424" w:firstLineChars="177"/>
        <w:rPr>
          <w:rFonts w:ascii="仿宋" w:hAnsi="仿宋" w:eastAsia="仿宋" w:cs="宋体"/>
          <w:sz w:val="24"/>
        </w:rPr>
      </w:pPr>
      <w:r>
        <w:rPr>
          <w:rFonts w:hint="eastAsia" w:ascii="仿宋" w:hAnsi="仿宋" w:eastAsia="仿宋" w:cs="宋体"/>
          <w:sz w:val="24"/>
        </w:rPr>
        <w:t>采购代理机构将按照磋商文件规定的时间通过“政府采购云平台”组织开标、开启磋商响应文件，所有磋商供应商均应当准时在线参加。</w:t>
      </w:r>
    </w:p>
    <w:p w14:paraId="46F21725">
      <w:pPr>
        <w:pStyle w:val="4"/>
        <w:adjustRightInd w:val="0"/>
        <w:snapToGrid w:val="0"/>
        <w:spacing w:before="0" w:after="0" w:line="360" w:lineRule="auto"/>
        <w:ind w:left="720" w:hanging="720"/>
        <w:rPr>
          <w:rFonts w:ascii="仿宋" w:hAnsi="仿宋" w:eastAsia="仿宋" w:cs="宋体"/>
          <w:sz w:val="24"/>
          <w:szCs w:val="24"/>
        </w:rPr>
      </w:pPr>
      <w:r>
        <w:rPr>
          <w:rFonts w:hint="eastAsia" w:ascii="仿宋" w:hAnsi="仿宋" w:eastAsia="仿宋" w:cs="宋体"/>
          <w:sz w:val="24"/>
          <w:szCs w:val="24"/>
        </w:rPr>
        <w:t>23、开标准备</w:t>
      </w:r>
    </w:p>
    <w:p w14:paraId="67CFE124">
      <w:pPr>
        <w:adjustRightInd w:val="0"/>
        <w:snapToGrid w:val="0"/>
        <w:spacing w:line="360" w:lineRule="auto"/>
        <w:ind w:firstLine="422" w:firstLineChars="176"/>
        <w:rPr>
          <w:rFonts w:ascii="仿宋" w:hAnsi="仿宋" w:eastAsia="仿宋" w:cs="宋体"/>
          <w:sz w:val="24"/>
        </w:rPr>
      </w:pPr>
      <w:r>
        <w:rPr>
          <w:rFonts w:hint="eastAsia" w:ascii="仿宋" w:hAnsi="仿宋" w:eastAsia="仿宋" w:cs="宋体"/>
          <w:sz w:val="24"/>
        </w:rPr>
        <w:t>23.1 开标的准备工作由采购代理机构负责落实；</w:t>
      </w:r>
    </w:p>
    <w:p w14:paraId="65C2F6B4">
      <w:pPr>
        <w:adjustRightInd w:val="0"/>
        <w:snapToGrid w:val="0"/>
        <w:spacing w:line="360" w:lineRule="auto"/>
        <w:ind w:firstLine="422" w:firstLineChars="176"/>
        <w:rPr>
          <w:rFonts w:ascii="仿宋" w:hAnsi="仿宋" w:eastAsia="仿宋" w:cs="宋体"/>
          <w:sz w:val="24"/>
        </w:rPr>
      </w:pPr>
      <w:r>
        <w:rPr>
          <w:rFonts w:hint="eastAsia" w:ascii="仿宋" w:hAnsi="仿宋" w:eastAsia="仿宋" w:cs="宋体"/>
          <w:sz w:val="24"/>
        </w:rPr>
        <w:t>23.2 采购代理机构将按照磋商文件规定的时间通过“政府采购云平台”组织开标、开启磋商响应文件，所有磋商供应商均应当准时在线参加。磋商供应商如不参加开标大会的，视同认可开标结果，事后不得对采购相关人员、开标过程和开标结果提出异议，同时磋商供应商因未在线参加开标而导致磋商响应文件无法按时解密等一切后果由磋商供应商自己承担。</w:t>
      </w:r>
    </w:p>
    <w:p w14:paraId="6B9A1C96">
      <w:pPr>
        <w:pStyle w:val="4"/>
        <w:adjustRightInd w:val="0"/>
        <w:snapToGrid w:val="0"/>
        <w:spacing w:before="0" w:after="0" w:line="360" w:lineRule="auto"/>
        <w:ind w:left="720" w:hanging="720"/>
        <w:rPr>
          <w:rFonts w:ascii="仿宋" w:hAnsi="仿宋" w:eastAsia="仿宋" w:cs="宋体"/>
          <w:sz w:val="24"/>
          <w:szCs w:val="24"/>
        </w:rPr>
      </w:pPr>
      <w:r>
        <w:rPr>
          <w:rFonts w:hint="eastAsia" w:ascii="仿宋" w:hAnsi="仿宋" w:eastAsia="仿宋" w:cs="宋体"/>
          <w:sz w:val="24"/>
          <w:szCs w:val="24"/>
        </w:rPr>
        <w:t>24、开标流程（两阶段）</w:t>
      </w:r>
    </w:p>
    <w:p w14:paraId="2A42AE41">
      <w:pPr>
        <w:adjustRightInd w:val="0"/>
        <w:snapToGrid w:val="0"/>
        <w:spacing w:line="360" w:lineRule="auto"/>
        <w:ind w:firstLine="426" w:firstLineChars="177"/>
        <w:jc w:val="left"/>
        <w:rPr>
          <w:rFonts w:ascii="仿宋" w:hAnsi="仿宋" w:eastAsia="仿宋" w:cs="宋体"/>
          <w:b/>
          <w:bCs/>
          <w:sz w:val="24"/>
        </w:rPr>
      </w:pPr>
      <w:r>
        <w:rPr>
          <w:rFonts w:hint="eastAsia" w:ascii="仿宋" w:hAnsi="仿宋" w:eastAsia="仿宋" w:cs="宋体"/>
          <w:b/>
          <w:bCs/>
          <w:sz w:val="24"/>
        </w:rPr>
        <w:t>24.1 开标大会第一阶段</w:t>
      </w:r>
    </w:p>
    <w:p w14:paraId="69BC0B2F">
      <w:pPr>
        <w:adjustRightInd w:val="0"/>
        <w:snapToGrid w:val="0"/>
        <w:spacing w:line="360" w:lineRule="auto"/>
        <w:ind w:firstLine="424" w:firstLineChars="177"/>
        <w:jc w:val="left"/>
        <w:rPr>
          <w:rFonts w:ascii="仿宋" w:hAnsi="仿宋" w:eastAsia="仿宋" w:cs="宋体"/>
          <w:sz w:val="24"/>
        </w:rPr>
      </w:pPr>
      <w:r>
        <w:rPr>
          <w:rFonts w:hint="eastAsia" w:ascii="仿宋" w:hAnsi="仿宋" w:eastAsia="仿宋" w:cs="宋体"/>
          <w:sz w:val="24"/>
        </w:rPr>
        <w:t>（1）向各磋商供应商发出电子加密磋商响应文件【开始解密】通知，磋商供应商应在开标后30分钟内完成在线解密工作。磋商供应商在规定的时间内无法完成已递交的“电子加密磋商响应文件”解密的，如已按规定递交了备份磋商响应文件的，将由采购代理机构按“政府采购云平台”操作规范将备份磋商响应文件上传至“政府采购云平台”，上传成功后，“电子加密磋商响应文件”自动失效；</w:t>
      </w:r>
    </w:p>
    <w:p w14:paraId="76F91B6D">
      <w:pPr>
        <w:adjustRightInd w:val="0"/>
        <w:snapToGrid w:val="0"/>
        <w:spacing w:line="360" w:lineRule="auto"/>
        <w:ind w:firstLine="424" w:firstLineChars="177"/>
        <w:jc w:val="left"/>
        <w:rPr>
          <w:rFonts w:ascii="仿宋" w:hAnsi="仿宋" w:eastAsia="仿宋" w:cs="宋体"/>
          <w:sz w:val="24"/>
        </w:rPr>
      </w:pPr>
      <w:r>
        <w:rPr>
          <w:rFonts w:hint="eastAsia" w:ascii="仿宋" w:hAnsi="仿宋" w:eastAsia="仿宋" w:cs="宋体"/>
          <w:sz w:val="24"/>
        </w:rPr>
        <w:t>（2）磋商响应文件解密结束，签署《政府采购活动现场确认声明书》；</w:t>
      </w:r>
    </w:p>
    <w:p w14:paraId="73E5959B">
      <w:pPr>
        <w:adjustRightInd w:val="0"/>
        <w:snapToGrid w:val="0"/>
        <w:spacing w:line="360" w:lineRule="auto"/>
        <w:ind w:firstLine="424" w:firstLineChars="177"/>
        <w:jc w:val="left"/>
        <w:rPr>
          <w:rFonts w:ascii="仿宋" w:hAnsi="仿宋" w:eastAsia="仿宋" w:cs="宋体"/>
          <w:sz w:val="24"/>
        </w:rPr>
      </w:pPr>
      <w:r>
        <w:rPr>
          <w:rFonts w:hint="eastAsia" w:ascii="仿宋" w:hAnsi="仿宋" w:eastAsia="仿宋" w:cs="宋体"/>
          <w:sz w:val="24"/>
        </w:rPr>
        <w:t>（3）开启磋商响应文件，进入资格审查；</w:t>
      </w:r>
    </w:p>
    <w:p w14:paraId="229C49C0">
      <w:pPr>
        <w:adjustRightInd w:val="0"/>
        <w:snapToGrid w:val="0"/>
        <w:spacing w:line="360" w:lineRule="auto"/>
        <w:ind w:firstLine="424" w:firstLineChars="177"/>
        <w:jc w:val="left"/>
        <w:rPr>
          <w:rFonts w:ascii="仿宋" w:hAnsi="仿宋" w:eastAsia="仿宋" w:cs="宋体"/>
          <w:sz w:val="24"/>
        </w:rPr>
      </w:pPr>
      <w:r>
        <w:rPr>
          <w:rFonts w:hint="eastAsia" w:ascii="仿宋" w:hAnsi="仿宋" w:eastAsia="仿宋" w:cs="宋体"/>
          <w:sz w:val="24"/>
        </w:rPr>
        <w:t>（4）开启资格审查通过的磋商供应商的商务技术文件进入符合性审查、商务技术评审；</w:t>
      </w:r>
    </w:p>
    <w:p w14:paraId="49C889FE">
      <w:pPr>
        <w:adjustRightInd w:val="0"/>
        <w:snapToGrid w:val="0"/>
        <w:spacing w:line="360" w:lineRule="auto"/>
        <w:ind w:firstLine="424" w:firstLineChars="177"/>
        <w:jc w:val="left"/>
        <w:rPr>
          <w:rFonts w:ascii="仿宋" w:hAnsi="仿宋" w:eastAsia="仿宋" w:cs="宋体"/>
          <w:sz w:val="24"/>
        </w:rPr>
      </w:pPr>
      <w:r>
        <w:rPr>
          <w:rFonts w:hint="eastAsia" w:ascii="仿宋" w:hAnsi="仿宋" w:eastAsia="仿宋" w:cs="宋体"/>
          <w:sz w:val="24"/>
        </w:rPr>
        <w:t>（5）第一阶段开标结束。</w:t>
      </w:r>
    </w:p>
    <w:p w14:paraId="1F0DD24A">
      <w:pPr>
        <w:adjustRightInd w:val="0"/>
        <w:snapToGrid w:val="0"/>
        <w:spacing w:line="360" w:lineRule="auto"/>
        <w:ind w:firstLine="426" w:firstLineChars="177"/>
        <w:jc w:val="left"/>
        <w:rPr>
          <w:rFonts w:ascii="仿宋" w:hAnsi="仿宋" w:eastAsia="仿宋" w:cs="宋体"/>
          <w:b/>
          <w:bCs/>
          <w:sz w:val="24"/>
        </w:rPr>
      </w:pPr>
      <w:r>
        <w:rPr>
          <w:rFonts w:hint="eastAsia" w:ascii="仿宋" w:hAnsi="仿宋" w:eastAsia="仿宋" w:cs="宋体"/>
          <w:b/>
          <w:bCs/>
          <w:sz w:val="24"/>
        </w:rPr>
        <w:t>注：开标大会的第一阶段结束后，采购人或采购代理机构将依法对磋商供应商的资格进行审查，资格审查结束后进入符合性审查和商务技术的评审工作，具体见本章节“磋商供应商资格审查”相关规定。</w:t>
      </w:r>
    </w:p>
    <w:p w14:paraId="214756C5">
      <w:pPr>
        <w:adjustRightInd w:val="0"/>
        <w:snapToGrid w:val="0"/>
        <w:spacing w:line="360" w:lineRule="auto"/>
        <w:ind w:firstLine="426" w:firstLineChars="177"/>
        <w:jc w:val="left"/>
        <w:rPr>
          <w:rFonts w:ascii="仿宋" w:hAnsi="仿宋" w:eastAsia="仿宋" w:cs="宋体"/>
          <w:b/>
          <w:bCs/>
          <w:sz w:val="24"/>
        </w:rPr>
      </w:pPr>
      <w:r>
        <w:rPr>
          <w:rFonts w:hint="eastAsia" w:ascii="仿宋" w:hAnsi="仿宋" w:eastAsia="仿宋" w:cs="宋体"/>
          <w:b/>
          <w:bCs/>
          <w:sz w:val="24"/>
        </w:rPr>
        <w:t>24.2 开标大会第二阶段</w:t>
      </w:r>
    </w:p>
    <w:p w14:paraId="0C012B39">
      <w:pPr>
        <w:adjustRightInd w:val="0"/>
        <w:snapToGrid w:val="0"/>
        <w:spacing w:line="360" w:lineRule="auto"/>
        <w:ind w:firstLine="424" w:firstLineChars="177"/>
        <w:jc w:val="left"/>
        <w:rPr>
          <w:rFonts w:ascii="仿宋" w:hAnsi="仿宋" w:eastAsia="仿宋" w:cs="宋体"/>
          <w:sz w:val="24"/>
        </w:rPr>
      </w:pPr>
      <w:r>
        <w:rPr>
          <w:rFonts w:hint="eastAsia" w:ascii="仿宋" w:hAnsi="仿宋" w:eastAsia="仿宋" w:cs="宋体"/>
          <w:sz w:val="24"/>
        </w:rPr>
        <w:t>（1）符合性审查、商务技术评审结束后，举行开标大会第二阶段会议。首先公布符合性审查、商务技术评审无效供应商名称及理由；公布经商务技术评审后有效磋商供应商的名单。</w:t>
      </w:r>
    </w:p>
    <w:p w14:paraId="0BAEA0B0">
      <w:pPr>
        <w:adjustRightInd w:val="0"/>
        <w:snapToGrid w:val="0"/>
        <w:spacing w:line="360" w:lineRule="auto"/>
        <w:ind w:firstLine="424" w:firstLineChars="177"/>
        <w:jc w:val="left"/>
        <w:rPr>
          <w:rFonts w:ascii="仿宋" w:hAnsi="仿宋" w:eastAsia="仿宋" w:cs="宋体"/>
          <w:sz w:val="24"/>
        </w:rPr>
      </w:pPr>
      <w:r>
        <w:rPr>
          <w:rFonts w:hint="eastAsia" w:ascii="仿宋" w:hAnsi="仿宋" w:eastAsia="仿宋" w:cs="宋体"/>
          <w:sz w:val="24"/>
        </w:rPr>
        <w:t>（2）</w:t>
      </w:r>
      <w:r>
        <w:rPr>
          <w:rFonts w:hint="eastAsia" w:ascii="仿宋" w:hAnsi="仿宋" w:eastAsia="仿宋" w:cs="仿宋"/>
          <w:snapToGrid w:val="0"/>
          <w:kern w:val="0"/>
          <w:sz w:val="24"/>
        </w:rPr>
        <w:t>由磋商小组对确定为实质性响应本磋商文件的磋商响应文件进行详细评价和比较，主要就商务报价、企业资信、服务方案内容、服务承诺等磋商小组认为与本次采购有关的因素与各磋商供应商逐一进行在线磋商。商务技术评审结束后，由磋商小组对各磋商供应商的报价的合理性、准确性等进行审查核实；</w:t>
      </w:r>
      <w:r>
        <w:rPr>
          <w:rFonts w:hint="eastAsia" w:ascii="仿宋" w:hAnsi="仿宋" w:eastAsia="仿宋" w:cs="仿宋"/>
          <w:b/>
          <w:bCs/>
          <w:snapToGrid w:val="0"/>
          <w:kern w:val="0"/>
          <w:sz w:val="24"/>
        </w:rPr>
        <w:t>磋商供应商的商务报价在最终报价提交后已告知磋商供应商，并由磋商供应商签字确认回传给采购代理机构。</w:t>
      </w:r>
    </w:p>
    <w:p w14:paraId="4A9A273B">
      <w:pPr>
        <w:adjustRightInd w:val="0"/>
        <w:snapToGrid w:val="0"/>
        <w:spacing w:line="360" w:lineRule="auto"/>
        <w:ind w:firstLine="424" w:firstLineChars="177"/>
        <w:jc w:val="left"/>
        <w:rPr>
          <w:rFonts w:ascii="仿宋" w:hAnsi="仿宋" w:eastAsia="仿宋" w:cs="宋体"/>
          <w:sz w:val="24"/>
        </w:rPr>
      </w:pPr>
      <w:r>
        <w:rPr>
          <w:rFonts w:hint="eastAsia" w:ascii="仿宋" w:hAnsi="仿宋" w:eastAsia="仿宋" w:cs="宋体"/>
          <w:sz w:val="24"/>
        </w:rPr>
        <w:t>（3）评审结束后，公布成交候选人名单。</w:t>
      </w:r>
    </w:p>
    <w:p w14:paraId="335E027E">
      <w:pPr>
        <w:adjustRightInd w:val="0"/>
        <w:snapToGrid w:val="0"/>
        <w:spacing w:line="360" w:lineRule="auto"/>
        <w:ind w:firstLine="426" w:firstLineChars="177"/>
        <w:jc w:val="left"/>
        <w:rPr>
          <w:rFonts w:ascii="仿宋" w:hAnsi="仿宋" w:eastAsia="仿宋" w:cs="宋体"/>
          <w:b/>
          <w:bCs/>
          <w:sz w:val="24"/>
        </w:rPr>
      </w:pPr>
      <w:r>
        <w:rPr>
          <w:rFonts w:hint="eastAsia" w:ascii="仿宋" w:hAnsi="仿宋" w:eastAsia="仿宋" w:cs="宋体"/>
          <w:b/>
          <w:bCs/>
          <w:sz w:val="24"/>
        </w:rPr>
        <w:t>特别说明：如遇“政府采购云平台”电子化开标或评审程序调整的，按调整后程序执行。</w:t>
      </w:r>
      <w:bookmarkStart w:id="2" w:name="_Toc33194393"/>
      <w:bookmarkStart w:id="3" w:name="_Toc24550037"/>
    </w:p>
    <w:p w14:paraId="5A6C652F">
      <w:pPr>
        <w:adjustRightInd w:val="0"/>
        <w:snapToGrid w:val="0"/>
        <w:spacing w:line="360" w:lineRule="auto"/>
        <w:jc w:val="left"/>
        <w:rPr>
          <w:rFonts w:ascii="仿宋" w:hAnsi="仿宋" w:eastAsia="仿宋" w:cs="宋体"/>
          <w:b/>
          <w:bCs/>
          <w:sz w:val="24"/>
        </w:rPr>
      </w:pPr>
      <w:r>
        <w:rPr>
          <w:rFonts w:hint="eastAsia" w:ascii="仿宋" w:hAnsi="仿宋" w:eastAsia="仿宋" w:cs="宋体"/>
          <w:b/>
          <w:bCs/>
          <w:sz w:val="24"/>
        </w:rPr>
        <w:t>25、磋商供应商资格审查</w:t>
      </w:r>
      <w:bookmarkEnd w:id="2"/>
      <w:bookmarkEnd w:id="3"/>
    </w:p>
    <w:p w14:paraId="013611D1">
      <w:pPr>
        <w:adjustRightInd w:val="0"/>
        <w:snapToGrid w:val="0"/>
        <w:spacing w:line="360" w:lineRule="auto"/>
        <w:ind w:firstLine="424" w:firstLineChars="177"/>
        <w:rPr>
          <w:rFonts w:ascii="仿宋" w:hAnsi="仿宋" w:eastAsia="仿宋" w:cs="宋体"/>
          <w:sz w:val="24"/>
        </w:rPr>
      </w:pPr>
      <w:r>
        <w:rPr>
          <w:rFonts w:hint="eastAsia" w:ascii="仿宋" w:hAnsi="仿宋" w:eastAsia="仿宋" w:cs="宋体"/>
          <w:sz w:val="24"/>
        </w:rPr>
        <w:t>25.1 开标大会第一阶段结束后，采购人或采购代理机构首先依法对各磋商供应商的资格进行审查，审查各磋商供应商的资格是否满足磋商文件的要求。采购人或采购代理机构对磋商供应商所提交的资格证明材料仅负审核的责任。如发现磋商供应商所提交的资格证明材料不合法或与事实不符，采购人可取消其成交资格并追究磋商供应商的法律责任。</w:t>
      </w:r>
    </w:p>
    <w:p w14:paraId="53BBC38C">
      <w:pPr>
        <w:adjustRightInd w:val="0"/>
        <w:snapToGrid w:val="0"/>
        <w:spacing w:line="360" w:lineRule="auto"/>
        <w:ind w:firstLine="424" w:firstLineChars="177"/>
        <w:rPr>
          <w:rFonts w:ascii="仿宋" w:hAnsi="仿宋" w:eastAsia="仿宋" w:cs="宋体"/>
          <w:sz w:val="24"/>
        </w:rPr>
      </w:pPr>
      <w:r>
        <w:rPr>
          <w:rFonts w:hint="eastAsia" w:ascii="仿宋" w:hAnsi="仿宋" w:eastAsia="仿宋" w:cs="宋体"/>
          <w:sz w:val="24"/>
        </w:rPr>
        <w:t>25.2 磋商供应商提交的资格证明材料无法证明其符合磋商文件规定的“磋商供应商资格要求”的，采购人或采购代理机构将对其作资格审查不通过处理（无效投标），并不再将其投标提交磋商小组进行后续评审。</w:t>
      </w:r>
    </w:p>
    <w:p w14:paraId="674EF049">
      <w:pPr>
        <w:adjustRightInd w:val="0"/>
        <w:snapToGrid w:val="0"/>
        <w:spacing w:line="360" w:lineRule="auto"/>
        <w:ind w:firstLine="424" w:firstLineChars="177"/>
        <w:rPr>
          <w:rFonts w:ascii="仿宋" w:hAnsi="仿宋" w:eastAsia="仿宋" w:cs="宋体"/>
          <w:sz w:val="24"/>
        </w:rPr>
      </w:pPr>
      <w:r>
        <w:rPr>
          <w:rFonts w:hint="eastAsia" w:ascii="仿宋" w:hAnsi="仿宋" w:eastAsia="仿宋" w:cs="宋体"/>
          <w:sz w:val="24"/>
        </w:rPr>
        <w:t>25.3 单位负责人为同一人或者存在直接控股、管理关系的不同供应商参加同一合同项下的政府采购活动的，相关磋商供应商均作资格无效处理。</w:t>
      </w:r>
    </w:p>
    <w:p w14:paraId="32141BAD">
      <w:pPr>
        <w:pStyle w:val="17"/>
        <w:adjustRightInd w:val="0"/>
        <w:snapToGrid w:val="0"/>
        <w:spacing w:before="156" w:afterLines="0" w:line="360" w:lineRule="auto"/>
        <w:jc w:val="center"/>
        <w:outlineLvl w:val="1"/>
        <w:rPr>
          <w:rFonts w:ascii="仿宋_GB2312" w:hAnsi="仿宋" w:eastAsia="仿宋_GB2312" w:cs="仿宋"/>
          <w:b/>
          <w:sz w:val="32"/>
          <w:szCs w:val="32"/>
        </w:rPr>
      </w:pPr>
      <w:r>
        <w:rPr>
          <w:rFonts w:hint="eastAsia" w:ascii="仿宋_GB2312" w:hAnsi="仿宋" w:eastAsia="仿宋_GB2312" w:cs="仿宋"/>
          <w:b/>
          <w:sz w:val="32"/>
          <w:szCs w:val="32"/>
        </w:rPr>
        <w:t>六、评标</w:t>
      </w:r>
    </w:p>
    <w:p w14:paraId="6EBB51DA">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26、评审工作的组织</w:t>
      </w:r>
    </w:p>
    <w:p w14:paraId="1D274170">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采购人或采购代理机构负责组织本项目的评审工作，并依据《政府采购货物和服务招标投标管理办法（财政部第87号令）》第四十五条的相关规定履行职责。</w:t>
      </w:r>
    </w:p>
    <w:p w14:paraId="0CD79258">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27、磋商小组的组建</w:t>
      </w:r>
    </w:p>
    <w:p w14:paraId="69DC3E1F">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27.1 磋商小组由采购人或采购代理机构依法组建，成员包括采购人代表和评审专家，成员人数为3人或以上单数，其中评审专家不少于成员总数的三分之二。</w:t>
      </w:r>
    </w:p>
    <w:p w14:paraId="2B83DE9D">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27.2 磋商小组成员名单在评审结果（采购结果）公告前保密。</w:t>
      </w:r>
    </w:p>
    <w:p w14:paraId="0EAA578A">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28、磋商小组的职责</w:t>
      </w:r>
    </w:p>
    <w:p w14:paraId="7B46A18D">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28.1 磋商小组负责具体评审事务，并独立履行下列职责：</w:t>
      </w:r>
    </w:p>
    <w:p w14:paraId="67385771">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（1）审查、评价磋商响应文件是否符合磋商文件的商务、技术等实质性要求；</w:t>
      </w:r>
    </w:p>
    <w:p w14:paraId="4AD84D3F">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（2）要求磋商供应商对磋商响应文件有关事项作出澄清或者说明；</w:t>
      </w:r>
    </w:p>
    <w:p w14:paraId="36BBF160">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（3）对磋商响应文件进行比较和评价；</w:t>
      </w:r>
    </w:p>
    <w:p w14:paraId="3ADC34E2">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（4）确定成交候选人名单，以及根据采购人委托直接确定成交人；</w:t>
      </w:r>
    </w:p>
    <w:p w14:paraId="34BB41AD">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（5）向采购人、采购代理机构或者有关部门报告评审中发现的违法行为。</w:t>
      </w:r>
    </w:p>
    <w:p w14:paraId="2D8BEFB0">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29、评审原则与方法</w:t>
      </w:r>
    </w:p>
    <w:p w14:paraId="10A688E7">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29.1 评审原则</w:t>
      </w:r>
    </w:p>
    <w:p w14:paraId="4941A267">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（1）竞争优选；</w:t>
      </w:r>
    </w:p>
    <w:p w14:paraId="11C637DB">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（2）坚持公开、公平、公正、科学合理的原则；</w:t>
      </w:r>
    </w:p>
    <w:p w14:paraId="5876887A">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（3）反对不正当竞争。</w:t>
      </w:r>
    </w:p>
    <w:p w14:paraId="669C85A4">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29.2 磋商小组将遵循评审原则的前提下，对磋商供应商提供的磋商响应文件的资格条件、商务文件、基本情况、项目管理班子、人员配备、履约能力等进行综合分析评定。</w:t>
      </w:r>
    </w:p>
    <w:p w14:paraId="4E7F00C9">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29.3 客观、公正的对待所有磋商供应商，均采用相同的程序和标准，依据磋商评审程序，被拒绝的磋商供应商不在此列。</w:t>
      </w:r>
    </w:p>
    <w:p w14:paraId="2BB36087">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29.4 在磋商期间，磋商供应商不得向磋商小组成员询问与其无关的情况，不得进行旨在影响磋商结果的活动，否则将取消其磋商资格。</w:t>
      </w:r>
    </w:p>
    <w:p w14:paraId="04F452BD">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29.5 在磋商过程中，磋商小组成员不得与磋商供应商私下交换意见，在竞争性磋商工作结束后，磋商小组成员或知情者应严格保密，不得将磋商评审情况告诉与之无关的人(包括磋商供应商）。</w:t>
      </w:r>
    </w:p>
    <w:p w14:paraId="144AD867">
      <w:pPr>
        <w:pStyle w:val="17"/>
        <w:adjustRightInd w:val="0"/>
        <w:snapToGrid w:val="0"/>
        <w:spacing w:beforeLines="0" w:afterLines="0" w:line="360" w:lineRule="auto"/>
        <w:ind w:firstLine="480" w:firstLineChars="200"/>
        <w:rPr>
          <w:rFonts w:ascii="仿宋_GB2312" w:hAnsi="仿宋" w:eastAsia="仿宋_GB2312" w:cs="仿宋"/>
          <w:lang w:val="zh-CN"/>
        </w:rPr>
      </w:pPr>
      <w:r>
        <w:rPr>
          <w:rFonts w:hint="eastAsia" w:ascii="仿宋_GB2312" w:hAnsi="仿宋" w:eastAsia="仿宋_GB2312" w:cs="仿宋"/>
        </w:rPr>
        <w:t>29.6 在磋商和评审、推荐成交人的过程中，如有磋商供应商联合故意抬高报价或其他不正当行为，采购人有权中止磋商。</w:t>
      </w:r>
    </w:p>
    <w:p w14:paraId="578B9E95">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29.7 磋商中，不排除采购人根据磋商情况，分轮对采购需求和磋商要点进行相应修改和完善，并要求磋商供应商进行分轮报价。</w:t>
      </w:r>
    </w:p>
    <w:p w14:paraId="1E4A8F9D">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30、评审意见的争议处理</w:t>
      </w:r>
    </w:p>
    <w:p w14:paraId="402D733B">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磋商小组成员对需要共同认定的事项存在争议的，按照少数服从多数的原则作出结论。持不同意见的磋商小组成员应当在评审报告上签署不同意见及理由，否则视为同意评审报告。</w:t>
      </w:r>
    </w:p>
    <w:p w14:paraId="6F341A04">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31、评委纪律</w:t>
      </w:r>
    </w:p>
    <w:p w14:paraId="6BDC9909">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磋商小组成员必须严格遵守保密规定，不得泄露评审的有关情况，任何单位和个人不得干扰、影响评标的正常进行，磋商小组成员不得私下与磋商供应商接触，不得出现《浙江省政府采购活动现场组织管理办法》中规定的其他禁止行为。</w:t>
      </w:r>
    </w:p>
    <w:p w14:paraId="6059A879">
      <w:pPr>
        <w:pStyle w:val="17"/>
        <w:numPr>
          <w:ilvl w:val="0"/>
          <w:numId w:val="8"/>
        </w:numPr>
        <w:adjustRightInd w:val="0"/>
        <w:snapToGrid w:val="0"/>
        <w:spacing w:beforeLines="0" w:afterLines="0" w:line="360" w:lineRule="auto"/>
        <w:rPr>
          <w:rFonts w:ascii="仿宋" w:hAnsi="仿宋" w:eastAsia="仿宋" w:cs="仿宋"/>
          <w:b/>
          <w:snapToGrid w:val="0"/>
          <w:kern w:val="0"/>
          <w:lang w:val="zh-CN"/>
        </w:rPr>
      </w:pPr>
      <w:r>
        <w:rPr>
          <w:rFonts w:hint="eastAsia" w:ascii="仿宋" w:hAnsi="仿宋" w:eastAsia="仿宋" w:cs="仿宋"/>
          <w:b/>
          <w:snapToGrid w:val="0"/>
          <w:kern w:val="0"/>
          <w:lang w:val="zh-CN"/>
        </w:rPr>
        <w:t>磋商程序</w:t>
      </w:r>
    </w:p>
    <w:p w14:paraId="7623BB08">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磋商程序依据</w:t>
      </w:r>
      <w:r>
        <w:rPr>
          <w:rFonts w:hint="eastAsia" w:ascii="仿宋_GB2312" w:hAnsi="仿宋" w:eastAsia="仿宋_GB2312" w:cs="仿宋"/>
          <w:lang w:val="zh-CN"/>
        </w:rPr>
        <w:t>《政府采购竞争性磋商采购方式管理暂行办法》</w:t>
      </w:r>
      <w:r>
        <w:rPr>
          <w:rFonts w:hint="eastAsia" w:ascii="仿宋_GB2312" w:hAnsi="仿宋" w:eastAsia="仿宋_GB2312" w:cs="仿宋"/>
        </w:rPr>
        <w:t>及相关法规、规章等执行。根据公开、公平、公正、诚信科学的原则，组织磋商采购。具体工作流程如下：</w:t>
      </w:r>
    </w:p>
    <w:p w14:paraId="49D7CFC6">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32.1 资格性检查及符合性检查</w:t>
      </w:r>
    </w:p>
    <w:p w14:paraId="604C3E04">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依据竞争性磋商磋商文件的规定，对所有通过资格审查的磋商供应商的磋商响应文件进行初步审查，审查、评价磋商响应文件是否符合磋商文件的商务、技术、服务等实质性要求，以确定是否对磋商文件的实质性要求作出响应。具体内容如下：</w:t>
      </w:r>
    </w:p>
    <w:p w14:paraId="162FF680">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（1）磋商供应商资格是否符合国家有关规定或磋商文件载明的相关资格条件规定；</w:t>
      </w:r>
    </w:p>
    <w:p w14:paraId="4B398722">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（2）磋商响应文件的签署、盖章情况；</w:t>
      </w:r>
    </w:p>
    <w:p w14:paraId="0E58999E">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（3）是否按规定的格式填写，内容无不全，无字迹或复印件模糊难以辨认的；</w:t>
      </w:r>
    </w:p>
    <w:p w14:paraId="344836C2">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（4）磋商供应商是否有欺诈行为参加磋商的；</w:t>
      </w:r>
    </w:p>
    <w:p w14:paraId="1546D72F">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（5）磋商供应商的提供的服务是否完全满足采购需求；</w:t>
      </w:r>
    </w:p>
    <w:p w14:paraId="5913C2BA">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（6）以联合体形式进行政府采购的，磋商响应文件内未提交联合协议的；</w:t>
      </w:r>
    </w:p>
    <w:p w14:paraId="2140717E">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（7）法律、法规规定及磋商文件规定的其它无效或拒绝情况的。</w:t>
      </w:r>
    </w:p>
    <w:p w14:paraId="18D9950F">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32.2 磋商响应文件的澄清、说明或补正</w:t>
      </w:r>
    </w:p>
    <w:p w14:paraId="7773E86C">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32.2.1 对于磋商响应文件中含义不明确、同类问题表述不一致或者有明显文字和计算错误的内容，磋商小组将以书面形式（或通过“政府采购云平台”在线询标）的形式要求磋商供应商在规定的时间内作出必要的澄清、说明或者补正，磋商供应商澄清、说明或补正时间为30分钟。</w:t>
      </w:r>
    </w:p>
    <w:p w14:paraId="64F39287">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32.2.2 磋商供应商的澄清、说明或者补正应当采用书面（或通过“政府采购云平台”在线答复）形式提交，并加盖公章，或者由法定代表人或其授权的代表签字。磋商供应商的澄清、说明或者补正不得超出磋商响应文件的范围或者改变磋商响应文件的实质性内容。</w:t>
      </w:r>
    </w:p>
    <w:p w14:paraId="34ED06ED">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32.3 磋商响应文件的错误修正</w:t>
      </w:r>
    </w:p>
    <w:p w14:paraId="7A2EFFD0">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32.3.1 《磋商响应文件》如果出现计算或表达上的错误，修正错误的原则如下：</w:t>
      </w:r>
    </w:p>
    <w:p w14:paraId="266FA63F">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（1）磋商响应文件中开标一览表（报价表）内容与磋商响应文件中相应内容不一致的，以开标一览表（报价表）为准。</w:t>
      </w:r>
    </w:p>
    <w:p w14:paraId="36627620">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（2）《磋商响应文件》的大写金额和小写金额不一致的，以大写金额为准；</w:t>
      </w:r>
    </w:p>
    <w:p w14:paraId="217899B6">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（3）单价金额小数点或者百分比有明显错位的，应以开标一览表（报价表）的总价为准，并修改单价；</w:t>
      </w:r>
    </w:p>
    <w:p w14:paraId="5FC30F3D">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（4）总价金额与按单价汇总金额不一致的，以单价金额计算结果为准。</w:t>
      </w:r>
    </w:p>
    <w:p w14:paraId="5CA4AF5B">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同时出现两种以上不一致的，按照前款规定的顺序修正。修正后的报价按照财政部第87号令 《政府采购货物和服务招标投标管理办法》第五十一条第二款的规定经磋商供应商确认后产生约束力。</w:t>
      </w:r>
    </w:p>
    <w:p w14:paraId="2A71C19A">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32.3.2 对不同文字文本《磋商响应文件》的解释发生异议的，以中文文本为准。</w:t>
      </w:r>
    </w:p>
    <w:p w14:paraId="72C4F897">
      <w:pPr>
        <w:pStyle w:val="17"/>
        <w:adjustRightInd w:val="0"/>
        <w:snapToGrid w:val="0"/>
        <w:spacing w:beforeLines="0" w:afterLines="0" w:line="360" w:lineRule="auto"/>
        <w:ind w:firstLine="482" w:firstLineChars="200"/>
        <w:rPr>
          <w:rFonts w:ascii="仿宋" w:hAnsi="仿宋" w:eastAsia="仿宋" w:cs="仿宋"/>
          <w:b/>
          <w:bCs/>
          <w:snapToGrid w:val="0"/>
          <w:kern w:val="0"/>
        </w:rPr>
      </w:pPr>
      <w:r>
        <w:rPr>
          <w:rFonts w:hint="eastAsia" w:ascii="仿宋" w:hAnsi="仿宋" w:eastAsia="仿宋" w:cs="仿宋"/>
          <w:b/>
          <w:bCs/>
          <w:snapToGrid w:val="0"/>
          <w:kern w:val="0"/>
        </w:rPr>
        <w:t xml:space="preserve">32.4 磋商小组审阅磋商文件和磋商响应文件； </w:t>
      </w:r>
    </w:p>
    <w:p w14:paraId="7977CC2A">
      <w:pPr>
        <w:pStyle w:val="17"/>
        <w:adjustRightInd w:val="0"/>
        <w:snapToGrid w:val="0"/>
        <w:spacing w:beforeLines="0" w:afterLines="0" w:line="360" w:lineRule="auto"/>
        <w:ind w:firstLine="482" w:firstLineChars="200"/>
        <w:rPr>
          <w:rFonts w:ascii="仿宋" w:hAnsi="仿宋" w:eastAsia="仿宋" w:cs="仿宋"/>
          <w:b/>
          <w:bCs/>
          <w:snapToGrid w:val="0"/>
          <w:kern w:val="0"/>
        </w:rPr>
      </w:pPr>
      <w:r>
        <w:rPr>
          <w:rFonts w:hint="eastAsia" w:ascii="仿宋" w:hAnsi="仿宋" w:eastAsia="仿宋" w:cs="仿宋"/>
          <w:b/>
          <w:bCs/>
          <w:snapToGrid w:val="0"/>
          <w:kern w:val="0"/>
        </w:rPr>
        <w:t>32.5 供应商逐家回答磋商小组的提问；</w:t>
      </w:r>
    </w:p>
    <w:p w14:paraId="339E667F">
      <w:pPr>
        <w:pStyle w:val="17"/>
        <w:adjustRightInd w:val="0"/>
        <w:snapToGrid w:val="0"/>
        <w:spacing w:beforeLines="0" w:afterLines="0" w:line="360" w:lineRule="auto"/>
        <w:ind w:firstLine="482" w:firstLineChars="200"/>
        <w:rPr>
          <w:rFonts w:ascii="仿宋" w:hAnsi="仿宋" w:eastAsia="仿宋" w:cs="仿宋"/>
          <w:b/>
          <w:bCs/>
          <w:snapToGrid w:val="0"/>
          <w:kern w:val="0"/>
        </w:rPr>
      </w:pPr>
      <w:r>
        <w:rPr>
          <w:rFonts w:hint="eastAsia" w:ascii="仿宋" w:hAnsi="仿宋" w:eastAsia="仿宋" w:cs="仿宋"/>
          <w:b/>
          <w:bCs/>
          <w:snapToGrid w:val="0"/>
          <w:kern w:val="0"/>
        </w:rPr>
        <w:t>32.6 磋商文件有实质性变动的，磋商小组将通过“政府采购云平台”在线询标的形式通知所有参加磋商的供应商。</w:t>
      </w:r>
    </w:p>
    <w:p w14:paraId="5F513302">
      <w:pPr>
        <w:pStyle w:val="17"/>
        <w:adjustRightInd w:val="0"/>
        <w:snapToGrid w:val="0"/>
        <w:spacing w:beforeLines="0" w:afterLines="0" w:line="360" w:lineRule="auto"/>
        <w:ind w:firstLine="480" w:firstLineChars="200"/>
        <w:rPr>
          <w:rFonts w:ascii="仿宋" w:hAnsi="仿宋" w:eastAsia="仿宋" w:cs="仿宋"/>
          <w:b/>
          <w:snapToGrid w:val="0"/>
          <w:kern w:val="0"/>
        </w:rPr>
      </w:pPr>
      <w:r>
        <w:rPr>
          <w:rFonts w:hint="eastAsia" w:ascii="仿宋" w:hAnsi="仿宋" w:eastAsia="仿宋" w:cs="仿宋"/>
          <w:snapToGrid w:val="0"/>
          <w:kern w:val="0"/>
        </w:rPr>
        <w:t>32.7 磋商小组将对确定为实质性响应本磋商文件的磋商响应文件进行详细评价和比较，主要就商务报价、企业资信、服务方案内容、服务承诺等磋商小组认为与本次采购有关的因素与磋商供应商逐一进行磋商。</w:t>
      </w:r>
      <w:r>
        <w:rPr>
          <w:rFonts w:hint="eastAsia" w:ascii="仿宋" w:hAnsi="仿宋" w:eastAsia="仿宋" w:cs="仿宋"/>
          <w:b/>
          <w:bCs/>
          <w:snapToGrid w:val="0"/>
          <w:kern w:val="0"/>
        </w:rPr>
        <w:t>磋商供应商的商务报价在最终报价提交后已邮件形式告知磋商供应商，并由磋商供应商签字确认回传给采购代理机构。</w:t>
      </w:r>
      <w:r>
        <w:rPr>
          <w:rFonts w:hint="eastAsia" w:ascii="仿宋" w:hAnsi="仿宋" w:eastAsia="仿宋" w:cs="仿宋"/>
          <w:b/>
          <w:snapToGrid w:val="0"/>
          <w:kern w:val="0"/>
        </w:rPr>
        <w:t>逐家磋商一次为一个轮次，磋商轮次根据实际情况进行。</w:t>
      </w:r>
    </w:p>
    <w:p w14:paraId="137F6BA5">
      <w:pPr>
        <w:pStyle w:val="17"/>
        <w:adjustRightInd w:val="0"/>
        <w:snapToGrid w:val="0"/>
        <w:spacing w:beforeLines="0" w:afterLines="0" w:line="360" w:lineRule="auto"/>
        <w:ind w:firstLine="480" w:firstLineChars="200"/>
        <w:rPr>
          <w:rFonts w:ascii="仿宋" w:hAnsi="仿宋" w:eastAsia="仿宋" w:cs="仿宋"/>
          <w:snapToGrid w:val="0"/>
          <w:kern w:val="0"/>
        </w:rPr>
      </w:pPr>
      <w:r>
        <w:rPr>
          <w:rFonts w:hint="eastAsia" w:ascii="仿宋" w:hAnsi="仿宋" w:eastAsia="仿宋" w:cs="仿宋"/>
          <w:snapToGrid w:val="0"/>
          <w:kern w:val="0"/>
        </w:rPr>
        <w:t>磋商供应商逐家按照磋商小组规定的有效时间内在线回答磋商小组的提问；磋商小组根据各磋商供应商问题回复情况对商务技术部分打分。通过磋商并经澄清后，磋商供应商按照磋商小组规定的有效时间内在线报价，并通过邮件形式发送给采购代理机构经授权代表签字确认后的《开标一览表》。磋商供应商的最终报价及磋商承诺文件将被视为确定成交的最终依据。依据最终报价，磋商小组计算供应商商务得分。</w:t>
      </w:r>
    </w:p>
    <w:p w14:paraId="316A1C67">
      <w:pPr>
        <w:pStyle w:val="17"/>
        <w:adjustRightInd w:val="0"/>
        <w:snapToGrid w:val="0"/>
        <w:spacing w:beforeLines="0" w:afterLines="0" w:line="360" w:lineRule="auto"/>
        <w:ind w:firstLine="480" w:firstLineChars="200"/>
        <w:rPr>
          <w:rFonts w:ascii="仿宋" w:hAnsi="仿宋" w:eastAsia="仿宋" w:cs="仿宋"/>
          <w:snapToGrid w:val="0"/>
          <w:kern w:val="0"/>
        </w:rPr>
      </w:pPr>
      <w:r>
        <w:rPr>
          <w:rFonts w:hint="eastAsia" w:ascii="仿宋" w:hAnsi="仿宋" w:eastAsia="仿宋" w:cs="仿宋"/>
          <w:snapToGrid w:val="0"/>
          <w:kern w:val="0"/>
        </w:rPr>
        <w:t>磋商小组对磋商的情况进行综合评议，依据综合得分由高到低顺序排列，形成竞争性磋商评审报告。</w:t>
      </w:r>
    </w:p>
    <w:p w14:paraId="3745D671">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33、磋商响应文件有下列情况之一者将视为无效：</w:t>
      </w:r>
    </w:p>
    <w:p w14:paraId="082BC9F2">
      <w:pPr>
        <w:pStyle w:val="17"/>
        <w:adjustRightInd w:val="0"/>
        <w:snapToGrid w:val="0"/>
        <w:spacing w:beforeLines="0" w:afterLines="0" w:line="360" w:lineRule="auto"/>
        <w:ind w:firstLine="482" w:firstLineChars="200"/>
        <w:rPr>
          <w:rFonts w:ascii="仿宋_GB2312" w:hAnsi="仿宋" w:eastAsia="仿宋_GB2312" w:cs="仿宋"/>
          <w:b/>
          <w:bCs/>
        </w:rPr>
      </w:pPr>
      <w:bookmarkStart w:id="4" w:name="_Hlk33211013"/>
      <w:r>
        <w:rPr>
          <w:rFonts w:hint="eastAsia" w:ascii="仿宋_GB2312" w:hAnsi="仿宋" w:eastAsia="仿宋_GB2312" w:cs="仿宋"/>
          <w:b/>
          <w:bCs/>
        </w:rPr>
        <w:t>33.1 商务、技术文件符合性审查中，存在下列情形之一的，经磋商小组认定后作无效标处理：</w:t>
      </w:r>
    </w:p>
    <w:p w14:paraId="7C9F176E">
      <w:pPr>
        <w:pStyle w:val="17"/>
        <w:adjustRightInd w:val="0"/>
        <w:snapToGrid w:val="0"/>
        <w:spacing w:beforeLines="0" w:afterLines="0" w:line="360" w:lineRule="auto"/>
        <w:ind w:firstLine="482" w:firstLineChars="200"/>
        <w:rPr>
          <w:rFonts w:ascii="仿宋_GB2312" w:hAnsi="仿宋" w:eastAsia="仿宋_GB2312" w:cs="仿宋"/>
          <w:b/>
          <w:bCs/>
        </w:rPr>
      </w:pPr>
      <w:bookmarkStart w:id="5" w:name="_Toc33194396"/>
      <w:r>
        <w:rPr>
          <w:rFonts w:hint="eastAsia" w:ascii="仿宋_GB2312" w:hAnsi="仿宋" w:eastAsia="仿宋_GB2312" w:cs="仿宋"/>
          <w:b/>
          <w:bCs/>
        </w:rPr>
        <w:t>（1）磋商响应文件未有效授权，法定代表人授权委托书等填写不完整或错误的；</w:t>
      </w:r>
      <w:bookmarkEnd w:id="5"/>
    </w:p>
    <w:p w14:paraId="7A8B6998">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（2）磋商响应文件没有对本磋商文件作出实质性响应的，或不满足（不响应）本磋商文件成交注“▲”的实质性要求条款的，或存在磋商文件中明确规定的其他无效标情形的；</w:t>
      </w:r>
    </w:p>
    <w:p w14:paraId="0BEB00CD">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（3）磋商响应文件存在一个或一个以上备选（替代）投标方案的；</w:t>
      </w:r>
    </w:p>
    <w:p w14:paraId="69203EA8">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（4）仅提交“备份磋商响应文件”的；</w:t>
      </w:r>
    </w:p>
    <w:p w14:paraId="523CDA14">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（5）文件组成内容不齐全，本磋商文件规定必须提供而未提供的；</w:t>
      </w:r>
    </w:p>
    <w:p w14:paraId="0BBFB58A">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（6）磋商响应文件标注的响应或偏离情况与事实不符，或提供了虚假材料的；</w:t>
      </w:r>
    </w:p>
    <w:p w14:paraId="01BF9A6C">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（7）不响应或擅自改变本磋商文件要求或磋商响应文件有采购人不能接受的附加条件的；</w:t>
      </w:r>
    </w:p>
    <w:p w14:paraId="34C015E8">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（8）参加同一合同项下政府采购活动的不同供应商之间存在利害关系并且存在影响政府采购公平竞争行为的；</w:t>
      </w:r>
    </w:p>
    <w:p w14:paraId="05BEC1C2">
      <w:pPr>
        <w:pStyle w:val="17"/>
        <w:adjustRightInd w:val="0"/>
        <w:snapToGrid w:val="0"/>
        <w:spacing w:beforeLines="0" w:afterLines="0" w:line="360" w:lineRule="auto"/>
        <w:ind w:firstLine="482" w:firstLineChars="200"/>
        <w:rPr>
          <w:rFonts w:ascii="仿宋_GB2312" w:hAnsi="仿宋" w:eastAsia="仿宋_GB2312" w:cs="仿宋"/>
          <w:b/>
          <w:bCs/>
        </w:rPr>
      </w:pPr>
      <w:bookmarkStart w:id="6" w:name="_Toc33194397"/>
      <w:r>
        <w:rPr>
          <w:rFonts w:hint="eastAsia" w:ascii="仿宋_GB2312" w:hAnsi="仿宋" w:eastAsia="仿宋_GB2312" w:cs="仿宋"/>
          <w:b/>
          <w:bCs/>
        </w:rPr>
        <w:t>（9）采购人拟采购的产品如属于品目清单范围内的强制采购品目的，磋商供应商未</w:t>
      </w:r>
      <w:bookmarkEnd w:id="6"/>
      <w:bookmarkStart w:id="7" w:name="_Toc33194398"/>
      <w:r>
        <w:rPr>
          <w:rFonts w:hint="eastAsia" w:ascii="仿宋_GB2312" w:hAnsi="仿宋" w:eastAsia="仿宋_GB2312" w:cs="仿宋"/>
          <w:b/>
          <w:bCs/>
        </w:rPr>
        <w:t>能在响应文件中提供国家确定的认证机构出具的、处于有效期之内的该产品节能产品、环境标志产品认证证书；</w:t>
      </w:r>
      <w:bookmarkEnd w:id="7"/>
    </w:p>
    <w:p w14:paraId="22E29C14">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（10）违反国家或政府部门相关法律、法规、文件规定的。</w:t>
      </w:r>
    </w:p>
    <w:bookmarkEnd w:id="4"/>
    <w:p w14:paraId="6A2FEBE5">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33.2报价文件符合性审查中，存在下列情形之一的，经磋商小组认定后作无效标处理：</w:t>
      </w:r>
    </w:p>
    <w:p w14:paraId="201C4E63">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（1）磋商响应文件没有对本磋商文件作出实质性响应的，或不满足（不响应）本磋商文件注“▲”的实质性要求条款的，或存在磋商文件中明确规定的其他无效标情形的；</w:t>
      </w:r>
    </w:p>
    <w:p w14:paraId="2F80992F">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（2）磋商响应文件存在一个或一个以上备选（替代）投标方案的；</w:t>
      </w:r>
    </w:p>
    <w:p w14:paraId="081776B0">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（3）未按照磋商文件标明的币种报价的，或者磋商报价涵盖的内容不符合磋商文件要求的；</w:t>
      </w:r>
    </w:p>
    <w:p w14:paraId="55AF81CE">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（4）《开标一览表》内容与《报价明细表》内容不一致且拒不接受修正的；</w:t>
      </w:r>
    </w:p>
    <w:p w14:paraId="5C3C5FD6">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（5）投标报价具有选择性，唱标价格与《磋商响应文件》承诺的优惠（折扣）后价格不一致的；</w:t>
      </w:r>
    </w:p>
    <w:p w14:paraId="08F78488">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（6）投标报价超过采购预算或限价的；</w:t>
      </w:r>
    </w:p>
    <w:p w14:paraId="1F30B512">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（7）仅提交“备份磋商响应文件”的；</w:t>
      </w:r>
    </w:p>
    <w:p w14:paraId="249192C6">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（8）磋商响应文件组成内容不齐全，本磋商文件规定必须提供而未提供的（属于资格审查范围的除外）；</w:t>
      </w:r>
    </w:p>
    <w:p w14:paraId="56998E38">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（9）磋商响应文件标注的响应或偏离情况与事实不符，或提供了虚假材料的；</w:t>
      </w:r>
    </w:p>
    <w:p w14:paraId="07465FBA">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（10）不响应或擅自改变本磋商文件要求或磋商响应文件有采购人不能接受的附加条件的；</w:t>
      </w:r>
    </w:p>
    <w:p w14:paraId="3142C9CF">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11）磋商小组认为供应商报价明显低于其他合格供应商的报价，有可能影响产品或服务质量或者不能诚信履约的，应当要求其在合理时间内提供书面说明，必要时提供相关证明材料；磋商供应商不能证明其报价合理性的，磋商小组应当将其作为无效磋商响应或者无效响应处理；</w:t>
      </w:r>
    </w:p>
    <w:p w14:paraId="7C5680C8">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（12）违反国家或政府部门相关法律、法规、文件规定的。</w:t>
      </w:r>
    </w:p>
    <w:p w14:paraId="527F6AB0">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34、磋商响应文件的评估、比较、评分</w:t>
      </w:r>
    </w:p>
    <w:p w14:paraId="712C88A7">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34.1 磋商小组应当按照磋商文件中规定的评审方法和标准，对符合性审查合格的磋商响应文件进行商务和技术评估，综合比较与评价。评标时，磋商小组各成员将独立对每个磋商供应商的磋商响应文件进行评价，并汇总每个磋商供应商的得分。评审细则详见评标办法。</w:t>
      </w:r>
    </w:p>
    <w:p w14:paraId="594A91D8">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34.2 对采购代理机构工作人员汇总的评审结果进行确认。如发现分值汇总计算错误、分项评分超出评分标准范围、客观评分不一致以及存在畸高、畸低（其总评分偏离平均分30%以上的）情形的，</w:t>
      </w:r>
      <w:r>
        <w:rPr>
          <w:rFonts w:hint="eastAsia" w:ascii="仿宋" w:hAnsi="仿宋" w:eastAsia="仿宋" w:cs="仿宋"/>
        </w:rPr>
        <w:t>磋商小组</w:t>
      </w:r>
      <w:r>
        <w:rPr>
          <w:rFonts w:hint="eastAsia" w:ascii="仿宋_GB2312" w:hAnsi="仿宋" w:eastAsia="仿宋_GB2312" w:cs="仿宋"/>
        </w:rPr>
        <w:t>组长应提醒相关评审人员当场改正或书面说明理由，拒不改正又不作书面说明的，由现场监督员如实记载后存入项目档案资料。</w:t>
      </w:r>
    </w:p>
    <w:p w14:paraId="071E329B">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35、修改评审结果</w:t>
      </w:r>
    </w:p>
    <w:p w14:paraId="573E1539">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35.1 评标结果汇总完成后，除下列情形外，任何人不得修改评标结果：</w:t>
      </w:r>
    </w:p>
    <w:p w14:paraId="69C03D90">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（1）分值汇总计算错误的；</w:t>
      </w:r>
    </w:p>
    <w:p w14:paraId="6645ACB9">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（2）分项评分超出评分标准范围的；</w:t>
      </w:r>
    </w:p>
    <w:p w14:paraId="094F9B13">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（3）磋商小组成员对客观评审因素评分不一致的；</w:t>
      </w:r>
    </w:p>
    <w:p w14:paraId="55D4ABE2">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（4）经磋商小组认定评分畸高、畸低的。</w:t>
      </w:r>
    </w:p>
    <w:p w14:paraId="441E5CEC">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35.2 评标报告签署前，经复核发现存在以上情形之一的，磋商小组将当场修改评标结果，并在评标报告中记载。</w:t>
      </w:r>
    </w:p>
    <w:p w14:paraId="6B401ABA">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36、供应商排序及推荐成交（成交）候选人</w:t>
      </w:r>
    </w:p>
    <w:p w14:paraId="3F12BC41">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磋商小组根据以下规定确定供应商排名并推荐成交（成交）候选人。</w:t>
      </w:r>
    </w:p>
    <w:p w14:paraId="0A02D786">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36.1 磋商小组根据各磋商供应商的综合得分（商务技术分与报价得分之和）从高到低依次进行排名排序。特殊情形按以下原则处理：</w:t>
      </w:r>
    </w:p>
    <w:p w14:paraId="7D016487">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（1）综合得分相同的，按磋商报价低的优先原则确定排名；</w:t>
      </w:r>
    </w:p>
    <w:p w14:paraId="212E144F">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（2）综合得分和磋商报价均相同的，按技术资信得分从高到低确定排名；</w:t>
      </w:r>
    </w:p>
    <w:p w14:paraId="69CB2A06">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（3）综合得分、磋商报价和技术资信得分均相同的由磋商小组全体成员记名投票按少数服从多数的原则确定排名。</w:t>
      </w:r>
    </w:p>
    <w:p w14:paraId="18E7BD2A">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36.2 根据最终得分排序，通过书面评审报告的形式，向采购人推荐排名第一的磋商供应商为成交（成交）候选人。</w:t>
      </w:r>
    </w:p>
    <w:p w14:paraId="55BB5F97">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37、起草、签署评审报告</w:t>
      </w:r>
    </w:p>
    <w:p w14:paraId="77DC800E">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评审结束后，磋商小组将通过“政府采购云平台”起草评审报告，磋商小组成员应当在评审报告上签字，对自己的评审意见承担法律责任。对评审报告有异议的，应当在评审报告上签署不同意见，并说明理由，否则视为同意评审报告。</w:t>
      </w:r>
    </w:p>
    <w:p w14:paraId="3354646B">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38、评标内容的保密</w:t>
      </w:r>
    </w:p>
    <w:p w14:paraId="4FA7FEB8">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38.1 公开开标后，直到宣布成交人为止，凡属于审查、澄清、评价和比较磋商的所有资料，都不应向磋商供应商或与评标无关的其他人泄露。</w:t>
      </w:r>
    </w:p>
    <w:p w14:paraId="3300D1BA">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38.2 在磋商响应文件的审查、澄清、评价和比较以及确定成交人过程中，磋商供应商对采购人、采购代理机构和磋商小组施加影响的任何行为，都将导致取消资格。</w:t>
      </w:r>
    </w:p>
    <w:p w14:paraId="6334E407">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39、废标</w:t>
      </w:r>
    </w:p>
    <w:p w14:paraId="5CC31B2D">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在采购中，出现下列情形之一的，应予废标：</w:t>
      </w:r>
    </w:p>
    <w:p w14:paraId="212C4645">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（1）因情况变化，不再符合规定的竞争性磋商采购方式适用情形的；</w:t>
      </w:r>
    </w:p>
    <w:p w14:paraId="794CF46D">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（2）出现影响采购公正的违法、违规行为的；</w:t>
      </w:r>
    </w:p>
    <w:p w14:paraId="57208683">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（3）磋商供应商的报价均超过了采购预算，采购人不能支付的；</w:t>
      </w:r>
    </w:p>
    <w:p w14:paraId="39B3B8B3">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（4）因重大变故，采购任务取消的；</w:t>
      </w:r>
    </w:p>
    <w:p w14:paraId="3A6492F9">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（5）根据财库〔2015〕124号文件规定：采用竞争性磋商采购方式的政府购买服务项目(含政府和社会资本合作项目），在采购过程中符合要求的供应商(社会资本）不足2家的。</w:t>
      </w:r>
    </w:p>
    <w:p w14:paraId="7B479248">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废标后，采购人应当将废标理由通知所有磋商供应商。</w:t>
      </w:r>
    </w:p>
    <w:p w14:paraId="5C59EBE1">
      <w:pPr>
        <w:pStyle w:val="17"/>
        <w:adjustRightInd w:val="0"/>
        <w:snapToGrid w:val="0"/>
        <w:spacing w:beforeLines="0" w:afterLines="0" w:line="360" w:lineRule="auto"/>
        <w:rPr>
          <w:rFonts w:ascii="仿宋_GB2312" w:hAnsi="仿宋" w:eastAsia="仿宋_GB2312" w:cs="仿宋"/>
          <w:b/>
          <w:bCs/>
        </w:rPr>
      </w:pPr>
      <w:r>
        <w:rPr>
          <w:rFonts w:hint="eastAsia" w:ascii="仿宋_GB2312" w:hAnsi="仿宋" w:eastAsia="仿宋_GB2312" w:cs="仿宋"/>
          <w:b/>
          <w:bCs/>
        </w:rPr>
        <w:t>40、可中止电子交易活动的情形</w:t>
      </w:r>
    </w:p>
    <w:p w14:paraId="07F9668E">
      <w:pPr>
        <w:pStyle w:val="17"/>
        <w:adjustRightInd w:val="0"/>
        <w:snapToGrid w:val="0"/>
        <w:spacing w:beforeLines="0" w:afterLines="0" w:line="360" w:lineRule="auto"/>
        <w:ind w:firstLine="482" w:firstLineChars="200"/>
        <w:rPr>
          <w:rFonts w:ascii="仿宋_GB2312" w:hAnsi="仿宋" w:eastAsia="仿宋_GB2312" w:cs="仿宋"/>
          <w:b/>
          <w:bCs/>
        </w:rPr>
      </w:pPr>
      <w:r>
        <w:rPr>
          <w:rFonts w:hint="eastAsia" w:ascii="仿宋_GB2312" w:hAnsi="仿宋" w:eastAsia="仿宋_GB2312" w:cs="仿宋"/>
          <w:b/>
          <w:bCs/>
        </w:rPr>
        <w:t>采购过程中出现以下情形，导致电子交易平台无法正常运行，或者无法保证电子交易的公平、公正和安全时，采购代理机构可中止电子交易活动：</w:t>
      </w:r>
    </w:p>
    <w:p w14:paraId="6DC255A1">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40.1 电子交易平台发生故障而无法登录访问的；</w:t>
      </w:r>
    </w:p>
    <w:p w14:paraId="6A67FE31">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40.2 电子交易平台应用或数据库出现错误，不能进行正常操作的；</w:t>
      </w:r>
    </w:p>
    <w:p w14:paraId="574CE01C">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40.3 电子交易平台发现严重安全漏洞，有潜在泄密危险的；</w:t>
      </w:r>
    </w:p>
    <w:p w14:paraId="1ECA50EF">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40.4 病毒发作导致不能进行正常操作的；</w:t>
      </w:r>
    </w:p>
    <w:p w14:paraId="5CCD7188">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40.5 其他无法保证电子交易的公平、公正和安全的情况。</w:t>
      </w:r>
    </w:p>
    <w:p w14:paraId="7EA2E130">
      <w:pPr>
        <w:pStyle w:val="17"/>
        <w:adjustRightInd w:val="0"/>
        <w:snapToGrid w:val="0"/>
        <w:spacing w:beforeLines="0" w:afterLines="0" w:line="360" w:lineRule="auto"/>
        <w:ind w:firstLine="480" w:firstLineChars="200"/>
        <w:rPr>
          <w:rFonts w:ascii="仿宋_GB2312" w:hAnsi="仿宋" w:eastAsia="仿宋_GB2312" w:cs="仿宋"/>
        </w:rPr>
      </w:pPr>
      <w:r>
        <w:rPr>
          <w:rFonts w:hint="eastAsia" w:ascii="仿宋_GB2312" w:hAnsi="仿宋" w:eastAsia="仿宋_GB2312" w:cs="仿宋"/>
        </w:rPr>
        <w:t>出现前款规定情形，不影响采购公平、公正性的，采购代理机构可以待上述情形消除后继续组织电子交易活动；影响或可能影响采购公平、公正性的，应当重新采购。</w:t>
      </w:r>
    </w:p>
    <w:p w14:paraId="3DE95D96">
      <w:pPr>
        <w:pStyle w:val="17"/>
        <w:adjustRightInd w:val="0"/>
        <w:snapToGrid w:val="0"/>
        <w:spacing w:before="156" w:afterLines="0" w:line="360" w:lineRule="auto"/>
        <w:jc w:val="center"/>
        <w:outlineLvl w:val="1"/>
        <w:rPr>
          <w:rFonts w:hint="eastAsia" w:ascii="仿宋_GB2312" w:hAnsi="仿宋" w:eastAsia="仿宋_GB2312" w:cs="仿宋"/>
          <w:b/>
          <w:sz w:val="32"/>
          <w:szCs w:val="32"/>
        </w:rPr>
      </w:pPr>
    </w:p>
    <w:p w14:paraId="114530BF">
      <w:pPr>
        <w:pStyle w:val="17"/>
        <w:adjustRightInd w:val="0"/>
        <w:snapToGrid w:val="0"/>
        <w:spacing w:before="156" w:afterLines="0" w:line="360" w:lineRule="auto"/>
        <w:jc w:val="center"/>
        <w:outlineLvl w:val="1"/>
        <w:rPr>
          <w:rFonts w:hint="eastAsia" w:ascii="仿宋_GB2312" w:hAnsi="仿宋" w:eastAsia="仿宋_GB2312" w:cs="仿宋"/>
          <w:b/>
          <w:sz w:val="32"/>
          <w:szCs w:val="32"/>
        </w:rPr>
      </w:pPr>
    </w:p>
    <w:p w14:paraId="50DF4680">
      <w:pPr>
        <w:pStyle w:val="17"/>
        <w:adjustRightInd w:val="0"/>
        <w:snapToGrid w:val="0"/>
        <w:spacing w:before="156" w:afterLines="0" w:line="360" w:lineRule="auto"/>
        <w:jc w:val="center"/>
        <w:outlineLvl w:val="1"/>
        <w:rPr>
          <w:rFonts w:ascii="仿宋_GB2312" w:hAnsi="仿宋" w:eastAsia="仿宋_GB2312" w:cs="仿宋"/>
          <w:b/>
          <w:sz w:val="32"/>
          <w:szCs w:val="32"/>
        </w:rPr>
      </w:pPr>
      <w:r>
        <w:rPr>
          <w:rFonts w:hint="eastAsia" w:ascii="仿宋_GB2312" w:hAnsi="仿宋" w:eastAsia="仿宋_GB2312" w:cs="仿宋"/>
          <w:b/>
          <w:sz w:val="32"/>
          <w:szCs w:val="32"/>
        </w:rPr>
        <w:t>七、定标及合同授予</w:t>
      </w:r>
    </w:p>
    <w:p w14:paraId="1D1134DC">
      <w:pPr>
        <w:adjustRightInd w:val="0"/>
        <w:snapToGrid w:val="0"/>
        <w:spacing w:line="360" w:lineRule="auto"/>
        <w:rPr>
          <w:rFonts w:ascii="仿宋_GB2312" w:hAnsi="仿宋" w:eastAsia="仿宋_GB2312" w:cs="仿宋"/>
          <w:b/>
          <w:bCs/>
          <w:sz w:val="24"/>
        </w:rPr>
      </w:pPr>
      <w:r>
        <w:rPr>
          <w:rFonts w:hint="eastAsia" w:ascii="仿宋_GB2312" w:hAnsi="仿宋" w:eastAsia="仿宋_GB2312" w:cs="仿宋"/>
          <w:b/>
          <w:bCs/>
          <w:sz w:val="24"/>
        </w:rPr>
        <w:t>41、确定成交供应商</w:t>
      </w:r>
    </w:p>
    <w:p w14:paraId="4B96C440">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41.1 本项目由磋商小组推荐预成交供应商，采购结果由采购人确认。</w:t>
      </w:r>
    </w:p>
    <w:p w14:paraId="24430689">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41.2 采购结果经采购人确认后，采购代理机构将于5个工作日内在浙江省政府采购指定媒体上发布成交公告，并向成交人签发书面《成交通知书》。</w:t>
      </w:r>
    </w:p>
    <w:p w14:paraId="07865FF0">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41.3 如成交人拒绝承担成交的项目，或提出采购人不能接受的条件，致使合同无法签订，采购人将取消其成交资格，并根据磋商小组推荐的成交候选人先后顺序，将下一顺序的成交候选人作为预成交人进行公示，或由采购人组织磋商小组复议后提出重新组织采购等建议。</w:t>
      </w:r>
    </w:p>
    <w:p w14:paraId="48401FBC">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41.4 如签订合同并生效后，供应商无故拒绝或延期，除按照合同条款处罚外，列入不良行为记录一次，并给予通报。</w:t>
      </w:r>
    </w:p>
    <w:p w14:paraId="62447140">
      <w:pPr>
        <w:adjustRightInd w:val="0"/>
        <w:snapToGrid w:val="0"/>
        <w:spacing w:line="360" w:lineRule="auto"/>
        <w:rPr>
          <w:rFonts w:ascii="仿宋_GB2312" w:hAnsi="仿宋" w:eastAsia="仿宋_GB2312" w:cs="仿宋"/>
          <w:b/>
          <w:bCs/>
          <w:sz w:val="24"/>
        </w:rPr>
      </w:pPr>
      <w:r>
        <w:rPr>
          <w:rFonts w:hint="eastAsia" w:ascii="仿宋_GB2312" w:hAnsi="仿宋" w:eastAsia="仿宋_GB2312" w:cs="仿宋"/>
          <w:b/>
          <w:bCs/>
          <w:sz w:val="24"/>
        </w:rPr>
        <w:t>42、签订合同</w:t>
      </w:r>
    </w:p>
    <w:p w14:paraId="662B3372">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42.1 采购人与成交人应当在成交通知书发出之日起三十日内，按照磋商文件确定的事项签订政府采购合同。成交人未在规定时间内签订合同的，采购人有权要求成交人赔偿其未签订合同所造成的损失。</w:t>
      </w:r>
    </w:p>
    <w:p w14:paraId="3C87FC56">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42.2 成交人按规定的日期、时间、地点，由法定代表人或其授权代表与采购人代表签订合同。如成交人为联合体的，由联合体成员各方法定代表人或其授权代表与采购人代表签订合同。</w:t>
      </w:r>
    </w:p>
    <w:p w14:paraId="6916B225">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42.3 如签订合同并生效后，供应商无故拒绝或延期，除按照合同条款处理外，列入不良行为记录一次，并给予通报。</w:t>
      </w:r>
    </w:p>
    <w:p w14:paraId="22768A0D">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42.4 成交人拒绝与采购人签订合同的，采购人可以重新开展政府采购活动。</w:t>
      </w:r>
    </w:p>
    <w:p w14:paraId="696B690D">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42.5 存在下列行为的，采购代理机构将其失信行为上报政府采购主管部门，由主管部门按有关规定对其违法失信行为记录进行公开：</w:t>
      </w:r>
    </w:p>
    <w:p w14:paraId="588CF491">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（1）成交或者成交后，拒绝签订政府采购合同的；</w:t>
      </w:r>
    </w:p>
    <w:p w14:paraId="139D7D17">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（2）磋商有效期内撤销磋商响应文件的。</w:t>
      </w:r>
    </w:p>
    <w:p w14:paraId="121AA5D1">
      <w:pPr>
        <w:adjustRightInd w:val="0"/>
        <w:snapToGrid w:val="0"/>
        <w:spacing w:line="360" w:lineRule="auto"/>
        <w:rPr>
          <w:rFonts w:ascii="仿宋_GB2312" w:hAnsi="仿宋" w:eastAsia="仿宋_GB2312" w:cs="仿宋"/>
          <w:b/>
          <w:bCs/>
          <w:sz w:val="24"/>
          <w:lang w:val="zh-CN"/>
        </w:rPr>
      </w:pPr>
      <w:r>
        <w:rPr>
          <w:rFonts w:hint="eastAsia" w:ascii="仿宋_GB2312" w:hAnsi="仿宋" w:eastAsia="仿宋_GB2312" w:cs="仿宋"/>
          <w:b/>
          <w:bCs/>
          <w:sz w:val="24"/>
        </w:rPr>
        <w:t>43、采购方式改变</w:t>
      </w:r>
    </w:p>
    <w:p w14:paraId="21BE65EB">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在符合资格的磋商供应商不足规定数量或磋商供应商提供的服务及其报价、服务承诺等不能满足采购人要求，以及招标过程中出现其他不正常情况时，经批准，采购代理机构</w:t>
      </w:r>
      <w:r>
        <w:rPr>
          <w:rFonts w:hint="eastAsia" w:ascii="仿宋_GB2312" w:hAnsi="仿宋" w:eastAsia="仿宋_GB2312" w:cs="仿宋"/>
          <w:sz w:val="24"/>
          <w:lang w:val="zh-CN"/>
        </w:rPr>
        <w:t>将根据《政府采购货物和服务招标投标管理办法》(财政部第</w:t>
      </w:r>
      <w:r>
        <w:rPr>
          <w:rFonts w:hint="eastAsia" w:ascii="仿宋_GB2312" w:hAnsi="仿宋" w:eastAsia="仿宋_GB2312" w:cs="仿宋"/>
          <w:sz w:val="24"/>
        </w:rPr>
        <w:t>87</w:t>
      </w:r>
      <w:r>
        <w:rPr>
          <w:rFonts w:hint="eastAsia" w:ascii="仿宋_GB2312" w:hAnsi="仿宋" w:eastAsia="仿宋_GB2312" w:cs="仿宋"/>
          <w:sz w:val="24"/>
          <w:lang w:val="zh-CN"/>
        </w:rPr>
        <w:t>号令)，</w:t>
      </w:r>
      <w:r>
        <w:rPr>
          <w:rFonts w:hint="eastAsia" w:ascii="仿宋_GB2312" w:hAnsi="仿宋" w:eastAsia="仿宋_GB2312" w:cs="仿宋"/>
          <w:sz w:val="24"/>
        </w:rPr>
        <w:t>重新选择合适的方式进行采购。</w:t>
      </w:r>
    </w:p>
    <w:p w14:paraId="2066E65B">
      <w:pPr>
        <w:adjustRightInd w:val="0"/>
        <w:snapToGrid w:val="0"/>
        <w:spacing w:line="360" w:lineRule="auto"/>
        <w:rPr>
          <w:rFonts w:ascii="仿宋_GB2312" w:hAnsi="仿宋" w:eastAsia="仿宋_GB2312" w:cs="仿宋"/>
          <w:b/>
          <w:bCs/>
          <w:sz w:val="24"/>
        </w:rPr>
      </w:pPr>
      <w:r>
        <w:rPr>
          <w:rFonts w:hint="eastAsia" w:ascii="仿宋_GB2312" w:hAnsi="仿宋" w:eastAsia="仿宋_GB2312" w:cs="仿宋"/>
          <w:b/>
          <w:bCs/>
          <w:sz w:val="24"/>
        </w:rPr>
        <w:t>44、质疑和投诉</w:t>
      </w:r>
    </w:p>
    <w:p w14:paraId="3ECAAD0D">
      <w:pPr>
        <w:adjustRightInd w:val="0"/>
        <w:snapToGrid w:val="0"/>
        <w:spacing w:line="360" w:lineRule="auto"/>
        <w:ind w:firstLine="482" w:firstLineChars="200"/>
        <w:rPr>
          <w:rFonts w:ascii="仿宋_GB2312" w:hAnsi="仿宋" w:eastAsia="仿宋_GB2312" w:cs="仿宋"/>
          <w:b/>
          <w:bCs/>
          <w:sz w:val="24"/>
          <w:lang w:val="zh-CN"/>
        </w:rPr>
      </w:pPr>
      <w:r>
        <w:rPr>
          <w:rFonts w:hint="eastAsia" w:ascii="仿宋_GB2312" w:hAnsi="仿宋" w:eastAsia="仿宋_GB2312" w:cs="仿宋"/>
          <w:b/>
          <w:bCs/>
          <w:sz w:val="24"/>
        </w:rPr>
        <w:t>44</w:t>
      </w:r>
      <w:r>
        <w:rPr>
          <w:rFonts w:hint="eastAsia" w:ascii="仿宋_GB2312" w:hAnsi="仿宋" w:eastAsia="仿宋_GB2312" w:cs="仿宋"/>
          <w:b/>
          <w:bCs/>
          <w:sz w:val="24"/>
          <w:lang w:val="zh-CN"/>
        </w:rPr>
        <w:t>.1</w:t>
      </w:r>
      <w:r>
        <w:rPr>
          <w:rFonts w:hint="eastAsia" w:ascii="仿宋_GB2312" w:hAnsi="仿宋" w:eastAsia="仿宋_GB2312" w:cs="仿宋"/>
          <w:b/>
          <w:bCs/>
          <w:sz w:val="24"/>
        </w:rPr>
        <w:t xml:space="preserve"> </w:t>
      </w:r>
      <w:r>
        <w:rPr>
          <w:rFonts w:hint="eastAsia" w:ascii="仿宋_GB2312" w:hAnsi="仿宋" w:eastAsia="仿宋_GB2312" w:cs="仿宋"/>
          <w:b/>
          <w:bCs/>
          <w:sz w:val="24"/>
          <w:lang w:val="zh-CN"/>
        </w:rPr>
        <w:t>供应商询问</w:t>
      </w:r>
    </w:p>
    <w:p w14:paraId="2FFB4446">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供应商可以就采购活动中的事项向采购代理机构提出询问，采购代理机构将对此作出答复，答复的内容不得涉及须保密的内容和商业秘密。</w:t>
      </w:r>
    </w:p>
    <w:p w14:paraId="217353FD">
      <w:pPr>
        <w:adjustRightInd w:val="0"/>
        <w:snapToGrid w:val="0"/>
        <w:spacing w:line="360" w:lineRule="auto"/>
        <w:ind w:firstLine="482" w:firstLineChars="200"/>
        <w:rPr>
          <w:rFonts w:ascii="仿宋_GB2312" w:hAnsi="仿宋" w:eastAsia="仿宋_GB2312" w:cs="仿宋"/>
          <w:b/>
          <w:bCs/>
          <w:sz w:val="24"/>
          <w:lang w:val="zh-CN"/>
        </w:rPr>
      </w:pPr>
      <w:r>
        <w:rPr>
          <w:rFonts w:hint="eastAsia" w:ascii="仿宋_GB2312" w:hAnsi="仿宋" w:eastAsia="仿宋_GB2312" w:cs="仿宋"/>
          <w:b/>
          <w:bCs/>
          <w:sz w:val="24"/>
        </w:rPr>
        <w:t>44</w:t>
      </w:r>
      <w:r>
        <w:rPr>
          <w:rFonts w:hint="eastAsia" w:ascii="仿宋_GB2312" w:hAnsi="仿宋" w:eastAsia="仿宋_GB2312" w:cs="仿宋"/>
          <w:b/>
          <w:bCs/>
          <w:sz w:val="24"/>
          <w:lang w:val="zh-CN"/>
        </w:rPr>
        <w:t>.2</w:t>
      </w:r>
      <w:r>
        <w:rPr>
          <w:rFonts w:hint="eastAsia" w:ascii="仿宋_GB2312" w:hAnsi="仿宋" w:eastAsia="仿宋_GB2312" w:cs="仿宋"/>
          <w:b/>
          <w:bCs/>
          <w:sz w:val="24"/>
        </w:rPr>
        <w:t xml:space="preserve"> </w:t>
      </w:r>
      <w:r>
        <w:rPr>
          <w:rFonts w:hint="eastAsia" w:ascii="仿宋_GB2312" w:hAnsi="仿宋" w:eastAsia="仿宋_GB2312" w:cs="仿宋"/>
          <w:b/>
          <w:bCs/>
          <w:sz w:val="24"/>
          <w:lang w:val="zh-CN"/>
        </w:rPr>
        <w:t>供应商质疑</w:t>
      </w:r>
    </w:p>
    <w:p w14:paraId="5ACF9BC4">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w:t>
      </w:r>
      <w:r>
        <w:rPr>
          <w:rFonts w:hint="eastAsia" w:ascii="仿宋_GB2312" w:hAnsi="仿宋" w:eastAsia="仿宋_GB2312" w:cs="仿宋"/>
          <w:sz w:val="24"/>
          <w:lang w:val="zh-CN"/>
        </w:rPr>
        <w:t>.2</w:t>
      </w:r>
      <w:r>
        <w:rPr>
          <w:rFonts w:hint="eastAsia" w:ascii="仿宋_GB2312" w:hAnsi="仿宋" w:eastAsia="仿宋_GB2312" w:cs="仿宋"/>
          <w:sz w:val="24"/>
        </w:rPr>
        <w:t>.1 提出质疑的供应商应当是参与所质疑项目采购活动的供应商。潜在供应商已依法获取其可质疑的磋商文件的，可以对该文件提出质疑。</w:t>
      </w:r>
    </w:p>
    <w:p w14:paraId="7BCAD9B0">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w:t>
      </w:r>
      <w:r>
        <w:rPr>
          <w:rFonts w:hint="eastAsia" w:ascii="仿宋_GB2312" w:hAnsi="仿宋" w:eastAsia="仿宋_GB2312" w:cs="仿宋"/>
          <w:sz w:val="24"/>
          <w:lang w:val="zh-CN"/>
        </w:rPr>
        <w:t>.2</w:t>
      </w:r>
      <w:r>
        <w:rPr>
          <w:rFonts w:hint="eastAsia" w:ascii="仿宋_GB2312" w:hAnsi="仿宋" w:eastAsia="仿宋_GB2312" w:cs="仿宋"/>
          <w:sz w:val="24"/>
        </w:rPr>
        <w:t>.2 供应商认为磋商文件、采购过程和成交结果使自己的权益受到损害的，可以在知道或者应知其权益受到损害之日起七个工作日内，以书面形式向采购人或者采购代理机构提出质疑，否则，采购人或者采购代理机构不予受理：</w:t>
      </w:r>
    </w:p>
    <w:p w14:paraId="5703691A">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1）对磋商文件提出质疑的，质疑期限为供应商获得磋商文件之日或者磋商文件公告期限届满之日起计算。磋商文件在获取截止之日后获得的，应当自磋商文件公告期限届满之日起计算，且应当在采购响应截止时间之前提出。</w:t>
      </w:r>
    </w:p>
    <w:p w14:paraId="25C1822C">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2）对采购过程提出质疑的，质疑期限为各采购程序环节结束之日起计算。对同一采购程序环节的质疑，供应商须一次性提出。对采购过程中有关现场考察或开标前答疑会事项提出的质疑，由采购代理机构负责答复；对采购过程中其它事项提出的质疑，原则上由采购代理机构负责答复。</w:t>
      </w:r>
    </w:p>
    <w:p w14:paraId="28D65BD6">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（3）对采购结果提出质疑的，质疑期限自采购结果公告期限届满之日起计算。对采购结果提出质疑的，采购代理机构负责答复。</w:t>
      </w:r>
    </w:p>
    <w:p w14:paraId="685C38DD">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44.2.3 供应商提出质疑应当提交质疑函和必要的证明材料。质疑函应当包括下列内容：</w:t>
      </w:r>
    </w:p>
    <w:p w14:paraId="0C8A541F">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44.2.3.1 供应商的姓名或者名称、地址、邮编、联系人及联系电话；</w:t>
      </w:r>
    </w:p>
    <w:p w14:paraId="27071586">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w:t>
      </w:r>
      <w:r>
        <w:rPr>
          <w:rFonts w:hint="eastAsia" w:ascii="仿宋_GB2312" w:hAnsi="仿宋" w:eastAsia="仿宋_GB2312" w:cs="仿宋"/>
          <w:sz w:val="24"/>
          <w:lang w:val="zh-CN"/>
        </w:rPr>
        <w:t>.2.3.2</w:t>
      </w:r>
      <w:r>
        <w:rPr>
          <w:rFonts w:hint="eastAsia" w:ascii="仿宋_GB2312" w:hAnsi="仿宋" w:eastAsia="仿宋_GB2312" w:cs="仿宋"/>
          <w:sz w:val="24"/>
        </w:rPr>
        <w:t xml:space="preserve"> 质疑项目的名称、编号；</w:t>
      </w:r>
    </w:p>
    <w:p w14:paraId="7452A49E">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w:t>
      </w:r>
      <w:r>
        <w:rPr>
          <w:rFonts w:hint="eastAsia" w:ascii="仿宋_GB2312" w:hAnsi="仿宋" w:eastAsia="仿宋_GB2312" w:cs="仿宋"/>
          <w:sz w:val="24"/>
          <w:lang w:val="zh-CN"/>
        </w:rPr>
        <w:t>.2.3.3</w:t>
      </w:r>
      <w:r>
        <w:rPr>
          <w:rFonts w:hint="eastAsia" w:ascii="仿宋_GB2312" w:hAnsi="仿宋" w:eastAsia="仿宋_GB2312" w:cs="仿宋"/>
          <w:sz w:val="24"/>
        </w:rPr>
        <w:t xml:space="preserve"> 具体、明确的质疑事项和与质疑事项相关的请求；</w:t>
      </w:r>
    </w:p>
    <w:p w14:paraId="09341283">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w:t>
      </w:r>
      <w:r>
        <w:rPr>
          <w:rFonts w:hint="eastAsia" w:ascii="仿宋_GB2312" w:hAnsi="仿宋" w:eastAsia="仿宋_GB2312" w:cs="仿宋"/>
          <w:sz w:val="24"/>
          <w:lang w:val="zh-CN"/>
        </w:rPr>
        <w:t>.2.3.4</w:t>
      </w:r>
      <w:r>
        <w:rPr>
          <w:rFonts w:hint="eastAsia" w:ascii="仿宋_GB2312" w:hAnsi="仿宋" w:eastAsia="仿宋_GB2312" w:cs="仿宋"/>
          <w:sz w:val="24"/>
        </w:rPr>
        <w:t xml:space="preserve"> 事实依据；</w:t>
      </w:r>
    </w:p>
    <w:p w14:paraId="4B71FC1A">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w:t>
      </w:r>
      <w:r>
        <w:rPr>
          <w:rFonts w:hint="eastAsia" w:ascii="仿宋_GB2312" w:hAnsi="仿宋" w:eastAsia="仿宋_GB2312" w:cs="仿宋"/>
          <w:sz w:val="24"/>
          <w:lang w:val="zh-CN"/>
        </w:rPr>
        <w:t>.2.3.5</w:t>
      </w:r>
      <w:r>
        <w:rPr>
          <w:rFonts w:hint="eastAsia" w:ascii="仿宋_GB2312" w:hAnsi="仿宋" w:eastAsia="仿宋_GB2312" w:cs="仿宋"/>
          <w:sz w:val="24"/>
        </w:rPr>
        <w:t xml:space="preserve"> 必要的法律依据；</w:t>
      </w:r>
    </w:p>
    <w:p w14:paraId="110F3D46">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w:t>
      </w:r>
      <w:r>
        <w:rPr>
          <w:rFonts w:hint="eastAsia" w:ascii="仿宋_GB2312" w:hAnsi="仿宋" w:eastAsia="仿宋_GB2312" w:cs="仿宋"/>
          <w:sz w:val="24"/>
          <w:lang w:val="zh-CN"/>
        </w:rPr>
        <w:t>.2.3.6</w:t>
      </w:r>
      <w:r>
        <w:rPr>
          <w:rFonts w:hint="eastAsia" w:ascii="仿宋_GB2312" w:hAnsi="仿宋" w:eastAsia="仿宋_GB2312" w:cs="仿宋"/>
          <w:sz w:val="24"/>
        </w:rPr>
        <w:t xml:space="preserve"> 提出质疑的日期。</w:t>
      </w:r>
    </w:p>
    <w:p w14:paraId="18A9A0EF">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供应商提交的质疑函需一式三份。供应商为自然人的，应当由本人签字；供应商为法人或者其他组织的，应当由法定代表人、主要负责人，或者其授权代表签字或者盖章，并加盖公章。</w:t>
      </w:r>
    </w:p>
    <w:p w14:paraId="1FB6F34C">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w:t>
      </w:r>
      <w:r>
        <w:rPr>
          <w:rFonts w:hint="eastAsia" w:ascii="仿宋_GB2312" w:hAnsi="仿宋" w:eastAsia="仿宋_GB2312" w:cs="仿宋"/>
          <w:sz w:val="24"/>
          <w:lang w:val="zh-CN"/>
        </w:rPr>
        <w:t>.2</w:t>
      </w:r>
      <w:r>
        <w:rPr>
          <w:rFonts w:hint="eastAsia" w:ascii="仿宋_GB2312" w:hAnsi="仿宋" w:eastAsia="仿宋_GB2312" w:cs="仿宋"/>
          <w:sz w:val="24"/>
        </w:rPr>
        <w:t>.4 采购代理机构应当在收到供应商的书面质疑后七个工作日内作出答复，并以书面形式通知质疑供应商和其他与质疑处理结果有利害关系的政府采购当事人，但答复的内容不得涉及须保密的内容和商业秘密。</w:t>
      </w:r>
    </w:p>
    <w:p w14:paraId="4F1F7148">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w:t>
      </w:r>
      <w:r>
        <w:rPr>
          <w:rFonts w:hint="eastAsia" w:ascii="仿宋_GB2312" w:hAnsi="仿宋" w:eastAsia="仿宋_GB2312" w:cs="仿宋"/>
          <w:sz w:val="24"/>
          <w:lang w:val="zh-CN"/>
        </w:rPr>
        <w:t>.2</w:t>
      </w:r>
      <w:r>
        <w:rPr>
          <w:rFonts w:hint="eastAsia" w:ascii="仿宋_GB2312" w:hAnsi="仿宋" w:eastAsia="仿宋_GB2312" w:cs="仿宋"/>
          <w:sz w:val="24"/>
        </w:rPr>
        <w:t>.5 询问或者质疑事项可能影响采购结果的，采购人应当暂停签订合同，已经签订合同的，应当中止履行合同。</w:t>
      </w:r>
    </w:p>
    <w:p w14:paraId="2E62C74D">
      <w:pPr>
        <w:adjustRightInd w:val="0"/>
        <w:snapToGrid w:val="0"/>
        <w:spacing w:line="360" w:lineRule="auto"/>
        <w:ind w:firstLine="482" w:firstLineChars="200"/>
        <w:rPr>
          <w:rFonts w:ascii="仿宋_GB2312" w:hAnsi="仿宋" w:eastAsia="仿宋_GB2312" w:cs="仿宋"/>
          <w:b/>
          <w:bCs/>
          <w:sz w:val="24"/>
          <w:lang w:val="zh-CN"/>
        </w:rPr>
      </w:pPr>
      <w:r>
        <w:rPr>
          <w:rFonts w:hint="eastAsia" w:ascii="仿宋_GB2312" w:hAnsi="仿宋" w:eastAsia="仿宋_GB2312" w:cs="仿宋"/>
          <w:b/>
          <w:bCs/>
          <w:sz w:val="24"/>
        </w:rPr>
        <w:t>44</w:t>
      </w:r>
      <w:r>
        <w:rPr>
          <w:rFonts w:hint="eastAsia" w:ascii="仿宋_GB2312" w:hAnsi="仿宋" w:eastAsia="仿宋_GB2312" w:cs="仿宋"/>
          <w:b/>
          <w:bCs/>
          <w:sz w:val="24"/>
          <w:lang w:val="zh-CN"/>
        </w:rPr>
        <w:t>.3</w:t>
      </w:r>
      <w:r>
        <w:rPr>
          <w:rFonts w:hint="eastAsia" w:ascii="仿宋_GB2312" w:hAnsi="仿宋" w:eastAsia="仿宋_GB2312" w:cs="仿宋"/>
          <w:b/>
          <w:bCs/>
          <w:sz w:val="24"/>
        </w:rPr>
        <w:t xml:space="preserve"> </w:t>
      </w:r>
      <w:r>
        <w:rPr>
          <w:rFonts w:hint="eastAsia" w:ascii="仿宋_GB2312" w:hAnsi="仿宋" w:eastAsia="仿宋_GB2312" w:cs="仿宋"/>
          <w:b/>
          <w:bCs/>
          <w:sz w:val="24"/>
          <w:lang w:val="zh-CN"/>
        </w:rPr>
        <w:t>供应商投诉</w:t>
      </w:r>
    </w:p>
    <w:p w14:paraId="0EF179B2">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44.3.1 质疑供应商对采购代理机构的答复不满意或者采购代理机构未在规定的时间内作出答复的，可以在答复期满后15个工作日内向同级政府采购监督管理部门提出投诉。</w:t>
      </w:r>
    </w:p>
    <w:p w14:paraId="5105F2AF">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44.3.</w:t>
      </w:r>
      <w:r>
        <w:rPr>
          <w:rFonts w:hint="eastAsia" w:ascii="仿宋_GB2312" w:hAnsi="仿宋" w:eastAsia="仿宋_GB2312" w:cs="仿宋"/>
          <w:sz w:val="24"/>
          <w:lang w:val="zh-CN"/>
        </w:rPr>
        <w:t>2</w:t>
      </w:r>
      <w:r>
        <w:rPr>
          <w:rFonts w:hint="eastAsia" w:ascii="仿宋_GB2312" w:hAnsi="仿宋" w:eastAsia="仿宋_GB2312" w:cs="仿宋"/>
          <w:sz w:val="24"/>
        </w:rPr>
        <w:t xml:space="preserve"> 供应商投诉的事项不得超出已质疑事项的范围，基于质疑答复内容提出的投诉事项除外。</w:t>
      </w:r>
    </w:p>
    <w:p w14:paraId="49D252C2">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44.3.3 供应商投诉应当有明确的请求和必要的证明材料。</w:t>
      </w:r>
    </w:p>
    <w:p w14:paraId="754D6DDD">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44.3.4 以联合体形式参加政府采购活动的，其投诉应当由组成联合体的所有供应商共同提出。</w:t>
      </w:r>
    </w:p>
    <w:p w14:paraId="0DDC6F03">
      <w:pPr>
        <w:adjustRightInd w:val="0"/>
        <w:snapToGrid w:val="0"/>
        <w:spacing w:line="360" w:lineRule="auto"/>
        <w:rPr>
          <w:rFonts w:ascii="仿宋_GB2312" w:hAnsi="仿宋" w:eastAsia="仿宋_GB2312" w:cs="仿宋"/>
          <w:b/>
          <w:bCs/>
          <w:sz w:val="24"/>
        </w:rPr>
      </w:pPr>
      <w:r>
        <w:rPr>
          <w:rFonts w:hint="eastAsia" w:ascii="仿宋_GB2312" w:hAnsi="仿宋" w:eastAsia="仿宋_GB2312" w:cs="仿宋"/>
          <w:b/>
          <w:bCs/>
          <w:sz w:val="24"/>
        </w:rPr>
        <w:t>45、解释权</w:t>
      </w:r>
    </w:p>
    <w:p w14:paraId="5102C947">
      <w:pPr>
        <w:adjustRightInd w:val="0"/>
        <w:snapToGrid w:val="0"/>
        <w:spacing w:line="360" w:lineRule="auto"/>
        <w:ind w:firstLine="480" w:firstLineChars="200"/>
        <w:rPr>
          <w:rFonts w:ascii="仿宋_GB2312" w:hAnsi="仿宋" w:eastAsia="仿宋_GB2312" w:cs="仿宋"/>
          <w:sz w:val="24"/>
        </w:rPr>
      </w:pPr>
      <w:r>
        <w:rPr>
          <w:rFonts w:hint="eastAsia" w:ascii="仿宋_GB2312" w:hAnsi="仿宋" w:eastAsia="仿宋_GB2312" w:cs="仿宋"/>
          <w:sz w:val="24"/>
        </w:rPr>
        <w:t>磋商文件的解释权属于</w:t>
      </w:r>
      <w:r>
        <w:rPr>
          <w:rFonts w:hint="eastAsia" w:ascii="仿宋_GB2312" w:hAnsi="仿宋" w:eastAsia="仿宋_GB2312" w:cs="仿宋"/>
          <w:sz w:val="24"/>
          <w:lang w:eastAsia="zh-CN"/>
        </w:rPr>
        <w:t>中共浙江省委组织部（本级）</w:t>
      </w:r>
      <w:r>
        <w:rPr>
          <w:rFonts w:hint="eastAsia" w:ascii="仿宋_GB2312" w:hAnsi="仿宋" w:eastAsia="仿宋_GB2312" w:cs="仿宋"/>
          <w:sz w:val="24"/>
        </w:rPr>
        <w:t>。</w:t>
      </w:r>
    </w:p>
    <w:p w14:paraId="30DD2737">
      <w:pPr>
        <w:adjustRightInd w:val="0"/>
        <w:snapToGrid w:val="0"/>
        <w:spacing w:line="360" w:lineRule="auto"/>
        <w:jc w:val="center"/>
        <w:rPr>
          <w:rFonts w:ascii="仿宋_GB2312" w:hAnsi="仿宋" w:eastAsia="仿宋_GB2312" w:cs="仿宋"/>
          <w:b/>
          <w:sz w:val="32"/>
          <w:szCs w:val="32"/>
        </w:rPr>
      </w:pPr>
      <w:r>
        <w:rPr>
          <w:rFonts w:hint="eastAsia" w:ascii="仿宋_GB2312" w:hAnsi="仿宋" w:eastAsia="仿宋_GB2312" w:cs="仿宋"/>
          <w:b/>
          <w:sz w:val="32"/>
          <w:szCs w:val="32"/>
        </w:rPr>
        <w:br w:type="page"/>
      </w:r>
      <w:r>
        <w:rPr>
          <w:rFonts w:hint="eastAsia" w:ascii="仿宋_GB2312" w:hAnsi="仿宋" w:eastAsia="仿宋_GB2312" w:cs="仿宋"/>
          <w:b/>
          <w:sz w:val="32"/>
          <w:szCs w:val="32"/>
        </w:rPr>
        <w:t>第三部分  项目需求</w:t>
      </w:r>
    </w:p>
    <w:p w14:paraId="545985D8">
      <w:pPr>
        <w:pStyle w:val="17"/>
        <w:adjustRightInd w:val="0"/>
        <w:snapToGrid w:val="0"/>
        <w:spacing w:beforeLines="0" w:afterLines="0" w:line="360" w:lineRule="auto"/>
        <w:ind w:firstLine="562" w:firstLineChars="200"/>
        <w:jc w:val="left"/>
        <w:rPr>
          <w:rFonts w:hint="eastAsia" w:ascii="仿宋" w:hAnsi="仿宋" w:eastAsia="仿宋" w:cs="仿宋"/>
          <w:b/>
          <w:bCs w:val="0"/>
          <w:sz w:val="28"/>
          <w:szCs w:val="28"/>
        </w:rPr>
      </w:pPr>
      <w:r>
        <w:rPr>
          <w:rFonts w:hint="eastAsia" w:ascii="仿宋" w:hAnsi="仿宋" w:eastAsia="仿宋" w:cs="仿宋"/>
          <w:b/>
          <w:bCs w:val="0"/>
          <w:sz w:val="28"/>
          <w:szCs w:val="28"/>
        </w:rPr>
        <w:t>一、项目</w:t>
      </w:r>
      <w:r>
        <w:rPr>
          <w:rFonts w:hint="eastAsia" w:ascii="仿宋" w:hAnsi="仿宋" w:eastAsia="仿宋" w:cs="仿宋"/>
          <w:b/>
          <w:bCs w:val="0"/>
          <w:sz w:val="28"/>
          <w:szCs w:val="28"/>
          <w:lang w:val="en-US" w:eastAsia="zh-CN"/>
        </w:rPr>
        <w:t>概况</w:t>
      </w:r>
    </w:p>
    <w:p w14:paraId="273F6862">
      <w:pPr>
        <w:widowControl/>
        <w:spacing w:line="360" w:lineRule="auto"/>
        <w:ind w:firstLine="480" w:firstLineChars="200"/>
        <w:rPr>
          <w:rFonts w:hint="eastAsia" w:ascii="仿宋_GB2312" w:hAnsi="仿宋" w:eastAsia="仿宋_GB2312" w:cs="仿宋"/>
          <w:b w:val="0"/>
          <w:bCs w:val="0"/>
          <w:sz w:val="24"/>
        </w:rPr>
      </w:pPr>
      <w:r>
        <w:rPr>
          <w:rFonts w:hint="eastAsia" w:ascii="仿宋_GB2312" w:hAnsi="仿宋" w:eastAsia="仿宋_GB2312" w:cs="仿宋"/>
          <w:b w:val="0"/>
          <w:bCs w:val="0"/>
          <w:sz w:val="24"/>
        </w:rPr>
        <w:t>（1）项目名称：流动党员一体智管系统项目。</w:t>
      </w:r>
    </w:p>
    <w:p w14:paraId="1AC6ACBE">
      <w:pPr>
        <w:widowControl/>
        <w:adjustRightInd w:val="0"/>
        <w:snapToGrid w:val="0"/>
        <w:spacing w:line="360" w:lineRule="auto"/>
        <w:ind w:firstLine="480" w:firstLineChars="200"/>
        <w:rPr>
          <w:rFonts w:hint="eastAsia" w:ascii="仿宋_GB2312" w:hAnsi="仿宋" w:eastAsia="仿宋_GB2312" w:cs="仿宋"/>
          <w:sz w:val="24"/>
          <w:lang w:val="en-US" w:eastAsia="zh-CN"/>
        </w:rPr>
      </w:pPr>
      <w:r>
        <w:rPr>
          <w:rFonts w:hint="eastAsia" w:ascii="仿宋_GB2312" w:hAnsi="仿宋" w:eastAsia="仿宋_GB2312" w:cs="仿宋"/>
          <w:b w:val="0"/>
          <w:bCs w:val="0"/>
          <w:kern w:val="2"/>
          <w:sz w:val="24"/>
          <w:szCs w:val="24"/>
          <w:lang w:val="en-US" w:eastAsia="zh-CN" w:bidi="ar-SA"/>
        </w:rPr>
        <w:t>（2）项目内容：</w:t>
      </w:r>
      <w:r>
        <w:rPr>
          <w:rFonts w:hint="eastAsia" w:ascii="仿宋_GB2312" w:hAnsi="仿宋" w:eastAsia="仿宋_GB2312" w:cs="仿宋"/>
          <w:sz w:val="24"/>
          <w:lang w:val="en-US" w:eastAsia="zh-CN"/>
        </w:rPr>
        <w:t>对流动党员一体智管应用相关功能迭代升级完善。</w:t>
      </w:r>
    </w:p>
    <w:p w14:paraId="2F2B1EF8">
      <w:pPr>
        <w:widowControl/>
        <w:adjustRightInd w:val="0"/>
        <w:snapToGrid w:val="0"/>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（3）项目预算：</w:t>
      </w:r>
      <w:r>
        <w:rPr>
          <w:rFonts w:hint="eastAsia" w:ascii="仿宋_GB2312" w:hAnsi="仿宋" w:eastAsia="仿宋_GB2312" w:cs="仿宋"/>
          <w:sz w:val="24"/>
          <w:lang w:val="en-US" w:eastAsia="zh-CN"/>
        </w:rPr>
        <w:t>33.95</w:t>
      </w:r>
      <w:r>
        <w:rPr>
          <w:rFonts w:hint="eastAsia" w:ascii="仿宋_GB2312" w:hAnsi="仿宋" w:eastAsia="仿宋_GB2312" w:cs="仿宋"/>
          <w:sz w:val="24"/>
        </w:rPr>
        <w:t>万元。</w:t>
      </w:r>
    </w:p>
    <w:p w14:paraId="601F61B0">
      <w:pPr>
        <w:widowControl/>
        <w:adjustRightInd w:val="0"/>
        <w:snapToGrid w:val="0"/>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（4）项目服务期限：合同签订之日起2个月内完成系统开发，完成试运行后进行验收。</w:t>
      </w:r>
    </w:p>
    <w:p w14:paraId="12902E1F">
      <w:pPr>
        <w:widowControl/>
        <w:adjustRightInd w:val="0"/>
        <w:snapToGrid w:val="0"/>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（5）项目地点：杭州市西湖区省府路8号。</w:t>
      </w:r>
    </w:p>
    <w:p w14:paraId="0E85B80B">
      <w:pPr>
        <w:pStyle w:val="17"/>
        <w:adjustRightInd w:val="0"/>
        <w:snapToGrid w:val="0"/>
        <w:spacing w:beforeLines="0" w:afterLines="0" w:line="360" w:lineRule="auto"/>
        <w:ind w:firstLine="562" w:firstLineChars="200"/>
        <w:jc w:val="left"/>
        <w:rPr>
          <w:rFonts w:hint="eastAsia" w:ascii="仿宋" w:hAnsi="仿宋" w:eastAsia="仿宋" w:cs="仿宋"/>
          <w:b/>
          <w:bCs w:val="0"/>
          <w:sz w:val="28"/>
          <w:szCs w:val="28"/>
        </w:rPr>
      </w:pPr>
    </w:p>
    <w:p w14:paraId="1C30070F">
      <w:pPr>
        <w:pStyle w:val="17"/>
        <w:adjustRightInd w:val="0"/>
        <w:snapToGrid w:val="0"/>
        <w:spacing w:beforeLines="0" w:afterLines="0" w:line="360" w:lineRule="auto"/>
        <w:ind w:firstLine="562" w:firstLineChars="200"/>
        <w:jc w:val="left"/>
        <w:rPr>
          <w:rFonts w:hint="eastAsia" w:ascii="仿宋" w:hAnsi="仿宋" w:eastAsia="仿宋" w:cs="仿宋"/>
          <w:b w:val="0"/>
          <w:bCs/>
          <w:lang w:eastAsia="zh-CN"/>
        </w:rPr>
      </w:pPr>
      <w:r>
        <w:rPr>
          <w:rFonts w:hint="eastAsia" w:ascii="仿宋" w:hAnsi="仿宋" w:eastAsia="仿宋" w:cs="仿宋"/>
          <w:b/>
          <w:bCs w:val="0"/>
          <w:sz w:val="28"/>
          <w:szCs w:val="28"/>
        </w:rPr>
        <w:t>二、</w:t>
      </w:r>
      <w:r>
        <w:rPr>
          <w:rFonts w:hint="eastAsia" w:ascii="仿宋" w:hAnsi="仿宋" w:eastAsia="仿宋" w:cs="仿宋"/>
          <w:b/>
          <w:bCs w:val="0"/>
          <w:sz w:val="28"/>
          <w:szCs w:val="28"/>
          <w:lang w:val="en-US" w:eastAsia="zh-CN"/>
        </w:rPr>
        <w:t>项目</w:t>
      </w:r>
      <w:r>
        <w:rPr>
          <w:rFonts w:hint="eastAsia" w:ascii="仿宋" w:hAnsi="仿宋" w:eastAsia="仿宋" w:cs="仿宋"/>
          <w:b/>
          <w:bCs w:val="0"/>
          <w:sz w:val="28"/>
          <w:szCs w:val="28"/>
        </w:rPr>
        <w:t>目标</w:t>
      </w:r>
    </w:p>
    <w:p w14:paraId="74DAFFB4">
      <w:pPr>
        <w:widowControl/>
        <w:adjustRightInd w:val="0"/>
        <w:snapToGrid w:val="0"/>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本期项目重点聚焦流动党员“全覆盖、全纳管、全闭环”管理目标，在前期先行先试基础上，进一步深化与中组部全国党员管理信息系统有效衔接配套，实现流动党员管理一屏掌控、一键智达、一网通办，持续推动流动党员管理提质增效。</w:t>
      </w:r>
    </w:p>
    <w:p w14:paraId="368DC554">
      <w:pPr>
        <w:widowControl/>
        <w:spacing w:line="360" w:lineRule="auto"/>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三、</w:t>
      </w:r>
      <w:r>
        <w:rPr>
          <w:rFonts w:hint="eastAsia" w:ascii="仿宋" w:hAnsi="仿宋" w:eastAsia="仿宋" w:cs="仿宋"/>
          <w:b/>
          <w:bCs w:val="0"/>
          <w:sz w:val="28"/>
          <w:szCs w:val="28"/>
          <w:lang w:val="en-US" w:eastAsia="zh-CN"/>
        </w:rPr>
        <w:t>项目</w:t>
      </w:r>
      <w:r>
        <w:rPr>
          <w:rFonts w:hint="eastAsia" w:ascii="仿宋" w:hAnsi="仿宋" w:eastAsia="仿宋" w:cs="仿宋"/>
          <w:b/>
          <w:bCs w:val="0"/>
          <w:sz w:val="28"/>
          <w:szCs w:val="28"/>
        </w:rPr>
        <w:t>内容</w:t>
      </w:r>
    </w:p>
    <w:p w14:paraId="7A9197C7">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系统建设</w:t>
      </w:r>
      <w:r>
        <w:rPr>
          <w:rFonts w:hint="eastAsia" w:ascii="仿宋_GB2312" w:hAnsi="仿宋" w:eastAsia="仿宋_GB2312" w:cs="仿宋"/>
          <w:sz w:val="24"/>
          <w:lang w:val="en-US" w:eastAsia="zh-CN"/>
        </w:rPr>
        <w:t>内容包括：</w:t>
      </w:r>
      <w:r>
        <w:rPr>
          <w:rFonts w:hint="eastAsia" w:ascii="仿宋_GB2312" w:hAnsi="仿宋" w:eastAsia="仿宋_GB2312" w:cs="仿宋"/>
          <w:sz w:val="24"/>
        </w:rPr>
        <w:t>一是全面对齐中组部关于流动党员管理的最新政策规范与业务标准，确保系统能覆盖流动党员各应用场景及全国数据交互；二是流动党组织的建设，实现流动党组织从新增、备案审核、日常维护、撤销全流程闭环；</w:t>
      </w:r>
    </w:p>
    <w:p w14:paraId="4E3BF445">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主要建设以下内容，</w:t>
      </w:r>
    </w:p>
    <w:p w14:paraId="500F1383">
      <w:pPr>
        <w:widowControl/>
        <w:spacing w:line="360" w:lineRule="auto"/>
        <w:ind w:firstLine="482" w:firstLineChars="200"/>
        <w:rPr>
          <w:rFonts w:hint="eastAsia" w:ascii="仿宋_GB2312" w:hAnsi="仿宋" w:eastAsia="仿宋_GB2312" w:cs="仿宋"/>
          <w:b/>
          <w:bCs/>
          <w:sz w:val="24"/>
        </w:rPr>
      </w:pPr>
      <w:r>
        <w:rPr>
          <w:rFonts w:hint="eastAsia" w:ascii="仿宋_GB2312" w:hAnsi="仿宋" w:eastAsia="仿宋_GB2312" w:cs="仿宋"/>
          <w:b/>
          <w:bCs/>
          <w:sz w:val="24"/>
        </w:rPr>
        <w:t>1.新增流动党组织管理功能</w:t>
      </w:r>
    </w:p>
    <w:p w14:paraId="2BDE8106">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在流动党员人数较多、相对集中的地方和单位，经县级以上党委批准，可成立流动党员党组织。可新建流入地党组织、新建流出地党组织，对流动党组织进行维护、统计分析。</w:t>
      </w:r>
    </w:p>
    <w:p w14:paraId="0AD6492C">
      <w:pPr>
        <w:widowControl/>
        <w:spacing w:line="360" w:lineRule="auto"/>
        <w:ind w:firstLine="482" w:firstLineChars="200"/>
        <w:rPr>
          <w:rFonts w:hint="eastAsia" w:ascii="仿宋_GB2312" w:hAnsi="仿宋" w:eastAsia="仿宋_GB2312" w:cs="仿宋"/>
          <w:b/>
          <w:bCs/>
          <w:sz w:val="24"/>
        </w:rPr>
      </w:pPr>
      <w:r>
        <w:rPr>
          <w:rFonts w:hint="eastAsia" w:ascii="仿宋_GB2312" w:hAnsi="仿宋" w:eastAsia="仿宋_GB2312" w:cs="仿宋"/>
          <w:b/>
          <w:bCs/>
          <w:sz w:val="24"/>
        </w:rPr>
        <w:t>2.迭代党员管理功能</w:t>
      </w:r>
    </w:p>
    <w:p w14:paraId="2289A53F">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可对流入党员报到登记（未做流出登记）、面向从外地流入本地的党员，提供线上主动报到渠道。对流出党员主动报到（未流出登记），可将流动党员调整到流动党组织，针对已流入的流动党员，管理员主动调整其流向。当党员实际未流出或信息填报有误时，将已撤销及退回的党员信息进行展示，便于流出地党组织及时了解，恢复其在原党组织的正常状态。无固定地点和不掌握流向的流动党员，可以将登记类型展示为无固定地点和不掌握流向的流动党员。</w:t>
      </w:r>
    </w:p>
    <w:p w14:paraId="1372EA87">
      <w:pPr>
        <w:widowControl/>
        <w:spacing w:line="360" w:lineRule="auto"/>
        <w:ind w:firstLine="482" w:firstLineChars="200"/>
        <w:rPr>
          <w:rFonts w:hint="eastAsia" w:ascii="仿宋_GB2312" w:hAnsi="仿宋" w:eastAsia="仿宋_GB2312" w:cs="仿宋"/>
          <w:b/>
          <w:bCs/>
          <w:sz w:val="24"/>
        </w:rPr>
      </w:pPr>
      <w:r>
        <w:rPr>
          <w:rFonts w:hint="eastAsia" w:ascii="仿宋_GB2312" w:hAnsi="仿宋" w:eastAsia="仿宋_GB2312" w:cs="仿宋"/>
          <w:b/>
          <w:bCs/>
          <w:sz w:val="24"/>
        </w:rPr>
        <w:t>3.数据分析</w:t>
      </w:r>
    </w:p>
    <w:p w14:paraId="62388545">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为加强对党员流动管理工作的监督与考核，系统提供多维度督查及统计功能，帮助上级党组织掌握基层纳管及时性、完整性及规范性。系统基于预设规则自动监测异常或临界状态，向相关党组织展示预警提示，防范党员失联、组织关系断档等风险。</w:t>
      </w:r>
    </w:p>
    <w:p w14:paraId="62913D73">
      <w:pPr>
        <w:widowControl/>
        <w:spacing w:line="360" w:lineRule="auto"/>
        <w:ind w:firstLine="482" w:firstLineChars="200"/>
        <w:rPr>
          <w:rFonts w:hint="eastAsia" w:ascii="仿宋_GB2312" w:hAnsi="仿宋" w:eastAsia="仿宋_GB2312" w:cs="仿宋"/>
          <w:b/>
          <w:bCs/>
          <w:sz w:val="24"/>
        </w:rPr>
      </w:pPr>
      <w:r>
        <w:rPr>
          <w:rFonts w:hint="eastAsia" w:ascii="仿宋_GB2312" w:hAnsi="仿宋" w:eastAsia="仿宋_GB2312" w:cs="仿宋"/>
          <w:b/>
          <w:bCs/>
          <w:sz w:val="24"/>
        </w:rPr>
        <w:t>4.交换区流动党员接口对接</w:t>
      </w:r>
    </w:p>
    <w:p w14:paraId="649A6A1C">
      <w:pPr>
        <w:widowControl/>
        <w:spacing w:line="360" w:lineRule="auto"/>
        <w:ind w:firstLine="480" w:firstLineChars="200"/>
        <w:rPr>
          <w:rFonts w:hint="eastAsia" w:ascii="仿宋_GB2312" w:hAnsi="仿宋" w:eastAsia="仿宋_GB2312" w:cs="仿宋"/>
          <w:b w:val="0"/>
          <w:bCs w:val="0"/>
          <w:sz w:val="24"/>
        </w:rPr>
      </w:pPr>
      <w:r>
        <w:rPr>
          <w:rFonts w:hint="eastAsia" w:ascii="仿宋_GB2312" w:hAnsi="仿宋" w:eastAsia="仿宋_GB2312" w:cs="仿宋"/>
          <w:sz w:val="24"/>
        </w:rPr>
        <w:t>对接中组部交换区流动登记上传、流动党员接收上传、流动党员流程信息上传、流动党员流回信息上传、流动党员编辑信息上传、流动党员流动提醒信息上传等接口。实现流动党员功能与全国系统打通。</w:t>
      </w:r>
    </w:p>
    <w:p w14:paraId="12BD30D4">
      <w:pPr>
        <w:widowControl/>
        <w:spacing w:line="360" w:lineRule="auto"/>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四、</w:t>
      </w:r>
      <w:r>
        <w:rPr>
          <w:rFonts w:hint="eastAsia" w:ascii="仿宋" w:hAnsi="仿宋" w:eastAsia="仿宋" w:cs="仿宋"/>
          <w:b/>
          <w:bCs w:val="0"/>
          <w:sz w:val="28"/>
          <w:szCs w:val="28"/>
          <w:lang w:val="en-US" w:eastAsia="zh-CN"/>
        </w:rPr>
        <w:t>项目</w:t>
      </w:r>
      <w:r>
        <w:rPr>
          <w:rFonts w:hint="eastAsia" w:ascii="仿宋" w:hAnsi="仿宋" w:eastAsia="仿宋" w:cs="仿宋"/>
          <w:b/>
          <w:bCs w:val="0"/>
          <w:sz w:val="28"/>
          <w:szCs w:val="28"/>
        </w:rPr>
        <w:t>要求</w:t>
      </w:r>
    </w:p>
    <w:p w14:paraId="0B49D679">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主要建设流动党组织管理功能、迭代党员管理功能、数据分析、中组部交换区流动党员接口对接。实现流动党员管理一屏掌控、一键智达、一网通办，持续推动流动党员管理提质增效。</w:t>
      </w:r>
    </w:p>
    <w:p w14:paraId="1B1A9EBF">
      <w:pPr>
        <w:keepNext w:val="0"/>
        <w:keepLines w:val="0"/>
        <w:widowControl/>
        <w:spacing w:before="0" w:beforeLines="-2147483648" w:after="0" w:afterLines="-2147483648" w:line="360" w:lineRule="auto"/>
        <w:ind w:left="0" w:firstLine="482" w:firstLineChars="200"/>
        <w:jc w:val="left"/>
        <w:outlineLvl w:val="9"/>
        <w:rPr>
          <w:rFonts w:hint="default" w:ascii="仿宋_GB2312" w:hAnsi="仿宋" w:eastAsia="仿宋_GB2312" w:cs="仿宋"/>
          <w:b/>
          <w:bCs/>
          <w:sz w:val="24"/>
        </w:rPr>
      </w:pPr>
      <w:r>
        <w:rPr>
          <w:rFonts w:hint="default" w:ascii="仿宋_GB2312" w:hAnsi="仿宋" w:eastAsia="仿宋_GB2312" w:cs="仿宋"/>
          <w:b/>
          <w:bCs/>
          <w:sz w:val="24"/>
        </w:rPr>
        <w:t>4.</w:t>
      </w:r>
      <w:r>
        <w:rPr>
          <w:rFonts w:hint="eastAsia" w:ascii="仿宋_GB2312" w:hAnsi="仿宋" w:eastAsia="仿宋_GB2312" w:cs="仿宋"/>
          <w:b/>
          <w:bCs/>
          <w:sz w:val="24"/>
        </w:rPr>
        <w:t>1稳定性</w:t>
      </w:r>
      <w:r>
        <w:rPr>
          <w:rFonts w:hint="default" w:ascii="仿宋_GB2312" w:hAnsi="仿宋" w:eastAsia="仿宋_GB2312" w:cs="仿宋"/>
          <w:b/>
          <w:bCs/>
          <w:sz w:val="24"/>
        </w:rPr>
        <w:t>要求</w:t>
      </w:r>
    </w:p>
    <w:p w14:paraId="34242E10">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系统需能够连续7×24小时不间断工作。保证系统数据的一致性、完整性，准确性要求达到99.99%；对于来自不同接口的数据进行合法性检查，确保流程的通畅，并能对错误数据进行自动纠错处理；建立完备的数据存储备份机制，确保数据安全。</w:t>
      </w:r>
    </w:p>
    <w:p w14:paraId="78005F91">
      <w:pPr>
        <w:keepNext w:val="0"/>
        <w:keepLines w:val="0"/>
        <w:widowControl/>
        <w:spacing w:before="0" w:beforeLines="-2147483648" w:after="0" w:afterLines="-2147483648" w:line="360" w:lineRule="auto"/>
        <w:ind w:left="0" w:firstLine="482" w:firstLineChars="200"/>
        <w:jc w:val="left"/>
        <w:outlineLvl w:val="9"/>
        <w:rPr>
          <w:rFonts w:hint="default" w:ascii="仿宋_GB2312" w:hAnsi="仿宋" w:eastAsia="仿宋_GB2312" w:cs="仿宋"/>
          <w:b/>
          <w:bCs/>
          <w:sz w:val="24"/>
        </w:rPr>
      </w:pPr>
      <w:r>
        <w:rPr>
          <w:rFonts w:hint="default" w:ascii="仿宋_GB2312" w:hAnsi="仿宋" w:eastAsia="仿宋_GB2312" w:cs="仿宋"/>
          <w:b/>
          <w:bCs/>
          <w:sz w:val="24"/>
        </w:rPr>
        <w:t>4.</w:t>
      </w:r>
      <w:r>
        <w:rPr>
          <w:rFonts w:hint="eastAsia" w:ascii="仿宋_GB2312" w:hAnsi="仿宋" w:eastAsia="仿宋_GB2312" w:cs="仿宋"/>
          <w:b/>
          <w:bCs/>
          <w:sz w:val="24"/>
        </w:rPr>
        <w:t>2交互性</w:t>
      </w:r>
      <w:r>
        <w:rPr>
          <w:rFonts w:hint="default" w:ascii="仿宋_GB2312" w:hAnsi="仿宋" w:eastAsia="仿宋_GB2312" w:cs="仿宋"/>
          <w:b/>
          <w:bCs/>
          <w:sz w:val="24"/>
        </w:rPr>
        <w:t>要求</w:t>
      </w:r>
    </w:p>
    <w:p w14:paraId="13EFD873">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系统界面设计需结合视觉化元素，符合政务服务主基调，采用字体的协调搭配、柔和的配色、精巧的手势和动效的交互，使整个界面操作给用户带来体验愉悦性，提高操作的直观性，提升内容的可读性和操作性。</w:t>
      </w:r>
    </w:p>
    <w:p w14:paraId="288965CA">
      <w:pPr>
        <w:keepNext w:val="0"/>
        <w:keepLines w:val="0"/>
        <w:widowControl/>
        <w:spacing w:before="0" w:beforeLines="-2147483648" w:after="0" w:afterLines="-2147483648" w:line="360" w:lineRule="auto"/>
        <w:ind w:left="0" w:firstLine="482" w:firstLineChars="200"/>
        <w:jc w:val="left"/>
        <w:outlineLvl w:val="9"/>
        <w:rPr>
          <w:rFonts w:hint="default" w:ascii="仿宋_GB2312" w:hAnsi="仿宋" w:eastAsia="仿宋_GB2312" w:cs="仿宋"/>
          <w:b/>
          <w:bCs/>
          <w:sz w:val="24"/>
        </w:rPr>
      </w:pPr>
      <w:r>
        <w:rPr>
          <w:rFonts w:hint="default" w:ascii="仿宋_GB2312" w:hAnsi="仿宋" w:eastAsia="仿宋_GB2312" w:cs="仿宋"/>
          <w:b/>
          <w:bCs/>
          <w:sz w:val="24"/>
        </w:rPr>
        <w:t>4.</w:t>
      </w:r>
      <w:r>
        <w:rPr>
          <w:rFonts w:hint="eastAsia" w:ascii="仿宋_GB2312" w:hAnsi="仿宋" w:eastAsia="仿宋_GB2312" w:cs="仿宋"/>
          <w:b/>
          <w:bCs/>
          <w:sz w:val="24"/>
        </w:rPr>
        <w:t>3性能</w:t>
      </w:r>
      <w:r>
        <w:rPr>
          <w:rFonts w:hint="default" w:ascii="仿宋_GB2312" w:hAnsi="仿宋" w:eastAsia="仿宋_GB2312" w:cs="仿宋"/>
          <w:b/>
          <w:bCs/>
          <w:sz w:val="24"/>
        </w:rPr>
        <w:t>要求</w:t>
      </w:r>
    </w:p>
    <w:p w14:paraId="46E35FA1">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（1）平均响应时间小于5秒; 海量数据查询最大响应时间不超过15秒（海量数据指千万级以上数据）；</w:t>
      </w:r>
    </w:p>
    <w:p w14:paraId="6F225433">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 xml:space="preserve">（2）CPU平均使用率小于50%; </w:t>
      </w:r>
    </w:p>
    <w:p w14:paraId="5B02D5F2">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（3）系统必须具有很强的健壮性，不因大量用户的访问而造成系统崩溃；</w:t>
      </w:r>
    </w:p>
    <w:p w14:paraId="112F7A6B">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（4）页面系统兼容性好，兼容主流浏览器，如：谷歌、火狐、360浏览器；</w:t>
      </w:r>
    </w:p>
    <w:p w14:paraId="0B702FB6">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（5）应提供登录失败处理功能，可采取限制非法登录次数和自动退出等措施，并有日志可查询；</w:t>
      </w:r>
    </w:p>
    <w:p w14:paraId="219EA79E">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（6）应采用密码技术保证通信过程中数据的完整性；</w:t>
      </w:r>
    </w:p>
    <w:p w14:paraId="4CCD52C5">
      <w:pPr>
        <w:widowControl/>
        <w:numPr>
          <w:ilvl w:val="-1"/>
          <w:numId w:val="0"/>
        </w:numPr>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在通信双方建立连接之前，应用系统应利用密码技术进行会话初始化验证。</w:t>
      </w:r>
    </w:p>
    <w:p w14:paraId="031AF143">
      <w:pPr>
        <w:keepNext w:val="0"/>
        <w:keepLines w:val="0"/>
        <w:widowControl/>
        <w:spacing w:before="0" w:beforeLines="-2147483648" w:after="0" w:afterLines="-2147483648" w:line="360" w:lineRule="auto"/>
        <w:ind w:left="0" w:firstLine="482" w:firstLineChars="200"/>
        <w:jc w:val="left"/>
        <w:outlineLvl w:val="9"/>
        <w:rPr>
          <w:rFonts w:hint="default" w:ascii="仿宋_GB2312" w:hAnsi="仿宋" w:eastAsia="仿宋_GB2312" w:cs="仿宋"/>
          <w:b/>
          <w:bCs/>
          <w:sz w:val="24"/>
        </w:rPr>
      </w:pPr>
      <w:r>
        <w:rPr>
          <w:rFonts w:hint="default" w:ascii="仿宋_GB2312" w:hAnsi="仿宋" w:eastAsia="仿宋_GB2312" w:cs="仿宋"/>
          <w:b/>
          <w:bCs/>
          <w:sz w:val="24"/>
        </w:rPr>
        <w:t>4.</w:t>
      </w:r>
      <w:r>
        <w:rPr>
          <w:rFonts w:hint="eastAsia" w:ascii="仿宋_GB2312" w:hAnsi="仿宋" w:eastAsia="仿宋_GB2312" w:cs="仿宋"/>
          <w:b/>
          <w:bCs/>
          <w:sz w:val="24"/>
        </w:rPr>
        <w:t>4网络安全</w:t>
      </w:r>
      <w:r>
        <w:rPr>
          <w:rFonts w:hint="default" w:ascii="仿宋_GB2312" w:hAnsi="仿宋" w:eastAsia="仿宋_GB2312" w:cs="仿宋"/>
          <w:b/>
          <w:bCs/>
          <w:sz w:val="24"/>
        </w:rPr>
        <w:t>要求</w:t>
      </w:r>
    </w:p>
    <w:p w14:paraId="3BC6940F">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（1）数据库审计和追溯；</w:t>
      </w:r>
    </w:p>
    <w:p w14:paraId="692870AB">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（2）数据存储安全（数据备份、数据访问防火墙)，敏感数据需要加密存储；</w:t>
      </w:r>
    </w:p>
    <w:p w14:paraId="223D2CD8">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（3）数据需要脱敏处理，脱敏要求见省大数据局相关文件。</w:t>
      </w:r>
    </w:p>
    <w:p w14:paraId="497ECB87">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（4）数据传输安全：防止数据传输过程中被截取、篡改，能够检测到鉴别信息和重要业务数据在传输过程中的完整性，应保护措施实现鉴别信息的存储保密性。</w:t>
      </w:r>
    </w:p>
    <w:p w14:paraId="27C1CC00">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（5）数据安全设计：对各类接口进行全面的监控及日志记录，对日志数据进行实时动态分析，将高危安全事件进行提取，并及时通知管理员，加强系统安全性。</w:t>
      </w:r>
    </w:p>
    <w:p w14:paraId="0D8DC29A">
      <w:pPr>
        <w:widowControl/>
        <w:spacing w:line="360" w:lineRule="auto"/>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五、支付条款</w:t>
      </w:r>
    </w:p>
    <w:p w14:paraId="4D18217D">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履约保证金：</w:t>
      </w:r>
      <w:r>
        <w:rPr>
          <w:rFonts w:hint="eastAsia" w:ascii="仿宋_GB2312" w:hAnsi="仿宋" w:eastAsia="仿宋_GB2312" w:cs="仿宋"/>
          <w:sz w:val="24"/>
          <w:u w:val="none"/>
        </w:rPr>
        <w:t xml:space="preserve"> 无 </w:t>
      </w:r>
      <w:r>
        <w:rPr>
          <w:rFonts w:hint="eastAsia" w:ascii="仿宋_GB2312" w:hAnsi="仿宋" w:eastAsia="仿宋_GB2312" w:cs="仿宋"/>
          <w:sz w:val="24"/>
        </w:rPr>
        <w:t>。</w:t>
      </w:r>
    </w:p>
    <w:p w14:paraId="4CF7AEBC">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合同签订后</w:t>
      </w:r>
      <w:r>
        <w:rPr>
          <w:rFonts w:hint="eastAsia" w:ascii="仿宋_GB2312" w:hAnsi="仿宋" w:eastAsia="仿宋_GB2312" w:cs="仿宋"/>
          <w:sz w:val="24"/>
          <w:lang w:val="en-US" w:eastAsia="zh-CN"/>
        </w:rPr>
        <w:t>1个月</w:t>
      </w:r>
      <w:r>
        <w:rPr>
          <w:rFonts w:hint="eastAsia" w:ascii="仿宋_GB2312" w:hAnsi="仿宋" w:eastAsia="仿宋_GB2312" w:cs="仿宋"/>
          <w:sz w:val="24"/>
        </w:rPr>
        <w:t>内支付合同金额的30%，服务期满且验收合格后支付70%。</w:t>
      </w:r>
    </w:p>
    <w:p w14:paraId="40EA9448">
      <w:pPr>
        <w:pStyle w:val="17"/>
        <w:adjustRightInd w:val="0"/>
        <w:snapToGrid w:val="0"/>
        <w:spacing w:beforeLines="0" w:afterLines="0" w:line="360" w:lineRule="auto"/>
        <w:ind w:firstLine="482" w:firstLineChars="200"/>
        <w:jc w:val="left"/>
        <w:rPr>
          <w:rFonts w:hint="eastAsia" w:ascii="仿宋" w:hAnsi="仿宋" w:eastAsia="仿宋" w:cs="仿宋"/>
          <w:b/>
        </w:rPr>
      </w:pPr>
    </w:p>
    <w:p w14:paraId="368BC956">
      <w:pPr>
        <w:pStyle w:val="17"/>
        <w:adjustRightInd w:val="0"/>
        <w:snapToGrid w:val="0"/>
        <w:spacing w:beforeLines="0" w:afterLines="0" w:line="360" w:lineRule="auto"/>
        <w:ind w:firstLine="482" w:firstLineChars="200"/>
        <w:jc w:val="left"/>
        <w:rPr>
          <w:rFonts w:hint="eastAsia" w:ascii="仿宋" w:hAnsi="仿宋" w:eastAsia="仿宋" w:cs="仿宋"/>
          <w:b/>
        </w:rPr>
      </w:pPr>
    </w:p>
    <w:p w14:paraId="72D09E04">
      <w:pPr>
        <w:adjustRightInd w:val="0"/>
        <w:snapToGrid w:val="0"/>
        <w:spacing w:beforeLines="0" w:afterLines="0"/>
        <w:ind w:firstLineChars="0"/>
        <w:jc w:val="center"/>
        <w:rPr>
          <w:rFonts w:hint="eastAsia" w:ascii="仿宋_GB2312" w:hAnsi="仿宋" w:eastAsia="仿宋_GB2312" w:cs="仿宋"/>
          <w:b/>
          <w:sz w:val="32"/>
          <w:szCs w:val="32"/>
        </w:rPr>
      </w:pPr>
      <w:r>
        <w:rPr>
          <w:rFonts w:hint="eastAsia" w:ascii="仿宋_GB2312" w:hAnsi="仿宋" w:eastAsia="仿宋_GB2312" w:cs="仿宋"/>
          <w:b/>
          <w:sz w:val="32"/>
          <w:szCs w:val="32"/>
        </w:rPr>
        <w:br w:type="page"/>
      </w:r>
    </w:p>
    <w:p w14:paraId="6A691FFB">
      <w:pPr>
        <w:pStyle w:val="17"/>
        <w:adjustRightInd w:val="0"/>
        <w:snapToGrid w:val="0"/>
        <w:spacing w:beforeLines="0" w:afterLines="0" w:line="360" w:lineRule="auto"/>
        <w:ind w:firstLine="0" w:firstLineChars="0"/>
        <w:jc w:val="center"/>
        <w:rPr>
          <w:rFonts w:ascii="仿宋_GB2312" w:hAnsi="仿宋" w:eastAsia="仿宋_GB2312" w:cs="仿宋"/>
          <w:sz w:val="28"/>
          <w:szCs w:val="28"/>
        </w:rPr>
      </w:pPr>
      <w:r>
        <w:rPr>
          <w:rFonts w:hint="eastAsia" w:ascii="仿宋_GB2312" w:hAnsi="仿宋" w:eastAsia="仿宋_GB2312" w:cs="仿宋"/>
          <w:b/>
          <w:sz w:val="32"/>
          <w:szCs w:val="32"/>
        </w:rPr>
        <w:t>第四部分  评分办法及评分标准</w:t>
      </w:r>
    </w:p>
    <w:p w14:paraId="16D9EA42">
      <w:pPr>
        <w:adjustRightInd w:val="0"/>
        <w:snapToGrid w:val="0"/>
        <w:spacing w:line="360" w:lineRule="auto"/>
        <w:ind w:firstLine="4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为公正、公平、科学地选择成交供应商，根据有关法律法规的规定，并结合本项目的实际，制定本办法。</w:t>
      </w:r>
    </w:p>
    <w:p w14:paraId="1A029C53">
      <w:pPr>
        <w:adjustRightInd w:val="0"/>
        <w:snapToGrid w:val="0"/>
        <w:spacing w:line="360" w:lineRule="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一、总则</w:t>
      </w:r>
    </w:p>
    <w:p w14:paraId="2E2A045B">
      <w:pPr>
        <w:adjustRightInd w:val="0"/>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本次评标采用</w:t>
      </w:r>
      <w:r>
        <w:rPr>
          <w:rFonts w:hint="default" w:ascii="Times New Roman" w:hAnsi="Times New Roman" w:eastAsia="仿宋" w:cs="Times New Roman"/>
          <w:b/>
          <w:sz w:val="24"/>
          <w:szCs w:val="24"/>
        </w:rPr>
        <w:t>综合评分法</w:t>
      </w:r>
      <w:r>
        <w:rPr>
          <w:rFonts w:hint="default" w:ascii="Times New Roman" w:hAnsi="Times New Roman" w:eastAsia="仿宋" w:cs="Times New Roman"/>
          <w:sz w:val="24"/>
          <w:szCs w:val="24"/>
        </w:rPr>
        <w:t>，总分为100分。合格磋商供应商的评标得分为各项目汇总得分，成交候选资格按评标得分由高到低顺序排列，得分相同的，按磋商报价得分由高到低顺序排列；得分且磋商报价相同的，按技术得分由高到低顺序排列。排名第一的磋商供应商为成交候选供应商,排名第二的磋商供应商为候补成交候选供应商……其他磋商供应商成交候选资格依此类推。评分过程中采用四舍五入法，</w:t>
      </w:r>
      <w:r>
        <w:rPr>
          <w:rFonts w:hint="default" w:ascii="Times New Roman" w:hAnsi="Times New Roman" w:eastAsia="仿宋" w:cs="Times New Roman"/>
          <w:snapToGrid w:val="0"/>
          <w:kern w:val="0"/>
          <w:sz w:val="24"/>
          <w:szCs w:val="24"/>
          <w:lang w:val="zh-CN"/>
        </w:rPr>
        <w:t>保留小数点后两位</w:t>
      </w:r>
      <w:r>
        <w:rPr>
          <w:rFonts w:hint="default" w:ascii="Times New Roman" w:hAnsi="Times New Roman" w:eastAsia="仿宋" w:cs="Times New Roman"/>
          <w:sz w:val="24"/>
          <w:szCs w:val="24"/>
        </w:rPr>
        <w:t>。</w:t>
      </w:r>
    </w:p>
    <w:p w14:paraId="0E7EC2B2">
      <w:pPr>
        <w:adjustRightInd w:val="0"/>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技术、资信及价格分按照磋商小组成员的独立评分结果汇总后的算术平均分计算，计算公式为：</w:t>
      </w:r>
    </w:p>
    <w:p w14:paraId="2F3393A3">
      <w:pPr>
        <w:adjustRightInd w:val="0"/>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技术、资信及商务分=磋商小组所有成员评分合计数/磋商小组人数</w:t>
      </w:r>
    </w:p>
    <w:p w14:paraId="14F82A39">
      <w:pPr>
        <w:adjustRightInd w:val="0"/>
        <w:snapToGrid w:val="0"/>
        <w:spacing w:line="360" w:lineRule="auto"/>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磋商供应商评标综合得分=价格分+资信分+技术分</w:t>
      </w:r>
    </w:p>
    <w:p w14:paraId="76EC355C">
      <w:pPr>
        <w:numPr>
          <w:ilvl w:val="0"/>
          <w:numId w:val="9"/>
        </w:numPr>
        <w:adjustRightInd w:val="0"/>
        <w:snapToGrid w:val="0"/>
        <w:spacing w:line="360" w:lineRule="auto"/>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评标内容及标准</w:t>
      </w:r>
    </w:p>
    <w:tbl>
      <w:tblPr>
        <w:tblStyle w:val="33"/>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50"/>
        <w:gridCol w:w="531"/>
        <w:gridCol w:w="6425"/>
      </w:tblGrid>
      <w:tr w14:paraId="668D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8" w:type="pct"/>
            <w:tcBorders>
              <w:top w:val="single" w:color="auto" w:sz="4" w:space="0"/>
              <w:left w:val="single" w:color="auto" w:sz="4" w:space="0"/>
              <w:bottom w:val="single" w:color="auto" w:sz="4" w:space="0"/>
              <w:right w:val="single" w:color="auto" w:sz="4" w:space="0"/>
            </w:tcBorders>
            <w:noWrap w:val="0"/>
            <w:vAlign w:val="center"/>
          </w:tcPr>
          <w:p w14:paraId="7DE264F8">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评分项目</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702C20E6">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内容</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53C32CC7">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分值</w:t>
            </w:r>
          </w:p>
        </w:tc>
        <w:tc>
          <w:tcPr>
            <w:tcW w:w="3271" w:type="pct"/>
            <w:tcBorders>
              <w:top w:val="single" w:color="auto" w:sz="4" w:space="0"/>
              <w:left w:val="single" w:color="auto" w:sz="4" w:space="0"/>
              <w:bottom w:val="single" w:color="auto" w:sz="4" w:space="0"/>
              <w:right w:val="single" w:color="auto" w:sz="4" w:space="0"/>
            </w:tcBorders>
            <w:noWrap w:val="0"/>
            <w:vAlign w:val="center"/>
          </w:tcPr>
          <w:p w14:paraId="4E5D1B47">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说明</w:t>
            </w:r>
          </w:p>
        </w:tc>
      </w:tr>
      <w:tr w14:paraId="10BD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8" w:type="pct"/>
            <w:tcBorders>
              <w:top w:val="single" w:color="auto" w:sz="4" w:space="0"/>
              <w:left w:val="single" w:color="auto" w:sz="4" w:space="0"/>
              <w:bottom w:val="single" w:color="auto" w:sz="4" w:space="0"/>
              <w:right w:val="single" w:color="auto" w:sz="4" w:space="0"/>
            </w:tcBorders>
            <w:noWrap w:val="0"/>
            <w:vAlign w:val="center"/>
          </w:tcPr>
          <w:p w14:paraId="70D5236F">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价格分</w:t>
            </w:r>
          </w:p>
          <w:p w14:paraId="61E6DDBA">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1</w:t>
            </w:r>
            <w:r>
              <w:rPr>
                <w:rFonts w:hint="default" w:ascii="Times New Roman" w:hAnsi="Times New Roman" w:eastAsia="仿宋" w:cs="Times New Roman"/>
                <w:sz w:val="24"/>
                <w:szCs w:val="24"/>
              </w:rPr>
              <w:t>0分）</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13426EF5">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价格</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043768D4">
            <w:pPr>
              <w:spacing w:line="400" w:lineRule="exact"/>
              <w:jc w:val="center"/>
              <w:rPr>
                <w:rFonts w:hint="default" w:ascii="Times New Roman" w:hAnsi="Times New Roman" w:eastAsia="仿宋" w:cs="Times New Roman"/>
                <w:sz w:val="24"/>
                <w:szCs w:val="24"/>
              </w:rPr>
            </w:pPr>
            <w:r>
              <w:rPr>
                <w:rFonts w:hint="eastAsia" w:eastAsia="仿宋" w:cs="Times New Roman"/>
                <w:sz w:val="24"/>
                <w:szCs w:val="24"/>
                <w:lang w:val="en-US" w:eastAsia="zh-CN"/>
              </w:rPr>
              <w:t>1</w:t>
            </w:r>
            <w:r>
              <w:rPr>
                <w:rFonts w:hint="default" w:ascii="Times New Roman" w:hAnsi="Times New Roman" w:eastAsia="仿宋" w:cs="Times New Roman"/>
                <w:sz w:val="24"/>
                <w:szCs w:val="24"/>
              </w:rPr>
              <w:t>0</w:t>
            </w:r>
          </w:p>
        </w:tc>
        <w:tc>
          <w:tcPr>
            <w:tcW w:w="32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CBCEE5">
            <w:pPr>
              <w:adjustRightInd w:val="0"/>
              <w:snapToGrid w:val="0"/>
              <w:spacing w:line="360" w:lineRule="auto"/>
              <w:ind w:firstLine="0" w:firstLineChars="0"/>
              <w:jc w:val="left"/>
              <w:rPr>
                <w:rFonts w:hint="default" w:ascii="Times New Roman" w:hAnsi="Times New Roman" w:eastAsia="仿宋" w:cs="Times New Roman"/>
                <w:sz w:val="24"/>
              </w:rPr>
            </w:pPr>
            <w:r>
              <w:rPr>
                <w:rFonts w:hint="default" w:ascii="Times New Roman" w:hAnsi="Times New Roman" w:eastAsia="仿宋" w:cs="Times New Roman"/>
                <w:sz w:val="24"/>
              </w:rPr>
              <w:t>有效最后报价的最低价作为评审基准价，其最低报价为满分；按［最后报价得分=(评审基准价/最后报价)*10］的计算公式计算。</w:t>
            </w:r>
          </w:p>
          <w:p w14:paraId="6ED97C76">
            <w:pPr>
              <w:adjustRightInd w:val="0"/>
              <w:snapToGrid w:val="0"/>
              <w:spacing w:line="360" w:lineRule="auto"/>
              <w:ind w:firstLine="0" w:firstLineChars="0"/>
              <w:jc w:val="left"/>
              <w:rPr>
                <w:rFonts w:hint="default" w:ascii="Times New Roman" w:hAnsi="Times New Roman" w:eastAsia="仿宋" w:cs="Times New Roman"/>
                <w:sz w:val="24"/>
              </w:rPr>
            </w:pPr>
            <w:r>
              <w:rPr>
                <w:rFonts w:hint="default" w:ascii="Times New Roman" w:hAnsi="Times New Roman" w:eastAsia="仿宋" w:cs="Times New Roman"/>
                <w:sz w:val="24"/>
              </w:rPr>
              <w:t>评审过程中，不得去掉报价中的最高报价和最低报价。</w:t>
            </w:r>
          </w:p>
          <w:p w14:paraId="4451ABF5">
            <w:pPr>
              <w:adjustRightInd w:val="0"/>
              <w:snapToGrid w:val="0"/>
              <w:spacing w:line="360" w:lineRule="auto"/>
              <w:ind w:firstLine="0" w:firstLineChars="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仿宋" w:cs="Times New Roman"/>
                <w:b/>
                <w:bCs/>
                <w:sz w:val="24"/>
              </w:rPr>
              <w:t>对于未预留份额专门面向中小企业的政府采购货物项目，以及预留份额政府采购服务项目中的非预留部分标项，对小型和微型企业的投标报价给予10%的扣除，用扣除后的价格参与评审。</w:t>
            </w:r>
          </w:p>
        </w:tc>
      </w:tr>
      <w:tr w14:paraId="00AD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8" w:type="pct"/>
            <w:vMerge w:val="restart"/>
            <w:tcBorders>
              <w:top w:val="single" w:color="auto" w:sz="4" w:space="0"/>
              <w:left w:val="single" w:color="auto" w:sz="4" w:space="0"/>
              <w:right w:val="single" w:color="auto" w:sz="4" w:space="0"/>
            </w:tcBorders>
            <w:noWrap w:val="0"/>
            <w:vAlign w:val="center"/>
          </w:tcPr>
          <w:p w14:paraId="7074645F">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商务</w:t>
            </w:r>
          </w:p>
          <w:p w14:paraId="4ED79359">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资信分</w:t>
            </w:r>
          </w:p>
          <w:p w14:paraId="6DC73AA1">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10</w:t>
            </w:r>
            <w:r>
              <w:rPr>
                <w:rFonts w:hint="default" w:ascii="Times New Roman" w:hAnsi="Times New Roman" w:eastAsia="仿宋" w:cs="Times New Roman"/>
                <w:sz w:val="24"/>
                <w:szCs w:val="24"/>
              </w:rPr>
              <w:t>分）</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52AEDB60">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经验及</w:t>
            </w:r>
            <w:r>
              <w:rPr>
                <w:rFonts w:hint="default" w:ascii="Times New Roman" w:hAnsi="Times New Roman" w:eastAsia="仿宋" w:cs="Times New Roman"/>
                <w:sz w:val="24"/>
                <w:szCs w:val="24"/>
              </w:rPr>
              <w:t>业绩</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651F207">
            <w:pPr>
              <w:spacing w:line="400" w:lineRule="exact"/>
              <w:jc w:val="center"/>
              <w:rPr>
                <w:rFonts w:hint="eastAsia" w:ascii="Times New Roman" w:hAnsi="Times New Roman" w:eastAsia="仿宋" w:cs="Times New Roman"/>
                <w:sz w:val="24"/>
                <w:szCs w:val="24"/>
                <w:lang w:eastAsia="zh-CN"/>
              </w:rPr>
            </w:pPr>
            <w:r>
              <w:rPr>
                <w:rFonts w:hint="eastAsia" w:eastAsia="仿宋" w:cs="Times New Roman"/>
                <w:sz w:val="24"/>
                <w:szCs w:val="24"/>
                <w:lang w:val="en-US" w:eastAsia="zh-CN"/>
              </w:rPr>
              <w:t>1</w:t>
            </w:r>
          </w:p>
        </w:tc>
        <w:tc>
          <w:tcPr>
            <w:tcW w:w="3271" w:type="pct"/>
            <w:tcBorders>
              <w:top w:val="single" w:color="auto" w:sz="4" w:space="0"/>
              <w:left w:val="single" w:color="auto" w:sz="4" w:space="0"/>
              <w:bottom w:val="single" w:color="auto" w:sz="4" w:space="0"/>
              <w:right w:val="single" w:color="auto" w:sz="4" w:space="0"/>
            </w:tcBorders>
            <w:noWrap w:val="0"/>
            <w:vAlign w:val="center"/>
          </w:tcPr>
          <w:p w14:paraId="6091AE12">
            <w:pPr>
              <w:adjustRightInd w:val="0"/>
              <w:snapToGrid w:val="0"/>
              <w:spacing w:line="360" w:lineRule="auto"/>
              <w:jc w:val="left"/>
              <w:rPr>
                <w:rFonts w:hint="default" w:ascii="Times New Roman" w:hAnsi="Times New Roman" w:eastAsia="仿宋" w:cs="Times New Roman"/>
                <w:sz w:val="24"/>
              </w:rPr>
            </w:pPr>
            <w:r>
              <w:rPr>
                <w:rFonts w:hint="eastAsia" w:ascii="宋体" w:hAnsi="宋体" w:cs="仿宋"/>
                <w:b/>
                <w:bCs/>
                <w:sz w:val="24"/>
                <w:szCs w:val="24"/>
                <w:lang w:val="en-US" w:eastAsia="zh-CN"/>
              </w:rPr>
              <w:t>（客观分）</w:t>
            </w:r>
            <w:r>
              <w:rPr>
                <w:rFonts w:hint="default" w:ascii="Times New Roman" w:hAnsi="Times New Roman" w:eastAsia="仿宋" w:cs="Times New Roman"/>
                <w:sz w:val="24"/>
              </w:rPr>
              <w:t>投标人自2023年1月1日以来（以合同签订时间为准）类似项目业绩，每提供一个得0.5分，最高得1分。</w:t>
            </w:r>
          </w:p>
          <w:p w14:paraId="23E02180">
            <w:pPr>
              <w:adjustRightInd w:val="0"/>
              <w:snapToGrid w:val="0"/>
              <w:spacing w:line="360" w:lineRule="auto"/>
              <w:jc w:val="left"/>
              <w:rPr>
                <w:rFonts w:hint="default" w:ascii="Times New Roman" w:hAnsi="Times New Roman" w:eastAsia="仿宋" w:cs="Times New Roman"/>
                <w:sz w:val="24"/>
                <w:szCs w:val="24"/>
              </w:rPr>
            </w:pPr>
            <w:r>
              <w:rPr>
                <w:rFonts w:hint="default" w:ascii="Times New Roman" w:hAnsi="Times New Roman" w:eastAsia="仿宋" w:cs="Times New Roman"/>
                <w:sz w:val="24"/>
              </w:rPr>
              <w:t>注：需同时提供合同及竣工验收合格的相关证明材料复印件并加盖投标单位公章，资料不齐或不提供不得分。</w:t>
            </w:r>
          </w:p>
        </w:tc>
      </w:tr>
      <w:tr w14:paraId="7C3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68" w:type="pct"/>
            <w:vMerge w:val="continue"/>
            <w:tcBorders>
              <w:left w:val="single" w:color="auto" w:sz="4" w:space="0"/>
              <w:right w:val="single" w:color="auto" w:sz="4" w:space="0"/>
            </w:tcBorders>
            <w:noWrap w:val="0"/>
            <w:vAlign w:val="center"/>
          </w:tcPr>
          <w:p w14:paraId="35F1B847">
            <w:pPr>
              <w:spacing w:line="400" w:lineRule="exact"/>
              <w:jc w:val="center"/>
              <w:rPr>
                <w:rFonts w:hint="default" w:ascii="Times New Roman" w:hAnsi="Times New Roman" w:eastAsia="仿宋" w:cs="Times New Roman"/>
                <w:sz w:val="24"/>
                <w:szCs w:val="24"/>
              </w:rPr>
            </w:pPr>
          </w:p>
        </w:tc>
        <w:tc>
          <w:tcPr>
            <w:tcW w:w="789" w:type="pct"/>
            <w:tcBorders>
              <w:top w:val="single" w:color="auto" w:sz="4" w:space="0"/>
              <w:left w:val="single" w:color="auto" w:sz="4" w:space="0"/>
              <w:bottom w:val="single" w:color="auto" w:sz="4" w:space="0"/>
              <w:right w:val="single" w:color="auto" w:sz="4" w:space="0"/>
            </w:tcBorders>
            <w:noWrap w:val="0"/>
            <w:vAlign w:val="center"/>
          </w:tcPr>
          <w:p w14:paraId="772E0713">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rPr>
              <w:t>公司技术力量情况</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37B17667">
            <w:pPr>
              <w:spacing w:line="400" w:lineRule="exact"/>
              <w:jc w:val="center"/>
              <w:rPr>
                <w:rFonts w:hint="eastAsia" w:ascii="Times New Roman" w:hAnsi="Times New Roman" w:eastAsia="仿宋" w:cs="Times New Roman"/>
                <w:sz w:val="24"/>
                <w:szCs w:val="24"/>
                <w:lang w:eastAsia="zh-CN"/>
              </w:rPr>
            </w:pPr>
            <w:r>
              <w:rPr>
                <w:rFonts w:hint="eastAsia" w:eastAsia="仿宋" w:cs="Times New Roman"/>
                <w:sz w:val="24"/>
                <w:szCs w:val="24"/>
                <w:lang w:val="en-US" w:eastAsia="zh-CN"/>
              </w:rPr>
              <w:t>9</w:t>
            </w:r>
          </w:p>
        </w:tc>
        <w:tc>
          <w:tcPr>
            <w:tcW w:w="3271" w:type="pct"/>
            <w:tcBorders>
              <w:top w:val="single" w:color="auto" w:sz="4" w:space="0"/>
              <w:left w:val="single" w:color="auto" w:sz="4" w:space="0"/>
              <w:bottom w:val="single" w:color="auto" w:sz="4" w:space="0"/>
              <w:right w:val="single" w:color="auto" w:sz="4" w:space="0"/>
            </w:tcBorders>
            <w:noWrap w:val="0"/>
            <w:vAlign w:val="center"/>
          </w:tcPr>
          <w:p w14:paraId="0D018C35">
            <w:pPr>
              <w:spacing w:line="400" w:lineRule="exact"/>
              <w:jc w:val="left"/>
              <w:rPr>
                <w:rFonts w:hint="eastAsia" w:ascii="宋体" w:hAnsi="宋体" w:cs="仿宋"/>
                <w:b/>
                <w:bCs/>
                <w:sz w:val="24"/>
                <w:szCs w:val="24"/>
                <w:lang w:val="en-US" w:eastAsia="zh-CN"/>
              </w:rPr>
            </w:pPr>
            <w:r>
              <w:rPr>
                <w:rFonts w:hint="eastAsia" w:ascii="宋体" w:hAnsi="宋体" w:cs="仿宋"/>
                <w:b/>
                <w:bCs/>
                <w:sz w:val="24"/>
                <w:szCs w:val="24"/>
                <w:lang w:val="en-US" w:eastAsia="zh-CN"/>
              </w:rPr>
              <w:t>（客观分）</w:t>
            </w:r>
          </w:p>
          <w:p w14:paraId="26FA438F">
            <w:pPr>
              <w:adjustRightInd w:val="0"/>
              <w:snapToGrid w:val="0"/>
              <w:spacing w:line="360" w:lineRule="auto"/>
              <w:jc w:val="left"/>
              <w:rPr>
                <w:rFonts w:hint="default" w:ascii="Times New Roman" w:hAnsi="Times New Roman" w:eastAsia="仿宋" w:cs="Times New Roman"/>
                <w:sz w:val="24"/>
              </w:rPr>
            </w:pPr>
            <w:r>
              <w:rPr>
                <w:rFonts w:hint="default" w:ascii="Times New Roman" w:hAnsi="Times New Roman" w:eastAsia="仿宋" w:cs="Times New Roman"/>
                <w:sz w:val="24"/>
                <w:lang w:eastAsia="zh-CN"/>
              </w:rPr>
              <w:t>（</w:t>
            </w:r>
            <w:r>
              <w:rPr>
                <w:rFonts w:hint="default" w:ascii="Times New Roman" w:hAnsi="Times New Roman" w:eastAsia="仿宋" w:cs="Times New Roman"/>
                <w:sz w:val="24"/>
                <w:lang w:val="en-US" w:eastAsia="zh-CN"/>
              </w:rPr>
              <w:t>1</w:t>
            </w:r>
            <w:r>
              <w:rPr>
                <w:rFonts w:hint="default" w:ascii="Times New Roman" w:hAnsi="Times New Roman" w:eastAsia="仿宋" w:cs="Times New Roman"/>
                <w:sz w:val="24"/>
                <w:lang w:eastAsia="zh-CN"/>
              </w:rPr>
              <w:t>）</w:t>
            </w:r>
            <w:r>
              <w:rPr>
                <w:rFonts w:hint="default" w:ascii="Times New Roman" w:hAnsi="Times New Roman" w:eastAsia="仿宋" w:cs="Times New Roman"/>
                <w:sz w:val="24"/>
              </w:rPr>
              <w:t>投标人具有信息系统建设和服务能力等级四级及以上，得1分；</w:t>
            </w:r>
          </w:p>
          <w:p w14:paraId="6D33D1DA">
            <w:pPr>
              <w:adjustRightInd w:val="0"/>
              <w:snapToGrid w:val="0"/>
              <w:spacing w:line="360" w:lineRule="auto"/>
              <w:jc w:val="left"/>
              <w:rPr>
                <w:rFonts w:hint="default" w:ascii="Times New Roman" w:hAnsi="Times New Roman" w:eastAsia="仿宋" w:cs="Times New Roman"/>
                <w:sz w:val="24"/>
              </w:rPr>
            </w:pPr>
            <w:r>
              <w:rPr>
                <w:rFonts w:hint="default" w:ascii="Times New Roman" w:hAnsi="Times New Roman" w:eastAsia="仿宋" w:cs="Times New Roman"/>
                <w:sz w:val="24"/>
                <w:lang w:eastAsia="zh-CN"/>
              </w:rPr>
              <w:t>（</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eastAsia="zh-CN"/>
              </w:rPr>
              <w:t>）</w:t>
            </w:r>
            <w:r>
              <w:rPr>
                <w:rFonts w:hint="default" w:ascii="Times New Roman" w:hAnsi="Times New Roman" w:eastAsia="仿宋" w:cs="Times New Roman"/>
                <w:sz w:val="24"/>
              </w:rPr>
              <w:t>投标人具有通信网络安全服务能力评定证书一级及以上，得1分；</w:t>
            </w:r>
          </w:p>
          <w:p w14:paraId="730B5549">
            <w:pPr>
              <w:adjustRightInd w:val="0"/>
              <w:snapToGrid w:val="0"/>
              <w:spacing w:line="360" w:lineRule="auto"/>
              <w:jc w:val="left"/>
              <w:rPr>
                <w:rFonts w:hint="default" w:ascii="Times New Roman" w:hAnsi="Times New Roman" w:eastAsia="仿宋" w:cs="Times New Roman"/>
                <w:sz w:val="24"/>
              </w:rPr>
            </w:pPr>
            <w:r>
              <w:rPr>
                <w:rFonts w:hint="default" w:ascii="Times New Roman" w:hAnsi="Times New Roman" w:eastAsia="仿宋" w:cs="Times New Roman"/>
                <w:sz w:val="24"/>
                <w:lang w:eastAsia="zh-CN"/>
              </w:rPr>
              <w:t>（</w:t>
            </w:r>
            <w:r>
              <w:rPr>
                <w:rFonts w:hint="default" w:ascii="Times New Roman" w:hAnsi="Times New Roman" w:eastAsia="仿宋" w:cs="Times New Roman"/>
                <w:sz w:val="24"/>
                <w:lang w:val="en-US" w:eastAsia="zh-CN"/>
              </w:rPr>
              <w:t>3</w:t>
            </w:r>
            <w:r>
              <w:rPr>
                <w:rFonts w:hint="default" w:ascii="Times New Roman" w:hAnsi="Times New Roman" w:eastAsia="仿宋" w:cs="Times New Roman"/>
                <w:sz w:val="24"/>
                <w:lang w:eastAsia="zh-CN"/>
              </w:rPr>
              <w:t>）</w:t>
            </w:r>
            <w:r>
              <w:rPr>
                <w:rFonts w:hint="default" w:ascii="Times New Roman" w:hAnsi="Times New Roman" w:eastAsia="仿宋" w:cs="Times New Roman"/>
                <w:sz w:val="24"/>
              </w:rPr>
              <w:t>投标人通过ISO9001质量管理体系认证、ISO27001信息安全管理体系认证、ISO20000信息技术服务管理体系认证、ISO45001职业健康安全管理体系认证、ISO27701隐私信息管理体系认证、ISO27032网络空间安全管理体系认证，每个0.5分，最多得3分；</w:t>
            </w:r>
          </w:p>
          <w:p w14:paraId="4EC66F47">
            <w:pPr>
              <w:adjustRightInd w:val="0"/>
              <w:snapToGrid w:val="0"/>
              <w:spacing w:line="360" w:lineRule="auto"/>
              <w:jc w:val="left"/>
              <w:rPr>
                <w:rFonts w:hint="default" w:ascii="Times New Roman" w:hAnsi="Times New Roman" w:eastAsia="仿宋" w:cs="Times New Roman"/>
                <w:sz w:val="24"/>
              </w:rPr>
            </w:pPr>
            <w:r>
              <w:rPr>
                <w:rFonts w:hint="default" w:ascii="Times New Roman" w:hAnsi="Times New Roman" w:eastAsia="仿宋" w:cs="Times New Roman"/>
                <w:sz w:val="24"/>
                <w:lang w:eastAsia="zh-CN"/>
              </w:rPr>
              <w:t>（</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eastAsia="zh-CN"/>
              </w:rPr>
              <w:t>）</w:t>
            </w:r>
            <w:r>
              <w:rPr>
                <w:rFonts w:hint="default" w:ascii="Times New Roman" w:hAnsi="Times New Roman" w:eastAsia="仿宋" w:cs="Times New Roman"/>
                <w:sz w:val="24"/>
              </w:rPr>
              <w:t>投标人具有有效期内的CCRC信息安全应急处理服务资质、CCRC信息安全风险评估服务资质、CCRC信息安全集成服务资质、CCRC信息系统软件安全开发资质证书的，每个1分，最多得4分；</w:t>
            </w:r>
          </w:p>
          <w:p w14:paraId="536DE3C4">
            <w:pPr>
              <w:adjustRightInd w:val="0"/>
              <w:snapToGrid w:val="0"/>
              <w:spacing w:line="360" w:lineRule="auto"/>
              <w:jc w:val="left"/>
              <w:rPr>
                <w:rFonts w:hint="default" w:ascii="Times New Roman" w:hAnsi="Times New Roman" w:eastAsia="仿宋" w:cs="Times New Roman"/>
                <w:sz w:val="24"/>
                <w:szCs w:val="24"/>
              </w:rPr>
            </w:pPr>
            <w:r>
              <w:rPr>
                <w:rFonts w:hint="default" w:ascii="Times New Roman" w:hAnsi="Times New Roman" w:eastAsia="仿宋" w:cs="Times New Roman"/>
                <w:sz w:val="24"/>
              </w:rPr>
              <w:t>注：证书扫描件需附入资信商务及技术文件，未按要求提供的不得分。</w:t>
            </w:r>
          </w:p>
        </w:tc>
      </w:tr>
      <w:tr w14:paraId="69CA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68" w:type="pct"/>
            <w:vMerge w:val="restart"/>
            <w:tcBorders>
              <w:top w:val="single" w:color="auto" w:sz="4" w:space="0"/>
              <w:left w:val="single" w:color="auto" w:sz="4" w:space="0"/>
              <w:right w:val="single" w:color="auto" w:sz="4" w:space="0"/>
            </w:tcBorders>
            <w:noWrap w:val="0"/>
            <w:vAlign w:val="center"/>
          </w:tcPr>
          <w:p w14:paraId="5F9D7E63">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技术分</w:t>
            </w:r>
          </w:p>
          <w:p w14:paraId="435325A8">
            <w:pPr>
              <w:spacing w:line="4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80</w:t>
            </w:r>
            <w:r>
              <w:rPr>
                <w:rFonts w:hint="default" w:ascii="Times New Roman" w:hAnsi="Times New Roman" w:eastAsia="仿宋" w:cs="Times New Roman"/>
                <w:sz w:val="24"/>
                <w:szCs w:val="24"/>
              </w:rPr>
              <w:t>分）</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7DB38107">
            <w:pPr>
              <w:spacing w:line="400" w:lineRule="exact"/>
              <w:jc w:val="center"/>
              <w:rPr>
                <w:rFonts w:hint="default" w:ascii="Times New Roman" w:hAnsi="Times New Roman" w:eastAsia="仿宋" w:cs="Times New Roman"/>
                <w:sz w:val="24"/>
                <w:szCs w:val="24"/>
              </w:rPr>
            </w:pPr>
          </w:p>
          <w:p w14:paraId="22DF9339">
            <w:pPr>
              <w:spacing w:line="400" w:lineRule="exact"/>
              <w:jc w:val="center"/>
              <w:rPr>
                <w:rFonts w:hint="default" w:ascii="Times New Roman" w:hAnsi="Times New Roman" w:eastAsia="仿宋" w:cs="Times New Roman"/>
                <w:sz w:val="24"/>
                <w:szCs w:val="24"/>
                <w:lang w:val="en-US"/>
              </w:rPr>
            </w:pPr>
            <w:r>
              <w:rPr>
                <w:rFonts w:hint="default" w:ascii="Times New Roman" w:hAnsi="Times New Roman" w:eastAsia="仿宋" w:cs="Times New Roman"/>
                <w:sz w:val="24"/>
                <w:szCs w:val="24"/>
                <w:lang w:val="en-US" w:eastAsia="zh-CN"/>
              </w:rPr>
              <w:t>拟派项目负责人</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5FB9208">
            <w:pPr>
              <w:spacing w:line="40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4</w:t>
            </w:r>
          </w:p>
        </w:tc>
        <w:tc>
          <w:tcPr>
            <w:tcW w:w="3271" w:type="pct"/>
            <w:tcBorders>
              <w:top w:val="single" w:color="auto" w:sz="4" w:space="0"/>
              <w:left w:val="single" w:color="auto" w:sz="4" w:space="0"/>
              <w:bottom w:val="single" w:color="auto" w:sz="4" w:space="0"/>
              <w:right w:val="single" w:color="auto" w:sz="4" w:space="0"/>
            </w:tcBorders>
            <w:noWrap w:val="0"/>
            <w:vAlign w:val="center"/>
          </w:tcPr>
          <w:p w14:paraId="3BD7850B">
            <w:pPr>
              <w:adjustRightInd w:val="0"/>
              <w:snapToGrid w:val="0"/>
              <w:spacing w:line="360" w:lineRule="auto"/>
              <w:jc w:val="left"/>
              <w:rPr>
                <w:rFonts w:hint="default" w:ascii="Times New Roman" w:hAnsi="Times New Roman" w:eastAsia="仿宋" w:cs="Times New Roman"/>
                <w:sz w:val="24"/>
              </w:rPr>
            </w:pPr>
            <w:r>
              <w:rPr>
                <w:rFonts w:hint="eastAsia" w:ascii="宋体" w:hAnsi="宋体" w:cs="仿宋"/>
                <w:b/>
                <w:bCs/>
                <w:kern w:val="2"/>
                <w:sz w:val="24"/>
                <w:szCs w:val="24"/>
                <w:lang w:val="en-US" w:eastAsia="zh-CN" w:bidi="ar-SA"/>
              </w:rPr>
              <w:t>（客观分）</w:t>
            </w:r>
            <w:r>
              <w:rPr>
                <w:rFonts w:hint="default" w:ascii="Times New Roman" w:hAnsi="Times New Roman" w:eastAsia="仿宋" w:cs="Times New Roman"/>
                <w:sz w:val="24"/>
              </w:rPr>
              <w:t>项目负责人具有有效的信息系统项目管理师证书、信息技术（系统集成）高级工程师证书的每项得2分，最高4分。</w:t>
            </w:r>
          </w:p>
          <w:p w14:paraId="632B704A">
            <w:pPr>
              <w:adjustRightInd w:val="0"/>
              <w:snapToGrid w:val="0"/>
              <w:spacing w:line="360" w:lineRule="auto"/>
              <w:jc w:val="left"/>
              <w:rPr>
                <w:rFonts w:hint="default" w:ascii="Times New Roman" w:hAnsi="Times New Roman" w:eastAsia="仿宋" w:cs="Times New Roman"/>
                <w:sz w:val="24"/>
                <w:szCs w:val="24"/>
              </w:rPr>
            </w:pPr>
            <w:r>
              <w:rPr>
                <w:rFonts w:hint="default" w:ascii="Times New Roman" w:hAnsi="Times New Roman" w:eastAsia="仿宋" w:cs="Times New Roman"/>
                <w:sz w:val="24"/>
              </w:rPr>
              <w:t>注：</w:t>
            </w:r>
            <w:r>
              <w:rPr>
                <w:rFonts w:hint="default" w:ascii="Times New Roman" w:hAnsi="Times New Roman" w:eastAsia="仿宋" w:cs="Times New Roman"/>
                <w:sz w:val="24"/>
                <w:lang w:val="zh-CN"/>
              </w:rPr>
              <w:t>项目负责人应为本单位职员，提供人员</w:t>
            </w:r>
            <w:r>
              <w:rPr>
                <w:rFonts w:hint="default" w:ascii="Times New Roman" w:hAnsi="Times New Roman" w:eastAsia="仿宋" w:cs="Times New Roman"/>
                <w:sz w:val="24"/>
              </w:rPr>
              <w:t>证明材料</w:t>
            </w:r>
            <w:r>
              <w:rPr>
                <w:rFonts w:hint="default" w:ascii="Times New Roman" w:hAnsi="Times New Roman" w:eastAsia="仿宋" w:cs="Times New Roman"/>
                <w:sz w:val="24"/>
                <w:lang w:val="zh-CN"/>
              </w:rPr>
              <w:t>和人员缴纳在本单位的202</w:t>
            </w:r>
            <w:r>
              <w:rPr>
                <w:rFonts w:hint="default" w:ascii="Times New Roman" w:hAnsi="Times New Roman" w:eastAsia="仿宋" w:cs="Times New Roman"/>
                <w:sz w:val="24"/>
                <w:lang w:val="en-US" w:eastAsia="zh-CN"/>
              </w:rPr>
              <w:t>6</w:t>
            </w:r>
            <w:r>
              <w:rPr>
                <w:rFonts w:hint="default" w:ascii="Times New Roman" w:hAnsi="Times New Roman" w:eastAsia="仿宋" w:cs="Times New Roman"/>
                <w:sz w:val="24"/>
                <w:lang w:val="zh-CN"/>
              </w:rPr>
              <w:t>年</w:t>
            </w:r>
            <w:r>
              <w:rPr>
                <w:rFonts w:hint="default" w:ascii="Times New Roman" w:hAnsi="Times New Roman" w:eastAsia="仿宋" w:cs="Times New Roman"/>
                <w:sz w:val="24"/>
                <w:lang w:val="en-US" w:eastAsia="zh-CN"/>
              </w:rPr>
              <w:t>1</w:t>
            </w:r>
            <w:r>
              <w:rPr>
                <w:rFonts w:hint="default" w:ascii="Times New Roman" w:hAnsi="Times New Roman" w:eastAsia="仿宋" w:cs="Times New Roman"/>
                <w:sz w:val="24"/>
                <w:lang w:val="zh-CN"/>
              </w:rPr>
              <w:t>月-</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zh-CN"/>
              </w:rPr>
              <w:t>月中任意一个月社保证明扫描件并加盖单位公章，否则不得分</w:t>
            </w:r>
          </w:p>
        </w:tc>
      </w:tr>
      <w:tr w14:paraId="47F9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8" w:type="pct"/>
            <w:vMerge w:val="continue"/>
            <w:tcBorders>
              <w:left w:val="single" w:color="auto" w:sz="4" w:space="0"/>
              <w:right w:val="single" w:color="auto" w:sz="4" w:space="0"/>
            </w:tcBorders>
            <w:noWrap w:val="0"/>
            <w:vAlign w:val="center"/>
          </w:tcPr>
          <w:p w14:paraId="185E6DCA">
            <w:pPr>
              <w:spacing w:line="400" w:lineRule="exact"/>
              <w:jc w:val="center"/>
              <w:rPr>
                <w:rFonts w:hint="default" w:ascii="Times New Roman" w:hAnsi="Times New Roman" w:eastAsia="仿宋" w:cs="Times New Roman"/>
                <w:sz w:val="24"/>
                <w:szCs w:val="24"/>
              </w:rPr>
            </w:pPr>
          </w:p>
        </w:tc>
        <w:tc>
          <w:tcPr>
            <w:tcW w:w="789" w:type="pct"/>
            <w:tcBorders>
              <w:top w:val="single" w:color="auto" w:sz="4" w:space="0"/>
              <w:left w:val="single" w:color="auto" w:sz="4" w:space="0"/>
              <w:right w:val="single" w:color="auto" w:sz="4" w:space="0"/>
            </w:tcBorders>
            <w:noWrap w:val="0"/>
            <w:vAlign w:val="center"/>
          </w:tcPr>
          <w:p w14:paraId="5D5E0816">
            <w:pPr>
              <w:spacing w:line="400" w:lineRule="exact"/>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拟派项目组人员</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235807DB">
            <w:pPr>
              <w:spacing w:line="40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11</w:t>
            </w:r>
          </w:p>
        </w:tc>
        <w:tc>
          <w:tcPr>
            <w:tcW w:w="3271" w:type="pct"/>
            <w:tcBorders>
              <w:top w:val="single" w:color="auto" w:sz="4" w:space="0"/>
              <w:left w:val="single" w:color="auto" w:sz="4" w:space="0"/>
              <w:bottom w:val="single" w:color="auto" w:sz="4" w:space="0"/>
              <w:right w:val="single" w:color="auto" w:sz="4" w:space="0"/>
            </w:tcBorders>
            <w:noWrap w:val="0"/>
            <w:vAlign w:val="center"/>
          </w:tcPr>
          <w:p w14:paraId="4A343C52">
            <w:pPr>
              <w:spacing w:line="400" w:lineRule="exact"/>
              <w:jc w:val="left"/>
              <w:rPr>
                <w:rFonts w:hint="eastAsia" w:ascii="宋体" w:hAnsi="宋体" w:cs="仿宋"/>
                <w:b/>
                <w:bCs/>
                <w:kern w:val="2"/>
                <w:sz w:val="24"/>
                <w:szCs w:val="24"/>
                <w:lang w:val="en-US" w:eastAsia="zh-CN" w:bidi="ar-SA"/>
              </w:rPr>
            </w:pPr>
            <w:r>
              <w:rPr>
                <w:rFonts w:hint="eastAsia" w:ascii="宋体" w:hAnsi="宋体" w:cs="仿宋"/>
                <w:b/>
                <w:bCs/>
                <w:kern w:val="2"/>
                <w:sz w:val="24"/>
                <w:szCs w:val="24"/>
                <w:lang w:val="en-US" w:eastAsia="zh-CN" w:bidi="ar-SA"/>
              </w:rPr>
              <w:t>（客观分）</w:t>
            </w:r>
          </w:p>
          <w:p w14:paraId="1EF0C784">
            <w:pPr>
              <w:adjustRightInd w:val="0"/>
              <w:snapToGrid w:val="0"/>
              <w:spacing w:line="360" w:lineRule="auto"/>
              <w:jc w:val="left"/>
              <w:rPr>
                <w:rFonts w:hint="default" w:ascii="Times New Roman" w:hAnsi="Times New Roman" w:eastAsia="仿宋" w:cs="Times New Roman"/>
                <w:sz w:val="24"/>
                <w:lang w:val="zh-CN"/>
              </w:rPr>
            </w:pPr>
            <w:r>
              <w:rPr>
                <w:rFonts w:hint="default" w:ascii="Times New Roman" w:hAnsi="Times New Roman" w:eastAsia="仿宋" w:cs="Times New Roman"/>
                <w:b w:val="0"/>
                <w:bCs w:val="0"/>
                <w:kern w:val="2"/>
                <w:sz w:val="24"/>
                <w:szCs w:val="24"/>
                <w:lang w:val="en-US" w:eastAsia="zh-CN" w:bidi="ar-SA"/>
              </w:rPr>
              <w:t>（1）</w:t>
            </w:r>
            <w:r>
              <w:rPr>
                <w:rFonts w:hint="default" w:ascii="Times New Roman" w:hAnsi="Times New Roman" w:eastAsia="仿宋" w:cs="Times New Roman"/>
                <w:sz w:val="24"/>
                <w:lang w:val="zh-CN"/>
              </w:rPr>
              <w:t>技术负责人具有信息系统项目管理师证书、系统规划与管理师证书的每项得1分，最高2分。</w:t>
            </w:r>
          </w:p>
          <w:p w14:paraId="504B1CC0">
            <w:pPr>
              <w:adjustRightInd w:val="0"/>
              <w:snapToGrid w:val="0"/>
              <w:spacing w:line="360" w:lineRule="auto"/>
              <w:jc w:val="left"/>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val="zh-CN"/>
              </w:rPr>
              <w:t>）安全负责人具有信息技术（技术开发）高级工程师证书、注册信息安全专业人员CISP-DSG证书的每项得1分，最高2分。</w:t>
            </w:r>
          </w:p>
          <w:p w14:paraId="77104ED8">
            <w:pPr>
              <w:adjustRightInd w:val="0"/>
              <w:snapToGrid w:val="0"/>
              <w:spacing w:line="360" w:lineRule="auto"/>
              <w:jc w:val="left"/>
              <w:rPr>
                <w:rFonts w:hint="default" w:ascii="Times New Roman" w:hAnsi="Times New Roman" w:eastAsia="仿宋" w:cs="Times New Roman"/>
                <w:sz w:val="24"/>
                <w:lang w:val="en-US"/>
              </w:rPr>
            </w:pPr>
            <w:r>
              <w:rPr>
                <w:rFonts w:hint="default" w:ascii="Times New Roman" w:hAnsi="Times New Roman" w:eastAsia="仿宋" w:cs="Times New Roman"/>
                <w:sz w:val="24"/>
                <w:lang w:val="en-US"/>
              </w:rPr>
              <w:t>（</w:t>
            </w:r>
            <w:r>
              <w:rPr>
                <w:rFonts w:hint="default" w:ascii="Times New Roman" w:hAnsi="Times New Roman" w:eastAsia="仿宋" w:cs="Times New Roman"/>
                <w:sz w:val="24"/>
                <w:lang w:val="en-US" w:eastAsia="zh-CN"/>
              </w:rPr>
              <w:t>3</w:t>
            </w:r>
            <w:r>
              <w:rPr>
                <w:rFonts w:hint="default" w:ascii="Times New Roman" w:hAnsi="Times New Roman" w:eastAsia="仿宋" w:cs="Times New Roman"/>
                <w:sz w:val="24"/>
                <w:lang w:val="en-US"/>
              </w:rPr>
              <w:t>）项目组人员（不包含项目经理和技术负责人）具有软件设计师，系统分析师，系统规划与管理师，信息系统项目管理师，注册信息安全专业人员CISP，网络工程师，信息安全保障人员认证证书（CISAW-应急），每提供1份证书复印件得1分，总分最高得7分，不提供不得分。</w:t>
            </w:r>
          </w:p>
          <w:p w14:paraId="2B5A1A6F">
            <w:pPr>
              <w:adjustRightInd w:val="0"/>
              <w:snapToGrid w:val="0"/>
              <w:spacing w:line="360" w:lineRule="auto"/>
              <w:jc w:val="left"/>
              <w:rPr>
                <w:rFonts w:hint="default" w:ascii="Times New Roman" w:hAnsi="Times New Roman" w:eastAsia="仿宋" w:cs="Times New Roman"/>
                <w:sz w:val="24"/>
                <w:szCs w:val="24"/>
              </w:rPr>
            </w:pPr>
            <w:r>
              <w:rPr>
                <w:rFonts w:hint="default" w:ascii="Times New Roman" w:hAnsi="Times New Roman" w:eastAsia="仿宋" w:cs="Times New Roman"/>
                <w:sz w:val="24"/>
                <w:lang w:val="en-US"/>
              </w:rPr>
              <w:t>注：项目组成员应为本单位职员，提供人员证明材料和人员缴纳在本单位的202</w:t>
            </w:r>
            <w:r>
              <w:rPr>
                <w:rFonts w:hint="default" w:ascii="Times New Roman" w:hAnsi="Times New Roman" w:eastAsia="仿宋" w:cs="Times New Roman"/>
                <w:sz w:val="24"/>
                <w:lang w:val="en-US" w:eastAsia="zh-CN"/>
              </w:rPr>
              <w:t>6</w:t>
            </w:r>
            <w:r>
              <w:rPr>
                <w:rFonts w:hint="default" w:ascii="Times New Roman" w:hAnsi="Times New Roman" w:eastAsia="仿宋" w:cs="Times New Roman"/>
                <w:sz w:val="24"/>
                <w:lang w:val="en-US"/>
              </w:rPr>
              <w:t>年</w:t>
            </w:r>
            <w:r>
              <w:rPr>
                <w:rFonts w:hint="default" w:ascii="Times New Roman" w:hAnsi="Times New Roman" w:eastAsia="仿宋" w:cs="Times New Roman"/>
                <w:sz w:val="24"/>
                <w:lang w:val="en-US" w:eastAsia="zh-CN"/>
              </w:rPr>
              <w:t>1</w:t>
            </w:r>
            <w:r>
              <w:rPr>
                <w:rFonts w:hint="default" w:ascii="Times New Roman" w:hAnsi="Times New Roman" w:eastAsia="仿宋" w:cs="Times New Roman"/>
                <w:sz w:val="24"/>
                <w:lang w:val="en-US"/>
              </w:rPr>
              <w:t>月-</w:t>
            </w: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lang w:val="en-US"/>
              </w:rPr>
              <w:t>月中任意一个月社保证明扫描件并加盖单位公章，否则不得分</w:t>
            </w:r>
          </w:p>
        </w:tc>
      </w:tr>
      <w:tr w14:paraId="19DF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8" w:type="pct"/>
            <w:vMerge w:val="continue"/>
            <w:tcBorders>
              <w:left w:val="single" w:color="auto" w:sz="4" w:space="0"/>
              <w:right w:val="single" w:color="auto" w:sz="4" w:space="0"/>
            </w:tcBorders>
            <w:noWrap w:val="0"/>
            <w:vAlign w:val="center"/>
          </w:tcPr>
          <w:p w14:paraId="3D384CAA">
            <w:pPr>
              <w:spacing w:line="400" w:lineRule="exact"/>
              <w:jc w:val="center"/>
              <w:rPr>
                <w:rFonts w:hint="default" w:ascii="Times New Roman" w:hAnsi="Times New Roman" w:eastAsia="仿宋" w:cs="Times New Roman"/>
                <w:sz w:val="24"/>
                <w:szCs w:val="24"/>
              </w:rPr>
            </w:pPr>
          </w:p>
        </w:tc>
        <w:tc>
          <w:tcPr>
            <w:tcW w:w="789" w:type="pct"/>
            <w:vMerge w:val="restart"/>
            <w:tcBorders>
              <w:left w:val="single" w:color="auto" w:sz="4" w:space="0"/>
              <w:right w:val="single" w:color="auto" w:sz="4" w:space="0"/>
            </w:tcBorders>
            <w:noWrap w:val="0"/>
            <w:vAlign w:val="center"/>
          </w:tcPr>
          <w:p w14:paraId="290A95AF">
            <w:pPr>
              <w:spacing w:line="400" w:lineRule="exact"/>
              <w:jc w:val="center"/>
              <w:rPr>
                <w:rFonts w:hint="default" w:ascii="Times New Roman" w:hAnsi="Times New Roman" w:eastAsia="仿宋" w:cs="Times New Roman"/>
                <w:spacing w:val="0"/>
                <w:sz w:val="24"/>
                <w:szCs w:val="24"/>
                <w:lang w:val="en-US"/>
              </w:rPr>
            </w:pPr>
            <w:r>
              <w:rPr>
                <w:rFonts w:hint="default" w:ascii="Times New Roman" w:hAnsi="Times New Roman" w:eastAsia="仿宋" w:cs="Times New Roman"/>
                <w:sz w:val="24"/>
                <w:szCs w:val="24"/>
                <w:lang w:val="en-US" w:eastAsia="zh-CN"/>
              </w:rPr>
              <w:t>项目理解和需求分析</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063D5A57">
            <w:pPr>
              <w:spacing w:line="40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5</w:t>
            </w:r>
          </w:p>
        </w:tc>
        <w:tc>
          <w:tcPr>
            <w:tcW w:w="3271" w:type="pct"/>
            <w:tcBorders>
              <w:top w:val="single" w:color="auto" w:sz="4" w:space="0"/>
              <w:left w:val="single" w:color="auto" w:sz="4" w:space="0"/>
              <w:bottom w:val="single" w:color="auto" w:sz="4" w:space="0"/>
              <w:right w:val="single" w:color="auto" w:sz="4" w:space="0"/>
            </w:tcBorders>
            <w:noWrap w:val="0"/>
            <w:vAlign w:val="top"/>
          </w:tcPr>
          <w:p w14:paraId="7AC964A6">
            <w:pPr>
              <w:adjustRightInd w:val="0"/>
              <w:snapToGrid w:val="0"/>
              <w:spacing w:line="360" w:lineRule="auto"/>
              <w:jc w:val="left"/>
              <w:rPr>
                <w:rFonts w:hint="default" w:ascii="Times New Roman" w:hAnsi="Times New Roman" w:eastAsia="仿宋" w:cs="Times New Roman"/>
                <w:sz w:val="24"/>
                <w:lang w:val="zh-CN"/>
              </w:rPr>
            </w:pPr>
            <w:r>
              <w:rPr>
                <w:rFonts w:hint="eastAsia" w:ascii="宋体" w:hAnsi="宋体" w:eastAsia="宋体" w:cs="仿宋"/>
                <w:b/>
                <w:bCs/>
                <w:sz w:val="24"/>
                <w:lang w:val="en-US" w:eastAsia="zh-CN"/>
              </w:rPr>
              <w:t>（主观分）</w:t>
            </w:r>
            <w:r>
              <w:rPr>
                <w:rFonts w:hint="default" w:ascii="Times New Roman" w:hAnsi="Times New Roman" w:eastAsia="仿宋" w:cs="Times New Roman"/>
                <w:sz w:val="24"/>
                <w:lang w:val="zh-CN"/>
              </w:rPr>
              <w:t>根据投标人对本次项目建设背景、需求理解，是否准确、全面、充分；</w:t>
            </w:r>
          </w:p>
          <w:p w14:paraId="5D20074B">
            <w:pPr>
              <w:adjustRightInd w:val="0"/>
              <w:snapToGrid w:val="0"/>
              <w:spacing w:line="360" w:lineRule="auto"/>
              <w:jc w:val="left"/>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w:t>
            </w:r>
            <w:r>
              <w:rPr>
                <w:rFonts w:hint="default" w:ascii="Times New Roman" w:hAnsi="Times New Roman" w:eastAsia="仿宋" w:cs="Times New Roman"/>
                <w:sz w:val="24"/>
                <w:lang w:val="en-US" w:eastAsia="zh-CN"/>
              </w:rPr>
              <w:t>1</w:t>
            </w:r>
            <w:r>
              <w:rPr>
                <w:rFonts w:hint="default" w:ascii="Times New Roman" w:hAnsi="Times New Roman" w:eastAsia="仿宋" w:cs="Times New Roman"/>
                <w:sz w:val="24"/>
                <w:lang w:val="zh-CN"/>
              </w:rPr>
              <w:t>）对本次项目建设目标、用户需求的吻合程度及对本次项目需求是否把握透彻，分析准确等情况进行评分，内容充分的得5分；</w:t>
            </w:r>
          </w:p>
          <w:p w14:paraId="634BC282">
            <w:pPr>
              <w:adjustRightInd w:val="0"/>
              <w:snapToGrid w:val="0"/>
              <w:spacing w:line="360" w:lineRule="auto"/>
              <w:jc w:val="left"/>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w:t>
            </w: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lang w:val="zh-CN"/>
              </w:rPr>
              <w:t>）缺乏详尽内容，描述简单的得3分；</w:t>
            </w:r>
          </w:p>
          <w:p w14:paraId="3534437B">
            <w:pPr>
              <w:adjustRightInd w:val="0"/>
              <w:snapToGrid w:val="0"/>
              <w:spacing w:line="360" w:lineRule="auto"/>
              <w:jc w:val="left"/>
              <w:rPr>
                <w:rFonts w:hint="default" w:ascii="宋体" w:hAnsi="宋体" w:cs="仿宋"/>
                <w:sz w:val="24"/>
                <w:lang w:val="en-US" w:eastAsia="zh-CN"/>
              </w:rPr>
            </w:pPr>
            <w:r>
              <w:rPr>
                <w:rFonts w:hint="default" w:ascii="Times New Roman" w:hAnsi="Times New Roman" w:eastAsia="仿宋" w:cs="Times New Roman"/>
                <w:sz w:val="24"/>
                <w:lang w:val="zh-CN"/>
              </w:rPr>
              <w:t>未提供的不得分。</w:t>
            </w:r>
          </w:p>
        </w:tc>
      </w:tr>
      <w:tr w14:paraId="3EEE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8" w:type="pct"/>
            <w:vMerge w:val="continue"/>
            <w:tcBorders>
              <w:left w:val="single" w:color="auto" w:sz="4" w:space="0"/>
              <w:right w:val="single" w:color="auto" w:sz="4" w:space="0"/>
            </w:tcBorders>
            <w:noWrap w:val="0"/>
            <w:vAlign w:val="center"/>
          </w:tcPr>
          <w:p w14:paraId="2CBD094E">
            <w:pPr>
              <w:spacing w:line="400" w:lineRule="exact"/>
              <w:jc w:val="center"/>
              <w:rPr>
                <w:rFonts w:hint="default" w:ascii="Times New Roman" w:hAnsi="Times New Roman" w:eastAsia="仿宋" w:cs="Times New Roman"/>
                <w:sz w:val="24"/>
                <w:szCs w:val="24"/>
              </w:rPr>
            </w:pPr>
          </w:p>
        </w:tc>
        <w:tc>
          <w:tcPr>
            <w:tcW w:w="789" w:type="pct"/>
            <w:tcBorders>
              <w:top w:val="single" w:color="auto" w:sz="4" w:space="0"/>
              <w:left w:val="single" w:color="auto" w:sz="4" w:space="0"/>
              <w:bottom w:val="single" w:color="auto" w:sz="4" w:space="0"/>
              <w:right w:val="single" w:color="auto" w:sz="4" w:space="0"/>
            </w:tcBorders>
            <w:noWrap w:val="0"/>
            <w:vAlign w:val="center"/>
          </w:tcPr>
          <w:p w14:paraId="63BBD354">
            <w:pPr>
              <w:spacing w:line="400" w:lineRule="exact"/>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组织实施方案</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0137836">
            <w:pPr>
              <w:spacing w:line="40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5</w:t>
            </w:r>
          </w:p>
        </w:tc>
        <w:tc>
          <w:tcPr>
            <w:tcW w:w="3271" w:type="pct"/>
            <w:tcBorders>
              <w:top w:val="single" w:color="auto" w:sz="4" w:space="0"/>
              <w:left w:val="single" w:color="auto" w:sz="4" w:space="0"/>
              <w:bottom w:val="single" w:color="auto" w:sz="4" w:space="0"/>
              <w:right w:val="single" w:color="auto" w:sz="4" w:space="0"/>
            </w:tcBorders>
            <w:noWrap w:val="0"/>
            <w:vAlign w:val="top"/>
          </w:tcPr>
          <w:p w14:paraId="018E3A84">
            <w:pPr>
              <w:keepNext w:val="0"/>
              <w:keepLines w:val="0"/>
              <w:widowControl/>
              <w:suppressLineNumbers w:val="0"/>
              <w:adjustRightInd w:val="0"/>
              <w:snapToGrid w:val="0"/>
              <w:spacing w:line="360" w:lineRule="auto"/>
              <w:jc w:val="left"/>
              <w:rPr>
                <w:rFonts w:hint="default" w:ascii="Times New Roman" w:hAnsi="Times New Roman" w:eastAsia="仿宋" w:cs="Times New Roman"/>
                <w:b w:val="0"/>
                <w:bCs w:val="0"/>
                <w:sz w:val="24"/>
                <w:lang w:val="zh-CN" w:eastAsia="zh-CN"/>
              </w:rPr>
            </w:pPr>
            <w:r>
              <w:rPr>
                <w:rFonts w:hint="eastAsia" w:ascii="宋体" w:hAnsi="宋体" w:cs="仿宋"/>
                <w:b/>
                <w:bCs/>
                <w:sz w:val="24"/>
                <w:highlight w:val="none"/>
                <w:lang w:val="en-US" w:eastAsia="zh-CN"/>
              </w:rPr>
              <w:t>（主观分）</w:t>
            </w:r>
            <w:r>
              <w:rPr>
                <w:rFonts w:hint="default" w:ascii="Times New Roman" w:hAnsi="Times New Roman" w:eastAsia="仿宋" w:cs="Times New Roman"/>
                <w:b w:val="0"/>
                <w:bCs w:val="0"/>
                <w:sz w:val="24"/>
                <w:lang w:val="zh-CN" w:eastAsia="zh-CN"/>
              </w:rPr>
              <w:t>根据</w:t>
            </w:r>
            <w:r>
              <w:rPr>
                <w:rFonts w:ascii="Times New Roman" w:hAnsi="Times New Roman" w:eastAsia="仿宋" w:cs="Times New Roman"/>
                <w:kern w:val="2"/>
                <w:sz w:val="24"/>
                <w:szCs w:val="24"/>
                <w:lang w:val="zh-CN" w:eastAsia="zh-CN" w:bidi="ar"/>
              </w:rPr>
              <w:t>方案的完整性、可操作性、针对性及落地保障能力评定</w:t>
            </w:r>
          </w:p>
          <w:p w14:paraId="4A5EE4EA">
            <w:pPr>
              <w:adjustRightInd w:val="0"/>
              <w:snapToGrid w:val="0"/>
              <w:spacing w:line="360" w:lineRule="auto"/>
              <w:jc w:val="left"/>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w:t>
            </w:r>
            <w:r>
              <w:rPr>
                <w:rFonts w:hint="default" w:ascii="Times New Roman" w:hAnsi="Times New Roman" w:eastAsia="仿宋" w:cs="Times New Roman"/>
                <w:sz w:val="24"/>
                <w:lang w:val="zh-CN" w:eastAsia="zh-CN"/>
              </w:rPr>
              <w:t>1</w:t>
            </w:r>
            <w:r>
              <w:rPr>
                <w:rFonts w:hint="default" w:ascii="Times New Roman" w:hAnsi="Times New Roman" w:eastAsia="仿宋" w:cs="Times New Roman"/>
                <w:sz w:val="24"/>
                <w:lang w:val="zh-CN"/>
              </w:rPr>
              <w:t>）</w:t>
            </w:r>
            <w:r>
              <w:rPr>
                <w:rFonts w:hint="default" w:ascii="Times New Roman" w:hAnsi="Times New Roman" w:eastAsia="仿宋" w:cs="Times New Roman"/>
                <w:sz w:val="24"/>
                <w:lang w:val="zh-CN" w:eastAsia="zh-CN"/>
              </w:rPr>
              <w:t>方案内容全面充分，明确项目实施总体部署、阶段划分、人员配置、进度计划、质量管控、安全保障及售后服务，完全贴合本项目采购需求，实施保障措施完善且具可操作性</w:t>
            </w:r>
            <w:r>
              <w:rPr>
                <w:rFonts w:hint="default" w:ascii="Times New Roman" w:hAnsi="Times New Roman" w:eastAsia="仿宋" w:cs="Times New Roman"/>
                <w:sz w:val="24"/>
                <w:lang w:val="zh-CN"/>
              </w:rPr>
              <w:t>得5分；</w:t>
            </w:r>
          </w:p>
          <w:p w14:paraId="3CEBB1AB">
            <w:pPr>
              <w:adjustRightInd w:val="0"/>
              <w:snapToGrid w:val="0"/>
              <w:spacing w:line="360" w:lineRule="auto"/>
              <w:jc w:val="left"/>
              <w:rPr>
                <w:rFonts w:hint="default" w:ascii="Times New Roman" w:hAnsi="Times New Roman" w:eastAsia="仿宋" w:cs="Times New Roman"/>
                <w:sz w:val="24"/>
                <w:lang w:val="zh-CN"/>
              </w:rPr>
            </w:pPr>
            <w:r>
              <w:rPr>
                <w:rFonts w:hint="default" w:ascii="Times New Roman" w:hAnsi="Times New Roman" w:eastAsia="仿宋" w:cs="Times New Roman"/>
                <w:sz w:val="24"/>
                <w:lang w:val="zh-CN"/>
              </w:rPr>
              <w:t>（</w:t>
            </w:r>
            <w:r>
              <w:rPr>
                <w:rFonts w:hint="default" w:ascii="Times New Roman" w:hAnsi="Times New Roman" w:eastAsia="仿宋" w:cs="Times New Roman"/>
                <w:sz w:val="24"/>
                <w:lang w:val="zh-CN" w:eastAsia="zh-CN"/>
              </w:rPr>
              <w:t>2</w:t>
            </w:r>
            <w:r>
              <w:rPr>
                <w:rFonts w:hint="default" w:ascii="Times New Roman" w:hAnsi="Times New Roman" w:eastAsia="仿宋" w:cs="Times New Roman"/>
                <w:sz w:val="24"/>
                <w:lang w:val="zh-CN"/>
              </w:rPr>
              <w:t>）</w:t>
            </w:r>
            <w:r>
              <w:rPr>
                <w:rFonts w:hint="default" w:ascii="Times New Roman" w:hAnsi="Times New Roman" w:eastAsia="仿宋" w:cs="Times New Roman"/>
                <w:sz w:val="24"/>
                <w:lang w:val="zh-CN" w:eastAsia="zh-CN"/>
              </w:rPr>
              <w:t>方案内容基本完整，包含核心实施环节，但缺乏细节阐述，针对性一般，基本可支撑项目实施，但需进一步完善</w:t>
            </w:r>
            <w:r>
              <w:rPr>
                <w:rFonts w:hint="default" w:ascii="Times New Roman" w:hAnsi="Times New Roman" w:eastAsia="仿宋" w:cs="Times New Roman"/>
                <w:sz w:val="24"/>
                <w:lang w:val="zh-CN"/>
              </w:rPr>
              <w:t>得3分；</w:t>
            </w:r>
          </w:p>
          <w:p w14:paraId="24305643">
            <w:pPr>
              <w:adjustRightInd w:val="0"/>
              <w:snapToGrid w:val="0"/>
              <w:spacing w:line="360" w:lineRule="auto"/>
              <w:jc w:val="left"/>
              <w:rPr>
                <w:rFonts w:hint="default" w:ascii="宋体" w:hAnsi="宋体" w:cs="仿宋"/>
                <w:sz w:val="24"/>
                <w:highlight w:val="none"/>
                <w:lang w:val="en-US" w:eastAsia="zh-CN"/>
              </w:rPr>
            </w:pPr>
            <w:r>
              <w:rPr>
                <w:rFonts w:hint="default" w:ascii="Times New Roman" w:hAnsi="Times New Roman" w:eastAsia="仿宋" w:cs="Times New Roman"/>
                <w:sz w:val="24"/>
                <w:lang w:val="zh-CN"/>
              </w:rPr>
              <w:t>未提供的不得分。</w:t>
            </w:r>
          </w:p>
        </w:tc>
      </w:tr>
      <w:tr w14:paraId="7DAE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8" w:type="pct"/>
            <w:vMerge w:val="continue"/>
            <w:tcBorders>
              <w:left w:val="single" w:color="auto" w:sz="4" w:space="0"/>
              <w:right w:val="single" w:color="auto" w:sz="4" w:space="0"/>
            </w:tcBorders>
            <w:noWrap w:val="0"/>
            <w:vAlign w:val="center"/>
          </w:tcPr>
          <w:p w14:paraId="58FB80BE">
            <w:pPr>
              <w:spacing w:line="400" w:lineRule="exact"/>
              <w:jc w:val="center"/>
              <w:rPr>
                <w:rFonts w:hint="default" w:ascii="Times New Roman" w:hAnsi="Times New Roman" w:eastAsia="仿宋" w:cs="Times New Roman"/>
                <w:sz w:val="24"/>
                <w:szCs w:val="24"/>
              </w:rPr>
            </w:pPr>
          </w:p>
        </w:tc>
        <w:tc>
          <w:tcPr>
            <w:tcW w:w="789" w:type="pct"/>
            <w:tcBorders>
              <w:top w:val="single" w:color="auto" w:sz="4" w:space="0"/>
              <w:left w:val="single" w:color="auto" w:sz="4" w:space="0"/>
              <w:bottom w:val="single" w:color="auto" w:sz="4" w:space="0"/>
              <w:right w:val="single" w:color="auto" w:sz="4" w:space="0"/>
            </w:tcBorders>
            <w:noWrap w:val="0"/>
            <w:vAlign w:val="center"/>
          </w:tcPr>
          <w:p w14:paraId="35A0D320">
            <w:pPr>
              <w:spacing w:line="400" w:lineRule="exact"/>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项目技术方案</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3EC73F3">
            <w:pPr>
              <w:spacing w:line="40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5</w:t>
            </w:r>
          </w:p>
        </w:tc>
        <w:tc>
          <w:tcPr>
            <w:tcW w:w="3271" w:type="pct"/>
            <w:tcBorders>
              <w:top w:val="single" w:color="auto" w:sz="4" w:space="0"/>
              <w:left w:val="single" w:color="auto" w:sz="4" w:space="0"/>
              <w:bottom w:val="single" w:color="auto" w:sz="4" w:space="0"/>
              <w:right w:val="single" w:color="auto" w:sz="4" w:space="0"/>
            </w:tcBorders>
            <w:noWrap w:val="0"/>
            <w:vAlign w:val="top"/>
          </w:tcPr>
          <w:p w14:paraId="596F656F">
            <w:pPr>
              <w:widowControl/>
              <w:adjustRightInd w:val="0"/>
              <w:snapToGrid w:val="0"/>
              <w:spacing w:line="360" w:lineRule="auto"/>
              <w:jc w:val="left"/>
              <w:rPr>
                <w:rFonts w:hint="default" w:ascii="Times New Roman" w:hAnsi="Times New Roman" w:eastAsia="仿宋" w:cs="Times New Roman"/>
                <w:sz w:val="24"/>
                <w:lang w:val="zh-CN" w:eastAsia="zh-CN"/>
              </w:rPr>
            </w:pPr>
            <w:r>
              <w:rPr>
                <w:rFonts w:hint="eastAsia" w:ascii="宋体" w:hAnsi="宋体" w:cs="仿宋"/>
                <w:b/>
                <w:bCs/>
                <w:sz w:val="24"/>
                <w:highlight w:val="none"/>
                <w:lang w:val="en-US" w:eastAsia="zh-CN"/>
              </w:rPr>
              <w:t>（主观分）</w:t>
            </w:r>
            <w:r>
              <w:rPr>
                <w:rFonts w:hint="default" w:ascii="Times New Roman" w:hAnsi="Times New Roman" w:eastAsia="仿宋" w:cs="Times New Roman"/>
                <w:sz w:val="24"/>
                <w:lang w:val="zh-CN" w:eastAsia="zh-CN"/>
              </w:rPr>
              <w:t>对项目技术需求的理解深度、技术可行性、兼容性及选型合理性评定</w:t>
            </w:r>
          </w:p>
          <w:p w14:paraId="2D9639FB">
            <w:pPr>
              <w:widowControl/>
              <w:adjustRightInd w:val="0"/>
              <w:snapToGrid w:val="0"/>
              <w:spacing w:line="360" w:lineRule="auto"/>
              <w:jc w:val="left"/>
              <w:rPr>
                <w:rFonts w:hint="default" w:ascii="Times New Roman" w:hAnsi="Times New Roman" w:eastAsia="仿宋" w:cs="Times New Roman"/>
                <w:sz w:val="24"/>
                <w:lang w:val="zh-CN" w:eastAsia="zh-CN"/>
              </w:rPr>
            </w:pPr>
            <w:r>
              <w:rPr>
                <w:rFonts w:hint="default" w:ascii="Times New Roman" w:hAnsi="Times New Roman" w:eastAsia="仿宋" w:cs="Times New Roman"/>
                <w:sz w:val="24"/>
                <w:lang w:val="zh-CN" w:eastAsia="zh-CN"/>
              </w:rPr>
              <w:t>（1）对本项目总体配置、核心功能实现路径、关键技术难点及解决方案、理解深刻，详细阐述系统硬件、软件、网络之间的兼容性，技术方案科学合理，完全契合项目技术需求，可确保功能全面实现，技术先进性、稳定性有保障得5分；</w:t>
            </w:r>
          </w:p>
          <w:p w14:paraId="1EA6BD71">
            <w:pPr>
              <w:widowControl/>
              <w:adjustRightInd w:val="0"/>
              <w:snapToGrid w:val="0"/>
              <w:spacing w:line="360" w:lineRule="auto"/>
              <w:jc w:val="left"/>
              <w:rPr>
                <w:rFonts w:hint="default" w:ascii="Times New Roman" w:hAnsi="Times New Roman" w:eastAsia="仿宋" w:cs="Times New Roman"/>
                <w:sz w:val="24"/>
                <w:lang w:val="zh-CN" w:eastAsia="zh-CN"/>
              </w:rPr>
            </w:pPr>
            <w:r>
              <w:rPr>
                <w:rFonts w:hint="default" w:ascii="Times New Roman" w:hAnsi="Times New Roman" w:eastAsia="仿宋" w:cs="Times New Roman"/>
                <w:sz w:val="24"/>
                <w:lang w:val="zh-CN" w:eastAsia="zh-CN"/>
              </w:rPr>
              <w:t>（2）缺乏详尽内容，描述简单的得3分；</w:t>
            </w:r>
          </w:p>
          <w:p w14:paraId="079B8BEA">
            <w:pPr>
              <w:widowControl/>
              <w:numPr>
                <w:ilvl w:val="-1"/>
                <w:numId w:val="0"/>
              </w:numPr>
              <w:adjustRightInd w:val="0"/>
              <w:snapToGrid w:val="0"/>
              <w:spacing w:line="360" w:lineRule="auto"/>
              <w:jc w:val="left"/>
              <w:rPr>
                <w:rFonts w:hint="default" w:ascii="宋体" w:hAnsi="宋体" w:cs="仿宋"/>
                <w:sz w:val="24"/>
                <w:highlight w:val="none"/>
                <w:lang w:val="zh-CN"/>
              </w:rPr>
            </w:pPr>
            <w:r>
              <w:rPr>
                <w:rFonts w:hint="default" w:ascii="Times New Roman" w:hAnsi="Times New Roman" w:eastAsia="仿宋" w:cs="Times New Roman"/>
                <w:sz w:val="24"/>
                <w:lang w:val="zh-CN"/>
              </w:rPr>
              <w:t>未提供的不得分。</w:t>
            </w:r>
          </w:p>
        </w:tc>
      </w:tr>
      <w:tr w14:paraId="45B3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68" w:type="pct"/>
            <w:vMerge w:val="continue"/>
            <w:tcBorders>
              <w:left w:val="single" w:color="auto" w:sz="4" w:space="0"/>
              <w:right w:val="single" w:color="auto" w:sz="4" w:space="0"/>
            </w:tcBorders>
            <w:noWrap w:val="0"/>
            <w:vAlign w:val="center"/>
          </w:tcPr>
          <w:p w14:paraId="12406A94">
            <w:pPr>
              <w:spacing w:line="400" w:lineRule="exact"/>
              <w:jc w:val="center"/>
              <w:rPr>
                <w:rFonts w:hint="default" w:ascii="Times New Roman" w:hAnsi="Times New Roman" w:eastAsia="仿宋" w:cs="Times New Roman"/>
                <w:sz w:val="24"/>
                <w:szCs w:val="24"/>
              </w:rPr>
            </w:pPr>
          </w:p>
        </w:tc>
        <w:tc>
          <w:tcPr>
            <w:tcW w:w="789" w:type="pct"/>
            <w:tcBorders>
              <w:top w:val="single" w:color="auto" w:sz="4" w:space="0"/>
              <w:left w:val="single" w:color="auto" w:sz="4" w:space="0"/>
              <w:bottom w:val="single" w:color="auto" w:sz="4" w:space="0"/>
              <w:right w:val="single" w:color="auto" w:sz="4" w:space="0"/>
            </w:tcBorders>
            <w:noWrap w:val="0"/>
            <w:vAlign w:val="center"/>
          </w:tcPr>
          <w:p w14:paraId="41AA757E">
            <w:pPr>
              <w:spacing w:line="400" w:lineRule="exact"/>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售后服务方案</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0ADD322F">
            <w:pPr>
              <w:spacing w:line="40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5</w:t>
            </w:r>
          </w:p>
        </w:tc>
        <w:tc>
          <w:tcPr>
            <w:tcW w:w="3271" w:type="pct"/>
            <w:tcBorders>
              <w:top w:val="single" w:color="auto" w:sz="4" w:space="0"/>
              <w:left w:val="single" w:color="auto" w:sz="4" w:space="0"/>
              <w:bottom w:val="single" w:color="auto" w:sz="4" w:space="0"/>
              <w:right w:val="single" w:color="auto" w:sz="4" w:space="0"/>
            </w:tcBorders>
            <w:noWrap w:val="0"/>
            <w:vAlign w:val="top"/>
          </w:tcPr>
          <w:p w14:paraId="4668D956">
            <w:pPr>
              <w:widowControl/>
              <w:adjustRightInd w:val="0"/>
              <w:snapToGrid w:val="0"/>
              <w:spacing w:line="360" w:lineRule="auto"/>
              <w:jc w:val="left"/>
              <w:rPr>
                <w:rFonts w:hint="default" w:ascii="Times New Roman" w:hAnsi="Times New Roman" w:eastAsia="仿宋" w:cs="Times New Roman"/>
                <w:sz w:val="24"/>
                <w:lang w:val="zh-CN"/>
              </w:rPr>
            </w:pPr>
            <w:r>
              <w:rPr>
                <w:rFonts w:hint="eastAsia" w:ascii="宋体" w:hAnsi="宋体" w:cs="仿宋"/>
                <w:b/>
                <w:bCs/>
                <w:kern w:val="2"/>
                <w:sz w:val="24"/>
                <w:szCs w:val="24"/>
                <w:lang w:val="en-US" w:eastAsia="zh-CN" w:bidi="ar-SA"/>
              </w:rPr>
              <w:t>（主观分）</w:t>
            </w:r>
            <w:r>
              <w:rPr>
                <w:rFonts w:hint="default" w:ascii="Times New Roman" w:hAnsi="Times New Roman" w:eastAsia="仿宋" w:cs="Times New Roman"/>
                <w:sz w:val="24"/>
                <w:lang w:val="zh-CN"/>
              </w:rPr>
              <w:t>针对本项目制定的售后服务方案（包括后续保障措施、响应时间、服务承诺等）的合理性、完整性、可行性进行综合评定，</w:t>
            </w:r>
          </w:p>
          <w:p w14:paraId="3BC550E5">
            <w:pPr>
              <w:widowControl/>
              <w:numPr>
                <w:ilvl w:val="-1"/>
                <w:numId w:val="0"/>
              </w:numPr>
              <w:adjustRightInd w:val="0"/>
              <w:snapToGrid w:val="0"/>
              <w:spacing w:line="360" w:lineRule="auto"/>
              <w:jc w:val="left"/>
              <w:rPr>
                <w:rFonts w:hint="default" w:ascii="Times New Roman" w:hAnsi="Times New Roman" w:eastAsia="仿宋" w:cs="Times New Roman"/>
                <w:sz w:val="24"/>
                <w:lang w:val="zh-CN"/>
              </w:rPr>
            </w:pPr>
            <w:r>
              <w:rPr>
                <w:rFonts w:hint="eastAsia" w:eastAsia="仿宋" w:cs="Times New Roman"/>
                <w:sz w:val="24"/>
                <w:lang w:val="zh-CN"/>
              </w:rPr>
              <w:t>（</w:t>
            </w:r>
            <w:r>
              <w:rPr>
                <w:rFonts w:hint="eastAsia" w:eastAsia="仿宋" w:cs="Times New Roman"/>
                <w:sz w:val="24"/>
                <w:lang w:val="en-US" w:eastAsia="zh-CN"/>
              </w:rPr>
              <w:t>1</w:t>
            </w:r>
            <w:r>
              <w:rPr>
                <w:rFonts w:hint="eastAsia" w:eastAsia="仿宋" w:cs="Times New Roman"/>
                <w:sz w:val="24"/>
                <w:lang w:val="zh-CN"/>
              </w:rPr>
              <w:t>）</w:t>
            </w:r>
            <w:r>
              <w:rPr>
                <w:rFonts w:hint="default" w:ascii="Times New Roman" w:hAnsi="Times New Roman" w:eastAsia="仿宋" w:cs="Times New Roman"/>
                <w:sz w:val="24"/>
                <w:lang w:val="zh-CN"/>
              </w:rPr>
              <w:t>内容充分得5分；</w:t>
            </w:r>
          </w:p>
          <w:p w14:paraId="39640EF0">
            <w:pPr>
              <w:widowControl/>
              <w:numPr>
                <w:ilvl w:val="-1"/>
                <w:numId w:val="0"/>
              </w:numPr>
              <w:adjustRightInd w:val="0"/>
              <w:snapToGrid w:val="0"/>
              <w:spacing w:line="360" w:lineRule="auto"/>
              <w:jc w:val="left"/>
              <w:rPr>
                <w:rFonts w:hint="default" w:eastAsia="仿宋"/>
                <w:sz w:val="24"/>
                <w:lang w:val="zh-CN" w:eastAsia="zh-CN"/>
              </w:rPr>
            </w:pPr>
            <w:r>
              <w:rPr>
                <w:rFonts w:hint="eastAsia" w:eastAsia="仿宋" w:cs="Times New Roman"/>
                <w:sz w:val="24"/>
                <w:lang w:val="zh-CN"/>
              </w:rPr>
              <w:t>（</w:t>
            </w:r>
            <w:r>
              <w:rPr>
                <w:rFonts w:hint="eastAsia" w:eastAsia="仿宋" w:cs="Times New Roman"/>
                <w:sz w:val="24"/>
                <w:lang w:val="en-US" w:eastAsia="zh-CN"/>
              </w:rPr>
              <w:t>2</w:t>
            </w:r>
            <w:r>
              <w:rPr>
                <w:rFonts w:hint="eastAsia" w:eastAsia="仿宋" w:cs="Times New Roman"/>
                <w:sz w:val="24"/>
                <w:lang w:val="zh-CN"/>
              </w:rPr>
              <w:t>）</w:t>
            </w:r>
            <w:r>
              <w:rPr>
                <w:rFonts w:hint="default" w:ascii="Times New Roman" w:hAnsi="Times New Roman" w:eastAsia="仿宋" w:cs="Times New Roman"/>
                <w:sz w:val="24"/>
                <w:lang w:val="zh-CN"/>
              </w:rPr>
              <w:t>缺乏详尽内容，描述简单的得3分；</w:t>
            </w:r>
          </w:p>
          <w:p w14:paraId="107127FC">
            <w:pPr>
              <w:widowControl/>
              <w:numPr>
                <w:ilvl w:val="-1"/>
                <w:numId w:val="0"/>
              </w:numPr>
              <w:adjustRightInd w:val="0"/>
              <w:snapToGrid w:val="0"/>
              <w:spacing w:line="360" w:lineRule="auto"/>
              <w:jc w:val="left"/>
              <w:rPr>
                <w:rFonts w:hint="default"/>
                <w:lang w:val="en-US" w:eastAsia="zh-CN"/>
              </w:rPr>
            </w:pPr>
            <w:r>
              <w:rPr>
                <w:rFonts w:hint="default" w:ascii="Times New Roman" w:hAnsi="Times New Roman" w:eastAsia="仿宋" w:cs="Times New Roman"/>
                <w:sz w:val="24"/>
                <w:lang w:val="zh-CN"/>
              </w:rPr>
              <w:t>未提供的不得分。</w:t>
            </w:r>
          </w:p>
        </w:tc>
      </w:tr>
      <w:tr w14:paraId="2B57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68" w:type="pct"/>
            <w:vMerge w:val="continue"/>
            <w:tcBorders>
              <w:left w:val="single" w:color="auto" w:sz="4" w:space="0"/>
              <w:right w:val="single" w:color="auto" w:sz="4" w:space="0"/>
            </w:tcBorders>
            <w:noWrap w:val="0"/>
            <w:vAlign w:val="center"/>
          </w:tcPr>
          <w:p w14:paraId="60D8D3A0">
            <w:pPr>
              <w:spacing w:line="400" w:lineRule="exact"/>
              <w:jc w:val="center"/>
              <w:rPr>
                <w:rFonts w:hint="default" w:ascii="Times New Roman" w:hAnsi="Times New Roman" w:eastAsia="仿宋" w:cs="Times New Roman"/>
                <w:sz w:val="24"/>
                <w:szCs w:val="24"/>
              </w:rPr>
            </w:pPr>
          </w:p>
        </w:tc>
        <w:tc>
          <w:tcPr>
            <w:tcW w:w="7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878D4B">
            <w:pPr>
              <w:spacing w:line="400" w:lineRule="exact"/>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培训方案</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B99B08">
            <w:pPr>
              <w:spacing w:line="400" w:lineRule="exact"/>
              <w:jc w:val="center"/>
              <w:rPr>
                <w:rFonts w:hint="default" w:eastAsia="仿宋" w:cs="Times New Roman"/>
                <w:spacing w:val="-6"/>
                <w:sz w:val="24"/>
                <w:szCs w:val="24"/>
                <w:lang w:val="en-US" w:eastAsia="zh-CN"/>
              </w:rPr>
            </w:pPr>
            <w:r>
              <w:rPr>
                <w:rFonts w:hint="eastAsia" w:eastAsia="仿宋" w:cs="Times New Roman"/>
                <w:spacing w:val="-6"/>
                <w:sz w:val="24"/>
                <w:szCs w:val="24"/>
                <w:lang w:val="en-US" w:eastAsia="zh-CN"/>
              </w:rPr>
              <w:t>5</w:t>
            </w:r>
          </w:p>
        </w:tc>
        <w:tc>
          <w:tcPr>
            <w:tcW w:w="327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CD5F6DC">
            <w:pPr>
              <w:widowControl/>
              <w:adjustRightInd w:val="0"/>
              <w:snapToGrid w:val="0"/>
              <w:spacing w:line="360" w:lineRule="auto"/>
              <w:jc w:val="left"/>
              <w:rPr>
                <w:rFonts w:hint="default" w:ascii="Times New Roman" w:hAnsi="Times New Roman" w:eastAsia="仿宋" w:cs="Times New Roman"/>
                <w:sz w:val="24"/>
                <w:lang w:val="zh-CN"/>
              </w:rPr>
            </w:pPr>
            <w:r>
              <w:rPr>
                <w:rFonts w:hint="eastAsia" w:ascii="宋体" w:hAnsi="宋体" w:cs="仿宋"/>
                <w:b/>
                <w:bCs/>
                <w:kern w:val="2"/>
                <w:sz w:val="24"/>
                <w:szCs w:val="24"/>
                <w:lang w:val="en-US" w:eastAsia="zh-CN" w:bidi="ar-SA"/>
              </w:rPr>
              <w:t>（客观分）</w:t>
            </w:r>
            <w:r>
              <w:rPr>
                <w:rFonts w:hint="default" w:ascii="Times New Roman" w:hAnsi="Times New Roman" w:eastAsia="仿宋" w:cs="Times New Roman"/>
                <w:sz w:val="24"/>
                <w:lang w:val="zh-CN"/>
              </w:rPr>
              <w:t>投标人提出的用户培训方案的培训内容、培训流程的可操作性情况等，从投标文件响应情况及对有利于本项目实施的角度综合评定，</w:t>
            </w:r>
          </w:p>
          <w:p w14:paraId="0F47EF34">
            <w:pPr>
              <w:widowControl/>
              <w:numPr>
                <w:ilvl w:val="-1"/>
                <w:numId w:val="0"/>
              </w:numPr>
              <w:adjustRightInd w:val="0"/>
              <w:snapToGrid w:val="0"/>
              <w:spacing w:line="360" w:lineRule="auto"/>
              <w:jc w:val="left"/>
              <w:rPr>
                <w:rFonts w:hint="default" w:ascii="Times New Roman" w:hAnsi="Times New Roman" w:eastAsia="仿宋" w:cs="Times New Roman"/>
                <w:sz w:val="24"/>
                <w:lang w:val="zh-CN"/>
              </w:rPr>
            </w:pPr>
            <w:r>
              <w:rPr>
                <w:rFonts w:hint="eastAsia" w:eastAsia="仿宋" w:cs="Times New Roman"/>
                <w:sz w:val="24"/>
                <w:lang w:val="zh-CN"/>
              </w:rPr>
              <w:t>（</w:t>
            </w:r>
            <w:r>
              <w:rPr>
                <w:rFonts w:hint="eastAsia" w:eastAsia="仿宋" w:cs="Times New Roman"/>
                <w:sz w:val="24"/>
                <w:lang w:val="en-US" w:eastAsia="zh-CN"/>
              </w:rPr>
              <w:t>1</w:t>
            </w:r>
            <w:r>
              <w:rPr>
                <w:rFonts w:hint="eastAsia" w:eastAsia="仿宋" w:cs="Times New Roman"/>
                <w:sz w:val="24"/>
                <w:lang w:val="zh-CN"/>
              </w:rPr>
              <w:t>）</w:t>
            </w:r>
            <w:r>
              <w:rPr>
                <w:rFonts w:hint="default" w:ascii="Times New Roman" w:hAnsi="Times New Roman" w:eastAsia="仿宋" w:cs="Times New Roman"/>
                <w:sz w:val="24"/>
                <w:lang w:val="zh-CN"/>
              </w:rPr>
              <w:t>内容充分的得5分；</w:t>
            </w:r>
          </w:p>
          <w:p w14:paraId="4C7DF5EB">
            <w:pPr>
              <w:widowControl/>
              <w:numPr>
                <w:ilvl w:val="-1"/>
                <w:numId w:val="0"/>
              </w:numPr>
              <w:adjustRightInd w:val="0"/>
              <w:snapToGrid w:val="0"/>
              <w:spacing w:line="360" w:lineRule="auto"/>
              <w:jc w:val="left"/>
              <w:rPr>
                <w:rFonts w:hint="default" w:ascii="Times New Roman" w:hAnsi="Times New Roman" w:eastAsia="仿宋" w:cs="Times New Roman"/>
                <w:b w:val="0"/>
                <w:bCs w:val="0"/>
                <w:sz w:val="24"/>
                <w:lang w:val="zh-CN" w:eastAsia="zh-CN"/>
              </w:rPr>
            </w:pPr>
            <w:r>
              <w:rPr>
                <w:rFonts w:hint="default" w:ascii="Times New Roman" w:hAnsi="Times New Roman" w:eastAsia="仿宋" w:cs="Times New Roman"/>
                <w:sz w:val="24"/>
                <w:lang w:val="zh-CN"/>
              </w:rPr>
              <w:t>（</w:t>
            </w:r>
            <w:r>
              <w:rPr>
                <w:rFonts w:hint="default" w:ascii="Times New Roman" w:hAnsi="Times New Roman" w:eastAsia="仿宋" w:cs="Times New Roman"/>
                <w:sz w:val="24"/>
                <w:lang w:val="zh-CN" w:eastAsia="zh-CN"/>
              </w:rPr>
              <w:t>2</w:t>
            </w:r>
            <w:r>
              <w:rPr>
                <w:rFonts w:hint="default" w:ascii="Times New Roman" w:hAnsi="Times New Roman" w:eastAsia="仿宋" w:cs="Times New Roman"/>
                <w:sz w:val="24"/>
                <w:lang w:val="zh-CN"/>
              </w:rPr>
              <w:t>）缺乏详尽内容，描述简单的得3分；</w:t>
            </w:r>
          </w:p>
          <w:p w14:paraId="4CA0ACEA">
            <w:pPr>
              <w:widowControl/>
              <w:numPr>
                <w:ilvl w:val="-1"/>
                <w:numId w:val="0"/>
              </w:numPr>
              <w:adjustRightInd w:val="0"/>
              <w:snapToGrid w:val="0"/>
              <w:spacing w:line="360" w:lineRule="auto"/>
              <w:jc w:val="left"/>
              <w:rPr>
                <w:rFonts w:hint="default" w:ascii="宋体" w:hAnsi="宋体" w:eastAsia="宋体" w:cs="仿宋"/>
                <w:b w:val="0"/>
                <w:bCs w:val="0"/>
                <w:sz w:val="24"/>
                <w:highlight w:val="none"/>
                <w:lang w:val="en-US" w:eastAsia="zh-CN"/>
              </w:rPr>
            </w:pPr>
            <w:r>
              <w:rPr>
                <w:rFonts w:hint="default" w:ascii="Times New Roman" w:hAnsi="Times New Roman" w:eastAsia="仿宋" w:cs="Times New Roman"/>
                <w:sz w:val="24"/>
                <w:lang w:val="zh-CN"/>
              </w:rPr>
              <w:t>未提供的不得分。</w:t>
            </w:r>
          </w:p>
        </w:tc>
      </w:tr>
      <w:tr w14:paraId="685E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68" w:type="pct"/>
            <w:vMerge w:val="continue"/>
            <w:tcBorders>
              <w:left w:val="single" w:color="auto" w:sz="4" w:space="0"/>
              <w:right w:val="single" w:color="auto" w:sz="4" w:space="0"/>
            </w:tcBorders>
            <w:noWrap w:val="0"/>
            <w:vAlign w:val="center"/>
          </w:tcPr>
          <w:p w14:paraId="26B8E615">
            <w:pPr>
              <w:spacing w:line="400" w:lineRule="exact"/>
              <w:jc w:val="center"/>
              <w:rPr>
                <w:rFonts w:hint="default" w:ascii="Times New Roman" w:hAnsi="Times New Roman" w:eastAsia="仿宋" w:cs="Times New Roman"/>
                <w:sz w:val="24"/>
                <w:szCs w:val="24"/>
              </w:rPr>
            </w:pPr>
          </w:p>
        </w:tc>
        <w:tc>
          <w:tcPr>
            <w:tcW w:w="7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2A1805">
            <w:pPr>
              <w:spacing w:line="400" w:lineRule="exact"/>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zh-CN"/>
              </w:rPr>
              <w:t>技术基准分</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435B67">
            <w:pPr>
              <w:spacing w:line="400" w:lineRule="exact"/>
              <w:jc w:val="center"/>
              <w:rPr>
                <w:rFonts w:hint="default" w:eastAsia="仿宋" w:cs="Times New Roman"/>
                <w:spacing w:val="-6"/>
                <w:sz w:val="24"/>
                <w:szCs w:val="24"/>
                <w:lang w:val="en-US" w:eastAsia="zh-CN"/>
              </w:rPr>
            </w:pPr>
            <w:r>
              <w:rPr>
                <w:rFonts w:hint="eastAsia" w:eastAsia="仿宋" w:cs="Times New Roman"/>
                <w:spacing w:val="-6"/>
                <w:sz w:val="24"/>
                <w:szCs w:val="24"/>
                <w:lang w:val="en-US" w:eastAsia="zh-CN"/>
              </w:rPr>
              <w:t>30</w:t>
            </w:r>
          </w:p>
        </w:tc>
        <w:tc>
          <w:tcPr>
            <w:tcW w:w="327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9D2C4FE">
            <w:pPr>
              <w:spacing w:line="360" w:lineRule="auto"/>
              <w:rPr>
                <w:rFonts w:hint="eastAsia" w:ascii="宋体" w:hAnsi="宋体" w:cs="仿宋"/>
                <w:b w:val="0"/>
                <w:bCs w:val="0"/>
                <w:sz w:val="24"/>
              </w:rPr>
            </w:pPr>
            <w:r>
              <w:rPr>
                <w:rFonts w:hint="eastAsia" w:ascii="宋体" w:hAnsi="宋体" w:cs="仿宋"/>
                <w:b/>
                <w:bCs/>
                <w:sz w:val="24"/>
                <w:highlight w:val="none"/>
                <w:lang w:val="en-US" w:eastAsia="zh-CN"/>
              </w:rPr>
              <w:t>（主观分）</w:t>
            </w:r>
            <w:r>
              <w:rPr>
                <w:rFonts w:hint="eastAsia" w:ascii="Times New Roman" w:hAnsi="Times New Roman" w:eastAsia="仿宋" w:cs="Times New Roman"/>
                <w:sz w:val="24"/>
                <w:lang w:val="en-US"/>
              </w:rPr>
              <w:t>根据投标供应商所提供的相关技术参数，对照招标文件参数指标逐条响应情况进行打分，完全响应招标文件的得30分，每偏离一项，扣1分。扣完为止。</w:t>
            </w:r>
          </w:p>
        </w:tc>
      </w:tr>
      <w:tr w14:paraId="74FD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68" w:type="pct"/>
            <w:vMerge w:val="continue"/>
            <w:tcBorders>
              <w:left w:val="single" w:color="auto" w:sz="4" w:space="0"/>
              <w:right w:val="single" w:color="auto" w:sz="4" w:space="0"/>
            </w:tcBorders>
            <w:noWrap w:val="0"/>
            <w:vAlign w:val="center"/>
          </w:tcPr>
          <w:p w14:paraId="7C9278E1">
            <w:pPr>
              <w:spacing w:line="400" w:lineRule="exact"/>
              <w:jc w:val="center"/>
              <w:rPr>
                <w:rFonts w:hint="default" w:ascii="Times New Roman" w:hAnsi="Times New Roman" w:eastAsia="仿宋" w:cs="Times New Roman"/>
                <w:sz w:val="24"/>
                <w:szCs w:val="24"/>
              </w:rPr>
            </w:pPr>
          </w:p>
        </w:tc>
        <w:tc>
          <w:tcPr>
            <w:tcW w:w="7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519267">
            <w:pPr>
              <w:spacing w:line="400" w:lineRule="exact"/>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zh-CN"/>
              </w:rPr>
              <w:t>模型软件演示</w:t>
            </w:r>
          </w:p>
        </w:tc>
        <w:tc>
          <w:tcPr>
            <w:tcW w:w="2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698DDA">
            <w:pPr>
              <w:spacing w:line="400" w:lineRule="exact"/>
              <w:jc w:val="center"/>
              <w:rPr>
                <w:rFonts w:hint="default" w:ascii="Times New Roman" w:hAnsi="Times New Roman" w:eastAsia="仿宋" w:cs="Times New Roman"/>
                <w:spacing w:val="-6"/>
                <w:kern w:val="2"/>
                <w:sz w:val="24"/>
                <w:szCs w:val="24"/>
                <w:lang w:val="en-US" w:eastAsia="zh-CN" w:bidi="ar-SA"/>
              </w:rPr>
            </w:pPr>
            <w:r>
              <w:rPr>
                <w:rFonts w:hint="eastAsia" w:eastAsia="仿宋" w:cs="Times New Roman"/>
                <w:spacing w:val="-6"/>
                <w:kern w:val="2"/>
                <w:sz w:val="24"/>
                <w:szCs w:val="24"/>
                <w:lang w:val="en-US" w:eastAsia="zh-CN" w:bidi="ar-SA"/>
              </w:rPr>
              <w:t>10</w:t>
            </w:r>
          </w:p>
        </w:tc>
        <w:tc>
          <w:tcPr>
            <w:tcW w:w="327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FFEF6BA">
            <w:pPr>
              <w:spacing w:line="360" w:lineRule="auto"/>
              <w:rPr>
                <w:rFonts w:hint="eastAsia" w:ascii="Times New Roman" w:hAnsi="Times New Roman" w:eastAsia="仿宋" w:cs="Times New Roman"/>
                <w:sz w:val="24"/>
                <w:lang w:val="en-US"/>
              </w:rPr>
            </w:pPr>
            <w:r>
              <w:rPr>
                <w:rFonts w:hint="eastAsia" w:ascii="宋体" w:hAnsi="宋体" w:cs="仿宋"/>
                <w:b/>
                <w:bCs/>
                <w:kern w:val="2"/>
                <w:sz w:val="24"/>
                <w:szCs w:val="24"/>
                <w:lang w:val="en-US" w:eastAsia="zh-CN" w:bidi="ar-SA"/>
              </w:rPr>
              <w:t>（客观分）</w:t>
            </w:r>
            <w:r>
              <w:rPr>
                <w:rFonts w:hint="eastAsia" w:ascii="Times New Roman" w:hAnsi="Times New Roman" w:eastAsia="仿宋" w:cs="Times New Roman"/>
                <w:sz w:val="24"/>
                <w:lang w:val="en-US"/>
              </w:rPr>
              <w:t>投标供应商充分了解该项目招标需求、项目特点，针对新增流动党组织管理功能（0-5分）、迭代党员管理功能（0-5分）功能进行演示。根据演示内容的情况，评标委员进行评价综合打分。</w:t>
            </w:r>
          </w:p>
          <w:p w14:paraId="40AD7FAA">
            <w:pPr>
              <w:spacing w:line="360" w:lineRule="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仿宋" w:cs="Times New Roman"/>
                <w:sz w:val="24"/>
                <w:lang w:val="en-US"/>
              </w:rPr>
              <w:t>要求投标人采用与本项目同类型的项目应用系统进行演示，演示部分须以demo、原型、视频、PPT等演示，不演示的，不得分。（演示时间不超过20分钟，采用现场演示的方式。系统演示视频由投标人自行准备。</w:t>
            </w:r>
          </w:p>
        </w:tc>
      </w:tr>
    </w:tbl>
    <w:p w14:paraId="25ABA08B">
      <w:pPr>
        <w:adjustRightInd w:val="0"/>
        <w:snapToGrid w:val="0"/>
        <w:spacing w:line="360" w:lineRule="auto"/>
        <w:rPr>
          <w:rFonts w:hint="default" w:ascii="Times New Roman" w:hAnsi="Times New Roman" w:eastAsia="仿宋" w:cs="Times New Roman"/>
          <w:b/>
          <w:bCs/>
          <w:sz w:val="24"/>
          <w:szCs w:val="24"/>
        </w:rPr>
      </w:pPr>
    </w:p>
    <w:p w14:paraId="3B670618">
      <w:pPr>
        <w:adjustRightInd w:val="0"/>
        <w:snapToGrid w:val="0"/>
        <w:spacing w:line="360" w:lineRule="auto"/>
        <w:ind w:firstLine="472" w:firstLineChars="196"/>
        <w:jc w:val="left"/>
        <w:rPr>
          <w:rFonts w:hint="eastAsia" w:eastAsia="仿宋" w:cs="Times New Roman"/>
          <w:b/>
          <w:bCs/>
          <w:sz w:val="24"/>
          <w:szCs w:val="24"/>
          <w:lang w:val="en-US" w:eastAsia="zh-CN"/>
        </w:rPr>
      </w:pPr>
      <w:r>
        <w:rPr>
          <w:rFonts w:hint="default" w:ascii="Times New Roman" w:hAnsi="Times New Roman" w:eastAsia="仿宋" w:cs="Times New Roman"/>
          <w:b/>
          <w:bCs/>
          <w:sz w:val="24"/>
          <w:szCs w:val="24"/>
        </w:rPr>
        <w:t xml:space="preserve"> “*”备注：供应商编制响应文件时，建议按此目录（序号和内容）提供评审标准相应的商务技术资料。</w:t>
      </w:r>
    </w:p>
    <w:p w14:paraId="4B5706A9">
      <w:pPr>
        <w:adjustRightInd w:val="0"/>
        <w:snapToGrid w:val="0"/>
        <w:spacing w:line="360" w:lineRule="auto"/>
        <w:ind w:firstLine="472" w:firstLineChars="196"/>
        <w:jc w:val="left"/>
        <w:rPr>
          <w:rFonts w:ascii="仿宋_GB2312" w:hAnsi="仿宋" w:eastAsia="仿宋_GB2312" w:cs="仿宋"/>
          <w:b/>
          <w:sz w:val="36"/>
          <w:szCs w:val="36"/>
        </w:rPr>
      </w:pPr>
      <w:r>
        <w:rPr>
          <w:rFonts w:hint="eastAsia" w:ascii="仿宋" w:hAnsi="仿宋" w:eastAsia="仿宋" w:cs="仿宋"/>
          <w:b/>
          <w:bCs/>
          <w:sz w:val="24"/>
        </w:rPr>
        <w:br w:type="page"/>
      </w:r>
      <w:r>
        <w:rPr>
          <w:rFonts w:hint="eastAsia" w:ascii="仿宋_GB2312" w:hAnsi="仿宋" w:eastAsia="仿宋_GB2312" w:cs="仿宋"/>
          <w:b/>
          <w:sz w:val="32"/>
          <w:szCs w:val="32"/>
        </w:rPr>
        <w:t xml:space="preserve">              第五部分  合同主要条款</w:t>
      </w:r>
    </w:p>
    <w:p w14:paraId="72A2044E">
      <w:pPr>
        <w:pStyle w:val="17"/>
        <w:adjustRightInd w:val="0"/>
        <w:snapToGrid w:val="0"/>
        <w:spacing w:before="156" w:after="156" w:line="360" w:lineRule="auto"/>
        <w:jc w:val="center"/>
        <w:rPr>
          <w:rFonts w:ascii="仿宋_GB2312" w:hAnsi="仿宋" w:eastAsia="仿宋_GB2312" w:cs="仿宋"/>
        </w:rPr>
      </w:pPr>
      <w:r>
        <w:rPr>
          <w:rFonts w:hint="eastAsia" w:ascii="仿宋_GB2312" w:hAnsi="仿宋" w:eastAsia="仿宋_GB2312" w:cs="仿宋"/>
          <w:b/>
        </w:rPr>
        <w:t>（本合同为合同样稿，最终稿由双方协商后确定）</w:t>
      </w:r>
    </w:p>
    <w:p w14:paraId="445A669B">
      <w:pPr>
        <w:snapToGrid w:val="0"/>
        <w:spacing w:line="360" w:lineRule="auto"/>
        <w:ind w:firstLine="480" w:firstLineChars="200"/>
        <w:jc w:val="center"/>
        <w:rPr>
          <w:rFonts w:ascii="仿宋" w:hAnsi="仿宋" w:eastAsia="仿宋" w:cs="仿宋"/>
          <w:sz w:val="24"/>
          <w:szCs w:val="28"/>
          <w:lang w:val="zh-CN"/>
        </w:rPr>
      </w:pPr>
      <w:r>
        <w:rPr>
          <w:rFonts w:hint="eastAsia" w:ascii="仿宋" w:hAnsi="仿宋" w:eastAsia="仿宋" w:cs="仿宋"/>
          <w:sz w:val="24"/>
          <w:szCs w:val="28"/>
        </w:rPr>
        <w:t xml:space="preserve">                                         </w:t>
      </w:r>
      <w:r>
        <w:rPr>
          <w:rFonts w:hint="eastAsia" w:ascii="仿宋" w:hAnsi="仿宋" w:eastAsia="仿宋" w:cs="仿宋"/>
          <w:sz w:val="24"/>
          <w:szCs w:val="28"/>
          <w:lang w:val="zh-CN"/>
        </w:rPr>
        <w:t>项目名称：</w:t>
      </w:r>
    </w:p>
    <w:p w14:paraId="653F8501">
      <w:pPr>
        <w:snapToGrid w:val="0"/>
        <w:spacing w:line="360" w:lineRule="auto"/>
        <w:ind w:firstLine="480" w:firstLineChars="200"/>
        <w:rPr>
          <w:rFonts w:ascii="仿宋" w:hAnsi="仿宋" w:eastAsia="仿宋" w:cs="仿宋"/>
          <w:sz w:val="24"/>
          <w:szCs w:val="28"/>
          <w:lang w:val="zh-CN"/>
        </w:rPr>
      </w:pP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 xml:space="preserve">      </w:t>
      </w:r>
      <w:r>
        <w:rPr>
          <w:rFonts w:hint="eastAsia" w:ascii="仿宋" w:hAnsi="仿宋" w:eastAsia="仿宋" w:cs="仿宋"/>
          <w:sz w:val="24"/>
          <w:szCs w:val="28"/>
          <w:lang w:val="zh-CN"/>
        </w:rPr>
        <w:t xml:space="preserve">项目编号：                       </w:t>
      </w:r>
    </w:p>
    <w:p w14:paraId="4F7C5E92">
      <w:pPr>
        <w:snapToGrid w:val="0"/>
        <w:spacing w:line="360" w:lineRule="auto"/>
        <w:rPr>
          <w:rFonts w:ascii="仿宋" w:hAnsi="仿宋" w:eastAsia="仿宋" w:cs="仿宋"/>
          <w:sz w:val="24"/>
        </w:rPr>
      </w:pPr>
      <w:r>
        <w:rPr>
          <w:rFonts w:hint="eastAsia" w:ascii="仿宋" w:hAnsi="仿宋" w:eastAsia="仿宋" w:cs="仿宋"/>
          <w:sz w:val="24"/>
        </w:rPr>
        <w:t>甲方：（买方）</w:t>
      </w:r>
    </w:p>
    <w:p w14:paraId="2A2E9B0B">
      <w:pPr>
        <w:snapToGrid w:val="0"/>
        <w:spacing w:line="360" w:lineRule="auto"/>
        <w:ind w:firstLine="0" w:firstLineChars="0"/>
        <w:rPr>
          <w:rFonts w:hint="eastAsia" w:ascii="仿宋" w:hAnsi="仿宋" w:eastAsia="仿宋" w:cs="仿宋"/>
          <w:sz w:val="24"/>
          <w:szCs w:val="28"/>
        </w:rPr>
      </w:pPr>
      <w:r>
        <w:rPr>
          <w:rFonts w:hint="eastAsia" w:ascii="仿宋" w:hAnsi="仿宋" w:eastAsia="仿宋" w:cs="仿宋"/>
          <w:sz w:val="24"/>
          <w:szCs w:val="28"/>
        </w:rPr>
        <w:t>乙方：（卖方）</w:t>
      </w:r>
    </w:p>
    <w:p w14:paraId="41F22A08">
      <w:pPr>
        <w:snapToGrid w:val="0"/>
        <w:spacing w:line="360" w:lineRule="auto"/>
      </w:pPr>
      <w:r>
        <w:rPr>
          <w:rFonts w:hint="eastAsia" w:ascii="仿宋" w:hAnsi="仿宋" w:eastAsia="仿宋" w:cs="仿宋"/>
          <w:sz w:val="24"/>
          <w:szCs w:val="28"/>
        </w:rPr>
        <w:t>鉴证方：浙江通用招标代理有限公司</w:t>
      </w:r>
    </w:p>
    <w:p w14:paraId="7B403C86">
      <w:pPr>
        <w:snapToGrid w:val="0"/>
        <w:spacing w:line="360" w:lineRule="auto"/>
        <w:ind w:firstLine="480" w:firstLineChars="200"/>
        <w:rPr>
          <w:rFonts w:ascii="仿宋" w:hAnsi="仿宋" w:eastAsia="仿宋" w:cs="仿宋"/>
          <w:b/>
          <w:sz w:val="24"/>
        </w:rPr>
      </w:pPr>
      <w:r>
        <w:rPr>
          <w:rFonts w:hint="eastAsia" w:ascii="仿宋" w:hAnsi="仿宋" w:eastAsia="仿宋" w:cs="仿宋"/>
          <w:sz w:val="24"/>
        </w:rPr>
        <w:t>甲、乙双方根据</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）的采购结果，甲乙双方经友好协商，签署本合同。</w:t>
      </w:r>
    </w:p>
    <w:p w14:paraId="590EDC72">
      <w:pPr>
        <w:adjustRightInd w:val="0"/>
        <w:snapToGrid w:val="0"/>
        <w:spacing w:line="480" w:lineRule="auto"/>
        <w:ind w:firstLine="482" w:firstLineChars="200"/>
        <w:rPr>
          <w:rFonts w:hint="eastAsia" w:ascii="仿宋" w:hAnsi="仿宋" w:eastAsia="仿宋" w:cs="仿宋"/>
          <w:b/>
          <w:sz w:val="24"/>
        </w:rPr>
      </w:pPr>
      <w:r>
        <w:rPr>
          <w:rFonts w:hint="eastAsia" w:ascii="仿宋" w:hAnsi="仿宋" w:eastAsia="仿宋" w:cs="仿宋"/>
          <w:b/>
          <w:sz w:val="24"/>
        </w:rPr>
        <w:t>一、具体服务内容及要求</w:t>
      </w:r>
    </w:p>
    <w:p w14:paraId="789BBC83">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本期项目重点聚焦流动党员“全覆盖、全纳管、全闭环”管理目标，在前期先行先试基础上，进一步深化与中组部全国党员管理信息系统有效衔接配套，实现流动党员管理一屏掌控、一键智达、一网通办，持续推动流动党员管理提质增效。</w:t>
      </w:r>
    </w:p>
    <w:p w14:paraId="233D21D1">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项目要求如下：主要建设流动党组织管理功能、迭代党员管理功能、数据分析、中组部交换区流动党员接口对接。实现流动党员管理一屏掌控、一键智达、一网通办，持续推动流动党员管理提质增效。</w:t>
      </w:r>
    </w:p>
    <w:p w14:paraId="1D19375B">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1.1稳定性要求</w:t>
      </w:r>
    </w:p>
    <w:p w14:paraId="0872120B">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系统需能够连续7×24小时不间断工作。保证系统数据的一致性、完整性，准确性要求达到99.99%；对于来自不同接口的数据进行合法性检查，确保流程的通畅，并能对错误数据进行自动纠错处理；建立完备的数据存储备份机制，确保数据安全。</w:t>
      </w:r>
    </w:p>
    <w:p w14:paraId="58B06328">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1.2交互性要求</w:t>
      </w:r>
    </w:p>
    <w:p w14:paraId="475DDF05">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系统界面设计需结合视觉化元素，符合政务服务主基调，采用字体的协调搭配、柔和的配色、精巧的手势和动效的交互，使整个界面操作给用户带来体验愉悦性，提高操作的直观性，提升内容的可读性和操作性。</w:t>
      </w:r>
    </w:p>
    <w:p w14:paraId="766A91B1">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1.3性能要求</w:t>
      </w:r>
    </w:p>
    <w:p w14:paraId="3A8A1799">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（1）平均响应时间小于5秒; 海量数据查询最大响应时间不超过15秒（海量数据指千万级以上数据）；</w:t>
      </w:r>
    </w:p>
    <w:p w14:paraId="7A634E9F">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 xml:space="preserve">（2）CPU平均使用率小于50%; </w:t>
      </w:r>
    </w:p>
    <w:p w14:paraId="02BE3788">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（3）系统必须具有很强的健壮性，不因大量用户的访问而造成系统崩溃；</w:t>
      </w:r>
    </w:p>
    <w:p w14:paraId="0E128D5E">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（4）页面系统兼容性好，兼容主流浏览器，如：谷歌、火狐、360浏览器；</w:t>
      </w:r>
    </w:p>
    <w:p w14:paraId="75A53395">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（5）应提供登录失败处理功能，可采取限制非法登录次数和自动退出等措施，并有日志可查询；</w:t>
      </w:r>
    </w:p>
    <w:p w14:paraId="213A1756">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（6）应采用密码技术保证通信过程中数据的完整性；</w:t>
      </w:r>
    </w:p>
    <w:p w14:paraId="7223924F">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（7）在通信双方建立连接之前，应用系统应利用密码技术进行会话初始化验证。</w:t>
      </w:r>
    </w:p>
    <w:p w14:paraId="33868F2C">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1.4网络安全要求</w:t>
      </w:r>
    </w:p>
    <w:p w14:paraId="0D595F4A">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（1）数据库审计和追溯；</w:t>
      </w:r>
    </w:p>
    <w:p w14:paraId="7FC8D343">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（2）数据存储安全（数据备份、数据访问防火墙)，敏感数据需要加密存储；</w:t>
      </w:r>
    </w:p>
    <w:p w14:paraId="067E657B">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（3）数据需要脱敏处理，脱敏要求见省大数据局相关文件。</w:t>
      </w:r>
    </w:p>
    <w:p w14:paraId="39552EAD">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（4）数据传输安全：防止数据传输过程中被截取、篡改，能够检测到鉴别信息和重要业务数据在传输过程中的完整性，应保护措施实现鉴别信息的存储保密性。</w:t>
      </w:r>
    </w:p>
    <w:p w14:paraId="15A8659F">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（5）数据安全设计：对各类接口进行全面的监控及日志记录，对日志数据进行实时动态分析，将高危安全事件进行提取，并及时通知管理员，加强系统安全性。</w:t>
      </w:r>
    </w:p>
    <w:p w14:paraId="7C422965">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p>
    <w:p w14:paraId="1F29AE7A">
      <w:pPr>
        <w:adjustRightInd w:val="0"/>
        <w:snapToGrid w:val="0"/>
        <w:spacing w:line="480" w:lineRule="auto"/>
        <w:ind w:firstLine="482" w:firstLineChars="200"/>
        <w:rPr>
          <w:rFonts w:hint="eastAsia" w:ascii="仿宋" w:hAnsi="仿宋" w:eastAsia="仿宋" w:cs="仿宋"/>
          <w:b/>
          <w:sz w:val="24"/>
        </w:rPr>
      </w:pPr>
      <w:r>
        <w:rPr>
          <w:rFonts w:hint="eastAsia" w:ascii="仿宋" w:hAnsi="仿宋" w:eastAsia="仿宋" w:cs="仿宋"/>
          <w:b/>
          <w:sz w:val="24"/>
        </w:rPr>
        <w:t>二、服务期限（完成时间）</w:t>
      </w:r>
    </w:p>
    <w:p w14:paraId="068F7BB1">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r>
        <w:rPr>
          <w:rFonts w:hint="eastAsia" w:ascii="仿宋" w:hAnsi="仿宋" w:eastAsia="仿宋" w:cs="仿宋"/>
          <w:sz w:val="24"/>
          <w:lang w:val="en-US" w:eastAsia="zh-CN"/>
        </w:rPr>
        <w:t>合同签订之日起2个月内完成系统开发，完成试运行后进行验收。</w:t>
      </w:r>
    </w:p>
    <w:p w14:paraId="4EE32BBA">
      <w:pPr>
        <w:pStyle w:val="13"/>
        <w:rPr>
          <w:rFonts w:hint="eastAsia" w:ascii="仿宋" w:hAnsi="仿宋" w:eastAsia="仿宋" w:cs="仿宋"/>
          <w:sz w:val="24"/>
          <w:szCs w:val="24"/>
          <w:lang w:val="en-US"/>
        </w:rPr>
      </w:pPr>
    </w:p>
    <w:p w14:paraId="4C27F78B">
      <w:pPr>
        <w:numPr>
          <w:ilvl w:val="0"/>
          <w:numId w:val="10"/>
        </w:numPr>
        <w:adjustRightInd w:val="0"/>
        <w:snapToGrid w:val="0"/>
        <w:spacing w:line="480" w:lineRule="auto"/>
        <w:ind w:firstLine="482" w:firstLineChars="200"/>
        <w:rPr>
          <w:rFonts w:ascii="仿宋" w:hAnsi="仿宋" w:eastAsia="仿宋" w:cs="仿宋"/>
          <w:b/>
          <w:sz w:val="24"/>
        </w:rPr>
      </w:pPr>
      <w:r>
        <w:rPr>
          <w:rFonts w:hint="eastAsia" w:ascii="仿宋" w:hAnsi="仿宋" w:eastAsia="仿宋" w:cs="仿宋"/>
          <w:b/>
          <w:sz w:val="24"/>
        </w:rPr>
        <w:t>合同金额</w:t>
      </w:r>
    </w:p>
    <w:p w14:paraId="1846A188">
      <w:pPr>
        <w:numPr>
          <w:ilvl w:val="0"/>
          <w:numId w:val="10"/>
        </w:numPr>
        <w:adjustRightInd w:val="0"/>
        <w:snapToGrid w:val="0"/>
        <w:spacing w:line="480" w:lineRule="auto"/>
        <w:ind w:firstLine="482" w:firstLineChars="200"/>
        <w:rPr>
          <w:rFonts w:ascii="仿宋" w:hAnsi="仿宋" w:eastAsia="仿宋" w:cs="仿宋"/>
          <w:b/>
          <w:sz w:val="24"/>
        </w:rPr>
      </w:pPr>
      <w:r>
        <w:rPr>
          <w:rFonts w:hint="eastAsia" w:ascii="仿宋" w:hAnsi="仿宋" w:eastAsia="仿宋" w:cs="仿宋"/>
          <w:b/>
          <w:sz w:val="24"/>
        </w:rPr>
        <w:t>付款方式</w:t>
      </w:r>
    </w:p>
    <w:p w14:paraId="6DEE93A7">
      <w:pPr>
        <w:widowControl/>
        <w:spacing w:line="360" w:lineRule="auto"/>
        <w:ind w:firstLine="480" w:firstLineChars="200"/>
        <w:rPr>
          <w:rFonts w:hint="eastAsia" w:ascii="仿宋_GB2312" w:hAnsi="仿宋" w:eastAsia="仿宋_GB2312" w:cs="仿宋"/>
          <w:sz w:val="24"/>
        </w:rPr>
      </w:pPr>
      <w:r>
        <w:rPr>
          <w:rFonts w:hint="eastAsia" w:ascii="仿宋_GB2312" w:hAnsi="仿宋" w:eastAsia="仿宋_GB2312" w:cs="仿宋"/>
          <w:sz w:val="24"/>
        </w:rPr>
        <w:t>合同签订后</w:t>
      </w:r>
      <w:r>
        <w:rPr>
          <w:rFonts w:hint="eastAsia" w:ascii="仿宋_GB2312" w:hAnsi="仿宋" w:eastAsia="仿宋_GB2312" w:cs="仿宋"/>
          <w:sz w:val="24"/>
          <w:lang w:val="en-US" w:eastAsia="zh-CN"/>
        </w:rPr>
        <w:t>1个月</w:t>
      </w:r>
      <w:r>
        <w:rPr>
          <w:rFonts w:hint="eastAsia" w:ascii="仿宋_GB2312" w:hAnsi="仿宋" w:eastAsia="仿宋_GB2312" w:cs="仿宋"/>
          <w:sz w:val="24"/>
        </w:rPr>
        <w:t>内支付合同金额的30%，服务期满且验收合格后支付70%。</w:t>
      </w:r>
    </w:p>
    <w:p w14:paraId="62C277B1">
      <w:pPr>
        <w:pStyle w:val="12"/>
        <w:numPr>
          <w:ilvl w:val="0"/>
          <w:numId w:val="0"/>
        </w:numPr>
        <w:spacing w:after="0" w:line="560" w:lineRule="exact"/>
        <w:ind w:firstLine="480" w:firstLineChars="200"/>
        <w:outlineLvl w:val="9"/>
        <w:rPr>
          <w:rFonts w:hint="eastAsia" w:ascii="仿宋" w:hAnsi="仿宋" w:eastAsia="仿宋" w:cs="仿宋"/>
          <w:sz w:val="24"/>
          <w:lang w:val="en-US" w:eastAsia="zh-CN"/>
        </w:rPr>
      </w:pPr>
    </w:p>
    <w:p w14:paraId="0BDC215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01C11C32">
      <w:pPr>
        <w:adjustRightInd w:val="0"/>
        <w:snapToGrid w:val="0"/>
        <w:spacing w:line="360" w:lineRule="auto"/>
        <w:rPr>
          <w:rFonts w:ascii="仿宋" w:hAnsi="仿宋" w:eastAsia="仿宋" w:cs="仿宋"/>
          <w:b/>
          <w:sz w:val="24"/>
        </w:rPr>
      </w:pPr>
      <w:r>
        <w:rPr>
          <w:rFonts w:hint="eastAsia" w:ascii="仿宋" w:hAnsi="仿宋" w:eastAsia="仿宋" w:cs="仿宋"/>
          <w:b/>
          <w:sz w:val="24"/>
        </w:rPr>
        <w:t xml:space="preserve">    五、违约责任(以下内容供参考,用户单位根据实际情况定)</w:t>
      </w:r>
    </w:p>
    <w:p w14:paraId="26C1D0F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1、甲方无故逾期办理价款支付手续的，甲方应按逾期付款总额每日万分之五向乙方支付违约金。</w:t>
      </w:r>
    </w:p>
    <w:p w14:paraId="1C21E40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逾期完成改造、未按期提供服务的，乙方应合同价款总额每日千分之六向甲方支付违约金，由甲方从待付款中扣除。逾期或未提供服务超过约定日期十个工作日不能完成的，甲方可解除本合同。乙方因逾期完成、未提供服务或因其他违约行为导致甲方解除合同的，乙方应向甲方支付合同价款百分之五的违约金，如造成甲方损失超过违约金的，超出部分由乙方继续承担赔偿责任。</w:t>
      </w:r>
    </w:p>
    <w:p w14:paraId="6ECA6BC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所提供的服务质量标准不符合合同规定或招标文件规定标准的，甲方有权拒绝接受服务，乙方愿意继续维修、提供服务但逾期完成的，按乙方逾期完成处理或提供服务。乙方拒绝按要求继续服务的，甲方可单方面解除合同。</w:t>
      </w:r>
    </w:p>
    <w:p w14:paraId="2E46B370">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六、不可抗力事件处理</w:t>
      </w:r>
    </w:p>
    <w:p w14:paraId="079BD7A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1、在合同有效期内，任何一方因不可抗力事件导致不能履行合同，则合同履行期可延长，其延长期与不可抗力影响期相同。</w:t>
      </w:r>
    </w:p>
    <w:p w14:paraId="2C8FA95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2、不可抗力事件发生后，应立即通知对方，并寄送有关权威机构出具的证明。</w:t>
      </w:r>
    </w:p>
    <w:p w14:paraId="2D6A573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3、不可抗力事件延续120天以上，双方应通过友好协商，确定是否继续履行合同。</w:t>
      </w:r>
    </w:p>
    <w:p w14:paraId="69DC020B">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七、争议的解决</w:t>
      </w:r>
    </w:p>
    <w:p w14:paraId="6E4F45D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在履行合同过程中发生争议时，双方当事人协商解决，协商不成的，采用下列方法解决：</w:t>
      </w:r>
    </w:p>
    <w:p w14:paraId="0717363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1、提交杭州市仲裁委员会仲裁。</w:t>
      </w:r>
    </w:p>
    <w:p w14:paraId="3C53BB1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2、依法向采购人所在地人民法院提起诉讼。</w:t>
      </w:r>
    </w:p>
    <w:p w14:paraId="56CCD87F">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八、合同生效及其它</w:t>
      </w:r>
    </w:p>
    <w:p w14:paraId="7159AD7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1、合同经双方法定代表人或授权委托代理人签字并加盖单位公章后生效。</w:t>
      </w:r>
    </w:p>
    <w:p w14:paraId="59955F0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2、合同执行中涉及采购资金和谈判采购内容修改或补充的，须经有关部门审批，并签书面补充协议报管理部门备案，方可作为主合同不可分割的一部分。</w:t>
      </w:r>
    </w:p>
    <w:p w14:paraId="7465A8B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3、下述合同附件为本合同不可分割的部分并与本合同具有同等效力：</w:t>
      </w:r>
      <w:r>
        <w:rPr>
          <w:rFonts w:hint="eastAsia" w:ascii="仿宋" w:hAnsi="仿宋" w:eastAsia="仿宋" w:cs="仿宋"/>
          <w:b/>
          <w:sz w:val="24"/>
        </w:rPr>
        <w:t>(已有内容供参考,用户单位可根据实际情况定)</w:t>
      </w:r>
    </w:p>
    <w:p w14:paraId="51897A5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（1）服务所需材料、人工等分项价格表</w:t>
      </w:r>
    </w:p>
    <w:p w14:paraId="6ADFE3C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（2）服务质量标准</w:t>
      </w:r>
    </w:p>
    <w:p w14:paraId="6C3B31C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（3）乙方谈判响应文件的内容及澄清内容</w:t>
      </w:r>
    </w:p>
    <w:p w14:paraId="6E3749D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（4）其他与本合同相关的单据</w:t>
      </w:r>
    </w:p>
    <w:p w14:paraId="1314008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（5）本合同适用的特殊条款</w:t>
      </w:r>
    </w:p>
    <w:p w14:paraId="2E4BCD9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4、本合同未尽事宜，遵照《中华人民共和国民法典》有关条文执行。</w:t>
      </w:r>
    </w:p>
    <w:p w14:paraId="4C8E3DD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5、本合同正本一式</w:t>
      </w:r>
      <w:r>
        <w:rPr>
          <w:rFonts w:hint="eastAsia" w:ascii="仿宋" w:hAnsi="仿宋" w:eastAsia="仿宋" w:cs="仿宋"/>
          <w:sz w:val="24"/>
          <w:lang w:val="en-US" w:eastAsia="zh-CN"/>
        </w:rPr>
        <w:t>四</w:t>
      </w:r>
      <w:r>
        <w:rPr>
          <w:rFonts w:hint="eastAsia" w:ascii="仿宋" w:hAnsi="仿宋" w:eastAsia="仿宋" w:cs="仿宋"/>
          <w:sz w:val="24"/>
        </w:rPr>
        <w:t>份（甲方</w:t>
      </w:r>
      <w:r>
        <w:rPr>
          <w:rFonts w:hint="eastAsia" w:ascii="仿宋" w:hAnsi="仿宋" w:eastAsia="仿宋" w:cs="仿宋"/>
          <w:sz w:val="24"/>
          <w:lang w:val="en-US" w:eastAsia="zh-CN"/>
        </w:rPr>
        <w:t>二</w:t>
      </w:r>
      <w:r>
        <w:rPr>
          <w:rFonts w:hint="eastAsia" w:ascii="仿宋" w:hAnsi="仿宋" w:eastAsia="仿宋" w:cs="仿宋"/>
          <w:sz w:val="24"/>
        </w:rPr>
        <w:t>份、乙方二份），具有同等法律效力。</w:t>
      </w:r>
    </w:p>
    <w:p w14:paraId="075249EF">
      <w:pPr>
        <w:snapToGrid w:val="0"/>
        <w:spacing w:line="360" w:lineRule="auto"/>
        <w:rPr>
          <w:rFonts w:ascii="宋体" w:hAnsi="宋体"/>
          <w:sz w:val="24"/>
          <w:szCs w:val="30"/>
        </w:rPr>
      </w:pPr>
    </w:p>
    <w:p w14:paraId="5A4ED54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甲方（盖章）：</w:t>
      </w:r>
      <w:r>
        <w:rPr>
          <w:rFonts w:ascii="仿宋" w:hAnsi="仿宋" w:eastAsia="仿宋" w:cs="仿宋"/>
          <w:sz w:val="24"/>
        </w:rPr>
        <w:t xml:space="preserve">                            </w:t>
      </w:r>
      <w:r>
        <w:rPr>
          <w:rFonts w:hint="eastAsia" w:ascii="仿宋" w:hAnsi="仿宋" w:eastAsia="仿宋" w:cs="仿宋"/>
          <w:sz w:val="24"/>
        </w:rPr>
        <w:t>乙方（盖章）：</w:t>
      </w:r>
      <w:r>
        <w:rPr>
          <w:rFonts w:ascii="仿宋" w:hAnsi="仿宋" w:eastAsia="仿宋" w:cs="仿宋"/>
          <w:sz w:val="24"/>
        </w:rPr>
        <w:t xml:space="preserve">        </w:t>
      </w:r>
    </w:p>
    <w:p w14:paraId="2CD9B61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法定代表人：</w:t>
      </w:r>
      <w:r>
        <w:rPr>
          <w:rFonts w:ascii="仿宋" w:hAnsi="仿宋" w:eastAsia="仿宋" w:cs="仿宋"/>
          <w:sz w:val="24"/>
        </w:rPr>
        <w:t xml:space="preserve">                              </w:t>
      </w:r>
      <w:r>
        <w:rPr>
          <w:rFonts w:hint="eastAsia" w:ascii="仿宋" w:hAnsi="仿宋" w:eastAsia="仿宋" w:cs="仿宋"/>
          <w:sz w:val="24"/>
        </w:rPr>
        <w:t>法定代表人：</w:t>
      </w:r>
      <w:r>
        <w:rPr>
          <w:rFonts w:ascii="仿宋" w:hAnsi="仿宋" w:eastAsia="仿宋" w:cs="仿宋"/>
          <w:sz w:val="24"/>
        </w:rPr>
        <w:t xml:space="preserve">                   </w:t>
      </w:r>
    </w:p>
    <w:p w14:paraId="3E4E21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或受委托人（签字）：</w:t>
      </w:r>
      <w:r>
        <w:rPr>
          <w:rFonts w:ascii="仿宋" w:hAnsi="仿宋" w:eastAsia="仿宋" w:cs="仿宋"/>
          <w:sz w:val="24"/>
        </w:rPr>
        <w:t xml:space="preserve">                      </w:t>
      </w:r>
      <w:r>
        <w:rPr>
          <w:rFonts w:hint="eastAsia" w:ascii="仿宋" w:hAnsi="仿宋" w:eastAsia="仿宋" w:cs="仿宋"/>
          <w:sz w:val="24"/>
        </w:rPr>
        <w:t>或受委托人（签字）：</w:t>
      </w:r>
      <w:r>
        <w:rPr>
          <w:rFonts w:ascii="仿宋" w:hAnsi="仿宋" w:eastAsia="仿宋" w:cs="仿宋"/>
          <w:sz w:val="24"/>
        </w:rPr>
        <w:t xml:space="preserve">                  </w:t>
      </w:r>
    </w:p>
    <w:p w14:paraId="4D26F98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联系人：</w:t>
      </w:r>
      <w:r>
        <w:rPr>
          <w:rFonts w:ascii="仿宋" w:hAnsi="仿宋" w:eastAsia="仿宋" w:cs="仿宋"/>
          <w:sz w:val="24"/>
        </w:rPr>
        <w:t xml:space="preserve">                                  </w:t>
      </w:r>
      <w:r>
        <w:rPr>
          <w:rFonts w:hint="eastAsia" w:ascii="仿宋" w:hAnsi="仿宋" w:eastAsia="仿宋" w:cs="仿宋"/>
          <w:sz w:val="24"/>
        </w:rPr>
        <w:t>联系人：</w:t>
      </w:r>
    </w:p>
    <w:p w14:paraId="4816A4B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地址：</w:t>
      </w:r>
      <w:r>
        <w:rPr>
          <w:rFonts w:ascii="仿宋" w:hAnsi="仿宋" w:eastAsia="仿宋" w:cs="仿宋"/>
          <w:sz w:val="24"/>
        </w:rPr>
        <w:t xml:space="preserve">                                    </w:t>
      </w:r>
      <w:r>
        <w:rPr>
          <w:rFonts w:hint="eastAsia" w:ascii="仿宋" w:hAnsi="仿宋" w:eastAsia="仿宋" w:cs="仿宋"/>
          <w:sz w:val="24"/>
        </w:rPr>
        <w:t>地址：</w:t>
      </w:r>
      <w:r>
        <w:rPr>
          <w:rFonts w:ascii="仿宋" w:hAnsi="仿宋" w:eastAsia="仿宋" w:cs="仿宋"/>
          <w:sz w:val="24"/>
        </w:rPr>
        <w:t xml:space="preserve"> </w:t>
      </w:r>
    </w:p>
    <w:p w14:paraId="0C80A0E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电话：</w:t>
      </w:r>
      <w:r>
        <w:rPr>
          <w:rFonts w:ascii="仿宋" w:hAnsi="仿宋" w:eastAsia="仿宋" w:cs="仿宋"/>
          <w:sz w:val="24"/>
        </w:rPr>
        <w:t xml:space="preserve">                                    </w:t>
      </w:r>
      <w:r>
        <w:rPr>
          <w:rFonts w:hint="eastAsia" w:ascii="仿宋" w:hAnsi="仿宋" w:eastAsia="仿宋" w:cs="仿宋"/>
          <w:sz w:val="24"/>
        </w:rPr>
        <w:t>电话：</w:t>
      </w:r>
    </w:p>
    <w:p w14:paraId="5CD4194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传真：</w:t>
      </w:r>
      <w:r>
        <w:rPr>
          <w:rFonts w:ascii="仿宋" w:hAnsi="仿宋" w:eastAsia="仿宋" w:cs="仿宋"/>
          <w:sz w:val="24"/>
        </w:rPr>
        <w:t xml:space="preserve">                                    </w:t>
      </w:r>
      <w:r>
        <w:rPr>
          <w:rFonts w:hint="eastAsia" w:ascii="仿宋" w:hAnsi="仿宋" w:eastAsia="仿宋" w:cs="仿宋"/>
          <w:sz w:val="24"/>
        </w:rPr>
        <w:t>传真：</w:t>
      </w:r>
    </w:p>
    <w:p w14:paraId="52BFB1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开户银行：</w:t>
      </w:r>
      <w:r>
        <w:rPr>
          <w:rFonts w:ascii="仿宋" w:hAnsi="仿宋" w:eastAsia="仿宋" w:cs="仿宋"/>
          <w:sz w:val="24"/>
        </w:rPr>
        <w:t xml:space="preserve">                                </w:t>
      </w:r>
      <w:r>
        <w:rPr>
          <w:rFonts w:hint="eastAsia" w:ascii="仿宋" w:hAnsi="仿宋" w:eastAsia="仿宋" w:cs="仿宋"/>
          <w:sz w:val="24"/>
        </w:rPr>
        <w:t>开户银行：</w:t>
      </w:r>
      <w:r>
        <w:rPr>
          <w:rFonts w:ascii="仿宋" w:hAnsi="仿宋" w:eastAsia="仿宋" w:cs="仿宋"/>
          <w:sz w:val="24"/>
        </w:rPr>
        <w:t xml:space="preserve"> </w:t>
      </w:r>
    </w:p>
    <w:p w14:paraId="183E8D2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帐号：</w:t>
      </w:r>
      <w:r>
        <w:rPr>
          <w:rFonts w:ascii="仿宋" w:hAnsi="仿宋" w:eastAsia="仿宋" w:cs="仿宋"/>
          <w:sz w:val="24"/>
        </w:rPr>
        <w:t xml:space="preserve">                                    </w:t>
      </w:r>
      <w:r>
        <w:rPr>
          <w:rFonts w:hint="eastAsia" w:ascii="仿宋" w:hAnsi="仿宋" w:eastAsia="仿宋" w:cs="仿宋"/>
          <w:sz w:val="24"/>
        </w:rPr>
        <w:t>帐号：</w:t>
      </w:r>
    </w:p>
    <w:p w14:paraId="1C593AFE">
      <w:pPr>
        <w:snapToGrid w:val="0"/>
        <w:spacing w:line="360" w:lineRule="auto"/>
        <w:ind w:firstLine="480" w:firstLineChars="200"/>
        <w:rPr>
          <w:rFonts w:ascii="仿宋" w:hAnsi="仿宋" w:eastAsia="仿宋" w:cs="仿宋"/>
          <w:sz w:val="24"/>
        </w:rPr>
      </w:pPr>
    </w:p>
    <w:p w14:paraId="29B1A695">
      <w:pPr>
        <w:snapToGrid w:val="0"/>
        <w:spacing w:line="360" w:lineRule="auto"/>
        <w:ind w:firstLine="480" w:firstLineChars="200"/>
        <w:rPr>
          <w:rFonts w:ascii="仿宋" w:hAnsi="仿宋" w:eastAsia="仿宋" w:cs="仿宋"/>
          <w:sz w:val="24"/>
        </w:rPr>
      </w:pPr>
      <w:r>
        <w:rPr>
          <w:rFonts w:ascii="仿宋" w:hAnsi="仿宋" w:eastAsia="仿宋" w:cs="仿宋"/>
          <w:sz w:val="24"/>
        </w:rPr>
        <w:t xml:space="preserve"> </w:t>
      </w:r>
    </w:p>
    <w:p w14:paraId="05DD16A7">
      <w:pPr>
        <w:snapToGrid w:val="0"/>
        <w:spacing w:line="360" w:lineRule="auto"/>
        <w:jc w:val="center"/>
        <w:rPr>
          <w:rFonts w:ascii="仿宋_GB2312" w:hAnsi="仿宋" w:eastAsia="仿宋_GB2312" w:cs="仿宋"/>
          <w:b/>
          <w:bCs/>
          <w:sz w:val="32"/>
          <w:szCs w:val="32"/>
        </w:rPr>
      </w:pPr>
      <w:r>
        <w:rPr>
          <w:rFonts w:hint="eastAsia" w:ascii="仿宋_GB2312" w:hAnsi="仿宋" w:eastAsia="仿宋_GB2312" w:cs="仿宋"/>
          <w:b/>
          <w:sz w:val="32"/>
          <w:szCs w:val="32"/>
        </w:rPr>
        <w:br w:type="page"/>
      </w:r>
      <w:r>
        <w:rPr>
          <w:rFonts w:hint="eastAsia" w:ascii="仿宋_GB2312" w:hAnsi="仿宋" w:eastAsia="仿宋_GB2312" w:cs="仿宋"/>
          <w:b/>
          <w:sz w:val="32"/>
          <w:szCs w:val="32"/>
        </w:rPr>
        <w:t>第六部分  磋商响应文件格式</w:t>
      </w:r>
    </w:p>
    <w:p w14:paraId="392417ED">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说明：</w:t>
      </w:r>
    </w:p>
    <w:p w14:paraId="1AD59BFF">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1、磋商响应文件由磋商供应商根据磋商文件要求参照附件格式编制。</w:t>
      </w:r>
    </w:p>
    <w:p w14:paraId="78B67331">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2、磋商供应商根据实际情况填写。</w:t>
      </w:r>
    </w:p>
    <w:p w14:paraId="587FF8C7">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3、磋商文件中没有参考格式的，由磋商供应商自行编制。</w:t>
      </w:r>
    </w:p>
    <w:p w14:paraId="58F36DD5">
      <w:pPr>
        <w:adjustRightInd w:val="0"/>
        <w:snapToGrid w:val="0"/>
        <w:spacing w:line="360" w:lineRule="auto"/>
        <w:rPr>
          <w:rFonts w:ascii="仿宋_GB2312" w:hAnsi="仿宋" w:eastAsia="仿宋_GB2312" w:cs="仿宋"/>
        </w:rPr>
      </w:pPr>
    </w:p>
    <w:p w14:paraId="425A8427">
      <w:pPr>
        <w:adjustRightInd w:val="0"/>
        <w:snapToGrid w:val="0"/>
        <w:spacing w:line="360" w:lineRule="auto"/>
        <w:rPr>
          <w:rFonts w:ascii="仿宋_GB2312" w:hAnsi="仿宋" w:eastAsia="仿宋_GB2312" w:cs="仿宋"/>
        </w:rPr>
      </w:pPr>
    </w:p>
    <w:p w14:paraId="76846E59">
      <w:pPr>
        <w:adjustRightInd w:val="0"/>
        <w:snapToGrid w:val="0"/>
        <w:spacing w:line="360" w:lineRule="auto"/>
        <w:rPr>
          <w:rFonts w:ascii="仿宋_GB2312" w:hAnsi="仿宋" w:eastAsia="仿宋_GB2312" w:cs="仿宋"/>
        </w:rPr>
      </w:pPr>
    </w:p>
    <w:p w14:paraId="0A80CDA7">
      <w:pPr>
        <w:adjustRightInd w:val="0"/>
        <w:snapToGrid w:val="0"/>
        <w:spacing w:line="360" w:lineRule="auto"/>
        <w:rPr>
          <w:rFonts w:ascii="仿宋_GB2312" w:hAnsi="仿宋" w:eastAsia="仿宋_GB2312" w:cs="仿宋"/>
        </w:rPr>
      </w:pPr>
    </w:p>
    <w:p w14:paraId="23F939A1">
      <w:pPr>
        <w:adjustRightInd w:val="0"/>
        <w:snapToGrid w:val="0"/>
        <w:spacing w:line="360" w:lineRule="auto"/>
        <w:rPr>
          <w:rFonts w:ascii="仿宋_GB2312" w:hAnsi="仿宋" w:eastAsia="仿宋_GB2312" w:cs="仿宋"/>
        </w:rPr>
      </w:pPr>
    </w:p>
    <w:p w14:paraId="359C61EE">
      <w:pPr>
        <w:adjustRightInd w:val="0"/>
        <w:snapToGrid w:val="0"/>
        <w:spacing w:line="360" w:lineRule="auto"/>
        <w:rPr>
          <w:rFonts w:ascii="仿宋_GB2312" w:hAnsi="仿宋" w:eastAsia="仿宋_GB2312" w:cs="仿宋"/>
        </w:rPr>
      </w:pPr>
    </w:p>
    <w:p w14:paraId="651B7066">
      <w:pPr>
        <w:adjustRightInd w:val="0"/>
        <w:snapToGrid w:val="0"/>
        <w:spacing w:line="360" w:lineRule="auto"/>
        <w:rPr>
          <w:rFonts w:ascii="仿宋_GB2312" w:hAnsi="仿宋" w:eastAsia="仿宋_GB2312" w:cs="仿宋"/>
        </w:rPr>
      </w:pPr>
    </w:p>
    <w:p w14:paraId="33A883BD">
      <w:pPr>
        <w:adjustRightInd w:val="0"/>
        <w:snapToGrid w:val="0"/>
        <w:spacing w:line="360" w:lineRule="auto"/>
        <w:rPr>
          <w:rFonts w:ascii="仿宋_GB2312" w:hAnsi="仿宋" w:eastAsia="仿宋_GB2312" w:cs="仿宋"/>
        </w:rPr>
      </w:pPr>
    </w:p>
    <w:p w14:paraId="3E6EE287">
      <w:pPr>
        <w:adjustRightInd w:val="0"/>
        <w:snapToGrid w:val="0"/>
        <w:spacing w:line="360" w:lineRule="auto"/>
        <w:rPr>
          <w:rFonts w:ascii="仿宋_GB2312" w:hAnsi="仿宋" w:eastAsia="仿宋_GB2312" w:cs="仿宋"/>
        </w:rPr>
      </w:pPr>
    </w:p>
    <w:p w14:paraId="2DE9B314">
      <w:pPr>
        <w:adjustRightInd w:val="0"/>
        <w:snapToGrid w:val="0"/>
        <w:spacing w:line="360" w:lineRule="auto"/>
        <w:rPr>
          <w:rFonts w:ascii="仿宋_GB2312" w:hAnsi="仿宋" w:eastAsia="仿宋_GB2312" w:cs="仿宋"/>
        </w:rPr>
      </w:pPr>
    </w:p>
    <w:p w14:paraId="6EFB1055">
      <w:pPr>
        <w:adjustRightInd w:val="0"/>
        <w:snapToGrid w:val="0"/>
        <w:spacing w:line="360" w:lineRule="auto"/>
        <w:rPr>
          <w:rFonts w:ascii="仿宋_GB2312" w:hAnsi="仿宋" w:eastAsia="仿宋_GB2312" w:cs="仿宋"/>
        </w:rPr>
      </w:pPr>
    </w:p>
    <w:p w14:paraId="56C9694F">
      <w:pPr>
        <w:adjustRightInd w:val="0"/>
        <w:snapToGrid w:val="0"/>
        <w:spacing w:line="360" w:lineRule="auto"/>
        <w:rPr>
          <w:rFonts w:ascii="仿宋_GB2312" w:hAnsi="仿宋" w:eastAsia="仿宋_GB2312" w:cs="仿宋"/>
        </w:rPr>
      </w:pPr>
    </w:p>
    <w:p w14:paraId="17297EA6">
      <w:pPr>
        <w:adjustRightInd w:val="0"/>
        <w:snapToGrid w:val="0"/>
        <w:spacing w:line="360" w:lineRule="auto"/>
        <w:rPr>
          <w:rFonts w:ascii="仿宋_GB2312" w:hAnsi="仿宋" w:eastAsia="仿宋_GB2312" w:cs="仿宋"/>
        </w:rPr>
      </w:pPr>
    </w:p>
    <w:p w14:paraId="1D21378F">
      <w:pPr>
        <w:adjustRightInd w:val="0"/>
        <w:snapToGrid w:val="0"/>
        <w:spacing w:line="360" w:lineRule="auto"/>
        <w:rPr>
          <w:rFonts w:ascii="仿宋_GB2312" w:hAnsi="仿宋" w:eastAsia="仿宋_GB2312" w:cs="仿宋"/>
        </w:rPr>
      </w:pPr>
    </w:p>
    <w:p w14:paraId="1E351718">
      <w:pPr>
        <w:adjustRightInd w:val="0"/>
        <w:snapToGrid w:val="0"/>
        <w:spacing w:line="360" w:lineRule="auto"/>
        <w:rPr>
          <w:rFonts w:ascii="仿宋_GB2312" w:hAnsi="仿宋" w:eastAsia="仿宋_GB2312" w:cs="仿宋"/>
        </w:rPr>
      </w:pPr>
    </w:p>
    <w:p w14:paraId="7CC66280">
      <w:pPr>
        <w:adjustRightInd w:val="0"/>
        <w:snapToGrid w:val="0"/>
        <w:spacing w:line="360" w:lineRule="auto"/>
        <w:rPr>
          <w:rFonts w:ascii="仿宋_GB2312" w:hAnsi="仿宋" w:eastAsia="仿宋_GB2312" w:cs="仿宋"/>
        </w:rPr>
      </w:pPr>
    </w:p>
    <w:p w14:paraId="3D828E46">
      <w:pPr>
        <w:adjustRightInd w:val="0"/>
        <w:snapToGrid w:val="0"/>
        <w:spacing w:before="156" w:beforeLines="50" w:after="50" w:line="360" w:lineRule="auto"/>
        <w:rPr>
          <w:rFonts w:ascii="仿宋_GB2312" w:hAnsi="仿宋" w:eastAsia="仿宋_GB2312" w:cs="仿宋"/>
          <w:b/>
          <w:sz w:val="30"/>
          <w:szCs w:val="30"/>
        </w:rPr>
      </w:pPr>
      <w:r>
        <w:rPr>
          <w:rFonts w:hint="eastAsia" w:ascii="仿宋_GB2312" w:hAnsi="仿宋" w:eastAsia="仿宋_GB2312" w:cs="仿宋"/>
        </w:rPr>
        <w:br w:type="page"/>
      </w:r>
      <w:r>
        <w:rPr>
          <w:rFonts w:hint="eastAsia" w:ascii="仿宋_GB2312" w:hAnsi="仿宋" w:eastAsia="仿宋_GB2312" w:cs="仿宋"/>
          <w:sz w:val="30"/>
          <w:szCs w:val="30"/>
        </w:rPr>
        <w:t>封面</w:t>
      </w:r>
      <w:r>
        <w:rPr>
          <w:rFonts w:hint="eastAsia" w:ascii="仿宋_GB2312" w:hAnsi="仿宋" w:eastAsia="仿宋_GB2312" w:cs="仿宋"/>
          <w:b/>
          <w:sz w:val="30"/>
          <w:szCs w:val="30"/>
        </w:rPr>
        <w:t xml:space="preserve">：                                     </w:t>
      </w:r>
    </w:p>
    <w:p w14:paraId="03E3B7D1">
      <w:pPr>
        <w:adjustRightInd w:val="0"/>
        <w:snapToGrid w:val="0"/>
        <w:spacing w:before="156" w:beforeLines="50" w:after="50" w:line="360" w:lineRule="auto"/>
        <w:jc w:val="right"/>
        <w:rPr>
          <w:rFonts w:ascii="仿宋_GB2312" w:hAnsi="仿宋" w:eastAsia="仿宋_GB2312" w:cs="仿宋"/>
          <w:bCs/>
          <w:sz w:val="30"/>
          <w:szCs w:val="30"/>
        </w:rPr>
      </w:pPr>
      <w:r>
        <w:rPr>
          <w:rFonts w:hint="eastAsia" w:ascii="仿宋_GB2312" w:hAnsi="仿宋" w:eastAsia="仿宋_GB2312" w:cs="仿宋"/>
          <w:sz w:val="30"/>
          <w:szCs w:val="30"/>
        </w:rPr>
        <w:t xml:space="preserve">                                            </w:t>
      </w:r>
    </w:p>
    <w:p w14:paraId="6A140ED9">
      <w:pPr>
        <w:adjustRightInd w:val="0"/>
        <w:snapToGrid w:val="0"/>
        <w:spacing w:line="360" w:lineRule="auto"/>
        <w:ind w:right="-110"/>
        <w:jc w:val="center"/>
        <w:rPr>
          <w:rFonts w:ascii="仿宋_GB2312" w:hAnsi="仿宋" w:eastAsia="仿宋_GB2312" w:cs="仿宋"/>
          <w:spacing w:val="40"/>
          <w:sz w:val="52"/>
          <w:szCs w:val="52"/>
        </w:rPr>
      </w:pPr>
      <w:r>
        <w:rPr>
          <w:rFonts w:hint="eastAsia" w:ascii="仿宋_GB2312" w:hAnsi="仿宋" w:eastAsia="仿宋_GB2312" w:cs="仿宋"/>
          <w:spacing w:val="40"/>
          <w:sz w:val="52"/>
          <w:szCs w:val="52"/>
        </w:rPr>
        <w:t>***项目名称</w:t>
      </w:r>
    </w:p>
    <w:p w14:paraId="1502147E">
      <w:pPr>
        <w:adjustRightInd w:val="0"/>
        <w:snapToGrid w:val="0"/>
        <w:spacing w:before="312" w:beforeLines="100" w:line="360" w:lineRule="auto"/>
        <w:ind w:right="-108"/>
        <w:jc w:val="center"/>
        <w:rPr>
          <w:rFonts w:ascii="仿宋_GB2312" w:hAnsi="仿宋" w:eastAsia="仿宋_GB2312" w:cs="仿宋"/>
          <w:sz w:val="36"/>
          <w:szCs w:val="36"/>
        </w:rPr>
      </w:pPr>
      <w:r>
        <w:rPr>
          <w:rFonts w:hint="eastAsia" w:ascii="仿宋_GB2312" w:hAnsi="仿宋" w:eastAsia="仿宋_GB2312" w:cs="仿宋"/>
          <w:sz w:val="36"/>
          <w:szCs w:val="36"/>
        </w:rPr>
        <w:t>项目编号：</w:t>
      </w:r>
    </w:p>
    <w:p w14:paraId="4B4D01E6">
      <w:pPr>
        <w:adjustRightInd w:val="0"/>
        <w:snapToGrid w:val="0"/>
        <w:spacing w:before="312" w:beforeLines="100" w:line="360" w:lineRule="auto"/>
        <w:ind w:right="-108"/>
        <w:jc w:val="center"/>
        <w:rPr>
          <w:rFonts w:ascii="仿宋_GB2312" w:hAnsi="仿宋" w:eastAsia="仿宋_GB2312" w:cs="仿宋"/>
          <w:sz w:val="36"/>
          <w:szCs w:val="36"/>
        </w:rPr>
      </w:pPr>
    </w:p>
    <w:p w14:paraId="66A0C990">
      <w:pPr>
        <w:adjustRightInd w:val="0"/>
        <w:snapToGrid w:val="0"/>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资</w:t>
      </w:r>
    </w:p>
    <w:p w14:paraId="65220E31">
      <w:pPr>
        <w:adjustRightInd w:val="0"/>
        <w:snapToGrid w:val="0"/>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格</w:t>
      </w:r>
    </w:p>
    <w:p w14:paraId="201B6C14">
      <w:pPr>
        <w:adjustRightInd w:val="0"/>
        <w:snapToGrid w:val="0"/>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文</w:t>
      </w:r>
    </w:p>
    <w:p w14:paraId="7E243214">
      <w:pPr>
        <w:adjustRightInd w:val="0"/>
        <w:snapToGrid w:val="0"/>
        <w:jc w:val="center"/>
        <w:rPr>
          <w:rFonts w:ascii="仿宋_GB2312" w:hAnsi="仿宋" w:eastAsia="仿宋_GB2312" w:cs="仿宋"/>
          <w:b/>
          <w:spacing w:val="40"/>
          <w:sz w:val="84"/>
          <w:szCs w:val="84"/>
        </w:rPr>
      </w:pPr>
      <w:r>
        <w:rPr>
          <w:rFonts w:hint="eastAsia" w:ascii="仿宋_GB2312" w:hAnsi="仿宋" w:eastAsia="仿宋_GB2312" w:cs="仿宋"/>
          <w:b/>
          <w:spacing w:val="40"/>
          <w:sz w:val="72"/>
          <w:szCs w:val="72"/>
        </w:rPr>
        <w:t>件</w:t>
      </w:r>
    </w:p>
    <w:p w14:paraId="6E33FC10">
      <w:pPr>
        <w:adjustRightInd w:val="0"/>
        <w:snapToGrid w:val="0"/>
        <w:spacing w:line="360" w:lineRule="auto"/>
        <w:ind w:right="532"/>
        <w:rPr>
          <w:rFonts w:ascii="仿宋_GB2312" w:hAnsi="仿宋" w:eastAsia="仿宋_GB2312" w:cs="仿宋"/>
          <w:sz w:val="36"/>
          <w:szCs w:val="36"/>
        </w:rPr>
      </w:pPr>
    </w:p>
    <w:p w14:paraId="4607F948">
      <w:pPr>
        <w:pStyle w:val="2"/>
        <w:adjustRightInd w:val="0"/>
        <w:snapToGrid w:val="0"/>
        <w:spacing w:line="360" w:lineRule="auto"/>
        <w:rPr>
          <w:rFonts w:ascii="仿宋_GB2312" w:hAnsi="仿宋" w:eastAsia="仿宋_GB2312" w:cs="仿宋"/>
          <w:sz w:val="36"/>
          <w:szCs w:val="36"/>
        </w:rPr>
      </w:pPr>
    </w:p>
    <w:p w14:paraId="61DB7BF9">
      <w:pPr>
        <w:adjustRightInd w:val="0"/>
        <w:snapToGrid w:val="0"/>
        <w:spacing w:line="360" w:lineRule="auto"/>
      </w:pPr>
    </w:p>
    <w:p w14:paraId="479506EF">
      <w:pPr>
        <w:adjustRightInd w:val="0"/>
        <w:snapToGrid w:val="0"/>
        <w:spacing w:line="360" w:lineRule="auto"/>
        <w:ind w:right="532" w:firstLine="640" w:firstLineChars="200"/>
        <w:rPr>
          <w:rFonts w:ascii="仿宋_GB2312" w:hAnsi="仿宋" w:eastAsia="仿宋_GB2312" w:cs="仿宋"/>
          <w:sz w:val="32"/>
          <w:szCs w:val="32"/>
        </w:rPr>
      </w:pPr>
      <w:r>
        <w:rPr>
          <w:rFonts w:hint="eastAsia" w:ascii="仿宋_GB2312" w:hAnsi="仿宋" w:eastAsia="仿宋_GB2312" w:cs="仿宋"/>
          <w:sz w:val="32"/>
          <w:szCs w:val="32"/>
        </w:rPr>
        <w:t>磋商供应商全称（公章）：</w:t>
      </w:r>
    </w:p>
    <w:p w14:paraId="163EEA15">
      <w:pPr>
        <w:adjustRightInd w:val="0"/>
        <w:snapToGrid w:val="0"/>
        <w:spacing w:line="360" w:lineRule="auto"/>
        <w:ind w:right="532" w:firstLine="640" w:firstLineChars="200"/>
        <w:rPr>
          <w:rFonts w:ascii="仿宋_GB2312" w:hAnsi="仿宋" w:eastAsia="仿宋_GB2312" w:cs="仿宋"/>
          <w:sz w:val="32"/>
          <w:szCs w:val="32"/>
        </w:rPr>
      </w:pPr>
      <w:r>
        <w:rPr>
          <w:rFonts w:hint="eastAsia" w:ascii="仿宋_GB2312" w:hAnsi="仿宋" w:eastAsia="仿宋_GB2312" w:cs="仿宋"/>
          <w:sz w:val="32"/>
          <w:szCs w:val="32"/>
        </w:rPr>
        <w:t>授权代表（签字）：</w:t>
      </w:r>
    </w:p>
    <w:p w14:paraId="7A37FC41">
      <w:pPr>
        <w:adjustRightInd w:val="0"/>
        <w:snapToGrid w:val="0"/>
        <w:spacing w:line="360" w:lineRule="auto"/>
        <w:ind w:right="532" w:firstLine="640" w:firstLineChars="200"/>
        <w:rPr>
          <w:rFonts w:ascii="仿宋_GB2312" w:hAnsi="仿宋" w:eastAsia="仿宋_GB2312" w:cs="仿宋"/>
          <w:sz w:val="32"/>
          <w:szCs w:val="32"/>
        </w:rPr>
      </w:pPr>
      <w:r>
        <w:rPr>
          <w:rFonts w:hint="eastAsia" w:ascii="仿宋_GB2312" w:hAnsi="仿宋" w:eastAsia="仿宋_GB2312" w:cs="仿宋"/>
          <w:sz w:val="32"/>
          <w:szCs w:val="32"/>
        </w:rPr>
        <w:t>地    址：</w:t>
      </w:r>
    </w:p>
    <w:p w14:paraId="17B46706">
      <w:pPr>
        <w:adjustRightInd w:val="0"/>
        <w:snapToGrid w:val="0"/>
        <w:spacing w:line="360" w:lineRule="auto"/>
        <w:ind w:right="532" w:firstLine="640" w:firstLineChars="200"/>
        <w:rPr>
          <w:rFonts w:ascii="仿宋_GB2312" w:hAnsi="仿宋" w:eastAsia="仿宋_GB2312" w:cs="仿宋"/>
          <w:b/>
          <w:bCs/>
          <w:sz w:val="36"/>
          <w:szCs w:val="36"/>
        </w:rPr>
      </w:pPr>
      <w:r>
        <w:rPr>
          <w:rFonts w:hint="eastAsia" w:ascii="仿宋_GB2312" w:hAnsi="仿宋" w:eastAsia="仿宋_GB2312" w:cs="仿宋"/>
          <w:sz w:val="32"/>
          <w:szCs w:val="32"/>
        </w:rPr>
        <w:t>时    间：</w:t>
      </w:r>
    </w:p>
    <w:p w14:paraId="4EB54F33">
      <w:pPr>
        <w:adjustRightInd w:val="0"/>
        <w:snapToGrid w:val="0"/>
        <w:spacing w:line="360" w:lineRule="auto"/>
        <w:jc w:val="center"/>
        <w:rPr>
          <w:rFonts w:ascii="仿宋_GB2312" w:hAnsi="仿宋" w:eastAsia="仿宋_GB2312" w:cs="仿宋"/>
          <w:b/>
          <w:bCs/>
          <w:sz w:val="36"/>
          <w:szCs w:val="36"/>
        </w:rPr>
      </w:pPr>
    </w:p>
    <w:p w14:paraId="2225F8A8">
      <w:pPr>
        <w:adjustRightInd w:val="0"/>
        <w:snapToGrid w:val="0"/>
        <w:spacing w:line="360" w:lineRule="auto"/>
        <w:jc w:val="center"/>
        <w:rPr>
          <w:rFonts w:ascii="仿宋_GB2312" w:hAnsi="仿宋" w:eastAsia="仿宋_GB2312" w:cs="仿宋"/>
          <w:b/>
          <w:bCs/>
          <w:sz w:val="36"/>
          <w:szCs w:val="36"/>
        </w:rPr>
      </w:pPr>
      <w:r>
        <w:rPr>
          <w:rFonts w:hint="eastAsia" w:ascii="仿宋_GB2312" w:hAnsi="仿宋" w:eastAsia="仿宋_GB2312" w:cs="仿宋"/>
          <w:b/>
          <w:bCs/>
          <w:sz w:val="36"/>
          <w:szCs w:val="36"/>
        </w:rPr>
        <w:t>资格文件</w:t>
      </w:r>
    </w:p>
    <w:p w14:paraId="35F7AD72">
      <w:pPr>
        <w:adjustRightInd w:val="0"/>
        <w:snapToGrid w:val="0"/>
        <w:spacing w:line="360" w:lineRule="auto"/>
        <w:jc w:val="center"/>
        <w:rPr>
          <w:rFonts w:ascii="仿宋_GB2312" w:hAnsi="仿宋" w:eastAsia="仿宋_GB2312" w:cs="仿宋"/>
          <w:sz w:val="32"/>
          <w:szCs w:val="32"/>
        </w:rPr>
      </w:pPr>
      <w:r>
        <w:rPr>
          <w:rFonts w:hint="eastAsia" w:ascii="仿宋_GB2312" w:hAnsi="仿宋" w:eastAsia="仿宋_GB2312" w:cs="仿宋"/>
          <w:b/>
          <w:bCs/>
          <w:sz w:val="32"/>
          <w:szCs w:val="32"/>
        </w:rPr>
        <w:t>目录</w:t>
      </w:r>
    </w:p>
    <w:p w14:paraId="3D692A57">
      <w:pPr>
        <w:adjustRightInd w:val="0"/>
        <w:snapToGrid w:val="0"/>
        <w:spacing w:line="360" w:lineRule="auto"/>
        <w:rPr>
          <w:rFonts w:ascii="仿宋_GB2312" w:hAnsi="仿宋" w:eastAsia="仿宋_GB2312" w:cs="仿宋"/>
          <w:sz w:val="24"/>
          <w:szCs w:val="20"/>
        </w:rPr>
      </w:pPr>
    </w:p>
    <w:p w14:paraId="5949882D">
      <w:pPr>
        <w:spacing w:line="360" w:lineRule="auto"/>
        <w:jc w:val="left"/>
        <w:rPr>
          <w:rFonts w:ascii="仿宋" w:hAnsi="仿宋" w:eastAsia="仿宋" w:cs="仿宋"/>
          <w:sz w:val="24"/>
        </w:rPr>
      </w:pPr>
      <w:r>
        <w:rPr>
          <w:rFonts w:hint="eastAsia" w:ascii="仿宋" w:hAnsi="仿宋" w:eastAsia="仿宋" w:cs="仿宋"/>
          <w:sz w:val="24"/>
        </w:rPr>
        <w:t>（1）有效营业执照副本复印件—————————————————（页码）</w:t>
      </w:r>
    </w:p>
    <w:p w14:paraId="4DB61C6B">
      <w:pPr>
        <w:spacing w:line="360" w:lineRule="auto"/>
        <w:jc w:val="left"/>
        <w:rPr>
          <w:rFonts w:ascii="仿宋" w:hAnsi="仿宋" w:eastAsia="仿宋" w:cs="仿宋"/>
          <w:sz w:val="24"/>
        </w:rPr>
      </w:pPr>
      <w:r>
        <w:rPr>
          <w:rFonts w:hint="eastAsia" w:ascii="仿宋" w:hAnsi="仿宋" w:eastAsia="仿宋" w:cs="仿宋"/>
          <w:sz w:val="24"/>
        </w:rPr>
        <w:t>（2）</w:t>
      </w:r>
      <w:r>
        <w:rPr>
          <w:rFonts w:ascii="仿宋_GB2312" w:hAnsi="仿宋" w:eastAsia="仿宋_GB2312" w:cs="仿宋_GB2312"/>
          <w:sz w:val="24"/>
        </w:rPr>
        <w:t>符合参加政府采购活动应当具备的一般条件的承诺函</w:t>
      </w:r>
      <w:r>
        <w:rPr>
          <w:rFonts w:hint="eastAsia" w:ascii="仿宋" w:hAnsi="仿宋" w:eastAsia="仿宋" w:cs="仿宋"/>
          <w:sz w:val="24"/>
        </w:rPr>
        <w:t>—————（页码）</w:t>
      </w:r>
    </w:p>
    <w:p w14:paraId="179962AA">
      <w:pPr>
        <w:spacing w:line="360" w:lineRule="auto"/>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zh-CN"/>
        </w:rPr>
        <w:t>落实政府采购政策需满足的资格要求</w:t>
      </w:r>
      <w:r>
        <w:rPr>
          <w:rFonts w:hint="eastAsia" w:ascii="仿宋" w:hAnsi="仿宋" w:eastAsia="仿宋" w:cs="仿宋"/>
          <w:sz w:val="24"/>
        </w:rPr>
        <w:t>证明文件（若有）————（页码）</w:t>
      </w:r>
    </w:p>
    <w:p w14:paraId="56B2E34B">
      <w:pPr>
        <w:spacing w:line="360" w:lineRule="auto"/>
        <w:jc w:val="left"/>
        <w:rPr>
          <w:rFonts w:ascii="仿宋" w:hAnsi="仿宋" w:eastAsia="仿宋" w:cs="仿宋"/>
          <w:sz w:val="24"/>
        </w:rPr>
      </w:pPr>
      <w:r>
        <w:rPr>
          <w:rFonts w:hint="eastAsia" w:ascii="仿宋" w:hAnsi="仿宋" w:eastAsia="仿宋" w:cs="仿宋"/>
          <w:sz w:val="24"/>
        </w:rPr>
        <w:t>（4）本项目的特定资格要求证明文件（未要求的无需提供）————（页码）</w:t>
      </w:r>
    </w:p>
    <w:p w14:paraId="0DEBE259">
      <w:pPr>
        <w:pStyle w:val="87"/>
        <w:bidi/>
        <w:spacing w:line="360" w:lineRule="auto"/>
      </w:pPr>
    </w:p>
    <w:p w14:paraId="4399DA78">
      <w:pPr>
        <w:pStyle w:val="14"/>
        <w:bidi/>
        <w:spacing w:after="0" w:line="360" w:lineRule="auto"/>
        <w:ind w:left="0" w:leftChars="0"/>
        <w:jc w:val="left"/>
        <w:rPr>
          <w:rFonts w:eastAsia="仿宋_GB2312"/>
        </w:rPr>
      </w:pPr>
    </w:p>
    <w:p w14:paraId="14EB360D">
      <w:pPr>
        <w:adjustRightInd w:val="0"/>
        <w:snapToGrid w:val="0"/>
        <w:spacing w:line="360" w:lineRule="auto"/>
        <w:rPr>
          <w:rFonts w:ascii="仿宋_GB2312" w:hAnsi="仿宋" w:eastAsia="仿宋_GB2312" w:cs="仿宋"/>
          <w:sz w:val="24"/>
        </w:rPr>
      </w:pPr>
    </w:p>
    <w:p w14:paraId="4A10756D">
      <w:pPr>
        <w:adjustRightInd w:val="0"/>
        <w:snapToGrid w:val="0"/>
        <w:spacing w:line="360" w:lineRule="auto"/>
        <w:rPr>
          <w:rFonts w:ascii="仿宋_GB2312" w:hAnsi="仿宋" w:eastAsia="仿宋_GB2312" w:cs="仿宋"/>
          <w:sz w:val="24"/>
        </w:rPr>
      </w:pPr>
    </w:p>
    <w:p w14:paraId="27A0AF2F">
      <w:pPr>
        <w:adjustRightInd w:val="0"/>
        <w:snapToGrid w:val="0"/>
        <w:spacing w:line="360" w:lineRule="auto"/>
        <w:rPr>
          <w:rFonts w:ascii="仿宋_GB2312" w:hAnsi="仿宋" w:eastAsia="仿宋_GB2312" w:cs="仿宋"/>
          <w:sz w:val="24"/>
        </w:rPr>
      </w:pPr>
    </w:p>
    <w:p w14:paraId="2818865F">
      <w:pPr>
        <w:snapToGrid w:val="0"/>
        <w:spacing w:line="360" w:lineRule="auto"/>
        <w:ind w:right="480"/>
        <w:jc w:val="center"/>
        <w:rPr>
          <w:rFonts w:ascii="仿宋_GB2312" w:hAnsi="仿宋" w:eastAsia="仿宋_GB2312" w:cs="仿宋_GB2312"/>
          <w:b/>
          <w:kern w:val="0"/>
          <w:sz w:val="32"/>
          <w:szCs w:val="32"/>
        </w:rPr>
      </w:pPr>
      <w:r>
        <w:rPr>
          <w:rFonts w:hint="eastAsia" w:ascii="仿宋_GB2312" w:hAnsi="仿宋" w:eastAsia="仿宋_GB2312" w:cs="仿宋"/>
          <w:sz w:val="24"/>
        </w:rPr>
        <w:br w:type="page"/>
      </w:r>
      <w:r>
        <w:rPr>
          <w:rFonts w:ascii="仿宋_GB2312" w:hAnsi="仿宋" w:eastAsia="仿宋_GB2312" w:cs="仿宋_GB2312"/>
          <w:b/>
          <w:kern w:val="0"/>
          <w:sz w:val="32"/>
          <w:szCs w:val="32"/>
        </w:rPr>
        <w:t>一、有效的营业执照副本（复印件加盖公章）</w:t>
      </w:r>
    </w:p>
    <w:p w14:paraId="6C9C1149">
      <w:pPr>
        <w:adjustRightInd w:val="0"/>
        <w:snapToGrid w:val="0"/>
        <w:spacing w:line="360" w:lineRule="auto"/>
        <w:rPr>
          <w:rFonts w:ascii="仿宋" w:hAnsi="仿宋" w:eastAsia="仿宋" w:cs="仿宋"/>
          <w:b/>
          <w:bCs/>
          <w:kern w:val="0"/>
          <w:sz w:val="24"/>
        </w:rPr>
      </w:pPr>
    </w:p>
    <w:p w14:paraId="149BBA95">
      <w:pPr>
        <w:adjustRightInd w:val="0"/>
        <w:snapToGrid w:val="0"/>
        <w:spacing w:line="360" w:lineRule="auto"/>
        <w:ind w:firstLine="472" w:firstLineChars="196"/>
        <w:jc w:val="center"/>
        <w:rPr>
          <w:rFonts w:ascii="仿宋" w:hAnsi="仿宋" w:eastAsia="仿宋" w:cs="仿宋"/>
          <w:b/>
          <w:bCs/>
          <w:kern w:val="0"/>
          <w:sz w:val="24"/>
        </w:rPr>
      </w:pPr>
    </w:p>
    <w:p w14:paraId="0ABF2D09">
      <w:pPr>
        <w:snapToGrid w:val="0"/>
        <w:spacing w:line="360" w:lineRule="auto"/>
        <w:ind w:right="480"/>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二</w:t>
      </w:r>
      <w:r>
        <w:rPr>
          <w:rFonts w:ascii="仿宋_GB2312" w:hAnsi="仿宋" w:eastAsia="仿宋_GB2312" w:cs="仿宋_GB2312"/>
          <w:b/>
          <w:kern w:val="0"/>
          <w:sz w:val="32"/>
          <w:szCs w:val="32"/>
        </w:rPr>
        <w:t>、 符合参加政府采购活动应当具备的一般条件的承诺函</w:t>
      </w:r>
    </w:p>
    <w:p w14:paraId="1ECB39D1">
      <w:pPr>
        <w:snapToGrid w:val="0"/>
        <w:spacing w:line="360" w:lineRule="auto"/>
        <w:rPr>
          <w:rFonts w:ascii="仿宋_GB2312" w:hAnsi="仿宋" w:eastAsia="仿宋_GB2312" w:cs="仿宋_GB2312"/>
          <w:sz w:val="24"/>
        </w:rPr>
      </w:pPr>
      <w:r>
        <w:rPr>
          <w:rFonts w:hint="eastAsia" w:ascii="仿宋_GB2312" w:hAnsi="仿宋" w:eastAsia="仿宋_GB2312" w:cs="仿宋_GB2312"/>
          <w:sz w:val="24"/>
        </w:rPr>
        <w:t>（采购人）、（采购代理机构）：</w:t>
      </w:r>
    </w:p>
    <w:p w14:paraId="06DDA0B5">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我方参与（项目名称）【招标编号：</w:t>
      </w:r>
      <w:r>
        <w:rPr>
          <w:rFonts w:hint="eastAsia" w:ascii="仿宋_GB2312" w:hAnsi="仿宋" w:eastAsia="仿宋_GB2312"/>
          <w:sz w:val="24"/>
        </w:rPr>
        <w:t>（采购编号）</w:t>
      </w:r>
      <w:r>
        <w:rPr>
          <w:rFonts w:hint="eastAsia" w:ascii="仿宋_GB2312" w:hAnsi="仿宋" w:eastAsia="仿宋_GB2312" w:cs="仿宋_GB2312"/>
          <w:sz w:val="24"/>
        </w:rPr>
        <w:t>】政府采购活动，郑重承诺：</w:t>
      </w:r>
    </w:p>
    <w:p w14:paraId="109BB010">
      <w:pPr>
        <w:snapToGrid w:val="0"/>
        <w:spacing w:line="360" w:lineRule="auto"/>
        <w:ind w:firstLine="360" w:firstLineChars="150"/>
        <w:rPr>
          <w:rFonts w:ascii="仿宋_GB2312" w:hAnsi="仿宋" w:eastAsia="仿宋_GB2312" w:cs="仿宋_GB2312"/>
          <w:sz w:val="24"/>
        </w:rPr>
      </w:pPr>
      <w:r>
        <w:rPr>
          <w:rFonts w:hint="eastAsia" w:ascii="仿宋_GB2312" w:hAnsi="仿宋" w:eastAsia="仿宋_GB2312" w:cs="仿宋_GB2312"/>
          <w:sz w:val="24"/>
        </w:rPr>
        <w:t>（一）具备《中华人民共和国政府采购法》第二十二条第一款规定的条件：</w:t>
      </w:r>
    </w:p>
    <w:p w14:paraId="5D68909F">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具有独立承担民事责任的能力；</w:t>
      </w:r>
    </w:p>
    <w:p w14:paraId="678174D8">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 xml:space="preserve">具有良好的商业信誉和健全的财务会计制度； </w:t>
      </w:r>
    </w:p>
    <w:p w14:paraId="6F303CDC">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3、</w:t>
      </w:r>
      <w:r>
        <w:rPr>
          <w:rFonts w:ascii="仿宋_GB2312" w:hAnsi="仿宋" w:eastAsia="仿宋_GB2312"/>
          <w:sz w:val="24"/>
        </w:rPr>
        <w:t>具有履行合同所必需的设备和专业技术能力；</w:t>
      </w:r>
    </w:p>
    <w:p w14:paraId="26378AD3">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4、</w:t>
      </w:r>
      <w:r>
        <w:rPr>
          <w:rFonts w:ascii="仿宋_GB2312" w:hAnsi="仿宋" w:eastAsia="仿宋_GB2312"/>
          <w:sz w:val="24"/>
        </w:rPr>
        <w:t>有依法缴纳税收和社会保障资金的良好记录；</w:t>
      </w:r>
    </w:p>
    <w:p w14:paraId="419D28CB">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5、</w:t>
      </w:r>
      <w:r>
        <w:rPr>
          <w:rFonts w:ascii="仿宋_GB2312" w:hAnsi="仿宋" w:eastAsia="仿宋_GB2312"/>
          <w:sz w:val="24"/>
        </w:rPr>
        <w:t>参加政府采购活动前三年内，在经营活动中没有重大违法记录；</w:t>
      </w:r>
    </w:p>
    <w:p w14:paraId="2515C123">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6、</w:t>
      </w:r>
      <w:r>
        <w:rPr>
          <w:rFonts w:ascii="仿宋_GB2312" w:hAnsi="仿宋" w:eastAsia="仿宋_GB2312"/>
          <w:sz w:val="24"/>
        </w:rPr>
        <w:t>具有法律、行政法规规定的其他条件。</w:t>
      </w:r>
    </w:p>
    <w:p w14:paraId="120B9D60">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（二）未被信用中国（</w:t>
      </w:r>
      <w:r>
        <w:rPr>
          <w:rFonts w:ascii="仿宋_GB2312" w:hAnsi="仿宋" w:eastAsia="仿宋_GB2312"/>
          <w:sz w:val="24"/>
        </w:rPr>
        <w:t>www.creditchina.gov.cn)、中国政府采购网（www.ccgp.gov.cn）列入失信被执行人、重大税收违法案件当事人名单、政府采购严重违法失信行为记录名单。</w:t>
      </w:r>
    </w:p>
    <w:p w14:paraId="066DCCF1">
      <w:pPr>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（三）不存在以下情况：</w:t>
      </w:r>
    </w:p>
    <w:p w14:paraId="404C25D9">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1、</w:t>
      </w:r>
      <w:r>
        <w:rPr>
          <w:rFonts w:ascii="仿宋_GB2312" w:hAnsi="仿宋" w:eastAsia="仿宋_GB2312" w:cs="仿宋_GB2312"/>
          <w:sz w:val="24"/>
        </w:rPr>
        <w:t>单位负责人为同一人或者存在直接控股、管理关系的不同供应商参加同一合同项下的政府采购活动的；</w:t>
      </w:r>
    </w:p>
    <w:p w14:paraId="6EDA9585">
      <w:pPr>
        <w:snapToGrid w:val="0"/>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2、</w:t>
      </w:r>
      <w:r>
        <w:rPr>
          <w:rFonts w:ascii="仿宋_GB2312" w:hAnsi="仿宋" w:eastAsia="仿宋_GB2312" w:cs="仿宋_GB2312"/>
          <w:sz w:val="24"/>
        </w:rPr>
        <w:t>为采购项目提供整体设计、规范编制或者项目管理、监理、检测等服务后再参加该采购项目的其他采购活动的。</w:t>
      </w:r>
    </w:p>
    <w:p w14:paraId="6B61F629">
      <w:pPr>
        <w:snapToGrid w:val="0"/>
        <w:spacing w:line="360" w:lineRule="auto"/>
        <w:ind w:firstLine="5520" w:firstLineChars="2300"/>
        <w:rPr>
          <w:rFonts w:ascii="仿宋_GB2312" w:hAnsi="仿宋" w:eastAsia="仿宋_GB2312" w:cs="仿宋_GB2312"/>
          <w:kern w:val="0"/>
          <w:sz w:val="24"/>
          <w:lang w:val="zh-CN"/>
        </w:rPr>
      </w:pPr>
    </w:p>
    <w:p w14:paraId="63378037">
      <w:pPr>
        <w:snapToGrid w:val="0"/>
        <w:spacing w:line="360" w:lineRule="auto"/>
        <w:ind w:firstLine="5520" w:firstLineChars="2300"/>
        <w:rPr>
          <w:rFonts w:ascii="仿宋_GB2312" w:hAnsi="仿宋" w:eastAsia="仿宋_GB2312" w:cs="仿宋_GB2312"/>
          <w:kern w:val="0"/>
          <w:sz w:val="24"/>
          <w:lang w:val="zh-CN"/>
        </w:rPr>
      </w:pPr>
    </w:p>
    <w:p w14:paraId="20E019E5">
      <w:pPr>
        <w:snapToGrid w:val="0"/>
        <w:spacing w:line="360" w:lineRule="auto"/>
        <w:ind w:firstLine="5520" w:firstLineChars="230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w:t>
      </w:r>
      <w:r>
        <w:rPr>
          <w:rFonts w:ascii="仿宋_GB2312" w:hAnsi="仿宋" w:eastAsia="仿宋_GB2312" w:cs="仿宋_GB2312"/>
          <w:kern w:val="0"/>
          <w:sz w:val="24"/>
          <w:lang w:val="zh-CN"/>
        </w:rPr>
        <w:t>：</w:t>
      </w:r>
    </w:p>
    <w:p w14:paraId="6476C2CD">
      <w:pPr>
        <w:snapToGrid w:val="0"/>
        <w:spacing w:line="360" w:lineRule="auto"/>
        <w:rPr>
          <w:rFonts w:ascii="仿宋_GB2312" w:hAnsi="仿宋" w:eastAsia="仿宋_GB2312" w:cs="仿宋_GB2312"/>
          <w:kern w:val="0"/>
          <w:sz w:val="24"/>
        </w:rPr>
      </w:pPr>
      <w:r>
        <w:rPr>
          <w:rFonts w:ascii="仿宋_GB2312" w:hAnsi="仿宋" w:eastAsia="仿宋_GB2312" w:cs="仿宋_GB2312"/>
          <w:kern w:val="0"/>
          <w:sz w:val="24"/>
          <w:lang w:val="zh-CN"/>
        </w:rPr>
        <w:t xml:space="preserve">                        </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w:t>
      </w:r>
      <w:r>
        <w:rPr>
          <w:rFonts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245C1FA">
      <w:pPr>
        <w:adjustRightInd w:val="0"/>
        <w:snapToGrid w:val="0"/>
        <w:spacing w:before="156" w:beforeLines="50" w:after="50" w:line="360" w:lineRule="auto"/>
        <w:ind w:firstLine="2650" w:firstLineChars="1100"/>
        <w:rPr>
          <w:rFonts w:ascii="仿宋_GB2312" w:hAnsi="仿宋" w:eastAsia="仿宋_GB2312" w:cs="仿宋"/>
          <w:b/>
          <w:bCs/>
          <w:sz w:val="24"/>
        </w:rPr>
      </w:pPr>
    </w:p>
    <w:p w14:paraId="006FDFD1">
      <w:pPr>
        <w:pStyle w:val="32"/>
        <w:rPr>
          <w:rFonts w:ascii="仿宋_GB2312" w:hAnsi="仿宋" w:eastAsia="仿宋_GB2312" w:cs="仿宋"/>
          <w:b/>
          <w:bCs/>
          <w:sz w:val="24"/>
        </w:rPr>
      </w:pPr>
    </w:p>
    <w:p w14:paraId="124747F1">
      <w:pPr>
        <w:pStyle w:val="12"/>
        <w:rPr>
          <w:rFonts w:ascii="仿宋_GB2312" w:hAnsi="仿宋" w:eastAsia="仿宋_GB2312" w:cs="仿宋"/>
          <w:b/>
          <w:bCs/>
          <w:sz w:val="24"/>
        </w:rPr>
      </w:pPr>
    </w:p>
    <w:p w14:paraId="4161576C">
      <w:pPr>
        <w:rPr>
          <w:rFonts w:ascii="仿宋_GB2312" w:hAnsi="仿宋" w:eastAsia="仿宋_GB2312" w:cs="仿宋"/>
          <w:b/>
          <w:bCs/>
          <w:sz w:val="24"/>
        </w:rPr>
      </w:pPr>
    </w:p>
    <w:p w14:paraId="3CD45D35">
      <w:pPr>
        <w:pStyle w:val="32"/>
      </w:pPr>
    </w:p>
    <w:p w14:paraId="1C136E6C">
      <w:pPr>
        <w:adjustRightInd w:val="0"/>
        <w:snapToGrid w:val="0"/>
        <w:spacing w:before="50" w:after="50" w:line="360" w:lineRule="auto"/>
        <w:rPr>
          <w:rFonts w:ascii="仿宋" w:hAnsi="仿宋" w:eastAsia="仿宋" w:cs="仿宋"/>
          <w:b/>
          <w:bCs/>
          <w:sz w:val="24"/>
        </w:rPr>
      </w:pPr>
      <w:r>
        <w:rPr>
          <w:rFonts w:hint="eastAsia" w:ascii="仿宋" w:hAnsi="仿宋" w:eastAsia="仿宋" w:cs="仿宋"/>
          <w:b/>
          <w:bCs/>
          <w:sz w:val="24"/>
        </w:rPr>
        <w:t>三、</w:t>
      </w:r>
      <w:r>
        <w:rPr>
          <w:rFonts w:hint="eastAsia" w:ascii="仿宋" w:hAnsi="仿宋" w:eastAsia="仿宋" w:cs="仿宋"/>
          <w:b/>
          <w:bCs/>
          <w:sz w:val="24"/>
          <w:lang w:val="zh-CN"/>
        </w:rPr>
        <w:t>落实政府采购政策需满足的资格要求</w:t>
      </w:r>
      <w:r>
        <w:rPr>
          <w:rFonts w:hint="eastAsia" w:ascii="仿宋" w:hAnsi="仿宋" w:eastAsia="仿宋" w:cs="仿宋"/>
          <w:b/>
          <w:bCs/>
          <w:sz w:val="24"/>
        </w:rPr>
        <w:t>证明文件</w:t>
      </w:r>
    </w:p>
    <w:p w14:paraId="511F4BFC">
      <w:pPr>
        <w:adjustRightInd w:val="0"/>
        <w:snapToGrid w:val="0"/>
        <w:spacing w:before="50" w:after="50" w:line="360" w:lineRule="auto"/>
        <w:jc w:val="center"/>
        <w:rPr>
          <w:rFonts w:ascii="仿宋" w:hAnsi="仿宋" w:eastAsia="仿宋" w:cs="仿宋"/>
          <w:b/>
          <w:bCs/>
          <w:sz w:val="22"/>
          <w:szCs w:val="22"/>
        </w:rPr>
      </w:pPr>
      <w:r>
        <w:rPr>
          <w:rFonts w:hint="eastAsia" w:ascii="仿宋" w:hAnsi="仿宋" w:eastAsia="仿宋" w:cs="仿宋"/>
          <w:b/>
          <w:bCs/>
          <w:sz w:val="22"/>
          <w:szCs w:val="22"/>
          <w:lang w:val="zh-CN"/>
        </w:rPr>
        <w:t>（根据招标公告落实政府采购政策需满足的资格要求选择提供相应的材料；未要求的，无需提供）</w:t>
      </w:r>
    </w:p>
    <w:p w14:paraId="4A170872">
      <w:pPr>
        <w:tabs>
          <w:tab w:val="left" w:pos="1276"/>
        </w:tabs>
        <w:adjustRightInd w:val="0"/>
        <w:snapToGrid w:val="0"/>
        <w:spacing w:line="360" w:lineRule="auto"/>
        <w:ind w:firstLine="480" w:firstLineChars="200"/>
        <w:jc w:val="left"/>
        <w:rPr>
          <w:rFonts w:ascii="仿宋" w:hAnsi="仿宋" w:eastAsia="仿宋" w:cs="仿宋"/>
          <w:b/>
          <w:bCs/>
          <w:sz w:val="24"/>
        </w:rPr>
      </w:pPr>
      <w:r>
        <w:rPr>
          <w:rFonts w:hint="eastAsia" w:ascii="仿宋" w:hAnsi="仿宋" w:eastAsia="仿宋" w:cs="仿宋"/>
          <w:sz w:val="24"/>
          <w:lang w:val="en-US" w:eastAsia="zh-CN"/>
        </w:rPr>
        <w:t>1.</w:t>
      </w:r>
      <w:r>
        <w:rPr>
          <w:rFonts w:hint="eastAsia" w:ascii="仿宋" w:hAnsi="仿宋" w:eastAsia="仿宋" w:cs="仿宋"/>
          <w:sz w:val="24"/>
        </w:rPr>
        <w:t>专门面向中小企业，服务全部由符合政策要求的中小企业（或小微企业）承接的，提供相应的中小企业声明函（附件1）。</w:t>
      </w:r>
    </w:p>
    <w:p w14:paraId="122A415E">
      <w:pPr>
        <w:tabs>
          <w:tab w:val="left" w:pos="1276"/>
        </w:tabs>
        <w:adjustRightInd w:val="0"/>
        <w:snapToGrid w:val="0"/>
        <w:spacing w:line="48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2.联合协议（若联合体投标）    说明：格式见附件3</w:t>
      </w:r>
    </w:p>
    <w:p w14:paraId="1A23BFA1">
      <w:pPr>
        <w:tabs>
          <w:tab w:val="left" w:pos="1276"/>
        </w:tabs>
        <w:adjustRightInd w:val="0"/>
        <w:snapToGrid w:val="0"/>
        <w:spacing w:line="48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3.分包意向协议（若中标后以分包方式履行合同）  说明：格式见附件4</w:t>
      </w:r>
    </w:p>
    <w:p w14:paraId="143FF857">
      <w:pPr>
        <w:tabs>
          <w:tab w:val="left" w:pos="1276"/>
        </w:tabs>
        <w:adjustRightInd w:val="0"/>
        <w:snapToGrid w:val="0"/>
        <w:spacing w:line="360" w:lineRule="auto"/>
        <w:jc w:val="left"/>
        <w:rPr>
          <w:rFonts w:ascii="仿宋" w:hAnsi="仿宋" w:eastAsia="仿宋" w:cs="仿宋"/>
          <w:b/>
          <w:bCs/>
          <w:sz w:val="24"/>
        </w:rPr>
      </w:pPr>
      <w:r>
        <w:rPr>
          <w:rFonts w:hint="eastAsia" w:ascii="仿宋" w:hAnsi="仿宋" w:eastAsia="仿宋" w:cs="仿宋"/>
          <w:b/>
          <w:bCs/>
          <w:sz w:val="24"/>
        </w:rPr>
        <w:t>四、本项目的特定资格要求证明文件</w:t>
      </w:r>
    </w:p>
    <w:p w14:paraId="2013395F">
      <w:pPr>
        <w:adjustRightInd w:val="0"/>
        <w:snapToGrid w:val="0"/>
        <w:spacing w:line="360" w:lineRule="auto"/>
        <w:jc w:val="left"/>
        <w:rPr>
          <w:rFonts w:ascii="仿宋_GB2312" w:hAnsi="仿宋" w:eastAsia="仿宋_GB2312" w:cs="仿宋"/>
          <w:b/>
          <w:sz w:val="30"/>
          <w:szCs w:val="30"/>
        </w:rPr>
      </w:pPr>
      <w:r>
        <w:rPr>
          <w:rFonts w:hint="eastAsia" w:ascii="仿宋" w:hAnsi="仿宋" w:eastAsia="仿宋" w:cs="仿宋"/>
          <w:b/>
          <w:bCs/>
          <w:sz w:val="22"/>
          <w:szCs w:val="22"/>
        </w:rPr>
        <w:t>（根据招标公告本项目的特定资格要求提供相应的材料；未要求的，无需提供）</w:t>
      </w:r>
      <w:r>
        <w:rPr>
          <w:rFonts w:hint="eastAsia" w:ascii="仿宋" w:hAnsi="仿宋" w:eastAsia="仿宋" w:cs="仿宋"/>
          <w:sz w:val="24"/>
        </w:rPr>
        <w:br w:type="page"/>
      </w:r>
      <w:r>
        <w:rPr>
          <w:rFonts w:hint="eastAsia" w:ascii="仿宋_GB2312" w:hAnsi="仿宋" w:eastAsia="仿宋_GB2312" w:cs="仿宋"/>
          <w:sz w:val="30"/>
          <w:szCs w:val="30"/>
        </w:rPr>
        <w:t>封面</w:t>
      </w:r>
      <w:r>
        <w:rPr>
          <w:rFonts w:hint="eastAsia" w:ascii="仿宋_GB2312" w:hAnsi="仿宋" w:eastAsia="仿宋_GB2312" w:cs="仿宋"/>
          <w:b/>
          <w:sz w:val="30"/>
          <w:szCs w:val="30"/>
        </w:rPr>
        <w:t>：</w:t>
      </w:r>
    </w:p>
    <w:p w14:paraId="78500CCE">
      <w:pPr>
        <w:adjustRightInd w:val="0"/>
        <w:snapToGrid w:val="0"/>
        <w:spacing w:before="156" w:beforeLines="50" w:after="50" w:line="360" w:lineRule="auto"/>
        <w:jc w:val="right"/>
        <w:rPr>
          <w:rFonts w:ascii="仿宋_GB2312" w:hAnsi="仿宋" w:eastAsia="仿宋_GB2312" w:cs="仿宋"/>
          <w:sz w:val="30"/>
          <w:szCs w:val="30"/>
        </w:rPr>
      </w:pPr>
    </w:p>
    <w:p w14:paraId="402D4914">
      <w:pPr>
        <w:adjustRightInd w:val="0"/>
        <w:snapToGrid w:val="0"/>
        <w:spacing w:before="156" w:beforeLines="50" w:after="50" w:line="360" w:lineRule="auto"/>
        <w:jc w:val="right"/>
        <w:rPr>
          <w:rFonts w:ascii="仿宋_GB2312" w:hAnsi="仿宋" w:eastAsia="仿宋_GB2312" w:cs="仿宋"/>
          <w:bCs/>
          <w:sz w:val="30"/>
          <w:szCs w:val="30"/>
        </w:rPr>
      </w:pPr>
      <w:r>
        <w:rPr>
          <w:rFonts w:hint="eastAsia" w:ascii="仿宋_GB2312" w:hAnsi="仿宋" w:eastAsia="仿宋_GB2312" w:cs="仿宋"/>
          <w:sz w:val="30"/>
          <w:szCs w:val="30"/>
        </w:rPr>
        <w:t xml:space="preserve">                                            </w:t>
      </w:r>
    </w:p>
    <w:p w14:paraId="63BCB221">
      <w:pPr>
        <w:adjustRightInd w:val="0"/>
        <w:snapToGrid w:val="0"/>
        <w:spacing w:line="360" w:lineRule="auto"/>
        <w:ind w:right="-110"/>
        <w:jc w:val="center"/>
        <w:rPr>
          <w:rFonts w:ascii="仿宋_GB2312" w:hAnsi="仿宋" w:eastAsia="仿宋_GB2312" w:cs="仿宋"/>
          <w:spacing w:val="40"/>
          <w:sz w:val="52"/>
          <w:szCs w:val="52"/>
        </w:rPr>
      </w:pPr>
      <w:r>
        <w:rPr>
          <w:rFonts w:hint="eastAsia" w:ascii="仿宋_GB2312" w:hAnsi="仿宋" w:eastAsia="仿宋_GB2312" w:cs="仿宋"/>
          <w:spacing w:val="40"/>
          <w:sz w:val="52"/>
          <w:szCs w:val="52"/>
        </w:rPr>
        <w:t>***项目名称</w:t>
      </w:r>
    </w:p>
    <w:p w14:paraId="2253392C">
      <w:pPr>
        <w:adjustRightInd w:val="0"/>
        <w:snapToGrid w:val="0"/>
        <w:spacing w:before="312" w:beforeLines="100" w:line="360" w:lineRule="auto"/>
        <w:ind w:right="-108"/>
        <w:jc w:val="center"/>
        <w:rPr>
          <w:rFonts w:ascii="仿宋_GB2312" w:hAnsi="仿宋" w:eastAsia="仿宋_GB2312" w:cs="仿宋"/>
          <w:sz w:val="36"/>
          <w:szCs w:val="36"/>
        </w:rPr>
      </w:pPr>
      <w:r>
        <w:rPr>
          <w:rFonts w:hint="eastAsia" w:ascii="仿宋_GB2312" w:hAnsi="仿宋" w:eastAsia="仿宋_GB2312" w:cs="仿宋"/>
          <w:sz w:val="36"/>
          <w:szCs w:val="36"/>
        </w:rPr>
        <w:t>项目编号：</w:t>
      </w:r>
    </w:p>
    <w:p w14:paraId="07B81A50">
      <w:pPr>
        <w:adjustRightInd w:val="0"/>
        <w:snapToGrid w:val="0"/>
        <w:spacing w:before="312" w:beforeLines="100" w:line="360" w:lineRule="auto"/>
        <w:ind w:right="-108"/>
        <w:jc w:val="center"/>
        <w:rPr>
          <w:rFonts w:ascii="仿宋_GB2312" w:hAnsi="仿宋" w:eastAsia="仿宋_GB2312" w:cs="仿宋"/>
          <w:sz w:val="36"/>
          <w:szCs w:val="36"/>
        </w:rPr>
      </w:pPr>
    </w:p>
    <w:p w14:paraId="27A8C1A4">
      <w:pPr>
        <w:adjustRightInd w:val="0"/>
        <w:snapToGrid w:val="0"/>
        <w:ind w:right="-108"/>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商</w:t>
      </w:r>
    </w:p>
    <w:p w14:paraId="70676F7D">
      <w:pPr>
        <w:adjustRightInd w:val="0"/>
        <w:snapToGrid w:val="0"/>
        <w:ind w:right="-108"/>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务</w:t>
      </w:r>
    </w:p>
    <w:p w14:paraId="2DC34145">
      <w:pPr>
        <w:adjustRightInd w:val="0"/>
        <w:snapToGrid w:val="0"/>
        <w:ind w:right="-108"/>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技</w:t>
      </w:r>
    </w:p>
    <w:p w14:paraId="5E4B9091">
      <w:pPr>
        <w:adjustRightInd w:val="0"/>
        <w:snapToGrid w:val="0"/>
        <w:ind w:right="-108"/>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术</w:t>
      </w:r>
    </w:p>
    <w:p w14:paraId="236B09B2">
      <w:pPr>
        <w:adjustRightInd w:val="0"/>
        <w:snapToGrid w:val="0"/>
        <w:ind w:right="-108"/>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文</w:t>
      </w:r>
    </w:p>
    <w:p w14:paraId="1F4E7F0E">
      <w:pPr>
        <w:adjustRightInd w:val="0"/>
        <w:snapToGrid w:val="0"/>
        <w:ind w:right="-108"/>
        <w:jc w:val="center"/>
        <w:rPr>
          <w:rFonts w:ascii="仿宋_GB2312" w:hAnsi="仿宋" w:eastAsia="仿宋_GB2312" w:cs="仿宋"/>
          <w:b/>
          <w:spacing w:val="40"/>
          <w:sz w:val="84"/>
          <w:szCs w:val="84"/>
        </w:rPr>
      </w:pPr>
      <w:r>
        <w:rPr>
          <w:rFonts w:hint="eastAsia" w:ascii="仿宋_GB2312" w:hAnsi="仿宋" w:eastAsia="仿宋_GB2312" w:cs="仿宋"/>
          <w:b/>
          <w:spacing w:val="40"/>
          <w:sz w:val="72"/>
          <w:szCs w:val="72"/>
        </w:rPr>
        <w:t>件</w:t>
      </w:r>
    </w:p>
    <w:p w14:paraId="6B1931BA">
      <w:pPr>
        <w:adjustRightInd w:val="0"/>
        <w:snapToGrid w:val="0"/>
        <w:spacing w:line="360" w:lineRule="auto"/>
        <w:ind w:right="532"/>
        <w:rPr>
          <w:rFonts w:ascii="仿宋_GB2312" w:hAnsi="仿宋" w:eastAsia="仿宋_GB2312" w:cs="仿宋"/>
          <w:sz w:val="36"/>
          <w:szCs w:val="36"/>
        </w:rPr>
      </w:pPr>
    </w:p>
    <w:p w14:paraId="65B1E8C3">
      <w:pPr>
        <w:adjustRightInd w:val="0"/>
        <w:snapToGrid w:val="0"/>
        <w:spacing w:line="360" w:lineRule="auto"/>
        <w:ind w:right="532" w:firstLine="640" w:firstLineChars="200"/>
        <w:rPr>
          <w:rFonts w:ascii="仿宋_GB2312" w:hAnsi="仿宋" w:eastAsia="仿宋_GB2312" w:cs="仿宋"/>
          <w:sz w:val="32"/>
          <w:szCs w:val="32"/>
        </w:rPr>
      </w:pPr>
      <w:r>
        <w:rPr>
          <w:rFonts w:hint="eastAsia" w:ascii="仿宋_GB2312" w:hAnsi="仿宋" w:eastAsia="仿宋_GB2312" w:cs="仿宋"/>
          <w:sz w:val="32"/>
          <w:szCs w:val="32"/>
        </w:rPr>
        <w:t>磋商供应商全称（公章）：</w:t>
      </w:r>
    </w:p>
    <w:p w14:paraId="0A559860">
      <w:pPr>
        <w:adjustRightInd w:val="0"/>
        <w:snapToGrid w:val="0"/>
        <w:spacing w:line="360" w:lineRule="auto"/>
        <w:ind w:right="532" w:firstLine="640" w:firstLineChars="200"/>
        <w:rPr>
          <w:rFonts w:ascii="仿宋_GB2312" w:hAnsi="仿宋" w:eastAsia="仿宋_GB2312" w:cs="仿宋"/>
          <w:sz w:val="32"/>
          <w:szCs w:val="32"/>
        </w:rPr>
      </w:pPr>
      <w:r>
        <w:rPr>
          <w:rFonts w:hint="eastAsia" w:ascii="仿宋_GB2312" w:hAnsi="仿宋" w:eastAsia="仿宋_GB2312" w:cs="仿宋"/>
          <w:sz w:val="32"/>
          <w:szCs w:val="32"/>
        </w:rPr>
        <w:t>授权代表（签字）：</w:t>
      </w:r>
    </w:p>
    <w:p w14:paraId="622C4B16">
      <w:pPr>
        <w:adjustRightInd w:val="0"/>
        <w:snapToGrid w:val="0"/>
        <w:spacing w:line="360" w:lineRule="auto"/>
        <w:ind w:right="532" w:firstLine="640" w:firstLineChars="200"/>
        <w:rPr>
          <w:rFonts w:ascii="仿宋_GB2312" w:hAnsi="仿宋" w:eastAsia="仿宋_GB2312" w:cs="仿宋"/>
          <w:sz w:val="32"/>
          <w:szCs w:val="32"/>
        </w:rPr>
      </w:pPr>
      <w:r>
        <w:rPr>
          <w:rFonts w:hint="eastAsia" w:ascii="仿宋_GB2312" w:hAnsi="仿宋" w:eastAsia="仿宋_GB2312" w:cs="仿宋"/>
          <w:sz w:val="32"/>
          <w:szCs w:val="32"/>
        </w:rPr>
        <w:t>地    址：</w:t>
      </w:r>
    </w:p>
    <w:p w14:paraId="2B2AD2F5">
      <w:pPr>
        <w:adjustRightInd w:val="0"/>
        <w:snapToGrid w:val="0"/>
        <w:spacing w:line="360" w:lineRule="auto"/>
        <w:ind w:right="532" w:firstLine="640" w:firstLineChars="200"/>
        <w:rPr>
          <w:rFonts w:ascii="仿宋_GB2312" w:hAnsi="仿宋" w:eastAsia="仿宋_GB2312" w:cs="仿宋"/>
          <w:b/>
          <w:bCs/>
          <w:sz w:val="36"/>
          <w:szCs w:val="36"/>
        </w:rPr>
      </w:pPr>
      <w:r>
        <w:rPr>
          <w:rFonts w:hint="eastAsia" w:ascii="仿宋_GB2312" w:hAnsi="仿宋" w:eastAsia="仿宋_GB2312" w:cs="仿宋"/>
          <w:sz w:val="32"/>
          <w:szCs w:val="32"/>
        </w:rPr>
        <w:t>时    间：</w:t>
      </w:r>
    </w:p>
    <w:p w14:paraId="59C105CE">
      <w:pPr>
        <w:adjustRightInd w:val="0"/>
        <w:snapToGrid w:val="0"/>
        <w:spacing w:line="360" w:lineRule="auto"/>
        <w:jc w:val="center"/>
        <w:rPr>
          <w:rFonts w:ascii="仿宋_GB2312" w:hAnsi="仿宋" w:eastAsia="仿宋_GB2312" w:cs="仿宋"/>
          <w:b/>
          <w:bCs/>
          <w:sz w:val="36"/>
          <w:szCs w:val="36"/>
        </w:rPr>
      </w:pPr>
      <w:r>
        <w:rPr>
          <w:rFonts w:hint="eastAsia" w:ascii="仿宋_GB2312" w:hAnsi="仿宋" w:eastAsia="仿宋_GB2312" w:cs="仿宋"/>
          <w:sz w:val="24"/>
        </w:rPr>
        <w:br w:type="page"/>
      </w:r>
      <w:r>
        <w:rPr>
          <w:rFonts w:hint="eastAsia" w:ascii="仿宋_GB2312" w:hAnsi="仿宋" w:eastAsia="仿宋_GB2312" w:cs="仿宋"/>
          <w:b/>
          <w:bCs/>
          <w:sz w:val="36"/>
          <w:szCs w:val="36"/>
        </w:rPr>
        <w:t>商务技术文件</w:t>
      </w:r>
    </w:p>
    <w:p w14:paraId="1122073F">
      <w:pPr>
        <w:adjustRightInd w:val="0"/>
        <w:snapToGrid w:val="0"/>
        <w:spacing w:line="360" w:lineRule="auto"/>
        <w:jc w:val="center"/>
        <w:rPr>
          <w:rFonts w:ascii="仿宋_GB2312" w:hAnsi="仿宋" w:eastAsia="仿宋_GB2312" w:cs="仿宋"/>
          <w:sz w:val="32"/>
          <w:szCs w:val="32"/>
        </w:rPr>
      </w:pPr>
      <w:r>
        <w:rPr>
          <w:rFonts w:hint="eastAsia" w:ascii="仿宋_GB2312" w:hAnsi="仿宋" w:eastAsia="仿宋_GB2312" w:cs="仿宋"/>
          <w:b/>
          <w:bCs/>
          <w:sz w:val="32"/>
          <w:szCs w:val="32"/>
        </w:rPr>
        <w:t>目录</w:t>
      </w:r>
    </w:p>
    <w:p w14:paraId="270F1AA1">
      <w:pPr>
        <w:adjustRightInd w:val="0"/>
        <w:snapToGrid w:val="0"/>
        <w:spacing w:line="360" w:lineRule="auto"/>
        <w:rPr>
          <w:rFonts w:ascii="仿宋_GB2312" w:hAnsi="仿宋" w:eastAsia="仿宋_GB2312" w:cs="仿宋"/>
          <w:sz w:val="24"/>
          <w:szCs w:val="20"/>
        </w:rPr>
      </w:pPr>
    </w:p>
    <w:p w14:paraId="2167B2EE">
      <w:pPr>
        <w:adjustRightInd w:val="0"/>
        <w:snapToGrid w:val="0"/>
        <w:spacing w:line="360" w:lineRule="auto"/>
        <w:jc w:val="both"/>
        <w:rPr>
          <w:rFonts w:ascii="仿宋_GB2312" w:hAnsi="仿宋" w:eastAsia="仿宋_GB2312" w:cs="仿宋"/>
          <w:sz w:val="24"/>
        </w:rPr>
      </w:pPr>
      <w:r>
        <w:rPr>
          <w:rFonts w:hint="eastAsia" w:ascii="仿宋_GB2312" w:hAnsi="仿宋" w:eastAsia="仿宋_GB2312" w:cs="仿宋"/>
          <w:sz w:val="24"/>
        </w:rPr>
        <w:t>（1）磋商声明书 ——————————————————————（页码）</w:t>
      </w:r>
    </w:p>
    <w:p w14:paraId="294146A7">
      <w:pPr>
        <w:adjustRightInd w:val="0"/>
        <w:snapToGrid w:val="0"/>
        <w:spacing w:line="360" w:lineRule="auto"/>
        <w:jc w:val="both"/>
        <w:rPr>
          <w:rFonts w:ascii="仿宋_GB2312" w:hAnsi="仿宋" w:eastAsia="仿宋_GB2312" w:cs="仿宋"/>
          <w:sz w:val="24"/>
        </w:rPr>
      </w:pPr>
      <w:r>
        <w:rPr>
          <w:rFonts w:hint="eastAsia" w:ascii="仿宋_GB2312" w:hAnsi="仿宋" w:eastAsia="仿宋_GB2312" w:cs="仿宋"/>
          <w:sz w:val="24"/>
        </w:rPr>
        <w:t>（2）法定代表人授权委托书或法定代表人身份证明书 ——————（页码）</w:t>
      </w:r>
    </w:p>
    <w:p w14:paraId="489EA9AD">
      <w:pPr>
        <w:adjustRightInd w:val="0"/>
        <w:snapToGrid w:val="0"/>
        <w:spacing w:line="360" w:lineRule="auto"/>
        <w:jc w:val="both"/>
        <w:rPr>
          <w:rFonts w:hint="eastAsia" w:ascii="仿宋_GB2312" w:hAnsi="仿宋" w:eastAsia="仿宋_GB2312" w:cs="仿宋"/>
          <w:sz w:val="24"/>
        </w:rPr>
      </w:pPr>
      <w:r>
        <w:rPr>
          <w:rFonts w:hint="eastAsia" w:ascii="仿宋_GB2312" w:hAnsi="仿宋" w:eastAsia="仿宋_GB2312" w:cs="仿宋"/>
          <w:sz w:val="24"/>
        </w:rPr>
        <w:t xml:space="preserve">（3）招标服务费承诺书 </w:t>
      </w:r>
      <w:r>
        <w:rPr>
          <w:rFonts w:hint="eastAsia" w:ascii="仿宋" w:hAnsi="仿宋" w:eastAsia="仿宋" w:cs="仿宋"/>
          <w:b/>
          <w:kern w:val="0"/>
          <w:sz w:val="24"/>
        </w:rPr>
        <w:t>———————————————————</w:t>
      </w:r>
      <w:r>
        <w:rPr>
          <w:rFonts w:hint="eastAsia" w:ascii="仿宋_GB2312" w:hAnsi="仿宋" w:eastAsia="仿宋_GB2312" w:cs="仿宋"/>
          <w:sz w:val="24"/>
        </w:rPr>
        <w:t>（页码）</w:t>
      </w:r>
    </w:p>
    <w:p w14:paraId="0B0DC282">
      <w:pPr>
        <w:adjustRightInd w:val="0"/>
        <w:snapToGrid w:val="0"/>
        <w:spacing w:line="360" w:lineRule="auto"/>
        <w:jc w:val="both"/>
        <w:rPr>
          <w:rFonts w:hint="eastAsia" w:ascii="仿宋_GB2312" w:hAnsi="仿宋" w:eastAsia="仿宋_GB2312" w:cs="仿宋"/>
          <w:sz w:val="24"/>
        </w:rPr>
      </w:pPr>
      <w:r>
        <w:rPr>
          <w:rFonts w:hint="eastAsia" w:ascii="仿宋_GB2312" w:hAnsi="仿宋" w:eastAsia="仿宋_GB2312" w:cs="仿宋"/>
          <w:sz w:val="24"/>
        </w:rPr>
        <w:t>（4）联合协议（若有）————————————————————（页码）</w:t>
      </w:r>
    </w:p>
    <w:p w14:paraId="7F792876">
      <w:pPr>
        <w:adjustRightInd w:val="0"/>
        <w:snapToGrid w:val="0"/>
        <w:spacing w:line="360" w:lineRule="auto"/>
        <w:rPr>
          <w:rFonts w:hint="eastAsia" w:ascii="仿宋_GB2312" w:hAnsi="仿宋" w:eastAsia="仿宋_GB2312" w:cs="仿宋"/>
          <w:sz w:val="24"/>
        </w:rPr>
      </w:pPr>
      <w:r>
        <w:rPr>
          <w:rFonts w:hint="eastAsia" w:ascii="仿宋_GB2312" w:hAnsi="仿宋" w:eastAsia="仿宋_GB2312" w:cs="仿宋"/>
          <w:sz w:val="24"/>
        </w:rPr>
        <w:t>（5）分包意向协议（若有）——————————————————（页码）</w:t>
      </w:r>
    </w:p>
    <w:p w14:paraId="6F4775C4">
      <w:pPr>
        <w:adjustRightInd w:val="0"/>
        <w:snapToGrid w:val="0"/>
        <w:spacing w:line="360" w:lineRule="auto"/>
        <w:jc w:val="both"/>
        <w:rPr>
          <w:rFonts w:ascii="仿宋_GB2312" w:hAnsi="仿宋" w:eastAsia="仿宋_GB2312" w:cs="仿宋"/>
          <w:sz w:val="24"/>
        </w:rPr>
      </w:pPr>
      <w:r>
        <w:rPr>
          <w:rFonts w:hint="eastAsia" w:ascii="仿宋_GB2312" w:hAnsi="仿宋" w:eastAsia="仿宋_GB2312" w:cs="仿宋"/>
          <w:sz w:val="24"/>
        </w:rPr>
        <w:t>（</w:t>
      </w:r>
      <w:r>
        <w:rPr>
          <w:rFonts w:hint="eastAsia" w:ascii="仿宋_GB2312" w:hAnsi="仿宋" w:eastAsia="仿宋_GB2312" w:cs="仿宋"/>
          <w:sz w:val="24"/>
          <w:lang w:val="en-US" w:eastAsia="zh-CN"/>
        </w:rPr>
        <w:t>6</w:t>
      </w:r>
      <w:r>
        <w:rPr>
          <w:rFonts w:hint="eastAsia" w:ascii="仿宋_GB2312" w:hAnsi="仿宋" w:eastAsia="仿宋_GB2312" w:cs="仿宋"/>
          <w:sz w:val="24"/>
        </w:rPr>
        <w:t>）磋商供应商情况介绍———————————————————（页码）</w:t>
      </w:r>
    </w:p>
    <w:p w14:paraId="2DC4E44A">
      <w:pPr>
        <w:adjustRightInd w:val="0"/>
        <w:snapToGrid w:val="0"/>
        <w:spacing w:line="360" w:lineRule="auto"/>
        <w:jc w:val="both"/>
        <w:rPr>
          <w:rFonts w:ascii="仿宋_GB2312" w:hAnsi="仿宋" w:eastAsia="仿宋_GB2312" w:cs="仿宋"/>
          <w:sz w:val="24"/>
        </w:rPr>
      </w:pPr>
      <w:r>
        <w:rPr>
          <w:rFonts w:hint="eastAsia" w:ascii="仿宋_GB2312" w:hAnsi="仿宋" w:eastAsia="仿宋_GB2312" w:cs="仿宋"/>
          <w:bCs/>
          <w:sz w:val="24"/>
        </w:rPr>
        <w:t>（</w:t>
      </w:r>
      <w:r>
        <w:rPr>
          <w:rFonts w:hint="eastAsia" w:ascii="仿宋_GB2312" w:hAnsi="仿宋" w:eastAsia="仿宋_GB2312" w:cs="仿宋"/>
          <w:bCs/>
          <w:sz w:val="24"/>
          <w:lang w:val="en-US" w:eastAsia="zh-CN"/>
        </w:rPr>
        <w:t>7</w:t>
      </w:r>
      <w:r>
        <w:rPr>
          <w:rFonts w:hint="eastAsia" w:ascii="仿宋_GB2312" w:hAnsi="仿宋" w:eastAsia="仿宋_GB2312" w:cs="仿宋"/>
          <w:bCs/>
          <w:sz w:val="24"/>
        </w:rPr>
        <w:t>）类似业绩证明</w:t>
      </w:r>
      <w:r>
        <w:rPr>
          <w:rFonts w:hint="eastAsia" w:ascii="仿宋_GB2312" w:hAnsi="仿宋" w:eastAsia="仿宋_GB2312" w:cs="仿宋"/>
          <w:sz w:val="24"/>
        </w:rPr>
        <w:t>——————————————————————（页码）</w:t>
      </w:r>
    </w:p>
    <w:p w14:paraId="7C683935">
      <w:pPr>
        <w:tabs>
          <w:tab w:val="left" w:pos="1080"/>
        </w:tabs>
        <w:adjustRightInd w:val="0"/>
        <w:snapToGrid w:val="0"/>
        <w:spacing w:line="360" w:lineRule="auto"/>
        <w:jc w:val="both"/>
        <w:rPr>
          <w:rFonts w:hint="eastAsia" w:ascii="仿宋_GB2312" w:hAnsi="仿宋" w:eastAsia="仿宋_GB2312" w:cs="仿宋"/>
          <w:sz w:val="24"/>
        </w:rPr>
      </w:pPr>
      <w:r>
        <w:rPr>
          <w:rFonts w:hint="eastAsia" w:ascii="仿宋_GB2312" w:hAnsi="宋体" w:eastAsia="仿宋_GB2312"/>
          <w:sz w:val="24"/>
        </w:rPr>
        <w:t>（</w:t>
      </w:r>
      <w:r>
        <w:rPr>
          <w:rFonts w:hint="eastAsia" w:ascii="仿宋_GB2312" w:hAnsi="宋体" w:eastAsia="仿宋_GB2312"/>
          <w:sz w:val="24"/>
          <w:lang w:val="en-US" w:eastAsia="zh-CN"/>
        </w:rPr>
        <w:t>8</w:t>
      </w:r>
      <w:r>
        <w:rPr>
          <w:rFonts w:hint="eastAsia" w:ascii="仿宋_GB2312" w:hAnsi="宋体" w:eastAsia="仿宋_GB2312"/>
          <w:sz w:val="24"/>
        </w:rPr>
        <w:t>）</w:t>
      </w:r>
      <w:r>
        <w:rPr>
          <w:rFonts w:hint="eastAsia" w:ascii="仿宋_GB2312" w:hAnsi="仿宋" w:eastAsia="仿宋_GB2312" w:cs="仿宋"/>
          <w:bCs/>
          <w:sz w:val="24"/>
          <w:szCs w:val="22"/>
        </w:rPr>
        <w:t>完整</w:t>
      </w:r>
      <w:r>
        <w:rPr>
          <w:rFonts w:hint="eastAsia" w:ascii="仿宋_GB2312" w:hAnsi="仿宋" w:eastAsia="仿宋_GB2312" w:cs="仿宋"/>
          <w:bCs/>
          <w:sz w:val="24"/>
          <w:szCs w:val="22"/>
          <w:lang w:val="en-US" w:eastAsia="zh-CN"/>
        </w:rPr>
        <w:t>运维保障和</w:t>
      </w:r>
      <w:r>
        <w:rPr>
          <w:rFonts w:hint="eastAsia" w:ascii="仿宋_GB2312" w:hAnsi="仿宋" w:eastAsia="仿宋_GB2312" w:cs="仿宋"/>
          <w:bCs/>
          <w:sz w:val="24"/>
          <w:szCs w:val="22"/>
        </w:rPr>
        <w:t>实施方案</w:t>
      </w:r>
      <w:r>
        <w:rPr>
          <w:rFonts w:hint="eastAsia" w:ascii="仿宋_GB2312" w:hAnsi="宋体" w:eastAsia="仿宋_GB2312"/>
          <w:sz w:val="24"/>
        </w:rPr>
        <w:t>—————————————————</w:t>
      </w:r>
      <w:r>
        <w:rPr>
          <w:rFonts w:hint="eastAsia" w:ascii="仿宋_GB2312" w:hAnsi="仿宋" w:eastAsia="仿宋_GB2312" w:cs="仿宋"/>
          <w:sz w:val="24"/>
        </w:rPr>
        <w:t>（页码）</w:t>
      </w:r>
    </w:p>
    <w:p w14:paraId="7AD53F82">
      <w:pPr>
        <w:pStyle w:val="14"/>
        <w:ind w:left="0" w:leftChars="0"/>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lang w:val="en-US" w:eastAsia="zh-CN"/>
        </w:rPr>
        <w:t>9</w:t>
      </w:r>
      <w:r>
        <w:rPr>
          <w:rFonts w:hint="eastAsia" w:ascii="仿宋_GB2312" w:hAnsi="宋体" w:eastAsia="仿宋_GB2312"/>
          <w:sz w:val="24"/>
        </w:rPr>
        <w:t>）项目组成员情况一览表——————————————————（页码）</w:t>
      </w:r>
    </w:p>
    <w:p w14:paraId="3ABDB9DD">
      <w:pPr>
        <w:pStyle w:val="14"/>
        <w:ind w:left="0" w:leftChars="0"/>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0</w:t>
      </w:r>
      <w:r>
        <w:rPr>
          <w:rFonts w:hint="eastAsia" w:ascii="仿宋_GB2312" w:hAnsi="宋体" w:eastAsia="仿宋_GB2312"/>
          <w:sz w:val="24"/>
        </w:rPr>
        <w:t>）商务技术响应表（格式见附件）——————————————（页码）</w:t>
      </w:r>
    </w:p>
    <w:p w14:paraId="10727C47">
      <w:pPr>
        <w:pStyle w:val="14"/>
        <w:ind w:left="0" w:leftChars="0"/>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1</w:t>
      </w:r>
      <w:r>
        <w:rPr>
          <w:rFonts w:hint="eastAsia" w:ascii="仿宋_GB2312" w:hAnsi="宋体" w:eastAsia="仿宋_GB2312"/>
          <w:sz w:val="24"/>
        </w:rPr>
        <w:t>）供应商提出的对本项目的实质性优惠条件和承诺情况—————（页码）</w:t>
      </w:r>
    </w:p>
    <w:p w14:paraId="3CC0A351">
      <w:pPr>
        <w:pStyle w:val="14"/>
        <w:ind w:left="0" w:leftChars="0"/>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）供应商认为需要说明的其他文件和资料———————————（页码）</w:t>
      </w:r>
    </w:p>
    <w:p w14:paraId="473C6550">
      <w:pPr>
        <w:pStyle w:val="14"/>
        <w:ind w:left="0" w:leftChars="0"/>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3</w:t>
      </w:r>
      <w:r>
        <w:rPr>
          <w:rFonts w:hint="eastAsia" w:ascii="仿宋_GB2312" w:hAnsi="宋体" w:eastAsia="仿宋_GB2312"/>
          <w:sz w:val="24"/>
        </w:rPr>
        <w:t>）政府采购供应商廉洁自律承诺书——————————————（页码）</w:t>
      </w:r>
    </w:p>
    <w:p w14:paraId="3FCA7D8C">
      <w:pPr>
        <w:ind w:left="0" w:leftChars="0"/>
        <w:rPr>
          <w:rFonts w:hint="eastAsia" w:ascii="仿宋_GB2312" w:hAnsi="宋体" w:eastAsia="仿宋_GB2312"/>
          <w:sz w:val="24"/>
        </w:rPr>
      </w:pPr>
      <w:r>
        <w:rPr>
          <w:rFonts w:hint="eastAsia" w:ascii="仿宋_GB2312" w:hAnsi="宋体" w:eastAsia="仿宋_GB2312"/>
          <w:sz w:val="24"/>
        </w:rPr>
        <w:br w:type="page"/>
      </w:r>
    </w:p>
    <w:p w14:paraId="43C7F721">
      <w:pPr>
        <w:adjustRightInd w:val="0"/>
        <w:snapToGrid w:val="0"/>
        <w:spacing w:line="360" w:lineRule="auto"/>
        <w:jc w:val="both"/>
        <w:rPr>
          <w:rFonts w:ascii="仿宋_GB2312" w:hAnsi="仿宋" w:eastAsia="仿宋_GB2312" w:cs="仿宋"/>
          <w:sz w:val="24"/>
        </w:rPr>
      </w:pPr>
      <w:r>
        <w:rPr>
          <w:rFonts w:hint="eastAsia" w:ascii="仿宋_GB2312" w:hAnsi="仿宋" w:eastAsia="仿宋_GB2312" w:cs="仿宋"/>
          <w:b/>
          <w:bCs/>
          <w:sz w:val="24"/>
        </w:rPr>
        <w:t>一、磋商声明书格式：</w:t>
      </w:r>
    </w:p>
    <w:p w14:paraId="0104EBB0">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投标声明书</w:t>
      </w:r>
    </w:p>
    <w:p w14:paraId="5F15A662">
      <w:pPr>
        <w:adjustRightInd w:val="0"/>
        <w:snapToGrid w:val="0"/>
        <w:spacing w:line="360" w:lineRule="auto"/>
        <w:rPr>
          <w:rFonts w:ascii="仿宋" w:hAnsi="仿宋" w:eastAsia="仿宋" w:cs="仿宋"/>
          <w:kern w:val="0"/>
          <w:sz w:val="24"/>
        </w:rPr>
      </w:pPr>
      <w:r>
        <w:rPr>
          <w:rFonts w:hint="eastAsia" w:ascii="仿宋" w:hAnsi="仿宋" w:eastAsia="仿宋" w:cs="仿宋"/>
          <w:sz w:val="24"/>
          <w:lang w:eastAsia="zh-CN"/>
        </w:rPr>
        <w:t>中共浙江省委组织部（本级）</w:t>
      </w:r>
      <w:r>
        <w:rPr>
          <w:rFonts w:hint="eastAsia" w:ascii="仿宋" w:hAnsi="仿宋" w:eastAsia="仿宋" w:cs="仿宋"/>
          <w:sz w:val="24"/>
        </w:rPr>
        <w:t>、浙江通用招标代理有限公司</w:t>
      </w:r>
      <w:r>
        <w:rPr>
          <w:rFonts w:hint="eastAsia" w:ascii="仿宋" w:hAnsi="仿宋" w:eastAsia="仿宋" w:cs="仿宋"/>
          <w:kern w:val="0"/>
          <w:sz w:val="24"/>
        </w:rPr>
        <w:t>：</w:t>
      </w:r>
    </w:p>
    <w:p w14:paraId="1852D853">
      <w:pPr>
        <w:adjustRightInd w:val="0"/>
        <w:snapToGrid w:val="0"/>
        <w:spacing w:line="360" w:lineRule="auto"/>
        <w:ind w:firstLine="480"/>
        <w:rPr>
          <w:rFonts w:ascii="仿宋" w:hAnsi="仿宋" w:eastAsia="仿宋" w:cs="仿宋"/>
          <w:kern w:val="0"/>
          <w:sz w:val="24"/>
          <w:lang w:val="zh-CN"/>
        </w:rPr>
      </w:pPr>
      <w:r>
        <w:rPr>
          <w:rFonts w:hint="eastAsia" w:ascii="仿宋" w:hAnsi="仿宋" w:eastAsia="仿宋" w:cs="仿宋"/>
          <w:kern w:val="0"/>
          <w:sz w:val="24"/>
          <w:lang w:val="zh-CN"/>
        </w:rPr>
        <w:t>我公司</w:t>
      </w:r>
      <w:r>
        <w:rPr>
          <w:rFonts w:hint="eastAsia" w:ascii="仿宋" w:hAnsi="仿宋" w:eastAsia="仿宋" w:cs="仿宋"/>
          <w:sz w:val="24"/>
        </w:rPr>
        <w:t>声明截止磋商时间近三年以来，在</w:t>
      </w:r>
      <w:r>
        <w:rPr>
          <w:rFonts w:hint="eastAsia" w:ascii="仿宋" w:hAnsi="仿宋" w:eastAsia="仿宋" w:cs="仿宋"/>
          <w:kern w:val="0"/>
          <w:sz w:val="24"/>
        </w:rPr>
        <w:t>政府采购领域中</w:t>
      </w:r>
      <w:r>
        <w:rPr>
          <w:rFonts w:hint="eastAsia" w:ascii="仿宋" w:hAnsi="仿宋" w:eastAsia="仿宋" w:cs="仿宋"/>
          <w:sz w:val="24"/>
        </w:rPr>
        <w:t>，在项目采购、磋商和合同履约期间无任何不良行为记录和违法、违规行为</w:t>
      </w:r>
      <w:r>
        <w:rPr>
          <w:rFonts w:hint="eastAsia" w:ascii="仿宋" w:hAnsi="仿宋" w:eastAsia="仿宋" w:cs="仿宋"/>
          <w:kern w:val="0"/>
          <w:sz w:val="24"/>
          <w:lang w:val="zh-CN"/>
        </w:rPr>
        <w:t>。</w:t>
      </w:r>
    </w:p>
    <w:p w14:paraId="7EC76CF9">
      <w:pPr>
        <w:adjustRightInd w:val="0"/>
        <w:snapToGrid w:val="0"/>
        <w:spacing w:line="360" w:lineRule="auto"/>
        <w:ind w:firstLine="480"/>
        <w:rPr>
          <w:rFonts w:ascii="仿宋" w:hAnsi="仿宋" w:eastAsia="仿宋" w:cs="仿宋"/>
          <w:kern w:val="0"/>
          <w:sz w:val="24"/>
          <w:lang w:val="zh-CN"/>
        </w:rPr>
      </w:pPr>
      <w:r>
        <w:rPr>
          <w:rFonts w:hint="eastAsia" w:ascii="仿宋" w:hAnsi="仿宋" w:eastAsia="仿宋" w:cs="仿宋"/>
          <w:kern w:val="0"/>
          <w:sz w:val="24"/>
          <w:lang w:val="zh-CN"/>
        </w:rPr>
        <w:t>我公司自愿参加</w:t>
      </w:r>
      <w:r>
        <w:rPr>
          <w:rFonts w:hint="eastAsia" w:ascii="仿宋_GB2312" w:hAnsi="仿宋" w:eastAsia="仿宋_GB2312" w:cs="仿宋_GB2312"/>
          <w:sz w:val="24"/>
        </w:rPr>
        <w:t>（项目名称）【招标编号：</w:t>
      </w:r>
      <w:r>
        <w:rPr>
          <w:rFonts w:hint="eastAsia" w:ascii="仿宋_GB2312" w:hAnsi="仿宋" w:eastAsia="仿宋_GB2312"/>
          <w:sz w:val="24"/>
        </w:rPr>
        <w:t>（采购编号）</w:t>
      </w:r>
      <w:r>
        <w:rPr>
          <w:rFonts w:hint="eastAsia" w:ascii="仿宋_GB2312" w:hAnsi="仿宋" w:eastAsia="仿宋_GB2312" w:cs="仿宋_GB2312"/>
          <w:sz w:val="24"/>
        </w:rPr>
        <w:t>】</w:t>
      </w:r>
      <w:r>
        <w:rPr>
          <w:rFonts w:hint="eastAsia" w:ascii="仿宋" w:hAnsi="仿宋" w:eastAsia="仿宋" w:cs="仿宋"/>
          <w:kern w:val="0"/>
          <w:sz w:val="24"/>
          <w:lang w:val="zh-CN"/>
        </w:rPr>
        <w:t>的磋商响应，并保证磋商响应文件中所列举的投标报价文件及相关资料和公司基本情况资料是真实的、合法的。</w:t>
      </w:r>
    </w:p>
    <w:p w14:paraId="47D423F9">
      <w:pPr>
        <w:adjustRightInd w:val="0"/>
        <w:snapToGrid w:val="0"/>
        <w:spacing w:line="360" w:lineRule="auto"/>
        <w:ind w:firstLine="480"/>
        <w:rPr>
          <w:rFonts w:ascii="仿宋" w:hAnsi="仿宋" w:eastAsia="仿宋" w:cs="仿宋"/>
          <w:kern w:val="0"/>
          <w:sz w:val="24"/>
          <w:lang w:val="zh-CN"/>
        </w:rPr>
      </w:pPr>
      <w:r>
        <w:rPr>
          <w:rFonts w:hint="eastAsia" w:ascii="仿宋" w:hAnsi="仿宋" w:eastAsia="仿宋" w:cs="仿宋"/>
          <w:kern w:val="0"/>
          <w:sz w:val="24"/>
          <w:lang w:val="zh-CN"/>
        </w:rPr>
        <w:t>我公司已详细阅读全部“磋商文件”，包括修改文件（如果有）以及全部磋商资料和相关附件，并已了解我公司在招投标过程中的权利和义务。</w:t>
      </w:r>
    </w:p>
    <w:p w14:paraId="440F0C89">
      <w:pPr>
        <w:adjustRightInd w:val="0"/>
        <w:snapToGrid w:val="0"/>
        <w:spacing w:line="360" w:lineRule="auto"/>
        <w:ind w:firstLine="480"/>
        <w:rPr>
          <w:rFonts w:ascii="仿宋" w:hAnsi="仿宋" w:eastAsia="仿宋" w:cs="仿宋"/>
          <w:kern w:val="0"/>
          <w:sz w:val="24"/>
        </w:rPr>
      </w:pPr>
      <w:r>
        <w:rPr>
          <w:rFonts w:hint="eastAsia" w:ascii="仿宋" w:hAnsi="仿宋" w:eastAsia="仿宋" w:cs="仿宋"/>
          <w:kern w:val="0"/>
          <w:sz w:val="24"/>
          <w:lang w:val="zh-CN"/>
        </w:rPr>
        <w:t>我公司理解并接受磋商文件的各项规定和要求，同意此次磋商文件中的各项内容，</w:t>
      </w:r>
      <w:r>
        <w:rPr>
          <w:rFonts w:hint="eastAsia" w:ascii="仿宋" w:hAnsi="仿宋" w:eastAsia="仿宋" w:cs="仿宋"/>
          <w:kern w:val="0"/>
          <w:sz w:val="24"/>
        </w:rPr>
        <w:t>并</w:t>
      </w:r>
      <w:r>
        <w:rPr>
          <w:rFonts w:hint="eastAsia" w:ascii="仿宋" w:hAnsi="仿宋" w:eastAsia="仿宋" w:cs="仿宋"/>
          <w:kern w:val="0"/>
          <w:sz w:val="24"/>
          <w:lang w:val="zh-CN"/>
        </w:rPr>
        <w:t>同意提供按照贵方可能要求的与磋商有关的一切数据或资料等。</w:t>
      </w:r>
    </w:p>
    <w:p w14:paraId="05B9E07D">
      <w:pPr>
        <w:adjustRightInd w:val="0"/>
        <w:snapToGrid w:val="0"/>
        <w:spacing w:line="360" w:lineRule="auto"/>
        <w:ind w:firstLine="480"/>
        <w:rPr>
          <w:rFonts w:ascii="仿宋" w:hAnsi="仿宋" w:eastAsia="仿宋" w:cs="仿宋"/>
          <w:kern w:val="0"/>
          <w:sz w:val="24"/>
        </w:rPr>
      </w:pPr>
      <w:r>
        <w:rPr>
          <w:rFonts w:hint="eastAsia" w:ascii="仿宋" w:hAnsi="仿宋" w:eastAsia="仿宋" w:cs="仿宋"/>
          <w:kern w:val="0"/>
          <w:sz w:val="24"/>
          <w:lang w:val="zh-CN"/>
        </w:rPr>
        <w:t>本公司如成交，保证按照磋商响应文件的承诺与贵方签订合同，保证履行合同条款并缴纳履约保证金。</w:t>
      </w:r>
    </w:p>
    <w:p w14:paraId="4D35035F">
      <w:pPr>
        <w:autoSpaceDE w:val="0"/>
        <w:autoSpaceDN w:val="0"/>
        <w:adjustRightInd w:val="0"/>
        <w:snapToGrid w:val="0"/>
        <w:spacing w:line="360" w:lineRule="auto"/>
        <w:ind w:firstLine="4560" w:firstLineChars="1900"/>
        <w:jc w:val="left"/>
        <w:rPr>
          <w:rFonts w:ascii="仿宋" w:hAnsi="仿宋" w:eastAsia="仿宋" w:cs="仿宋"/>
          <w:kern w:val="0"/>
          <w:sz w:val="24"/>
        </w:rPr>
      </w:pPr>
    </w:p>
    <w:p w14:paraId="0C828D00">
      <w:pPr>
        <w:autoSpaceDE w:val="0"/>
        <w:autoSpaceDN w:val="0"/>
        <w:adjustRightInd w:val="0"/>
        <w:snapToGrid w:val="0"/>
        <w:spacing w:line="360" w:lineRule="auto"/>
        <w:ind w:firstLine="4560" w:firstLineChars="1900"/>
        <w:jc w:val="left"/>
        <w:rPr>
          <w:rFonts w:ascii="仿宋" w:hAnsi="仿宋" w:eastAsia="仿宋" w:cs="仿宋"/>
          <w:kern w:val="0"/>
          <w:sz w:val="24"/>
        </w:rPr>
      </w:pPr>
      <w:r>
        <w:rPr>
          <w:rFonts w:hint="eastAsia" w:ascii="仿宋" w:hAnsi="仿宋" w:eastAsia="仿宋" w:cs="仿宋"/>
          <w:kern w:val="0"/>
          <w:sz w:val="24"/>
        </w:rPr>
        <w:t xml:space="preserve"> </w:t>
      </w:r>
    </w:p>
    <w:p w14:paraId="143CD05D">
      <w:pPr>
        <w:autoSpaceDE w:val="0"/>
        <w:autoSpaceDN w:val="0"/>
        <w:adjustRightInd w:val="0"/>
        <w:snapToGrid w:val="0"/>
        <w:spacing w:line="360" w:lineRule="auto"/>
        <w:ind w:firstLine="4200" w:firstLineChars="1750"/>
        <w:jc w:val="left"/>
        <w:rPr>
          <w:rFonts w:ascii="仿宋" w:hAnsi="仿宋" w:eastAsia="仿宋" w:cs="仿宋"/>
          <w:kern w:val="0"/>
          <w:sz w:val="24"/>
        </w:rPr>
      </w:pPr>
      <w:r>
        <w:rPr>
          <w:rFonts w:hint="eastAsia" w:ascii="仿宋" w:hAnsi="仿宋" w:eastAsia="仿宋" w:cs="仿宋"/>
          <w:kern w:val="0"/>
          <w:sz w:val="24"/>
        </w:rPr>
        <w:t>磋商供应商名称（公章）：</w:t>
      </w:r>
    </w:p>
    <w:p w14:paraId="5CE20BEF">
      <w:pPr>
        <w:autoSpaceDE w:val="0"/>
        <w:autoSpaceDN w:val="0"/>
        <w:adjustRightInd w:val="0"/>
        <w:snapToGrid w:val="0"/>
        <w:spacing w:line="360" w:lineRule="auto"/>
        <w:ind w:firstLine="4200" w:firstLineChars="1750"/>
        <w:jc w:val="left"/>
        <w:rPr>
          <w:rFonts w:ascii="仿宋" w:hAnsi="仿宋" w:eastAsia="仿宋" w:cs="仿宋"/>
          <w:kern w:val="0"/>
          <w:sz w:val="24"/>
        </w:rPr>
      </w:pPr>
      <w:r>
        <w:rPr>
          <w:rFonts w:hint="eastAsia" w:ascii="仿宋" w:hAnsi="仿宋" w:eastAsia="仿宋" w:cs="仿宋"/>
          <w:kern w:val="0"/>
          <w:sz w:val="24"/>
        </w:rPr>
        <w:t>法定代表人或其授权代表（签字）：</w:t>
      </w:r>
    </w:p>
    <w:p w14:paraId="5AAA63E1">
      <w:pPr>
        <w:adjustRightInd w:val="0"/>
        <w:snapToGrid w:val="0"/>
        <w:spacing w:line="360" w:lineRule="auto"/>
        <w:ind w:firstLine="4560" w:firstLineChars="1900"/>
        <w:jc w:val="left"/>
        <w:rPr>
          <w:rFonts w:ascii="仿宋_GB2312" w:hAnsi="仿宋" w:eastAsia="仿宋_GB2312" w:cs="仿宋"/>
          <w:sz w:val="24"/>
        </w:rPr>
      </w:pPr>
      <w:r>
        <w:rPr>
          <w:rFonts w:hint="eastAsia" w:ascii="仿宋" w:hAnsi="仿宋" w:eastAsia="仿宋" w:cs="仿宋"/>
          <w:kern w:val="0"/>
          <w:sz w:val="24"/>
        </w:rPr>
        <w:t>日期：</w:t>
      </w:r>
      <w:r>
        <w:rPr>
          <w:rFonts w:ascii="仿宋" w:hAnsi="仿宋" w:eastAsia="仿宋" w:cs="仿宋"/>
          <w:kern w:val="0"/>
          <w:sz w:val="24"/>
        </w:rPr>
        <w:t xml:space="preserve">  </w:t>
      </w:r>
      <w:r>
        <w:rPr>
          <w:rFonts w:hint="eastAsia" w:ascii="仿宋" w:hAnsi="仿宋" w:eastAsia="仿宋" w:cs="仿宋"/>
          <w:kern w:val="0"/>
          <w:sz w:val="24"/>
        </w:rPr>
        <w:t>年</w:t>
      </w:r>
      <w:r>
        <w:rPr>
          <w:rFonts w:ascii="仿宋" w:hAnsi="仿宋" w:eastAsia="仿宋" w:cs="仿宋"/>
          <w:kern w:val="0"/>
          <w:sz w:val="24"/>
        </w:rPr>
        <w:t xml:space="preserve">  </w:t>
      </w:r>
      <w:r>
        <w:rPr>
          <w:rFonts w:hint="eastAsia" w:ascii="仿宋" w:hAnsi="仿宋" w:eastAsia="仿宋" w:cs="仿宋"/>
          <w:kern w:val="0"/>
          <w:sz w:val="24"/>
        </w:rPr>
        <w:t>月</w:t>
      </w:r>
      <w:r>
        <w:rPr>
          <w:rFonts w:ascii="仿宋" w:hAnsi="仿宋" w:eastAsia="仿宋" w:cs="仿宋"/>
          <w:kern w:val="0"/>
          <w:sz w:val="24"/>
        </w:rPr>
        <w:t xml:space="preserve">   </w:t>
      </w:r>
      <w:r>
        <w:rPr>
          <w:rFonts w:hint="eastAsia" w:ascii="仿宋" w:hAnsi="仿宋" w:eastAsia="仿宋" w:cs="仿宋"/>
          <w:kern w:val="0"/>
          <w:sz w:val="24"/>
        </w:rPr>
        <w:t>日</w:t>
      </w:r>
    </w:p>
    <w:p w14:paraId="76E08138">
      <w:pPr>
        <w:adjustRightInd w:val="0"/>
        <w:snapToGrid w:val="0"/>
        <w:spacing w:line="360" w:lineRule="auto"/>
        <w:jc w:val="left"/>
        <w:rPr>
          <w:rFonts w:ascii="仿宋_GB2312" w:hAnsi="仿宋" w:eastAsia="仿宋_GB2312" w:cs="仿宋"/>
          <w:sz w:val="24"/>
        </w:rPr>
      </w:pPr>
    </w:p>
    <w:p w14:paraId="1C6F9E7E">
      <w:pPr>
        <w:adjustRightInd w:val="0"/>
        <w:snapToGrid w:val="0"/>
        <w:spacing w:line="480" w:lineRule="auto"/>
        <w:jc w:val="left"/>
        <w:rPr>
          <w:rFonts w:hint="eastAsia" w:ascii="宋体" w:hAnsi="宋体" w:eastAsia="宋体" w:cs="宋体"/>
          <w:b/>
          <w:bCs/>
          <w:sz w:val="24"/>
        </w:rPr>
      </w:pPr>
      <w:r>
        <w:rPr>
          <w:rFonts w:hint="eastAsia" w:ascii="仿宋_GB2312" w:hAnsi="仿宋" w:eastAsia="仿宋_GB2312" w:cs="仿宋"/>
          <w:sz w:val="24"/>
        </w:rPr>
        <w:br w:type="page"/>
      </w:r>
      <w:r>
        <w:rPr>
          <w:rFonts w:hint="eastAsia" w:ascii="宋体" w:hAnsi="宋体" w:eastAsia="宋体" w:cs="宋体"/>
          <w:b/>
          <w:bCs/>
          <w:sz w:val="24"/>
        </w:rPr>
        <w:t>二、</w:t>
      </w:r>
      <w:r>
        <w:rPr>
          <w:rFonts w:hint="eastAsia" w:ascii="宋体" w:hAnsi="宋体" w:eastAsia="宋体" w:cs="宋体"/>
          <w:b/>
          <w:bCs/>
          <w:sz w:val="24"/>
          <w:lang w:val="zh-CN"/>
        </w:rPr>
        <w:t>授权委托书或法定代表人（单位负责人、自然人本人）身份</w:t>
      </w:r>
      <w:r>
        <w:rPr>
          <w:rFonts w:hint="eastAsia" w:ascii="宋体" w:hAnsi="宋体" w:eastAsia="宋体" w:cs="宋体"/>
          <w:b/>
          <w:bCs/>
          <w:sz w:val="24"/>
        </w:rPr>
        <w:t>：</w:t>
      </w:r>
    </w:p>
    <w:p w14:paraId="63B5EEC0">
      <w:pPr>
        <w:adjustRightInd w:val="0"/>
        <w:snapToGrid w:val="0"/>
        <w:spacing w:line="360" w:lineRule="auto"/>
        <w:ind w:firstLine="2891" w:firstLineChars="900"/>
        <w:jc w:val="left"/>
        <w:rPr>
          <w:rFonts w:hint="eastAsia" w:ascii="仿宋_GB2312" w:hAnsi="仿宋" w:eastAsia="仿宋_GB2312" w:cs="仿宋"/>
          <w:sz w:val="24"/>
        </w:rPr>
      </w:pPr>
      <w:r>
        <w:rPr>
          <w:rFonts w:hint="eastAsia" w:ascii="宋体" w:hAnsi="宋体" w:eastAsia="宋体" w:cs="宋体"/>
          <w:b/>
          <w:kern w:val="0"/>
          <w:sz w:val="32"/>
          <w:szCs w:val="32"/>
          <w:lang w:val="zh-CN"/>
        </w:rPr>
        <w:t>授权委托书（适用于非联合体投标）</w:t>
      </w:r>
      <w:r>
        <w:rPr>
          <w:rFonts w:hint="eastAsia" w:ascii="宋体" w:hAnsi="宋体" w:eastAsia="宋体" w:cs="宋体"/>
        </w:rPr>
        <w:t xml:space="preserve">   </w:t>
      </w:r>
    </w:p>
    <w:p w14:paraId="49EBEA91">
      <w:pPr>
        <w:adjustRightInd w:val="0"/>
        <w:snapToGrid w:val="0"/>
        <w:spacing w:line="360" w:lineRule="auto"/>
        <w:jc w:val="left"/>
        <w:rPr>
          <w:rFonts w:hint="eastAsia" w:ascii="仿宋_GB2312" w:hAnsi="仿宋" w:eastAsia="仿宋_GB2312" w:cs="仿宋"/>
          <w:sz w:val="24"/>
        </w:rPr>
      </w:pPr>
    </w:p>
    <w:p w14:paraId="2B882073">
      <w:pPr>
        <w:adjustRightInd w:val="0"/>
        <w:snapToGrid w:val="0"/>
        <w:spacing w:line="480" w:lineRule="auto"/>
        <w:jc w:val="left"/>
        <w:rPr>
          <w:rFonts w:hint="eastAsia" w:ascii="仿宋" w:hAnsi="仿宋" w:eastAsia="仿宋" w:cs="仿宋"/>
          <w:sz w:val="24"/>
        </w:rPr>
      </w:pPr>
      <w:r>
        <w:rPr>
          <w:rFonts w:hint="eastAsia" w:ascii="仿宋" w:hAnsi="仿宋" w:eastAsia="仿宋" w:cs="仿宋"/>
          <w:color w:val="auto"/>
          <w:sz w:val="24"/>
        </w:rPr>
        <w:t>（采购人）</w:t>
      </w:r>
      <w:r>
        <w:rPr>
          <w:rFonts w:hint="eastAsia" w:ascii="仿宋" w:hAnsi="仿宋" w:eastAsia="仿宋" w:cs="仿宋"/>
          <w:sz w:val="24"/>
        </w:rPr>
        <w:t>、（采购代理机构）</w:t>
      </w:r>
      <w:r>
        <w:rPr>
          <w:rFonts w:hint="eastAsia" w:ascii="仿宋" w:hAnsi="仿宋" w:eastAsia="仿宋" w:cs="仿宋"/>
          <w:kern w:val="2"/>
          <w:sz w:val="24"/>
          <w:lang w:val="zh-CN"/>
        </w:rPr>
        <w:t>：</w:t>
      </w:r>
    </w:p>
    <w:p w14:paraId="43A8F243">
      <w:pPr>
        <w:adjustRightInd w:val="0"/>
        <w:snapToGrid w:val="0"/>
        <w:spacing w:line="480" w:lineRule="auto"/>
        <w:ind w:firstLine="480" w:firstLineChars="200"/>
        <w:jc w:val="left"/>
        <w:rPr>
          <w:rFonts w:hint="eastAsia" w:ascii="仿宋" w:hAnsi="仿宋" w:eastAsia="仿宋" w:cs="仿宋"/>
          <w:kern w:val="2"/>
          <w:sz w:val="24"/>
        </w:rPr>
      </w:pPr>
      <w:r>
        <w:rPr>
          <w:rFonts w:hint="eastAsia" w:ascii="仿宋" w:hAnsi="仿宋" w:eastAsia="仿宋" w:cs="仿宋"/>
          <w:kern w:val="2"/>
          <w:sz w:val="24"/>
        </w:rPr>
        <w:t>现</w:t>
      </w:r>
      <w:r>
        <w:rPr>
          <w:rFonts w:hint="eastAsia" w:ascii="仿宋" w:hAnsi="仿宋" w:eastAsia="仿宋" w:cs="仿宋"/>
          <w:kern w:val="2"/>
          <w:sz w:val="24"/>
          <w:lang w:val="zh-CN"/>
        </w:rPr>
        <w:t>委托</w:t>
      </w:r>
      <w:r>
        <w:rPr>
          <w:rFonts w:hint="eastAsia" w:ascii="仿宋" w:hAnsi="仿宋" w:eastAsia="仿宋" w:cs="仿宋"/>
          <w:kern w:val="2"/>
          <w:sz w:val="24"/>
          <w:u w:val="none"/>
          <w:lang w:val="zh-CN"/>
        </w:rPr>
        <w:t xml:space="preserve">          </w:t>
      </w:r>
      <w:r>
        <w:rPr>
          <w:rFonts w:hint="eastAsia" w:ascii="仿宋" w:hAnsi="仿宋" w:eastAsia="仿宋" w:cs="仿宋"/>
          <w:kern w:val="2"/>
          <w:sz w:val="24"/>
          <w:lang w:val="zh-CN"/>
        </w:rPr>
        <w:t>（姓名）为我方代理人（身份证号码：</w:t>
      </w:r>
      <w:r>
        <w:rPr>
          <w:rFonts w:hint="eastAsia" w:ascii="仿宋" w:hAnsi="仿宋" w:eastAsia="仿宋" w:cs="仿宋"/>
          <w:kern w:val="2"/>
          <w:sz w:val="24"/>
          <w:u w:val="none"/>
          <w:lang w:val="zh-CN"/>
        </w:rPr>
        <w:t xml:space="preserve">          </w:t>
      </w:r>
      <w:r>
        <w:rPr>
          <w:rFonts w:hint="eastAsia" w:ascii="仿宋" w:hAnsi="仿宋" w:eastAsia="仿宋" w:cs="仿宋"/>
          <w:kern w:val="2"/>
          <w:sz w:val="24"/>
          <w:lang w:val="zh-CN"/>
        </w:rPr>
        <w:t>，手机：</w:t>
      </w:r>
      <w:r>
        <w:rPr>
          <w:rFonts w:hint="eastAsia" w:ascii="仿宋" w:hAnsi="仿宋" w:eastAsia="仿宋" w:cs="仿宋"/>
          <w:kern w:val="2"/>
          <w:sz w:val="24"/>
          <w:u w:val="none"/>
          <w:lang w:val="zh-CN"/>
        </w:rPr>
        <w:t xml:space="preserve">          </w:t>
      </w:r>
      <w:r>
        <w:rPr>
          <w:rFonts w:hint="eastAsia" w:ascii="仿宋" w:hAnsi="仿宋" w:eastAsia="仿宋" w:cs="仿宋"/>
          <w:kern w:val="2"/>
          <w:sz w:val="24"/>
          <w:lang w:val="zh-CN"/>
        </w:rPr>
        <w:t>），以我方名义处理</w:t>
      </w:r>
      <w:r>
        <w:rPr>
          <w:rFonts w:hint="eastAsia" w:ascii="仿宋" w:hAnsi="仿宋" w:eastAsia="仿宋" w:cs="仿宋"/>
          <w:color w:val="auto"/>
          <w:sz w:val="24"/>
        </w:rPr>
        <w:t>（项目名称）</w:t>
      </w:r>
      <w:r>
        <w:rPr>
          <w:rFonts w:hint="eastAsia" w:ascii="仿宋" w:hAnsi="仿宋" w:eastAsia="仿宋" w:cs="仿宋"/>
          <w:sz w:val="24"/>
        </w:rPr>
        <w:t>【招标编号：</w:t>
      </w:r>
      <w:r>
        <w:rPr>
          <w:rFonts w:hint="eastAsia" w:ascii="仿宋" w:hAnsi="仿宋" w:eastAsia="仿宋" w:cs="仿宋"/>
          <w:color w:val="auto"/>
          <w:sz w:val="24"/>
        </w:rPr>
        <w:t>（采购编号）</w:t>
      </w:r>
      <w:r>
        <w:rPr>
          <w:rFonts w:hint="eastAsia" w:ascii="仿宋" w:hAnsi="仿宋" w:eastAsia="仿宋" w:cs="仿宋"/>
          <w:sz w:val="24"/>
        </w:rPr>
        <w:t>】</w:t>
      </w:r>
      <w:r>
        <w:rPr>
          <w:rFonts w:hint="eastAsia" w:ascii="仿宋" w:hAnsi="仿宋" w:eastAsia="仿宋" w:cs="仿宋"/>
          <w:kern w:val="2"/>
          <w:sz w:val="24"/>
          <w:lang w:val="zh-CN"/>
        </w:rPr>
        <w:t>政府采购投标的一切事项，其法律后果由我方承担。</w:t>
      </w:r>
    </w:p>
    <w:p w14:paraId="0B50EC4E">
      <w:pPr>
        <w:adjustRightInd w:val="0"/>
        <w:snapToGrid w:val="0"/>
        <w:spacing w:line="480" w:lineRule="auto"/>
        <w:jc w:val="left"/>
        <w:rPr>
          <w:rFonts w:hint="eastAsia" w:ascii="仿宋" w:hAnsi="仿宋" w:eastAsia="仿宋" w:cs="仿宋"/>
          <w:kern w:val="2"/>
          <w:sz w:val="24"/>
        </w:rPr>
      </w:pPr>
      <w:r>
        <w:rPr>
          <w:rFonts w:hint="eastAsia" w:ascii="仿宋" w:hAnsi="仿宋" w:eastAsia="仿宋" w:cs="仿宋"/>
          <w:kern w:val="2"/>
          <w:sz w:val="24"/>
        </w:rPr>
        <w:t xml:space="preserve">    </w:t>
      </w:r>
      <w:r>
        <w:rPr>
          <w:rFonts w:hint="eastAsia" w:ascii="仿宋" w:hAnsi="仿宋" w:eastAsia="仿宋" w:cs="仿宋"/>
          <w:kern w:val="2"/>
          <w:sz w:val="24"/>
          <w:lang w:val="zh-CN"/>
        </w:rPr>
        <w:t>委托期限</w:t>
      </w:r>
      <w:r>
        <w:rPr>
          <w:rFonts w:hint="eastAsia" w:ascii="仿宋" w:hAnsi="仿宋" w:eastAsia="仿宋" w:cs="仿宋"/>
          <w:kern w:val="2"/>
          <w:sz w:val="24"/>
        </w:rPr>
        <w:t>：</w:t>
      </w:r>
      <w:r>
        <w:rPr>
          <w:rFonts w:hint="eastAsia" w:ascii="仿宋" w:hAnsi="仿宋" w:eastAsia="仿宋" w:cs="仿宋"/>
          <w:kern w:val="2"/>
          <w:sz w:val="24"/>
          <w:lang w:val="zh-CN"/>
        </w:rPr>
        <w:t>自</w:t>
      </w:r>
      <w:r>
        <w:rPr>
          <w:rFonts w:hint="eastAsia" w:ascii="仿宋" w:hAnsi="仿宋" w:eastAsia="仿宋" w:cs="仿宋"/>
          <w:kern w:val="2"/>
          <w:sz w:val="24"/>
        </w:rPr>
        <w:t xml:space="preserve">   </w:t>
      </w:r>
      <w:r>
        <w:rPr>
          <w:rFonts w:hint="eastAsia" w:ascii="仿宋" w:hAnsi="仿宋" w:eastAsia="仿宋" w:cs="仿宋"/>
          <w:kern w:val="2"/>
          <w:sz w:val="24"/>
          <w:lang w:val="zh-CN"/>
        </w:rPr>
        <w:t>年</w:t>
      </w:r>
      <w:r>
        <w:rPr>
          <w:rFonts w:hint="eastAsia" w:ascii="仿宋" w:hAnsi="仿宋" w:eastAsia="仿宋" w:cs="仿宋"/>
          <w:kern w:val="2"/>
          <w:sz w:val="24"/>
        </w:rPr>
        <w:t xml:space="preserve"> </w:t>
      </w:r>
      <w:r>
        <w:rPr>
          <w:rFonts w:hint="eastAsia" w:ascii="仿宋" w:hAnsi="仿宋" w:eastAsia="仿宋" w:cs="仿宋"/>
          <w:kern w:val="2"/>
          <w:sz w:val="24"/>
          <w:lang w:val="zh-CN"/>
        </w:rPr>
        <w:t>月</w:t>
      </w:r>
      <w:r>
        <w:rPr>
          <w:rFonts w:hint="eastAsia" w:ascii="仿宋" w:hAnsi="仿宋" w:eastAsia="仿宋" w:cs="仿宋"/>
          <w:kern w:val="2"/>
          <w:sz w:val="24"/>
        </w:rPr>
        <w:t xml:space="preserve">  </w:t>
      </w:r>
      <w:r>
        <w:rPr>
          <w:rFonts w:hint="eastAsia" w:ascii="仿宋" w:hAnsi="仿宋" w:eastAsia="仿宋" w:cs="仿宋"/>
          <w:kern w:val="2"/>
          <w:sz w:val="24"/>
          <w:lang w:val="zh-CN"/>
        </w:rPr>
        <w:t>日起至</w:t>
      </w:r>
      <w:r>
        <w:rPr>
          <w:rFonts w:hint="eastAsia" w:ascii="仿宋" w:hAnsi="仿宋" w:eastAsia="仿宋" w:cs="仿宋"/>
          <w:kern w:val="2"/>
          <w:sz w:val="24"/>
        </w:rPr>
        <w:t xml:space="preserve">  </w:t>
      </w:r>
      <w:r>
        <w:rPr>
          <w:rFonts w:hint="eastAsia" w:ascii="仿宋" w:hAnsi="仿宋" w:eastAsia="仿宋" w:cs="仿宋"/>
          <w:kern w:val="2"/>
          <w:sz w:val="24"/>
          <w:lang w:val="zh-CN"/>
        </w:rPr>
        <w:t>年</w:t>
      </w:r>
      <w:r>
        <w:rPr>
          <w:rFonts w:hint="eastAsia" w:ascii="仿宋" w:hAnsi="仿宋" w:eastAsia="仿宋" w:cs="仿宋"/>
          <w:kern w:val="2"/>
          <w:sz w:val="24"/>
        </w:rPr>
        <w:t xml:space="preserve">  </w:t>
      </w:r>
      <w:r>
        <w:rPr>
          <w:rFonts w:hint="eastAsia" w:ascii="仿宋" w:hAnsi="仿宋" w:eastAsia="仿宋" w:cs="仿宋"/>
          <w:kern w:val="2"/>
          <w:sz w:val="24"/>
          <w:lang w:val="zh-CN"/>
        </w:rPr>
        <w:t>月</w:t>
      </w:r>
      <w:r>
        <w:rPr>
          <w:rFonts w:hint="eastAsia" w:ascii="仿宋" w:hAnsi="仿宋" w:eastAsia="仿宋" w:cs="仿宋"/>
          <w:kern w:val="2"/>
          <w:sz w:val="24"/>
        </w:rPr>
        <w:t xml:space="preserve">  </w:t>
      </w:r>
      <w:r>
        <w:rPr>
          <w:rFonts w:hint="eastAsia" w:ascii="仿宋" w:hAnsi="仿宋" w:eastAsia="仿宋" w:cs="仿宋"/>
          <w:kern w:val="2"/>
          <w:sz w:val="24"/>
          <w:lang w:val="zh-CN"/>
        </w:rPr>
        <w:t>日止。</w:t>
      </w:r>
    </w:p>
    <w:p w14:paraId="1EB1651A">
      <w:pPr>
        <w:adjustRightInd w:val="0"/>
        <w:snapToGrid w:val="0"/>
        <w:spacing w:line="360" w:lineRule="auto"/>
        <w:ind w:firstLine="5160" w:firstLineChars="2150"/>
        <w:jc w:val="left"/>
        <w:rPr>
          <w:rFonts w:hint="eastAsia" w:ascii="仿宋" w:hAnsi="仿宋" w:eastAsia="仿宋" w:cs="仿宋"/>
          <w:kern w:val="0"/>
          <w:sz w:val="24"/>
          <w:lang w:val="zh-CN"/>
        </w:rPr>
      </w:pPr>
    </w:p>
    <w:p w14:paraId="06E29391">
      <w:pPr>
        <w:adjustRightInd w:val="0"/>
        <w:snapToGrid w:val="0"/>
        <w:spacing w:line="360" w:lineRule="auto"/>
        <w:ind w:firstLine="5160" w:firstLineChars="2150"/>
        <w:jc w:val="left"/>
        <w:rPr>
          <w:rFonts w:hint="eastAsia" w:ascii="仿宋" w:hAnsi="仿宋" w:eastAsia="仿宋" w:cs="仿宋"/>
          <w:kern w:val="0"/>
          <w:sz w:val="24"/>
          <w:lang w:val="zh-CN"/>
        </w:rPr>
      </w:pPr>
    </w:p>
    <w:p w14:paraId="2CA07C0E">
      <w:pPr>
        <w:adjustRightInd w:val="0"/>
        <w:snapToGrid w:val="0"/>
        <w:spacing w:line="360" w:lineRule="auto"/>
        <w:ind w:firstLine="5160" w:firstLineChars="2150"/>
        <w:jc w:val="left"/>
        <w:rPr>
          <w:rFonts w:ascii="仿宋" w:hAnsi="仿宋" w:eastAsia="仿宋" w:cs="仿宋"/>
          <w:kern w:val="0"/>
          <w:sz w:val="24"/>
        </w:rPr>
      </w:pPr>
      <w:r>
        <w:rPr>
          <w:rFonts w:hint="eastAsia" w:ascii="仿宋" w:hAnsi="仿宋" w:eastAsia="仿宋" w:cs="仿宋"/>
          <w:kern w:val="0"/>
          <w:sz w:val="24"/>
          <w:lang w:val="zh-CN"/>
        </w:rPr>
        <w:t>磋商供应商名称</w:t>
      </w:r>
      <w:r>
        <w:rPr>
          <w:rFonts w:ascii="仿宋" w:hAnsi="仿宋" w:eastAsia="仿宋" w:cs="仿宋"/>
          <w:kern w:val="0"/>
          <w:sz w:val="24"/>
          <w:lang w:val="zh-CN"/>
        </w:rPr>
        <w:t>(</w:t>
      </w:r>
      <w:r>
        <w:rPr>
          <w:rFonts w:hint="eastAsia" w:ascii="仿宋" w:hAnsi="仿宋" w:eastAsia="仿宋" w:cs="仿宋"/>
          <w:kern w:val="0"/>
          <w:sz w:val="24"/>
          <w:lang w:val="zh-CN"/>
        </w:rPr>
        <w:t>公章</w:t>
      </w:r>
      <w:r>
        <w:rPr>
          <w:rFonts w:ascii="仿宋" w:hAnsi="仿宋" w:eastAsia="仿宋" w:cs="仿宋"/>
          <w:kern w:val="0"/>
          <w:sz w:val="24"/>
          <w:lang w:val="zh-CN"/>
        </w:rPr>
        <w:t>)</w:t>
      </w:r>
      <w:r>
        <w:rPr>
          <w:rFonts w:hint="eastAsia" w:ascii="仿宋" w:hAnsi="仿宋" w:eastAsia="仿宋" w:cs="仿宋"/>
          <w:kern w:val="0"/>
          <w:sz w:val="24"/>
          <w:lang w:val="zh-CN"/>
        </w:rPr>
        <w:t>：</w:t>
      </w:r>
    </w:p>
    <w:p w14:paraId="397ABFED">
      <w:pPr>
        <w:adjustRightInd w:val="0"/>
        <w:snapToGrid w:val="0"/>
        <w:spacing w:line="360" w:lineRule="auto"/>
        <w:ind w:firstLine="5160" w:firstLineChars="2150"/>
        <w:jc w:val="left"/>
        <w:rPr>
          <w:rFonts w:ascii="仿宋" w:hAnsi="仿宋" w:eastAsia="仿宋" w:cs="仿宋"/>
          <w:kern w:val="0"/>
          <w:sz w:val="24"/>
        </w:rPr>
      </w:pPr>
      <w:r>
        <w:rPr>
          <w:rFonts w:hint="eastAsia" w:ascii="仿宋" w:hAnsi="仿宋" w:eastAsia="仿宋" w:cs="仿宋"/>
          <w:kern w:val="0"/>
          <w:sz w:val="24"/>
          <w:lang w:val="zh-CN"/>
        </w:rPr>
        <w:t>法定代表人</w:t>
      </w:r>
      <w:r>
        <w:rPr>
          <w:rFonts w:ascii="仿宋" w:hAnsi="仿宋" w:eastAsia="仿宋" w:cs="仿宋"/>
          <w:kern w:val="0"/>
          <w:sz w:val="24"/>
          <w:lang w:val="zh-CN"/>
        </w:rPr>
        <w:t>(</w:t>
      </w:r>
      <w:r>
        <w:rPr>
          <w:rFonts w:hint="eastAsia" w:ascii="仿宋" w:hAnsi="仿宋" w:eastAsia="仿宋" w:cs="仿宋"/>
          <w:kern w:val="0"/>
          <w:sz w:val="24"/>
          <w:lang w:val="zh-CN"/>
        </w:rPr>
        <w:t>签字或盖章</w:t>
      </w:r>
      <w:r>
        <w:rPr>
          <w:rFonts w:ascii="仿宋" w:hAnsi="仿宋" w:eastAsia="仿宋" w:cs="仿宋"/>
          <w:kern w:val="0"/>
          <w:sz w:val="24"/>
          <w:lang w:val="zh-CN"/>
        </w:rPr>
        <w:t>)</w:t>
      </w:r>
      <w:r>
        <w:rPr>
          <w:rFonts w:hint="eastAsia" w:ascii="仿宋" w:hAnsi="仿宋" w:eastAsia="仿宋" w:cs="仿宋"/>
          <w:kern w:val="0"/>
          <w:sz w:val="24"/>
          <w:lang w:val="zh-CN"/>
        </w:rPr>
        <w:t>：</w:t>
      </w:r>
    </w:p>
    <w:p w14:paraId="1E988169">
      <w:pPr>
        <w:wordWrap w:val="0"/>
        <w:adjustRightInd w:val="0"/>
        <w:snapToGrid w:val="0"/>
        <w:spacing w:line="360" w:lineRule="auto"/>
        <w:ind w:right="240" w:firstLine="5160" w:firstLineChars="2150"/>
        <w:jc w:val="left"/>
        <w:rPr>
          <w:rFonts w:ascii="仿宋" w:hAnsi="仿宋" w:eastAsia="仿宋" w:cs="仿宋"/>
          <w:kern w:val="0"/>
          <w:sz w:val="24"/>
          <w:lang w:val="zh-CN"/>
        </w:rPr>
      </w:pPr>
      <w:r>
        <w:rPr>
          <w:rFonts w:hint="eastAsia" w:ascii="仿宋" w:hAnsi="仿宋" w:eastAsia="仿宋" w:cs="仿宋"/>
          <w:kern w:val="0"/>
          <w:sz w:val="24"/>
          <w:lang w:val="zh-CN"/>
        </w:rPr>
        <w:t>签发日期：</w:t>
      </w:r>
      <w:r>
        <w:rPr>
          <w:rFonts w:ascii="仿宋" w:hAnsi="仿宋" w:eastAsia="仿宋" w:cs="仿宋"/>
          <w:kern w:val="0"/>
          <w:sz w:val="24"/>
          <w:lang w:val="zh-CN"/>
        </w:rPr>
        <w:t xml:space="preserve">  </w:t>
      </w:r>
      <w:r>
        <w:rPr>
          <w:rFonts w:hint="eastAsia" w:ascii="仿宋" w:hAnsi="仿宋" w:eastAsia="仿宋" w:cs="仿宋"/>
          <w:kern w:val="0"/>
          <w:sz w:val="24"/>
          <w:lang w:val="zh-CN"/>
        </w:rPr>
        <w:t>年</w:t>
      </w:r>
      <w:r>
        <w:rPr>
          <w:rFonts w:ascii="仿宋" w:hAnsi="仿宋" w:eastAsia="仿宋" w:cs="仿宋"/>
          <w:kern w:val="0"/>
          <w:sz w:val="24"/>
          <w:lang w:val="zh-CN"/>
        </w:rPr>
        <w:t xml:space="preserve">  </w:t>
      </w:r>
      <w:r>
        <w:rPr>
          <w:rFonts w:hint="eastAsia" w:ascii="仿宋" w:hAnsi="仿宋" w:eastAsia="仿宋" w:cs="仿宋"/>
          <w:kern w:val="0"/>
          <w:sz w:val="24"/>
          <w:lang w:val="zh-CN"/>
        </w:rPr>
        <w:t>月</w:t>
      </w:r>
      <w:r>
        <w:rPr>
          <w:rFonts w:ascii="仿宋" w:hAnsi="仿宋" w:eastAsia="仿宋" w:cs="仿宋"/>
          <w:kern w:val="0"/>
          <w:sz w:val="24"/>
          <w:lang w:val="zh-CN"/>
        </w:rPr>
        <w:t xml:space="preserve">   </w:t>
      </w:r>
      <w:r>
        <w:rPr>
          <w:rFonts w:hint="eastAsia" w:ascii="仿宋" w:hAnsi="仿宋" w:eastAsia="仿宋" w:cs="仿宋"/>
          <w:kern w:val="0"/>
          <w:sz w:val="24"/>
          <w:lang w:val="zh-CN"/>
        </w:rPr>
        <w:t>日</w:t>
      </w:r>
    </w:p>
    <w:p w14:paraId="1DA03DD3">
      <w:pPr>
        <w:adjustRightInd w:val="0"/>
        <w:snapToGrid w:val="0"/>
        <w:spacing w:line="360" w:lineRule="auto"/>
        <w:rPr>
          <w:rFonts w:ascii="仿宋_GB2312" w:hAnsi="仿宋" w:eastAsia="仿宋_GB2312" w:cs="仿宋"/>
          <w:sz w:val="24"/>
          <w:u w:val="single"/>
        </w:rPr>
      </w:pPr>
    </w:p>
    <w:p w14:paraId="06626B94">
      <w:pPr>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rPr>
        <w:t xml:space="preserve"> </w:t>
      </w:r>
      <w:r>
        <w:rPr>
          <w:rFonts w:hint="eastAsia" w:ascii="仿宋" w:hAnsi="仿宋" w:eastAsia="仿宋" w:cs="仿宋"/>
          <w:b/>
          <w:kern w:val="0"/>
          <w:sz w:val="32"/>
          <w:szCs w:val="32"/>
          <w:lang w:val="zh-CN"/>
        </w:rPr>
        <w:t>授权委托书（适用于联合体投标）</w:t>
      </w:r>
    </w:p>
    <w:p w14:paraId="2FD02ACE">
      <w:pPr>
        <w:pStyle w:val="32"/>
        <w:rPr>
          <w:rFonts w:hint="default" w:ascii="Calibri" w:hAnsi="Calibri" w:eastAsia="宋体" w:cs="Times New Roman"/>
          <w:b w:val="0"/>
          <w:kern w:val="2"/>
          <w:sz w:val="21"/>
          <w:szCs w:val="24"/>
        </w:rPr>
      </w:pPr>
    </w:p>
    <w:p w14:paraId="71EEFDCD">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sz w:val="24"/>
        </w:rPr>
        <w:t>（采购人）、（采购代理机构）</w:t>
      </w:r>
      <w:r>
        <w:rPr>
          <w:rFonts w:hint="eastAsia" w:ascii="仿宋" w:hAnsi="仿宋" w:eastAsia="仿宋" w:cs="仿宋"/>
          <w:color w:val="auto"/>
          <w:kern w:val="0"/>
          <w:sz w:val="24"/>
          <w:lang w:val="zh-CN"/>
        </w:rPr>
        <w:t>：</w:t>
      </w:r>
    </w:p>
    <w:p w14:paraId="551E2E56">
      <w:pPr>
        <w:snapToGrid w:val="0"/>
        <w:spacing w:line="360" w:lineRule="auto"/>
        <w:ind w:firstLine="576"/>
        <w:rPr>
          <w:rFonts w:hint="eastAsia" w:ascii="仿宋" w:hAnsi="仿宋" w:eastAsia="仿宋" w:cs="仿宋"/>
          <w:kern w:val="0"/>
          <w:sz w:val="24"/>
        </w:rPr>
      </w:pPr>
      <w:r>
        <w:rPr>
          <w:rFonts w:hint="eastAsia" w:ascii="仿宋" w:hAnsi="仿宋" w:eastAsia="仿宋" w:cs="仿宋"/>
          <w:color w:val="auto"/>
          <w:kern w:val="0"/>
          <w:sz w:val="24"/>
        </w:rPr>
        <w:t>现</w:t>
      </w:r>
      <w:r>
        <w:rPr>
          <w:rFonts w:hint="eastAsia" w:ascii="仿宋" w:hAnsi="仿宋" w:eastAsia="仿宋" w:cs="仿宋"/>
          <w:color w:val="auto"/>
          <w:kern w:val="0"/>
          <w:sz w:val="24"/>
          <w:lang w:val="zh-CN"/>
        </w:rPr>
        <w:t>委托</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kern w:val="0"/>
          <w:sz w:val="24"/>
          <w:lang w:val="zh-CN"/>
        </w:rPr>
        <w:t>（姓名）为我方代理人（身份证号码：</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kern w:val="0"/>
          <w:sz w:val="24"/>
          <w:lang w:val="zh-CN"/>
        </w:rPr>
        <w:t>，手机：</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kern w:val="0"/>
          <w:sz w:val="24"/>
          <w:lang w:val="zh-CN"/>
        </w:rPr>
        <w:t>），以我方名义处理</w:t>
      </w:r>
      <w:r>
        <w:rPr>
          <w:rFonts w:hint="eastAsia" w:ascii="仿宋" w:hAnsi="仿宋" w:eastAsia="仿宋" w:cs="仿宋"/>
          <w:color w:val="auto"/>
          <w:sz w:val="24"/>
        </w:rPr>
        <w:t>（项目名称）【招标编号：（采购编号）】</w:t>
      </w:r>
      <w:r>
        <w:rPr>
          <w:rFonts w:hint="eastAsia" w:ascii="仿宋" w:hAnsi="仿宋" w:eastAsia="仿宋" w:cs="仿宋"/>
          <w:kern w:val="0"/>
          <w:sz w:val="24"/>
          <w:lang w:val="zh-CN"/>
        </w:rPr>
        <w:t>政府采购投标的一切事项，其法律后果由我方承担。</w:t>
      </w:r>
    </w:p>
    <w:p w14:paraId="51EAAB0E">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委托期限</w:t>
      </w:r>
      <w:r>
        <w:rPr>
          <w:rFonts w:hint="eastAsia" w:ascii="仿宋" w:hAnsi="仿宋" w:eastAsia="仿宋" w:cs="仿宋"/>
          <w:kern w:val="0"/>
          <w:sz w:val="24"/>
        </w:rPr>
        <w:t>：</w:t>
      </w:r>
      <w:r>
        <w:rPr>
          <w:rFonts w:hint="eastAsia" w:ascii="仿宋" w:hAnsi="仿宋" w:eastAsia="仿宋" w:cs="仿宋"/>
          <w:kern w:val="0"/>
          <w:sz w:val="24"/>
          <w:lang w:val="zh-CN"/>
        </w:rPr>
        <w:t>自</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日起至</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日止。</w:t>
      </w:r>
    </w:p>
    <w:p w14:paraId="0698504B">
      <w:pPr>
        <w:snapToGrid w:val="0"/>
        <w:spacing w:line="360" w:lineRule="auto"/>
        <w:jc w:val="left"/>
        <w:rPr>
          <w:rFonts w:hint="eastAsia" w:ascii="仿宋" w:hAnsi="仿宋" w:eastAsia="仿宋" w:cs="仿宋"/>
          <w:b/>
          <w:kern w:val="0"/>
          <w:sz w:val="32"/>
          <w:szCs w:val="32"/>
        </w:rPr>
      </w:pPr>
      <w:r>
        <w:rPr>
          <w:rFonts w:hint="eastAsia" w:ascii="仿宋" w:hAnsi="仿宋" w:eastAsia="仿宋" w:cs="仿宋"/>
          <w:kern w:val="0"/>
          <w:sz w:val="24"/>
        </w:rPr>
        <w:t xml:space="preserve">    </w:t>
      </w:r>
      <w:r>
        <w:rPr>
          <w:rFonts w:hint="eastAsia" w:ascii="仿宋" w:hAnsi="仿宋" w:eastAsia="仿宋" w:cs="仿宋"/>
          <w:kern w:val="0"/>
          <w:sz w:val="24"/>
          <w:lang w:val="zh-CN"/>
        </w:rPr>
        <w:t>特此告知。</w:t>
      </w:r>
    </w:p>
    <w:p w14:paraId="6A801698">
      <w:pPr>
        <w:rPr>
          <w:rFonts w:hint="eastAsia" w:ascii="仿宋" w:hAnsi="仿宋" w:eastAsia="仿宋" w:cs="仿宋"/>
        </w:rPr>
      </w:pPr>
    </w:p>
    <w:p w14:paraId="6EC6C84A">
      <w:pPr>
        <w:snapToGrid w:val="0"/>
        <w:spacing w:line="360" w:lineRule="auto"/>
        <w:ind w:firstLine="0" w:firstLineChars="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3025DC9C">
      <w:pPr>
        <w:snapToGrid w:val="0"/>
        <w:spacing w:line="360" w:lineRule="auto"/>
        <w:ind w:firstLine="0" w:firstLineChars="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19A7AAB0">
      <w:pPr>
        <w:snapToGrid w:val="0"/>
        <w:spacing w:line="360" w:lineRule="auto"/>
        <w:ind w:firstLine="5760" w:firstLineChars="2400"/>
        <w:rPr>
          <w:rFonts w:hint="eastAsia" w:ascii="宋体" w:hAnsi="宋体" w:eastAsia="宋体" w:cs="宋体"/>
        </w:rPr>
      </w:pPr>
      <w:r>
        <w:rPr>
          <w:rFonts w:hint="eastAsia" w:ascii="宋体" w:hAnsi="宋体" w:eastAsia="宋体" w:cs="宋体"/>
          <w:kern w:val="0"/>
          <w:sz w:val="24"/>
          <w:lang w:val="zh-CN"/>
        </w:rPr>
        <w:t>……</w:t>
      </w:r>
    </w:p>
    <w:p w14:paraId="353553B8">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6A3EF5ED">
      <w:pPr>
        <w:adjustRightInd w:val="0"/>
        <w:snapToGrid w:val="0"/>
        <w:spacing w:line="360" w:lineRule="auto"/>
        <w:rPr>
          <w:rFonts w:ascii="仿宋_GB2312" w:hAnsi="仿宋" w:eastAsia="仿宋_GB2312" w:cs="仿宋"/>
          <w:sz w:val="24"/>
        </w:rPr>
      </w:pPr>
    </w:p>
    <w:p w14:paraId="155F2155">
      <w:pPr>
        <w:adjustRightInd w:val="0"/>
        <w:snapToGrid w:val="0"/>
        <w:spacing w:line="360" w:lineRule="auto"/>
        <w:rPr>
          <w:rFonts w:ascii="仿宋_GB2312" w:hAnsi="仿宋" w:eastAsia="仿宋_GB2312" w:cs="仿宋"/>
          <w:b/>
          <w:sz w:val="24"/>
        </w:rPr>
      </w:pPr>
      <w:r>
        <w:rPr>
          <w:rFonts w:hint="eastAsia" w:ascii="仿宋_GB2312" w:hAnsi="仿宋" w:eastAsia="仿宋_GB2312" w:cs="仿宋"/>
          <w:b/>
          <w:sz w:val="24"/>
        </w:rPr>
        <w:t>附：法定代表人和授权代表身份证复印件（须正反面复印）。</w:t>
      </w:r>
    </w:p>
    <w:p w14:paraId="03A9BFED">
      <w:pPr>
        <w:adjustRightInd w:val="0"/>
        <w:snapToGrid w:val="0"/>
        <w:spacing w:line="360" w:lineRule="auto"/>
        <w:rPr>
          <w:rFonts w:ascii="仿宋_GB2312" w:hAnsi="仿宋" w:eastAsia="仿宋_GB2312" w:cs="仿宋"/>
          <w:sz w:val="24"/>
        </w:rPr>
      </w:pPr>
    </w:p>
    <w:p w14:paraId="0A80CF6E">
      <w:pPr>
        <w:autoSpaceDE w:val="0"/>
        <w:autoSpaceDN w:val="0"/>
        <w:spacing w:line="360" w:lineRule="auto"/>
        <w:jc w:val="center"/>
        <w:rPr>
          <w:rFonts w:hint="eastAsia" w:ascii="仿宋" w:hAnsi="仿宋" w:eastAsia="仿宋" w:cs="仿宋"/>
          <w:b/>
          <w:sz w:val="24"/>
        </w:rPr>
      </w:pPr>
      <w:r>
        <w:rPr>
          <w:rFonts w:hint="eastAsia" w:ascii="仿宋" w:hAnsi="仿宋" w:eastAsia="仿宋" w:cs="仿宋"/>
          <w:b/>
          <w:kern w:val="0"/>
          <w:sz w:val="24"/>
          <w:szCs w:val="24"/>
          <w:lang w:val="zh-CN"/>
        </w:rPr>
        <w:t>法定代表人、单位负责人或自然人本人</w:t>
      </w:r>
      <w:r>
        <w:rPr>
          <w:rFonts w:hint="eastAsia" w:ascii="仿宋" w:hAnsi="仿宋" w:eastAsia="仿宋" w:cs="仿宋"/>
          <w:b/>
          <w:sz w:val="24"/>
          <w:szCs w:val="24"/>
        </w:rPr>
        <w:t>的身份证明（适用于法定代表人、单位负责人或者自然人本人代表投标人参加投标）</w:t>
      </w:r>
    </w:p>
    <w:p w14:paraId="3560F781">
      <w:pPr>
        <w:adjustRightInd w:val="0"/>
        <w:snapToGrid w:val="0"/>
        <w:spacing w:line="360" w:lineRule="auto"/>
        <w:rPr>
          <w:rFonts w:hint="eastAsia" w:ascii="仿宋" w:hAnsi="仿宋" w:eastAsia="仿宋" w:cs="仿宋"/>
          <w:sz w:val="24"/>
        </w:rPr>
      </w:pPr>
    </w:p>
    <w:p w14:paraId="5579713D">
      <w:pPr>
        <w:pStyle w:val="95"/>
        <w:spacing w:line="360" w:lineRule="auto"/>
        <w:rPr>
          <w:rFonts w:hint="eastAsia" w:ascii="仿宋" w:hAnsi="仿宋" w:eastAsia="仿宋" w:cs="仿宋"/>
          <w:bCs/>
          <w:sz w:val="24"/>
        </w:rPr>
      </w:pPr>
      <w:r>
        <w:rPr>
          <w:rFonts w:hint="eastAsia" w:ascii="仿宋" w:hAnsi="仿宋" w:eastAsia="仿宋" w:cs="仿宋"/>
          <w:bCs/>
          <w:sz w:val="24"/>
        </w:rPr>
        <w:t>身份证件扫描件：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CEF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107B0154">
            <w:pPr>
              <w:pStyle w:val="95"/>
              <w:adjustRightInd w:val="0"/>
              <w:spacing w:line="360" w:lineRule="auto"/>
              <w:rPr>
                <w:rFonts w:hint="eastAsia" w:ascii="仿宋" w:hAnsi="仿宋" w:eastAsia="仿宋" w:cs="仿宋"/>
                <w:bCs/>
                <w:sz w:val="24"/>
              </w:rPr>
            </w:pPr>
            <w:r>
              <w:rPr>
                <w:rFonts w:hint="eastAsia" w:ascii="仿宋" w:hAnsi="仿宋" w:eastAsia="仿宋" w:cs="仿宋"/>
                <w:bCs/>
                <w:sz w:val="24"/>
              </w:rPr>
              <w:t>正面：                                 反面：</w:t>
            </w:r>
          </w:p>
          <w:p w14:paraId="3E3DCFD4">
            <w:pPr>
              <w:pStyle w:val="95"/>
              <w:adjustRightInd w:val="0"/>
              <w:spacing w:line="360" w:lineRule="auto"/>
              <w:rPr>
                <w:rFonts w:hint="eastAsia" w:ascii="仿宋" w:hAnsi="仿宋" w:eastAsia="仿宋" w:cs="仿宋"/>
                <w:bCs/>
                <w:sz w:val="24"/>
              </w:rPr>
            </w:pPr>
          </w:p>
        </w:tc>
      </w:tr>
    </w:tbl>
    <w:p w14:paraId="1542876A">
      <w:pPr>
        <w:adjustRightInd w:val="0"/>
        <w:snapToGrid w:val="0"/>
        <w:spacing w:line="360" w:lineRule="auto"/>
        <w:rPr>
          <w:rFonts w:ascii="仿宋_GB2312" w:hAnsi="仿宋" w:eastAsia="仿宋_GB2312" w:cs="仿宋"/>
          <w:sz w:val="24"/>
        </w:rPr>
      </w:pPr>
    </w:p>
    <w:p w14:paraId="1F505257">
      <w:pPr>
        <w:adjustRightInd w:val="0"/>
        <w:snapToGrid w:val="0"/>
        <w:spacing w:line="360" w:lineRule="auto"/>
        <w:rPr>
          <w:rFonts w:ascii="仿宋_GB2312" w:hAnsi="仿宋" w:eastAsia="仿宋_GB2312" w:cs="仿宋"/>
          <w:sz w:val="24"/>
        </w:rPr>
      </w:pPr>
    </w:p>
    <w:p w14:paraId="64A744E4">
      <w:pPr>
        <w:adjustRightInd w:val="0"/>
        <w:snapToGrid w:val="0"/>
        <w:spacing w:line="360" w:lineRule="auto"/>
        <w:rPr>
          <w:rFonts w:ascii="仿宋_GB2312" w:hAnsi="仿宋" w:eastAsia="仿宋_GB2312" w:cs="仿宋"/>
          <w:sz w:val="24"/>
        </w:rPr>
      </w:pPr>
    </w:p>
    <w:p w14:paraId="3860D5F7">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 xml:space="preserve">                           磋商供应商全称（公章）：</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w:t>
      </w:r>
    </w:p>
    <w:p w14:paraId="1A201B46">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 xml:space="preserve">                           日期：     年    月    日</w:t>
      </w:r>
    </w:p>
    <w:p w14:paraId="177EF968">
      <w:pPr>
        <w:adjustRightInd w:val="0"/>
        <w:snapToGrid w:val="0"/>
        <w:spacing w:line="360" w:lineRule="auto"/>
        <w:rPr>
          <w:rFonts w:ascii="仿宋_GB2312" w:hAnsi="仿宋" w:eastAsia="仿宋_GB2312" w:cs="仿宋"/>
          <w:sz w:val="24"/>
        </w:rPr>
      </w:pPr>
    </w:p>
    <w:p w14:paraId="2269FBCB">
      <w:pPr>
        <w:adjustRightInd w:val="0"/>
        <w:snapToGrid w:val="0"/>
        <w:spacing w:line="360" w:lineRule="auto"/>
        <w:rPr>
          <w:rFonts w:ascii="仿宋_GB2312" w:hAnsi="仿宋" w:eastAsia="仿宋_GB2312" w:cs="仿宋"/>
          <w:sz w:val="24"/>
        </w:rPr>
      </w:pPr>
    </w:p>
    <w:p w14:paraId="5AF20DD0">
      <w:pPr>
        <w:adjustRightInd w:val="0"/>
        <w:snapToGrid w:val="0"/>
        <w:spacing w:line="360" w:lineRule="auto"/>
        <w:rPr>
          <w:rFonts w:ascii="仿宋" w:hAnsi="仿宋" w:eastAsia="仿宋" w:cs="仿宋"/>
          <w:b/>
          <w:bCs/>
          <w:sz w:val="24"/>
        </w:rPr>
      </w:pPr>
      <w:r>
        <w:rPr>
          <w:rFonts w:hint="eastAsia" w:ascii="仿宋_GB2312" w:hAnsi="仿宋" w:eastAsia="仿宋_GB2312" w:cs="仿宋"/>
          <w:b/>
        </w:rPr>
        <w:br w:type="page"/>
      </w:r>
      <w:r>
        <w:rPr>
          <w:rFonts w:hint="eastAsia" w:ascii="仿宋_GB2312" w:hAnsi="仿宋" w:eastAsia="仿宋_GB2312" w:cs="仿宋"/>
          <w:b/>
          <w:bCs/>
          <w:sz w:val="24"/>
        </w:rPr>
        <w:t>三、招标服务费承诺书</w:t>
      </w:r>
    </w:p>
    <w:p w14:paraId="4D33A727">
      <w:pPr>
        <w:adjustRightInd w:val="0"/>
        <w:snapToGrid w:val="0"/>
        <w:spacing w:line="360" w:lineRule="auto"/>
        <w:ind w:firstLine="480" w:firstLineChars="200"/>
        <w:jc w:val="center"/>
        <w:rPr>
          <w:rFonts w:ascii="仿宋" w:hAnsi="仿宋" w:eastAsia="仿宋" w:cs="仿宋"/>
          <w:kern w:val="0"/>
          <w:sz w:val="24"/>
          <w:lang w:val="zh-CN"/>
        </w:rPr>
      </w:pPr>
    </w:p>
    <w:p w14:paraId="69EF4A09">
      <w:pPr>
        <w:adjustRightInd w:val="0"/>
        <w:snapToGrid w:val="0"/>
        <w:spacing w:line="360" w:lineRule="auto"/>
        <w:ind w:firstLine="480" w:firstLineChars="200"/>
        <w:jc w:val="center"/>
        <w:rPr>
          <w:rFonts w:ascii="仿宋" w:hAnsi="仿宋" w:eastAsia="仿宋" w:cs="仿宋"/>
          <w:kern w:val="0"/>
          <w:sz w:val="24"/>
          <w:lang w:val="zh-CN"/>
        </w:rPr>
      </w:pPr>
      <w:r>
        <w:rPr>
          <w:rFonts w:hint="eastAsia" w:ascii="仿宋" w:hAnsi="仿宋" w:eastAsia="仿宋" w:cs="仿宋"/>
          <w:kern w:val="0"/>
          <w:sz w:val="24"/>
          <w:lang w:val="zh-CN"/>
        </w:rPr>
        <w:t>招标服务费承诺书</w:t>
      </w:r>
    </w:p>
    <w:p w14:paraId="43BBBA56">
      <w:pPr>
        <w:adjustRightInd w:val="0"/>
        <w:snapToGrid w:val="0"/>
        <w:spacing w:line="360" w:lineRule="auto"/>
        <w:rPr>
          <w:rFonts w:ascii="仿宋" w:hAnsi="仿宋" w:eastAsia="仿宋" w:cs="仿宋"/>
          <w:kern w:val="0"/>
          <w:sz w:val="24"/>
          <w:lang w:val="zh-CN"/>
        </w:rPr>
      </w:pPr>
    </w:p>
    <w:p w14:paraId="6DA61667">
      <w:pPr>
        <w:adjustRightInd w:val="0"/>
        <w:snapToGrid w:val="0"/>
        <w:spacing w:line="360" w:lineRule="auto"/>
        <w:rPr>
          <w:rFonts w:ascii="仿宋" w:hAnsi="仿宋" w:eastAsia="仿宋" w:cs="仿宋"/>
          <w:kern w:val="0"/>
          <w:sz w:val="24"/>
          <w:lang w:val="zh-CN"/>
        </w:rPr>
      </w:pPr>
      <w:r>
        <w:rPr>
          <w:rFonts w:hint="eastAsia" w:ascii="仿宋" w:hAnsi="仿宋" w:eastAsia="仿宋" w:cs="仿宋"/>
          <w:kern w:val="0"/>
          <w:sz w:val="24"/>
          <w:lang w:val="zh-CN"/>
        </w:rPr>
        <w:t>致：</w:t>
      </w:r>
      <w:r>
        <w:rPr>
          <w:rFonts w:hint="eastAsia" w:ascii="仿宋" w:hAnsi="仿宋" w:eastAsia="仿宋" w:cs="仿宋"/>
          <w:kern w:val="0"/>
          <w:sz w:val="24"/>
        </w:rPr>
        <w:t>浙江通用招标代理</w:t>
      </w:r>
      <w:r>
        <w:rPr>
          <w:rFonts w:hint="eastAsia" w:ascii="仿宋" w:hAnsi="仿宋" w:eastAsia="仿宋" w:cs="仿宋"/>
          <w:kern w:val="0"/>
          <w:sz w:val="24"/>
          <w:lang w:val="zh-CN"/>
        </w:rPr>
        <w:t>有限公司</w:t>
      </w:r>
    </w:p>
    <w:p w14:paraId="52617C6B">
      <w:pPr>
        <w:adjustRightInd w:val="0"/>
        <w:snapToGrid w:val="0"/>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我们在贵公司代理</w:t>
      </w:r>
      <w:r>
        <w:rPr>
          <w:rFonts w:hint="eastAsia" w:ascii="仿宋_GB2312" w:hAnsi="仿宋" w:eastAsia="仿宋_GB2312" w:cs="仿宋_GB2312"/>
          <w:sz w:val="24"/>
        </w:rPr>
        <w:t>（项目名称）【招标编号：</w:t>
      </w:r>
      <w:r>
        <w:rPr>
          <w:rFonts w:hint="eastAsia" w:ascii="仿宋_GB2312" w:hAnsi="仿宋" w:eastAsia="仿宋_GB2312"/>
          <w:sz w:val="24"/>
        </w:rPr>
        <w:t>（采购编号）</w:t>
      </w:r>
      <w:r>
        <w:rPr>
          <w:rFonts w:hint="eastAsia" w:ascii="仿宋_GB2312" w:hAnsi="仿宋" w:eastAsia="仿宋_GB2312" w:cs="仿宋_GB2312"/>
          <w:sz w:val="24"/>
        </w:rPr>
        <w:t>】</w:t>
      </w:r>
      <w:r>
        <w:rPr>
          <w:rFonts w:hint="eastAsia" w:ascii="仿宋" w:hAnsi="仿宋" w:eastAsia="仿宋" w:cs="仿宋"/>
          <w:kern w:val="0"/>
          <w:sz w:val="24"/>
          <w:lang w:val="zh-CN"/>
        </w:rPr>
        <w:t>采购中若获成交，我们保证在领取成交通知书时按磋商文件的规定，以支票、银行汇票、电汇、现金或经贵公司认可的一种方式，向贵公司指定的银行账号，按照磋商文件中招标服务费收取标准一次性支付招标服务费。</w:t>
      </w:r>
    </w:p>
    <w:p w14:paraId="3492EEAC">
      <w:pPr>
        <w:adjustRightInd w:val="0"/>
        <w:snapToGrid w:val="0"/>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特此承诺。</w:t>
      </w:r>
    </w:p>
    <w:p w14:paraId="796B91F5">
      <w:pPr>
        <w:adjustRightInd w:val="0"/>
        <w:snapToGrid w:val="0"/>
        <w:spacing w:line="360" w:lineRule="auto"/>
        <w:rPr>
          <w:rFonts w:ascii="仿宋" w:hAnsi="仿宋" w:eastAsia="仿宋" w:cs="仿宋"/>
          <w:kern w:val="0"/>
          <w:sz w:val="24"/>
          <w:lang w:val="zh-CN"/>
        </w:rPr>
      </w:pPr>
    </w:p>
    <w:p w14:paraId="1E871712">
      <w:pPr>
        <w:adjustRightInd w:val="0"/>
        <w:snapToGrid w:val="0"/>
        <w:spacing w:line="360" w:lineRule="auto"/>
        <w:rPr>
          <w:rFonts w:ascii="仿宋" w:hAnsi="仿宋" w:eastAsia="仿宋" w:cs="仿宋"/>
          <w:kern w:val="0"/>
          <w:sz w:val="24"/>
          <w:lang w:val="zh-CN"/>
        </w:rPr>
      </w:pPr>
    </w:p>
    <w:p w14:paraId="60A52AC9">
      <w:pPr>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lang w:val="zh-CN"/>
        </w:rPr>
        <w:t>承诺方法定名称（承诺方盖章）：</w:t>
      </w:r>
      <w:r>
        <w:rPr>
          <w:rFonts w:hint="eastAsia" w:ascii="仿宋" w:hAnsi="仿宋" w:eastAsia="仿宋" w:cs="仿宋"/>
          <w:kern w:val="0"/>
          <w:sz w:val="24"/>
        </w:rPr>
        <w:t xml:space="preserve">          </w:t>
      </w:r>
    </w:p>
    <w:p w14:paraId="39706460">
      <w:pPr>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lang w:val="zh-CN"/>
        </w:rPr>
        <w:t>地址：</w:t>
      </w:r>
      <w:r>
        <w:rPr>
          <w:rFonts w:hint="eastAsia" w:ascii="仿宋" w:hAnsi="仿宋" w:eastAsia="仿宋" w:cs="仿宋"/>
          <w:kern w:val="0"/>
          <w:sz w:val="24"/>
        </w:rPr>
        <w:t xml:space="preserve">              </w:t>
      </w:r>
    </w:p>
    <w:p w14:paraId="5584B19F">
      <w:pPr>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lang w:val="zh-CN"/>
        </w:rPr>
        <w:t>电话：</w:t>
      </w:r>
      <w:r>
        <w:rPr>
          <w:rFonts w:hint="eastAsia" w:ascii="仿宋" w:hAnsi="仿宋" w:eastAsia="仿宋" w:cs="仿宋"/>
          <w:kern w:val="0"/>
          <w:sz w:val="24"/>
        </w:rPr>
        <w:t xml:space="preserve">              </w:t>
      </w:r>
    </w:p>
    <w:p w14:paraId="6F2671AB">
      <w:pPr>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lang w:val="zh-CN"/>
        </w:rPr>
        <w:t>传真：</w:t>
      </w:r>
      <w:r>
        <w:rPr>
          <w:rFonts w:hint="eastAsia" w:ascii="仿宋" w:hAnsi="仿宋" w:eastAsia="仿宋" w:cs="仿宋"/>
          <w:kern w:val="0"/>
          <w:sz w:val="24"/>
        </w:rPr>
        <w:t xml:space="preserve">              </w:t>
      </w:r>
    </w:p>
    <w:p w14:paraId="65E951B1">
      <w:pPr>
        <w:adjustRightInd w:val="0"/>
        <w:snapToGrid w:val="0"/>
        <w:spacing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邮编：</w:t>
      </w:r>
      <w:r>
        <w:rPr>
          <w:rFonts w:hint="eastAsia" w:ascii="仿宋" w:hAnsi="仿宋" w:eastAsia="仿宋" w:cs="仿宋"/>
          <w:kern w:val="0"/>
          <w:sz w:val="24"/>
        </w:rPr>
        <w:t xml:space="preserve">             </w:t>
      </w:r>
      <w:r>
        <w:rPr>
          <w:rFonts w:hint="eastAsia" w:ascii="仿宋" w:hAnsi="仿宋" w:eastAsia="仿宋" w:cs="仿宋"/>
          <w:kern w:val="0"/>
          <w:sz w:val="24"/>
          <w:lang w:val="zh-CN"/>
        </w:rPr>
        <w:t xml:space="preserve"> </w:t>
      </w:r>
    </w:p>
    <w:p w14:paraId="4F526CDD">
      <w:pPr>
        <w:adjustRightInd w:val="0"/>
        <w:snapToGrid w:val="0"/>
        <w:spacing w:line="360" w:lineRule="auto"/>
        <w:ind w:firstLine="480" w:firstLineChars="200"/>
        <w:rPr>
          <w:rFonts w:ascii="仿宋_GB2312" w:hAnsi="仿宋" w:eastAsia="仿宋_GB2312" w:cs="仿宋"/>
          <w:sz w:val="24"/>
        </w:rPr>
      </w:pPr>
    </w:p>
    <w:p w14:paraId="688A8A77">
      <w:pPr>
        <w:adjustRightInd w:val="0"/>
        <w:snapToGrid w:val="0"/>
        <w:spacing w:line="360" w:lineRule="auto"/>
        <w:ind w:firstLine="480" w:firstLineChars="200"/>
        <w:rPr>
          <w:rFonts w:ascii="仿宋" w:hAnsi="仿宋" w:eastAsia="仿宋" w:cs="仿宋"/>
          <w:kern w:val="0"/>
          <w:sz w:val="24"/>
          <w:lang w:val="zh-CN"/>
        </w:rPr>
      </w:pPr>
      <w:r>
        <w:rPr>
          <w:rFonts w:hint="eastAsia" w:ascii="仿宋_GB2312" w:hAnsi="仿宋" w:eastAsia="仿宋_GB2312" w:cs="仿宋"/>
          <w:sz w:val="24"/>
        </w:rPr>
        <w:t>法定代表人或授权代表</w:t>
      </w:r>
      <w:r>
        <w:rPr>
          <w:rFonts w:hint="eastAsia" w:ascii="仿宋" w:hAnsi="仿宋" w:eastAsia="仿宋" w:cs="仿宋"/>
          <w:kern w:val="0"/>
          <w:sz w:val="24"/>
          <w:lang w:val="zh-CN"/>
        </w:rPr>
        <w:t xml:space="preserve">：                     </w:t>
      </w:r>
    </w:p>
    <w:p w14:paraId="6223726F">
      <w:pPr>
        <w:adjustRightInd w:val="0"/>
        <w:snapToGrid w:val="0"/>
        <w:spacing w:line="360" w:lineRule="auto"/>
        <w:ind w:firstLine="480" w:firstLineChars="200"/>
        <w:rPr>
          <w:rFonts w:ascii="仿宋_GB2312" w:hAnsi="仿宋" w:eastAsia="仿宋_GB2312" w:cs="仿宋"/>
          <w:b/>
          <w:bCs/>
          <w:sz w:val="24"/>
        </w:rPr>
      </w:pPr>
      <w:r>
        <w:rPr>
          <w:rFonts w:hint="eastAsia" w:ascii="仿宋" w:hAnsi="仿宋" w:eastAsia="仿宋" w:cs="仿宋"/>
          <w:kern w:val="0"/>
          <w:sz w:val="24"/>
          <w:lang w:val="zh-CN"/>
        </w:rPr>
        <w:t>承诺日期：</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14:paraId="267BBB68">
      <w:pPr>
        <w:adjustRightInd w:val="0"/>
        <w:snapToGrid w:val="0"/>
        <w:spacing w:line="360" w:lineRule="auto"/>
        <w:jc w:val="left"/>
        <w:rPr>
          <w:rFonts w:ascii="仿宋_GB2312" w:hAnsi="仿宋" w:eastAsia="仿宋_GB2312" w:cs="仿宋"/>
          <w:b/>
          <w:bCs/>
          <w:sz w:val="24"/>
        </w:rPr>
      </w:pPr>
    </w:p>
    <w:p w14:paraId="201909D1">
      <w:pPr>
        <w:adjustRightInd w:val="0"/>
        <w:snapToGrid w:val="0"/>
        <w:spacing w:line="360" w:lineRule="auto"/>
        <w:jc w:val="left"/>
        <w:rPr>
          <w:rFonts w:ascii="仿宋_GB2312" w:hAnsi="仿宋" w:eastAsia="仿宋_GB2312" w:cs="仿宋"/>
          <w:b/>
          <w:bCs/>
          <w:sz w:val="24"/>
        </w:rPr>
      </w:pPr>
    </w:p>
    <w:p w14:paraId="7E6FCCE9">
      <w:pPr>
        <w:adjustRightInd w:val="0"/>
        <w:snapToGrid w:val="0"/>
        <w:spacing w:line="360" w:lineRule="auto"/>
        <w:jc w:val="left"/>
        <w:rPr>
          <w:rFonts w:ascii="仿宋_GB2312" w:hAnsi="仿宋" w:eastAsia="仿宋_GB2312" w:cs="仿宋"/>
          <w:b/>
          <w:bCs/>
          <w:sz w:val="24"/>
        </w:rPr>
      </w:pPr>
    </w:p>
    <w:p w14:paraId="77B592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kern w:val="0"/>
          <w:sz w:val="24"/>
          <w:szCs w:val="24"/>
          <w:lang w:eastAsia="zh-CN"/>
        </w:rPr>
      </w:pPr>
    </w:p>
    <w:p w14:paraId="41A363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kern w:val="0"/>
          <w:sz w:val="24"/>
          <w:szCs w:val="24"/>
          <w:lang w:eastAsia="zh-CN"/>
        </w:rPr>
      </w:pPr>
    </w:p>
    <w:p w14:paraId="13B395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kern w:val="0"/>
          <w:sz w:val="24"/>
          <w:szCs w:val="24"/>
          <w:lang w:eastAsia="zh-CN"/>
        </w:rPr>
      </w:pPr>
    </w:p>
    <w:p w14:paraId="54DFB3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kern w:val="0"/>
          <w:sz w:val="24"/>
          <w:szCs w:val="24"/>
          <w:lang w:eastAsia="zh-CN"/>
        </w:rPr>
      </w:pPr>
    </w:p>
    <w:p w14:paraId="76E0CA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kern w:val="0"/>
          <w:sz w:val="24"/>
          <w:szCs w:val="24"/>
          <w:lang w:eastAsia="zh-CN"/>
        </w:rPr>
      </w:pPr>
    </w:p>
    <w:p w14:paraId="033D5D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kern w:val="0"/>
          <w:sz w:val="24"/>
          <w:szCs w:val="24"/>
          <w:lang w:eastAsia="zh-CN"/>
        </w:rPr>
      </w:pPr>
    </w:p>
    <w:p w14:paraId="6424F3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kern w:val="0"/>
          <w:sz w:val="24"/>
          <w:szCs w:val="24"/>
          <w:lang w:eastAsia="zh-CN"/>
        </w:rPr>
      </w:pPr>
    </w:p>
    <w:p w14:paraId="57E28B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bCs/>
          <w:sz w:val="24"/>
          <w:szCs w:val="24"/>
          <w:highlight w:val="none"/>
          <w:lang w:val="en-US" w:eastAsia="zh-CN"/>
        </w:rPr>
      </w:pPr>
      <w:r>
        <w:rPr>
          <w:rFonts w:hint="eastAsia" w:ascii="宋体" w:hAnsi="宋体" w:eastAsia="宋体" w:cs="宋体"/>
          <w:b/>
          <w:kern w:val="0"/>
          <w:sz w:val="24"/>
          <w:szCs w:val="24"/>
          <w:lang w:eastAsia="zh-CN"/>
        </w:rPr>
        <w:t>四</w:t>
      </w:r>
      <w:r>
        <w:rPr>
          <w:rFonts w:hint="eastAsia" w:ascii="宋体" w:hAnsi="宋体" w:eastAsia="宋体" w:cs="宋体"/>
          <w:b/>
          <w:kern w:val="0"/>
          <w:sz w:val="24"/>
          <w:szCs w:val="24"/>
        </w:rPr>
        <w:t>、</w:t>
      </w:r>
      <w:r>
        <w:rPr>
          <w:rFonts w:hint="eastAsia" w:ascii="宋体" w:hAnsi="宋体" w:eastAsia="宋体" w:cs="宋体"/>
          <w:b/>
          <w:kern w:val="0"/>
          <w:sz w:val="24"/>
          <w:szCs w:val="24"/>
          <w:lang w:val="zh-CN"/>
        </w:rPr>
        <w:t>联合协议</w:t>
      </w:r>
      <w:bookmarkStart w:id="8" w:name="_Hlk101169080"/>
    </w:p>
    <w:p w14:paraId="2C6833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spacing w:val="-6"/>
          <w:sz w:val="24"/>
          <w:szCs w:val="24"/>
          <w:highlight w:val="none"/>
          <w:lang w:val="en-US" w:eastAsia="zh-CN"/>
        </w:rPr>
      </w:pPr>
      <w:r>
        <w:rPr>
          <w:rFonts w:hint="eastAsia" w:ascii="宋体" w:hAnsi="宋体" w:eastAsia="宋体" w:cs="宋体"/>
          <w:b/>
          <w:spacing w:val="-6"/>
          <w:sz w:val="24"/>
          <w:szCs w:val="24"/>
          <w:highlight w:val="none"/>
          <w:lang w:val="en-US" w:eastAsia="zh-CN"/>
        </w:rPr>
        <w:t>（若联合体投标）</w:t>
      </w:r>
    </w:p>
    <w:p w14:paraId="708D51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pacing w:val="-6"/>
          <w:sz w:val="24"/>
          <w:szCs w:val="24"/>
          <w:highlight w:val="none"/>
          <w:lang w:val="en-US" w:eastAsia="zh-CN"/>
        </w:rPr>
      </w:pPr>
    </w:p>
    <w:p w14:paraId="21702AC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spacing w:val="-6"/>
          <w:sz w:val="24"/>
          <w:szCs w:val="24"/>
          <w:highlight w:val="none"/>
          <w:lang w:val="en-US" w:eastAsia="zh-CN"/>
        </w:rPr>
      </w:pPr>
      <w:r>
        <w:rPr>
          <w:rFonts w:hint="eastAsia" w:ascii="宋体" w:hAnsi="宋体" w:eastAsia="宋体" w:cs="宋体"/>
          <w:b/>
          <w:spacing w:val="-6"/>
          <w:sz w:val="24"/>
          <w:szCs w:val="24"/>
          <w:highlight w:val="none"/>
          <w:lang w:val="en-US" w:eastAsia="zh-CN"/>
        </w:rPr>
        <w:t>说明：格式见附件3</w:t>
      </w:r>
    </w:p>
    <w:bookmarkEnd w:id="8"/>
    <w:p w14:paraId="3FCD2DBA">
      <w:pPr>
        <w:adjustRightInd w:val="0"/>
        <w:snapToGrid w:val="0"/>
        <w:spacing w:line="360" w:lineRule="auto"/>
        <w:jc w:val="left"/>
        <w:rPr>
          <w:rFonts w:hint="eastAsia" w:ascii="宋体" w:hAnsi="宋体" w:eastAsia="宋体" w:cs="宋体"/>
          <w:b/>
          <w:bCs/>
          <w:sz w:val="24"/>
        </w:rPr>
      </w:pPr>
    </w:p>
    <w:p w14:paraId="203B34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bCs/>
          <w:sz w:val="24"/>
          <w:szCs w:val="24"/>
          <w:highlight w:val="none"/>
          <w:lang w:val="en-US" w:eastAsia="zh-CN"/>
        </w:rPr>
      </w:pPr>
      <w:r>
        <w:rPr>
          <w:rFonts w:hint="eastAsia" w:ascii="宋体" w:hAnsi="宋体" w:eastAsia="宋体" w:cs="宋体"/>
          <w:b/>
          <w:kern w:val="0"/>
          <w:sz w:val="24"/>
          <w:szCs w:val="24"/>
          <w:lang w:eastAsia="zh-CN"/>
        </w:rPr>
        <w:t>五</w:t>
      </w:r>
      <w:r>
        <w:rPr>
          <w:rFonts w:hint="eastAsia" w:ascii="宋体" w:hAnsi="宋体" w:eastAsia="宋体" w:cs="宋体"/>
          <w:b/>
          <w:kern w:val="0"/>
          <w:sz w:val="24"/>
          <w:szCs w:val="24"/>
        </w:rPr>
        <w:t>、</w:t>
      </w:r>
      <w:r>
        <w:rPr>
          <w:rFonts w:hint="eastAsia" w:ascii="宋体" w:hAnsi="宋体" w:eastAsia="宋体" w:cs="宋体"/>
          <w:b/>
          <w:bCs/>
          <w:sz w:val="24"/>
          <w:szCs w:val="24"/>
          <w:highlight w:val="none"/>
          <w:lang w:val="en-US" w:eastAsia="zh-CN"/>
        </w:rPr>
        <w:t>分包意向协议</w:t>
      </w:r>
    </w:p>
    <w:p w14:paraId="5B3DA1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spacing w:val="-6"/>
          <w:sz w:val="24"/>
          <w:szCs w:val="24"/>
          <w:highlight w:val="none"/>
          <w:lang w:val="en-US" w:eastAsia="zh-CN"/>
        </w:rPr>
      </w:pPr>
      <w:r>
        <w:rPr>
          <w:rFonts w:hint="eastAsia" w:ascii="宋体" w:hAnsi="宋体" w:eastAsia="宋体" w:cs="宋体"/>
          <w:b/>
          <w:spacing w:val="-6"/>
          <w:sz w:val="24"/>
          <w:szCs w:val="24"/>
          <w:highlight w:val="none"/>
          <w:lang w:val="en-US" w:eastAsia="zh-CN"/>
        </w:rPr>
        <w:t>（若中标后以分包方式履行合同）</w:t>
      </w:r>
    </w:p>
    <w:p w14:paraId="1994EFE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pacing w:val="-6"/>
          <w:sz w:val="24"/>
          <w:szCs w:val="24"/>
          <w:highlight w:val="none"/>
          <w:lang w:val="en-US" w:eastAsia="zh-CN"/>
        </w:rPr>
      </w:pPr>
    </w:p>
    <w:p w14:paraId="4F5055FA">
      <w:pPr>
        <w:pStyle w:val="30"/>
        <w:shd w:val="clear" w:color="auto" w:fill="FFFFFF"/>
        <w:adjustRightInd w:val="0"/>
        <w:snapToGrid w:val="0"/>
        <w:spacing w:before="0" w:beforeAutospacing="0" w:after="0" w:afterAutospacing="0" w:line="360" w:lineRule="auto"/>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spacing w:val="-6"/>
          <w:sz w:val="24"/>
          <w:szCs w:val="24"/>
          <w:highlight w:val="none"/>
          <w:lang w:val="en-US" w:eastAsia="zh-CN"/>
        </w:rPr>
        <w:t>说明：格式见附件4</w:t>
      </w:r>
    </w:p>
    <w:p w14:paraId="627301DC">
      <w:pPr>
        <w:adjustRightInd w:val="0"/>
        <w:snapToGrid w:val="0"/>
        <w:spacing w:line="360" w:lineRule="auto"/>
        <w:jc w:val="left"/>
        <w:rPr>
          <w:rFonts w:hint="default" w:ascii="仿宋_GB2312" w:hAnsi="仿宋" w:eastAsia="仿宋_GB2312" w:cs="仿宋"/>
          <w:b/>
          <w:bCs/>
          <w:sz w:val="24"/>
          <w:lang w:val="en-US"/>
        </w:rPr>
      </w:pPr>
    </w:p>
    <w:p w14:paraId="55D55346">
      <w:pPr>
        <w:adjustRightInd w:val="0"/>
        <w:snapToGrid w:val="0"/>
        <w:spacing w:line="360" w:lineRule="auto"/>
        <w:jc w:val="left"/>
        <w:rPr>
          <w:rFonts w:ascii="仿宋_GB2312" w:hAnsi="仿宋" w:eastAsia="仿宋_GB2312" w:cs="仿宋"/>
          <w:b/>
          <w:bCs/>
          <w:sz w:val="24"/>
        </w:rPr>
      </w:pPr>
      <w:r>
        <w:rPr>
          <w:rFonts w:hint="eastAsia" w:ascii="仿宋_GB2312" w:hAnsi="仿宋" w:eastAsia="仿宋_GB2312" w:cs="仿宋"/>
          <w:b/>
          <w:bCs/>
          <w:sz w:val="24"/>
          <w:lang w:val="en-US" w:eastAsia="zh-CN"/>
        </w:rPr>
        <w:t>六</w:t>
      </w:r>
      <w:r>
        <w:rPr>
          <w:rFonts w:hint="eastAsia" w:ascii="仿宋_GB2312" w:hAnsi="仿宋" w:eastAsia="仿宋_GB2312" w:cs="仿宋"/>
          <w:b/>
          <w:bCs/>
          <w:sz w:val="24"/>
        </w:rPr>
        <w:t>、磋商供应商情况介绍</w:t>
      </w:r>
    </w:p>
    <w:p w14:paraId="5BE19F2E">
      <w:pPr>
        <w:adjustRightInd w:val="0"/>
        <w:snapToGrid w:val="0"/>
        <w:spacing w:line="360" w:lineRule="auto"/>
        <w:jc w:val="left"/>
        <w:rPr>
          <w:rFonts w:ascii="仿宋_GB2312" w:hAnsi="仿宋" w:eastAsia="仿宋_GB2312" w:cs="仿宋"/>
          <w:b/>
          <w:bCs/>
          <w:sz w:val="24"/>
        </w:rPr>
      </w:pPr>
    </w:p>
    <w:p w14:paraId="486CC1C5">
      <w:pPr>
        <w:adjustRightInd w:val="0"/>
        <w:snapToGrid w:val="0"/>
        <w:spacing w:line="360" w:lineRule="auto"/>
        <w:jc w:val="left"/>
        <w:rPr>
          <w:rFonts w:ascii="仿宋_GB2312" w:hAnsi="仿宋" w:eastAsia="仿宋_GB2312" w:cs="仿宋"/>
          <w:b/>
          <w:bCs/>
          <w:sz w:val="24"/>
        </w:rPr>
      </w:pPr>
    </w:p>
    <w:p w14:paraId="4E6C9DD5">
      <w:pPr>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供应商名称（公章）：</w:t>
      </w:r>
      <w:r>
        <w:rPr>
          <w:rFonts w:hint="eastAsia" w:ascii="仿宋_GB2312" w:hAnsi="仿宋" w:eastAsia="仿宋_GB2312" w:cs="仿宋"/>
          <w:sz w:val="24"/>
          <w:u w:val="single"/>
        </w:rPr>
        <w:t xml:space="preserve">                    </w:t>
      </w:r>
    </w:p>
    <w:p w14:paraId="1A3F93CA">
      <w:pPr>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法定代表人或授权代表签字：</w:t>
      </w:r>
      <w:r>
        <w:rPr>
          <w:rFonts w:hint="eastAsia" w:ascii="仿宋_GB2312" w:hAnsi="仿宋" w:eastAsia="仿宋_GB2312" w:cs="仿宋"/>
          <w:sz w:val="24"/>
          <w:u w:val="single"/>
        </w:rPr>
        <w:t xml:space="preserve">                  </w:t>
      </w:r>
    </w:p>
    <w:p w14:paraId="2BBC3815">
      <w:pPr>
        <w:adjustRightInd w:val="0"/>
        <w:snapToGrid w:val="0"/>
        <w:spacing w:line="360" w:lineRule="auto"/>
        <w:ind w:firstLine="480" w:firstLineChars="200"/>
        <w:rPr>
          <w:rFonts w:ascii="仿宋_GB2312" w:hAnsi="仿宋" w:eastAsia="仿宋_GB2312" w:cs="仿宋"/>
          <w:b/>
          <w:sz w:val="24"/>
        </w:rPr>
      </w:pPr>
      <w:r>
        <w:rPr>
          <w:rFonts w:hint="eastAsia" w:ascii="仿宋_GB2312" w:hAnsi="仿宋" w:eastAsia="仿宋_GB2312" w:cs="仿宋"/>
          <w:sz w:val="24"/>
        </w:rPr>
        <w:t>日期：</w:t>
      </w:r>
      <w:r>
        <w:rPr>
          <w:rFonts w:hint="eastAsia" w:ascii="仿宋_GB2312" w:hAnsi="仿宋" w:eastAsia="仿宋_GB2312" w:cs="仿宋"/>
          <w:sz w:val="24"/>
          <w:u w:val="single"/>
        </w:rPr>
        <w:t xml:space="preserve">      </w:t>
      </w:r>
      <w:r>
        <w:rPr>
          <w:rFonts w:hint="eastAsia" w:ascii="仿宋_GB2312" w:hAnsi="仿宋" w:eastAsia="仿宋_GB2312" w:cs="仿宋"/>
          <w:sz w:val="24"/>
        </w:rPr>
        <w:t>年</w:t>
      </w:r>
      <w:r>
        <w:rPr>
          <w:rFonts w:hint="eastAsia" w:ascii="仿宋_GB2312" w:hAnsi="仿宋" w:eastAsia="仿宋_GB2312" w:cs="仿宋"/>
          <w:sz w:val="24"/>
          <w:u w:val="single"/>
        </w:rPr>
        <w:t xml:space="preserve">   </w:t>
      </w:r>
      <w:r>
        <w:rPr>
          <w:rFonts w:hint="eastAsia" w:ascii="仿宋_GB2312" w:hAnsi="仿宋" w:eastAsia="仿宋_GB2312" w:cs="仿宋"/>
          <w:sz w:val="24"/>
        </w:rPr>
        <w:t>月</w:t>
      </w:r>
      <w:r>
        <w:rPr>
          <w:rFonts w:hint="eastAsia" w:ascii="仿宋_GB2312" w:hAnsi="仿宋" w:eastAsia="仿宋_GB2312" w:cs="仿宋"/>
          <w:sz w:val="24"/>
          <w:u w:val="single"/>
        </w:rPr>
        <w:t xml:space="preserve">   </w:t>
      </w:r>
      <w:r>
        <w:rPr>
          <w:rFonts w:hint="eastAsia" w:ascii="仿宋_GB2312" w:hAnsi="仿宋" w:eastAsia="仿宋_GB2312" w:cs="仿宋"/>
          <w:sz w:val="24"/>
        </w:rPr>
        <w:t>日</w:t>
      </w:r>
    </w:p>
    <w:p w14:paraId="0EB23AC9">
      <w:pPr>
        <w:adjustRightInd w:val="0"/>
        <w:snapToGrid w:val="0"/>
        <w:spacing w:line="360" w:lineRule="auto"/>
        <w:jc w:val="left"/>
        <w:rPr>
          <w:rFonts w:ascii="仿宋_GB2312" w:hAnsi="仿宋" w:eastAsia="仿宋_GB2312" w:cs="仿宋"/>
          <w:b/>
          <w:bCs/>
          <w:sz w:val="24"/>
        </w:rPr>
      </w:pPr>
    </w:p>
    <w:p w14:paraId="5872A772">
      <w:pPr>
        <w:adjustRightInd w:val="0"/>
        <w:snapToGrid w:val="0"/>
        <w:spacing w:line="360" w:lineRule="auto"/>
        <w:jc w:val="left"/>
        <w:rPr>
          <w:rFonts w:ascii="仿宋_GB2312" w:hAnsi="仿宋" w:eastAsia="仿宋_GB2312" w:cs="仿宋"/>
          <w:b/>
          <w:bCs/>
        </w:rPr>
      </w:pPr>
      <w:r>
        <w:rPr>
          <w:rFonts w:hint="eastAsia" w:ascii="仿宋_GB2312" w:hAnsi="仿宋" w:eastAsia="仿宋_GB2312" w:cs="仿宋"/>
          <w:b/>
          <w:bCs/>
          <w:sz w:val="24"/>
          <w:lang w:val="en-US" w:eastAsia="zh-CN"/>
        </w:rPr>
        <w:t>七</w:t>
      </w:r>
      <w:r>
        <w:rPr>
          <w:rFonts w:hint="eastAsia" w:ascii="仿宋_GB2312" w:hAnsi="仿宋" w:eastAsia="仿宋_GB2312" w:cs="仿宋"/>
          <w:b/>
          <w:bCs/>
          <w:sz w:val="24"/>
        </w:rPr>
        <w:t>、供应商类似项目业绩（需提供证明资料）</w:t>
      </w:r>
    </w:p>
    <w:p w14:paraId="437C69D5">
      <w:pPr>
        <w:pStyle w:val="17"/>
        <w:adjustRightInd w:val="0"/>
        <w:snapToGrid w:val="0"/>
        <w:spacing w:before="156" w:after="156" w:line="360" w:lineRule="auto"/>
        <w:jc w:val="center"/>
        <w:rPr>
          <w:rFonts w:ascii="仿宋_GB2312" w:hAnsi="仿宋" w:eastAsia="仿宋_GB2312" w:cs="仿宋"/>
          <w:b/>
          <w:bCs/>
        </w:rPr>
      </w:pPr>
      <w:r>
        <w:rPr>
          <w:rFonts w:hint="eastAsia" w:ascii="仿宋_GB2312" w:hAnsi="仿宋" w:eastAsia="仿宋_GB2312" w:cs="仿宋"/>
          <w:b/>
          <w:bCs/>
        </w:rPr>
        <w:t>类似成功业绩一览表</w:t>
      </w:r>
    </w:p>
    <w:tbl>
      <w:tblPr>
        <w:tblStyle w:val="33"/>
        <w:tblW w:w="0" w:type="auto"/>
        <w:jc w:val="center"/>
        <w:tblLayout w:type="fixed"/>
        <w:tblCellMar>
          <w:top w:w="0" w:type="dxa"/>
          <w:left w:w="108" w:type="dxa"/>
          <w:bottom w:w="0" w:type="dxa"/>
          <w:right w:w="108" w:type="dxa"/>
        </w:tblCellMar>
      </w:tblPr>
      <w:tblGrid>
        <w:gridCol w:w="1498"/>
        <w:gridCol w:w="951"/>
        <w:gridCol w:w="1356"/>
        <w:gridCol w:w="1008"/>
        <w:gridCol w:w="1155"/>
        <w:gridCol w:w="1965"/>
        <w:gridCol w:w="1215"/>
      </w:tblGrid>
      <w:tr w14:paraId="55BDC3B7">
        <w:tblPrEx>
          <w:tblCellMar>
            <w:top w:w="0" w:type="dxa"/>
            <w:left w:w="108" w:type="dxa"/>
            <w:bottom w:w="0" w:type="dxa"/>
            <w:right w:w="108" w:type="dxa"/>
          </w:tblCellMar>
        </w:tblPrEx>
        <w:trPr>
          <w:trHeight w:val="817" w:hRule="atLeast"/>
          <w:jc w:val="center"/>
        </w:trPr>
        <w:tc>
          <w:tcPr>
            <w:tcW w:w="1498" w:type="dxa"/>
            <w:tcBorders>
              <w:top w:val="single" w:color="auto" w:sz="6" w:space="0"/>
              <w:left w:val="single" w:color="auto" w:sz="6" w:space="0"/>
              <w:bottom w:val="single" w:color="auto" w:sz="6" w:space="0"/>
              <w:right w:val="single" w:color="auto" w:sz="6" w:space="0"/>
            </w:tcBorders>
            <w:vAlign w:val="center"/>
          </w:tcPr>
          <w:p w14:paraId="10D51656">
            <w:pPr>
              <w:autoSpaceDE w:val="0"/>
              <w:autoSpaceDN w:val="0"/>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44BED639">
            <w:pPr>
              <w:autoSpaceDE w:val="0"/>
              <w:autoSpaceDN w:val="0"/>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项目</w:t>
            </w:r>
          </w:p>
          <w:p w14:paraId="352EE879">
            <w:pPr>
              <w:autoSpaceDE w:val="0"/>
              <w:autoSpaceDN w:val="0"/>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290B10C8">
            <w:pPr>
              <w:autoSpaceDE w:val="0"/>
              <w:autoSpaceDN w:val="0"/>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简要描述</w:t>
            </w:r>
          </w:p>
        </w:tc>
        <w:tc>
          <w:tcPr>
            <w:tcW w:w="1008" w:type="dxa"/>
            <w:tcBorders>
              <w:top w:val="single" w:color="auto" w:sz="6" w:space="0"/>
              <w:left w:val="single" w:color="auto" w:sz="6" w:space="0"/>
              <w:bottom w:val="single" w:color="auto" w:sz="6" w:space="0"/>
              <w:right w:val="single" w:color="auto" w:sz="6" w:space="0"/>
            </w:tcBorders>
            <w:vAlign w:val="center"/>
          </w:tcPr>
          <w:p w14:paraId="6268F315">
            <w:pPr>
              <w:autoSpaceDE w:val="0"/>
              <w:autoSpaceDN w:val="0"/>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服务</w:t>
            </w:r>
          </w:p>
          <w:p w14:paraId="6FE61E59">
            <w:pPr>
              <w:autoSpaceDE w:val="0"/>
              <w:autoSpaceDN w:val="0"/>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规模</w:t>
            </w:r>
          </w:p>
        </w:tc>
        <w:tc>
          <w:tcPr>
            <w:tcW w:w="1155" w:type="dxa"/>
            <w:tcBorders>
              <w:top w:val="single" w:color="auto" w:sz="6" w:space="0"/>
              <w:left w:val="single" w:color="auto" w:sz="6" w:space="0"/>
              <w:bottom w:val="single" w:color="auto" w:sz="6" w:space="0"/>
              <w:right w:val="single" w:color="auto" w:sz="6" w:space="0"/>
            </w:tcBorders>
            <w:vAlign w:val="center"/>
          </w:tcPr>
          <w:p w14:paraId="201D00DC">
            <w:pPr>
              <w:autoSpaceDE w:val="0"/>
              <w:autoSpaceDN w:val="0"/>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服务起始日期</w:t>
            </w:r>
          </w:p>
        </w:tc>
        <w:tc>
          <w:tcPr>
            <w:tcW w:w="1965" w:type="dxa"/>
            <w:tcBorders>
              <w:top w:val="single" w:color="auto" w:sz="6" w:space="0"/>
              <w:left w:val="single" w:color="auto" w:sz="6" w:space="0"/>
              <w:bottom w:val="single" w:color="auto" w:sz="6" w:space="0"/>
              <w:right w:val="single" w:color="auto" w:sz="6" w:space="0"/>
            </w:tcBorders>
            <w:vAlign w:val="center"/>
          </w:tcPr>
          <w:p w14:paraId="5970A665">
            <w:pPr>
              <w:autoSpaceDE w:val="0"/>
              <w:autoSpaceDN w:val="0"/>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项目地址与服务单位联系电话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6A6BAFA2">
            <w:pPr>
              <w:autoSpaceDE w:val="0"/>
              <w:autoSpaceDN w:val="0"/>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所在页码</w:t>
            </w:r>
          </w:p>
        </w:tc>
      </w:tr>
      <w:tr w14:paraId="5F366E69">
        <w:tblPrEx>
          <w:tblCellMar>
            <w:top w:w="0" w:type="dxa"/>
            <w:left w:w="108" w:type="dxa"/>
            <w:bottom w:w="0" w:type="dxa"/>
            <w:right w:w="108" w:type="dxa"/>
          </w:tblCellMar>
        </w:tblPrEx>
        <w:trPr>
          <w:trHeight w:val="415" w:hRule="atLeast"/>
          <w:jc w:val="center"/>
        </w:trPr>
        <w:tc>
          <w:tcPr>
            <w:tcW w:w="1498" w:type="dxa"/>
            <w:tcBorders>
              <w:top w:val="single" w:color="auto" w:sz="6" w:space="0"/>
              <w:left w:val="single" w:color="auto" w:sz="6" w:space="0"/>
              <w:bottom w:val="single" w:color="auto" w:sz="6" w:space="0"/>
              <w:right w:val="single" w:color="auto" w:sz="6" w:space="0"/>
            </w:tcBorders>
          </w:tcPr>
          <w:p w14:paraId="56A5E6BF">
            <w:pPr>
              <w:autoSpaceDE w:val="0"/>
              <w:autoSpaceDN w:val="0"/>
              <w:adjustRightInd w:val="0"/>
              <w:snapToGrid w:val="0"/>
              <w:spacing w:line="360" w:lineRule="auto"/>
              <w:jc w:val="center"/>
              <w:rPr>
                <w:rFonts w:ascii="仿宋_GB2312" w:hAnsi="仿宋" w:eastAsia="仿宋_GB2312" w:cs="仿宋"/>
                <w:sz w:val="24"/>
              </w:rPr>
            </w:pPr>
          </w:p>
        </w:tc>
        <w:tc>
          <w:tcPr>
            <w:tcW w:w="951" w:type="dxa"/>
            <w:tcBorders>
              <w:top w:val="single" w:color="auto" w:sz="6" w:space="0"/>
              <w:left w:val="single" w:color="auto" w:sz="6" w:space="0"/>
              <w:bottom w:val="single" w:color="auto" w:sz="6" w:space="0"/>
              <w:right w:val="single" w:color="auto" w:sz="6" w:space="0"/>
            </w:tcBorders>
          </w:tcPr>
          <w:p w14:paraId="7CA3408E">
            <w:pPr>
              <w:autoSpaceDE w:val="0"/>
              <w:autoSpaceDN w:val="0"/>
              <w:adjustRightInd w:val="0"/>
              <w:snapToGrid w:val="0"/>
              <w:spacing w:line="360" w:lineRule="auto"/>
              <w:rPr>
                <w:rFonts w:ascii="仿宋_GB2312" w:hAnsi="仿宋" w:eastAsia="仿宋_GB2312" w:cs="仿宋"/>
                <w:sz w:val="24"/>
              </w:rPr>
            </w:pPr>
          </w:p>
        </w:tc>
        <w:tc>
          <w:tcPr>
            <w:tcW w:w="1356" w:type="dxa"/>
            <w:tcBorders>
              <w:top w:val="single" w:color="auto" w:sz="6" w:space="0"/>
              <w:left w:val="single" w:color="auto" w:sz="6" w:space="0"/>
              <w:bottom w:val="single" w:color="auto" w:sz="6" w:space="0"/>
              <w:right w:val="single" w:color="auto" w:sz="6" w:space="0"/>
            </w:tcBorders>
          </w:tcPr>
          <w:p w14:paraId="79A9F81A">
            <w:pPr>
              <w:autoSpaceDE w:val="0"/>
              <w:autoSpaceDN w:val="0"/>
              <w:adjustRightInd w:val="0"/>
              <w:snapToGrid w:val="0"/>
              <w:spacing w:line="360" w:lineRule="auto"/>
              <w:rPr>
                <w:rFonts w:ascii="仿宋_GB2312" w:hAnsi="仿宋" w:eastAsia="仿宋_GB2312" w:cs="仿宋"/>
                <w:sz w:val="24"/>
              </w:rPr>
            </w:pPr>
          </w:p>
        </w:tc>
        <w:tc>
          <w:tcPr>
            <w:tcW w:w="1008" w:type="dxa"/>
            <w:tcBorders>
              <w:top w:val="single" w:color="auto" w:sz="6" w:space="0"/>
              <w:left w:val="single" w:color="auto" w:sz="6" w:space="0"/>
              <w:bottom w:val="single" w:color="auto" w:sz="6" w:space="0"/>
              <w:right w:val="single" w:color="auto" w:sz="6" w:space="0"/>
            </w:tcBorders>
          </w:tcPr>
          <w:p w14:paraId="3A284EDE">
            <w:pPr>
              <w:autoSpaceDE w:val="0"/>
              <w:autoSpaceDN w:val="0"/>
              <w:adjustRightInd w:val="0"/>
              <w:snapToGrid w:val="0"/>
              <w:spacing w:line="360" w:lineRule="auto"/>
              <w:rPr>
                <w:rFonts w:ascii="仿宋_GB2312" w:hAnsi="仿宋" w:eastAsia="仿宋_GB2312" w:cs="仿宋"/>
                <w:sz w:val="24"/>
              </w:rPr>
            </w:pPr>
          </w:p>
        </w:tc>
        <w:tc>
          <w:tcPr>
            <w:tcW w:w="1155" w:type="dxa"/>
            <w:tcBorders>
              <w:top w:val="single" w:color="auto" w:sz="6" w:space="0"/>
              <w:left w:val="single" w:color="auto" w:sz="6" w:space="0"/>
              <w:bottom w:val="single" w:color="auto" w:sz="6" w:space="0"/>
              <w:right w:val="single" w:color="auto" w:sz="6" w:space="0"/>
            </w:tcBorders>
          </w:tcPr>
          <w:p w14:paraId="7F548F0F">
            <w:pPr>
              <w:autoSpaceDE w:val="0"/>
              <w:autoSpaceDN w:val="0"/>
              <w:adjustRightInd w:val="0"/>
              <w:snapToGrid w:val="0"/>
              <w:spacing w:line="360" w:lineRule="auto"/>
              <w:rPr>
                <w:rFonts w:ascii="仿宋_GB2312" w:hAnsi="仿宋" w:eastAsia="仿宋_GB2312" w:cs="仿宋"/>
                <w:sz w:val="24"/>
              </w:rPr>
            </w:pPr>
          </w:p>
        </w:tc>
        <w:tc>
          <w:tcPr>
            <w:tcW w:w="1965" w:type="dxa"/>
            <w:tcBorders>
              <w:top w:val="single" w:color="auto" w:sz="6" w:space="0"/>
              <w:left w:val="single" w:color="auto" w:sz="6" w:space="0"/>
              <w:bottom w:val="single" w:color="auto" w:sz="6" w:space="0"/>
              <w:right w:val="single" w:color="auto" w:sz="6" w:space="0"/>
            </w:tcBorders>
          </w:tcPr>
          <w:p w14:paraId="40C80960">
            <w:pPr>
              <w:autoSpaceDE w:val="0"/>
              <w:autoSpaceDN w:val="0"/>
              <w:adjustRightInd w:val="0"/>
              <w:snapToGrid w:val="0"/>
              <w:spacing w:line="360" w:lineRule="auto"/>
              <w:rPr>
                <w:rFonts w:ascii="仿宋_GB2312" w:hAnsi="仿宋" w:eastAsia="仿宋_GB2312" w:cs="仿宋"/>
                <w:sz w:val="24"/>
              </w:rPr>
            </w:pPr>
          </w:p>
        </w:tc>
        <w:tc>
          <w:tcPr>
            <w:tcW w:w="1215" w:type="dxa"/>
            <w:tcBorders>
              <w:top w:val="single" w:color="auto" w:sz="6" w:space="0"/>
              <w:left w:val="single" w:color="auto" w:sz="6" w:space="0"/>
              <w:bottom w:val="single" w:color="auto" w:sz="6" w:space="0"/>
              <w:right w:val="single" w:color="auto" w:sz="6" w:space="0"/>
            </w:tcBorders>
          </w:tcPr>
          <w:p w14:paraId="6F12EFC9">
            <w:pPr>
              <w:autoSpaceDE w:val="0"/>
              <w:autoSpaceDN w:val="0"/>
              <w:adjustRightInd w:val="0"/>
              <w:snapToGrid w:val="0"/>
              <w:spacing w:line="360" w:lineRule="auto"/>
              <w:rPr>
                <w:rFonts w:ascii="仿宋_GB2312" w:hAnsi="仿宋" w:eastAsia="仿宋_GB2312" w:cs="仿宋"/>
                <w:sz w:val="24"/>
              </w:rPr>
            </w:pPr>
          </w:p>
        </w:tc>
      </w:tr>
      <w:tr w14:paraId="07DCEAB9">
        <w:tblPrEx>
          <w:tblCellMar>
            <w:top w:w="0" w:type="dxa"/>
            <w:left w:w="108" w:type="dxa"/>
            <w:bottom w:w="0" w:type="dxa"/>
            <w:right w:w="108" w:type="dxa"/>
          </w:tblCellMar>
        </w:tblPrEx>
        <w:trPr>
          <w:trHeight w:val="415" w:hRule="atLeast"/>
          <w:jc w:val="center"/>
        </w:trPr>
        <w:tc>
          <w:tcPr>
            <w:tcW w:w="1498" w:type="dxa"/>
            <w:tcBorders>
              <w:top w:val="single" w:color="auto" w:sz="6" w:space="0"/>
              <w:left w:val="single" w:color="auto" w:sz="6" w:space="0"/>
              <w:bottom w:val="single" w:color="auto" w:sz="6" w:space="0"/>
              <w:right w:val="single" w:color="auto" w:sz="6" w:space="0"/>
            </w:tcBorders>
          </w:tcPr>
          <w:p w14:paraId="2DC22460">
            <w:pPr>
              <w:autoSpaceDE w:val="0"/>
              <w:autoSpaceDN w:val="0"/>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w:t>
            </w:r>
          </w:p>
        </w:tc>
        <w:tc>
          <w:tcPr>
            <w:tcW w:w="951" w:type="dxa"/>
            <w:tcBorders>
              <w:top w:val="single" w:color="auto" w:sz="6" w:space="0"/>
              <w:left w:val="single" w:color="auto" w:sz="6" w:space="0"/>
              <w:bottom w:val="single" w:color="auto" w:sz="6" w:space="0"/>
              <w:right w:val="single" w:color="auto" w:sz="6" w:space="0"/>
            </w:tcBorders>
          </w:tcPr>
          <w:p w14:paraId="7E4566AE">
            <w:pPr>
              <w:autoSpaceDE w:val="0"/>
              <w:autoSpaceDN w:val="0"/>
              <w:adjustRightInd w:val="0"/>
              <w:snapToGrid w:val="0"/>
              <w:spacing w:line="360" w:lineRule="auto"/>
              <w:rPr>
                <w:rFonts w:ascii="仿宋_GB2312" w:hAnsi="仿宋" w:eastAsia="仿宋_GB2312" w:cs="仿宋"/>
                <w:sz w:val="24"/>
              </w:rPr>
            </w:pPr>
          </w:p>
        </w:tc>
        <w:tc>
          <w:tcPr>
            <w:tcW w:w="1356" w:type="dxa"/>
            <w:tcBorders>
              <w:top w:val="single" w:color="auto" w:sz="6" w:space="0"/>
              <w:left w:val="single" w:color="auto" w:sz="6" w:space="0"/>
              <w:bottom w:val="single" w:color="auto" w:sz="6" w:space="0"/>
              <w:right w:val="single" w:color="auto" w:sz="6" w:space="0"/>
            </w:tcBorders>
          </w:tcPr>
          <w:p w14:paraId="2BB096FB">
            <w:pPr>
              <w:autoSpaceDE w:val="0"/>
              <w:autoSpaceDN w:val="0"/>
              <w:adjustRightInd w:val="0"/>
              <w:snapToGrid w:val="0"/>
              <w:spacing w:line="360" w:lineRule="auto"/>
              <w:rPr>
                <w:rFonts w:ascii="仿宋_GB2312" w:hAnsi="仿宋" w:eastAsia="仿宋_GB2312" w:cs="仿宋"/>
                <w:sz w:val="24"/>
              </w:rPr>
            </w:pPr>
          </w:p>
        </w:tc>
        <w:tc>
          <w:tcPr>
            <w:tcW w:w="1008" w:type="dxa"/>
            <w:tcBorders>
              <w:top w:val="single" w:color="auto" w:sz="6" w:space="0"/>
              <w:left w:val="single" w:color="auto" w:sz="6" w:space="0"/>
              <w:bottom w:val="single" w:color="auto" w:sz="6" w:space="0"/>
              <w:right w:val="single" w:color="auto" w:sz="6" w:space="0"/>
            </w:tcBorders>
          </w:tcPr>
          <w:p w14:paraId="05527A47">
            <w:pPr>
              <w:autoSpaceDE w:val="0"/>
              <w:autoSpaceDN w:val="0"/>
              <w:adjustRightInd w:val="0"/>
              <w:snapToGrid w:val="0"/>
              <w:spacing w:line="360" w:lineRule="auto"/>
              <w:rPr>
                <w:rFonts w:ascii="仿宋_GB2312" w:hAnsi="仿宋" w:eastAsia="仿宋_GB2312" w:cs="仿宋"/>
                <w:sz w:val="24"/>
              </w:rPr>
            </w:pPr>
          </w:p>
        </w:tc>
        <w:tc>
          <w:tcPr>
            <w:tcW w:w="1155" w:type="dxa"/>
            <w:tcBorders>
              <w:top w:val="single" w:color="auto" w:sz="6" w:space="0"/>
              <w:left w:val="single" w:color="auto" w:sz="6" w:space="0"/>
              <w:bottom w:val="single" w:color="auto" w:sz="6" w:space="0"/>
              <w:right w:val="single" w:color="auto" w:sz="6" w:space="0"/>
            </w:tcBorders>
          </w:tcPr>
          <w:p w14:paraId="3F13B040">
            <w:pPr>
              <w:autoSpaceDE w:val="0"/>
              <w:autoSpaceDN w:val="0"/>
              <w:adjustRightInd w:val="0"/>
              <w:snapToGrid w:val="0"/>
              <w:spacing w:line="360" w:lineRule="auto"/>
              <w:rPr>
                <w:rFonts w:ascii="仿宋_GB2312" w:hAnsi="仿宋" w:eastAsia="仿宋_GB2312" w:cs="仿宋"/>
                <w:sz w:val="24"/>
              </w:rPr>
            </w:pPr>
          </w:p>
        </w:tc>
        <w:tc>
          <w:tcPr>
            <w:tcW w:w="1965" w:type="dxa"/>
            <w:tcBorders>
              <w:top w:val="single" w:color="auto" w:sz="6" w:space="0"/>
              <w:left w:val="single" w:color="auto" w:sz="6" w:space="0"/>
              <w:bottom w:val="single" w:color="auto" w:sz="6" w:space="0"/>
              <w:right w:val="single" w:color="auto" w:sz="6" w:space="0"/>
            </w:tcBorders>
          </w:tcPr>
          <w:p w14:paraId="5C398728">
            <w:pPr>
              <w:autoSpaceDE w:val="0"/>
              <w:autoSpaceDN w:val="0"/>
              <w:adjustRightInd w:val="0"/>
              <w:snapToGrid w:val="0"/>
              <w:spacing w:line="360" w:lineRule="auto"/>
              <w:rPr>
                <w:rFonts w:ascii="仿宋_GB2312" w:hAnsi="仿宋" w:eastAsia="仿宋_GB2312" w:cs="仿宋"/>
                <w:sz w:val="24"/>
              </w:rPr>
            </w:pPr>
          </w:p>
        </w:tc>
        <w:tc>
          <w:tcPr>
            <w:tcW w:w="1215" w:type="dxa"/>
            <w:tcBorders>
              <w:top w:val="single" w:color="auto" w:sz="6" w:space="0"/>
              <w:left w:val="single" w:color="auto" w:sz="6" w:space="0"/>
              <w:bottom w:val="single" w:color="auto" w:sz="6" w:space="0"/>
              <w:right w:val="single" w:color="auto" w:sz="6" w:space="0"/>
            </w:tcBorders>
          </w:tcPr>
          <w:p w14:paraId="307B8A20">
            <w:pPr>
              <w:autoSpaceDE w:val="0"/>
              <w:autoSpaceDN w:val="0"/>
              <w:adjustRightInd w:val="0"/>
              <w:snapToGrid w:val="0"/>
              <w:spacing w:line="360" w:lineRule="auto"/>
              <w:rPr>
                <w:rFonts w:ascii="仿宋_GB2312" w:hAnsi="仿宋" w:eastAsia="仿宋_GB2312" w:cs="仿宋"/>
                <w:sz w:val="24"/>
              </w:rPr>
            </w:pPr>
          </w:p>
        </w:tc>
      </w:tr>
    </w:tbl>
    <w:p w14:paraId="5A89423F">
      <w:pPr>
        <w:adjustRightInd w:val="0"/>
        <w:snapToGrid w:val="0"/>
        <w:spacing w:line="360" w:lineRule="auto"/>
        <w:rPr>
          <w:rFonts w:ascii="仿宋_GB2312" w:hAnsi="仿宋" w:eastAsia="仿宋_GB2312" w:cs="仿宋"/>
          <w:b/>
          <w:sz w:val="24"/>
        </w:rPr>
      </w:pPr>
      <w:r>
        <w:rPr>
          <w:rFonts w:hint="eastAsia" w:ascii="仿宋_GB2312" w:hAnsi="仿宋" w:eastAsia="仿宋_GB2312" w:cs="仿宋"/>
          <w:b/>
          <w:sz w:val="24"/>
        </w:rPr>
        <w:t>注：供应商可按上述的格式自行编制。</w:t>
      </w:r>
    </w:p>
    <w:p w14:paraId="35AA681C">
      <w:pPr>
        <w:adjustRightInd w:val="0"/>
        <w:snapToGrid w:val="0"/>
        <w:spacing w:line="360" w:lineRule="auto"/>
        <w:jc w:val="left"/>
        <w:rPr>
          <w:rFonts w:ascii="仿宋_GB2312" w:hAnsi="仿宋" w:eastAsia="仿宋_GB2312" w:cs="仿宋"/>
          <w:sz w:val="24"/>
        </w:rPr>
      </w:pPr>
    </w:p>
    <w:p w14:paraId="773FEB0E">
      <w:pPr>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供应商名称（公章）：</w:t>
      </w:r>
      <w:r>
        <w:rPr>
          <w:rFonts w:hint="eastAsia" w:ascii="仿宋_GB2312" w:hAnsi="仿宋" w:eastAsia="仿宋_GB2312" w:cs="仿宋"/>
          <w:sz w:val="24"/>
          <w:u w:val="single"/>
        </w:rPr>
        <w:t xml:space="preserve">                    </w:t>
      </w:r>
    </w:p>
    <w:p w14:paraId="7BC13DC7">
      <w:pPr>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法定代表人或授权代表签字：</w:t>
      </w:r>
      <w:r>
        <w:rPr>
          <w:rFonts w:hint="eastAsia" w:ascii="仿宋_GB2312" w:hAnsi="仿宋" w:eastAsia="仿宋_GB2312" w:cs="仿宋"/>
          <w:sz w:val="24"/>
          <w:u w:val="single"/>
        </w:rPr>
        <w:t xml:space="preserve">                  </w:t>
      </w:r>
    </w:p>
    <w:p w14:paraId="583D7301">
      <w:pPr>
        <w:adjustRightInd w:val="0"/>
        <w:snapToGrid w:val="0"/>
        <w:spacing w:line="360" w:lineRule="auto"/>
        <w:ind w:firstLine="480" w:firstLineChars="200"/>
        <w:rPr>
          <w:rFonts w:ascii="仿宋_GB2312" w:hAnsi="仿宋" w:eastAsia="仿宋_GB2312" w:cs="仿宋"/>
          <w:b/>
          <w:sz w:val="24"/>
        </w:rPr>
      </w:pPr>
      <w:r>
        <w:rPr>
          <w:rFonts w:hint="eastAsia" w:ascii="仿宋_GB2312" w:hAnsi="仿宋" w:eastAsia="仿宋_GB2312" w:cs="仿宋"/>
          <w:sz w:val="24"/>
        </w:rPr>
        <w:t>日期：</w:t>
      </w:r>
      <w:r>
        <w:rPr>
          <w:rFonts w:hint="eastAsia" w:ascii="仿宋_GB2312" w:hAnsi="仿宋" w:eastAsia="仿宋_GB2312" w:cs="仿宋"/>
          <w:sz w:val="24"/>
          <w:u w:val="single"/>
        </w:rPr>
        <w:t xml:space="preserve">      </w:t>
      </w:r>
      <w:r>
        <w:rPr>
          <w:rFonts w:hint="eastAsia" w:ascii="仿宋_GB2312" w:hAnsi="仿宋" w:eastAsia="仿宋_GB2312" w:cs="仿宋"/>
          <w:sz w:val="24"/>
        </w:rPr>
        <w:t>年</w:t>
      </w:r>
      <w:r>
        <w:rPr>
          <w:rFonts w:hint="eastAsia" w:ascii="仿宋_GB2312" w:hAnsi="仿宋" w:eastAsia="仿宋_GB2312" w:cs="仿宋"/>
          <w:sz w:val="24"/>
          <w:u w:val="single"/>
        </w:rPr>
        <w:t xml:space="preserve">   </w:t>
      </w:r>
      <w:r>
        <w:rPr>
          <w:rFonts w:hint="eastAsia" w:ascii="仿宋_GB2312" w:hAnsi="仿宋" w:eastAsia="仿宋_GB2312" w:cs="仿宋"/>
          <w:sz w:val="24"/>
        </w:rPr>
        <w:t>月</w:t>
      </w:r>
      <w:r>
        <w:rPr>
          <w:rFonts w:hint="eastAsia" w:ascii="仿宋_GB2312" w:hAnsi="仿宋" w:eastAsia="仿宋_GB2312" w:cs="仿宋"/>
          <w:sz w:val="24"/>
          <w:u w:val="single"/>
        </w:rPr>
        <w:t xml:space="preserve">   </w:t>
      </w:r>
      <w:r>
        <w:rPr>
          <w:rFonts w:hint="eastAsia" w:ascii="仿宋_GB2312" w:hAnsi="仿宋" w:eastAsia="仿宋_GB2312" w:cs="仿宋"/>
          <w:sz w:val="24"/>
        </w:rPr>
        <w:t>日</w:t>
      </w:r>
    </w:p>
    <w:p w14:paraId="7D65C557">
      <w:pPr>
        <w:adjustRightInd w:val="0"/>
        <w:snapToGrid w:val="0"/>
        <w:spacing w:line="360" w:lineRule="auto"/>
        <w:jc w:val="left"/>
        <w:rPr>
          <w:rFonts w:ascii="仿宋_GB2312" w:hAnsi="仿宋" w:eastAsia="仿宋_GB2312" w:cs="仿宋"/>
          <w:sz w:val="24"/>
        </w:rPr>
      </w:pPr>
    </w:p>
    <w:p w14:paraId="1B438D05">
      <w:pPr>
        <w:adjustRightInd w:val="0"/>
        <w:snapToGrid w:val="0"/>
        <w:spacing w:line="360" w:lineRule="auto"/>
        <w:jc w:val="left"/>
        <w:rPr>
          <w:rFonts w:ascii="仿宋_GB2312" w:hAnsi="宋体" w:eastAsia="仿宋_GB2312"/>
          <w:b/>
          <w:bCs/>
          <w:sz w:val="24"/>
        </w:rPr>
      </w:pPr>
    </w:p>
    <w:p w14:paraId="68D43E98">
      <w:pPr>
        <w:adjustRightInd w:val="0"/>
        <w:snapToGrid w:val="0"/>
        <w:spacing w:line="360" w:lineRule="auto"/>
        <w:jc w:val="left"/>
        <w:rPr>
          <w:rFonts w:ascii="仿宋_GB2312" w:hAnsi="仿宋" w:eastAsia="仿宋_GB2312" w:cs="仿宋"/>
          <w:b/>
          <w:bCs/>
        </w:rPr>
      </w:pPr>
      <w:r>
        <w:rPr>
          <w:rFonts w:hint="eastAsia" w:ascii="仿宋_GB2312" w:hAnsi="宋体" w:eastAsia="仿宋_GB2312"/>
          <w:b/>
          <w:bCs/>
          <w:sz w:val="24"/>
          <w:lang w:val="en-US" w:eastAsia="zh-CN"/>
        </w:rPr>
        <w:t>八</w:t>
      </w:r>
      <w:r>
        <w:rPr>
          <w:rFonts w:hint="eastAsia" w:ascii="仿宋_GB2312" w:hAnsi="宋体" w:eastAsia="仿宋_GB2312"/>
          <w:b/>
          <w:bCs/>
          <w:sz w:val="24"/>
        </w:rPr>
        <w:t>、</w:t>
      </w:r>
      <w:r>
        <w:rPr>
          <w:rFonts w:hint="eastAsia" w:ascii="仿宋_GB2312" w:hAnsi="仿宋" w:eastAsia="仿宋_GB2312" w:cs="仿宋"/>
          <w:b/>
          <w:sz w:val="24"/>
          <w:szCs w:val="22"/>
        </w:rPr>
        <w:t>完整</w:t>
      </w:r>
      <w:r>
        <w:rPr>
          <w:rFonts w:hint="eastAsia" w:ascii="仿宋_GB2312" w:hAnsi="仿宋" w:eastAsia="仿宋_GB2312" w:cs="仿宋"/>
          <w:b/>
          <w:sz w:val="24"/>
          <w:szCs w:val="22"/>
          <w:lang w:val="en-US" w:eastAsia="zh-CN"/>
        </w:rPr>
        <w:t>运维保障和</w:t>
      </w:r>
      <w:r>
        <w:rPr>
          <w:rFonts w:hint="eastAsia" w:ascii="仿宋_GB2312" w:hAnsi="仿宋" w:eastAsia="仿宋_GB2312" w:cs="仿宋"/>
          <w:b/>
          <w:sz w:val="24"/>
          <w:szCs w:val="22"/>
        </w:rPr>
        <w:t>实施方案</w:t>
      </w:r>
    </w:p>
    <w:p w14:paraId="7C1BD5DA">
      <w:pPr>
        <w:pStyle w:val="17"/>
        <w:adjustRightInd w:val="0"/>
        <w:snapToGrid w:val="0"/>
        <w:spacing w:before="156" w:after="156" w:line="360" w:lineRule="auto"/>
        <w:rPr>
          <w:rFonts w:ascii="仿宋_GB2312" w:hAnsi="仿宋" w:eastAsia="仿宋_GB2312" w:cs="仿宋"/>
          <w:b/>
          <w:bCs/>
          <w:lang w:val="zh-CN"/>
        </w:rPr>
      </w:pPr>
    </w:p>
    <w:p w14:paraId="70676AF4">
      <w:pPr>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供应商名称（公章）：</w:t>
      </w:r>
      <w:r>
        <w:rPr>
          <w:rFonts w:hint="eastAsia" w:ascii="仿宋_GB2312" w:hAnsi="仿宋" w:eastAsia="仿宋_GB2312" w:cs="仿宋"/>
          <w:sz w:val="24"/>
          <w:u w:val="single"/>
        </w:rPr>
        <w:t xml:space="preserve">                    </w:t>
      </w:r>
    </w:p>
    <w:p w14:paraId="461CA30F">
      <w:pPr>
        <w:adjustRightInd w:val="0"/>
        <w:snapToGrid w:val="0"/>
        <w:spacing w:line="360" w:lineRule="auto"/>
        <w:ind w:firstLine="480" w:firstLineChars="200"/>
        <w:jc w:val="left"/>
        <w:rPr>
          <w:rFonts w:ascii="仿宋_GB2312" w:hAnsi="仿宋" w:eastAsia="仿宋_GB2312" w:cs="仿宋"/>
          <w:sz w:val="24"/>
        </w:rPr>
      </w:pPr>
      <w:r>
        <w:rPr>
          <w:rFonts w:hint="eastAsia" w:ascii="仿宋_GB2312" w:hAnsi="仿宋" w:eastAsia="仿宋_GB2312" w:cs="仿宋"/>
          <w:sz w:val="24"/>
        </w:rPr>
        <w:t>法定代表人或授权代表签字：</w:t>
      </w:r>
      <w:r>
        <w:rPr>
          <w:rFonts w:hint="eastAsia" w:ascii="仿宋_GB2312" w:hAnsi="仿宋" w:eastAsia="仿宋_GB2312" w:cs="仿宋"/>
          <w:sz w:val="24"/>
          <w:u w:val="single"/>
        </w:rPr>
        <w:t xml:space="preserve">                  </w:t>
      </w:r>
    </w:p>
    <w:p w14:paraId="164188EE">
      <w:pPr>
        <w:adjustRightInd w:val="0"/>
        <w:snapToGrid w:val="0"/>
        <w:spacing w:line="360" w:lineRule="auto"/>
        <w:ind w:firstLine="480" w:firstLineChars="200"/>
        <w:rPr>
          <w:rFonts w:ascii="仿宋_GB2312" w:hAnsi="仿宋" w:eastAsia="仿宋_GB2312" w:cs="仿宋"/>
          <w:b/>
          <w:bCs/>
          <w:lang w:val="zh-CN"/>
        </w:rPr>
      </w:pPr>
      <w:r>
        <w:rPr>
          <w:rFonts w:hint="eastAsia" w:ascii="仿宋_GB2312" w:hAnsi="仿宋" w:eastAsia="仿宋_GB2312" w:cs="仿宋"/>
          <w:sz w:val="24"/>
        </w:rPr>
        <w:t>日期：</w:t>
      </w:r>
      <w:r>
        <w:rPr>
          <w:rFonts w:hint="eastAsia" w:ascii="仿宋_GB2312" w:hAnsi="仿宋" w:eastAsia="仿宋_GB2312" w:cs="仿宋"/>
          <w:sz w:val="24"/>
          <w:u w:val="single"/>
        </w:rPr>
        <w:t xml:space="preserve">      </w:t>
      </w:r>
      <w:r>
        <w:rPr>
          <w:rFonts w:hint="eastAsia" w:ascii="仿宋_GB2312" w:hAnsi="仿宋" w:eastAsia="仿宋_GB2312" w:cs="仿宋"/>
          <w:sz w:val="24"/>
        </w:rPr>
        <w:t>年</w:t>
      </w:r>
      <w:r>
        <w:rPr>
          <w:rFonts w:hint="eastAsia" w:ascii="仿宋_GB2312" w:hAnsi="仿宋" w:eastAsia="仿宋_GB2312" w:cs="仿宋"/>
          <w:sz w:val="24"/>
          <w:u w:val="single"/>
        </w:rPr>
        <w:t xml:space="preserve">   </w:t>
      </w:r>
      <w:r>
        <w:rPr>
          <w:rFonts w:hint="eastAsia" w:ascii="仿宋_GB2312" w:hAnsi="仿宋" w:eastAsia="仿宋_GB2312" w:cs="仿宋"/>
          <w:sz w:val="24"/>
        </w:rPr>
        <w:t>月</w:t>
      </w:r>
      <w:r>
        <w:rPr>
          <w:rFonts w:hint="eastAsia" w:ascii="仿宋_GB2312" w:hAnsi="仿宋" w:eastAsia="仿宋_GB2312" w:cs="仿宋"/>
          <w:sz w:val="24"/>
          <w:u w:val="single"/>
        </w:rPr>
        <w:t xml:space="preserve">   </w:t>
      </w:r>
      <w:r>
        <w:rPr>
          <w:rFonts w:hint="eastAsia" w:ascii="仿宋_GB2312" w:hAnsi="仿宋" w:eastAsia="仿宋_GB2312" w:cs="仿宋"/>
          <w:sz w:val="24"/>
        </w:rPr>
        <w:t>日</w:t>
      </w:r>
    </w:p>
    <w:p w14:paraId="0FBBAA3B">
      <w:pPr>
        <w:pStyle w:val="17"/>
        <w:adjustRightInd w:val="0"/>
        <w:snapToGrid w:val="0"/>
        <w:spacing w:before="156" w:after="156" w:line="360" w:lineRule="auto"/>
        <w:rPr>
          <w:rFonts w:ascii="仿宋_GB2312" w:hAnsi="仿宋" w:eastAsia="仿宋_GB2312" w:cs="仿宋"/>
          <w:b/>
        </w:rPr>
      </w:pPr>
      <w:r>
        <w:rPr>
          <w:rFonts w:hint="eastAsia" w:ascii="仿宋_GB2312" w:hAnsi="仿宋" w:eastAsia="仿宋_GB2312" w:cs="仿宋"/>
          <w:b/>
          <w:bCs/>
          <w:lang w:val="en-US" w:eastAsia="zh-CN"/>
        </w:rPr>
        <w:t>九</w:t>
      </w:r>
      <w:r>
        <w:rPr>
          <w:rFonts w:hint="eastAsia" w:ascii="仿宋_GB2312" w:hAnsi="仿宋" w:eastAsia="仿宋_GB2312" w:cs="仿宋"/>
          <w:b/>
          <w:bCs/>
          <w:lang w:val="zh-CN"/>
        </w:rPr>
        <w:t>、项目组成员</w:t>
      </w:r>
      <w:r>
        <w:rPr>
          <w:rFonts w:hint="eastAsia" w:ascii="仿宋_GB2312" w:hAnsi="宋体" w:eastAsia="仿宋_GB2312"/>
          <w:b/>
          <w:bCs/>
        </w:rPr>
        <w:t>情况</w:t>
      </w:r>
      <w:r>
        <w:rPr>
          <w:rFonts w:hint="eastAsia" w:ascii="仿宋_GB2312" w:hAnsi="仿宋" w:eastAsia="仿宋_GB2312" w:cs="仿宋"/>
          <w:b/>
          <w:bCs/>
          <w:lang w:val="zh-CN"/>
        </w:rPr>
        <w:t>一</w:t>
      </w:r>
      <w:r>
        <w:rPr>
          <w:rFonts w:hint="eastAsia" w:ascii="仿宋_GB2312" w:hAnsi="宋体" w:eastAsia="仿宋_GB2312"/>
          <w:b/>
          <w:bCs/>
          <w:lang w:val="zh-CN"/>
        </w:rPr>
        <w:t>览表</w:t>
      </w:r>
    </w:p>
    <w:p w14:paraId="75A389E3">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项目名称：</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w:t>
      </w:r>
    </w:p>
    <w:p w14:paraId="49833C1A">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项目编号：</w:t>
      </w:r>
      <w:r>
        <w:rPr>
          <w:rFonts w:hint="eastAsia" w:ascii="仿宋_GB2312" w:hAnsi="仿宋" w:eastAsia="仿宋_GB2312" w:cs="仿宋"/>
          <w:sz w:val="24"/>
          <w:u w:val="singl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1"/>
        <w:gridCol w:w="960"/>
        <w:gridCol w:w="1830"/>
        <w:gridCol w:w="1200"/>
        <w:gridCol w:w="1854"/>
        <w:gridCol w:w="1657"/>
      </w:tblGrid>
      <w:tr w14:paraId="06434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vAlign w:val="center"/>
          </w:tcPr>
          <w:p w14:paraId="033B8378">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姓名</w:t>
            </w:r>
          </w:p>
        </w:tc>
        <w:tc>
          <w:tcPr>
            <w:tcW w:w="960" w:type="dxa"/>
            <w:tcBorders>
              <w:top w:val="single" w:color="auto" w:sz="4" w:space="0"/>
              <w:left w:val="single" w:color="auto" w:sz="4" w:space="0"/>
              <w:bottom w:val="single" w:color="auto" w:sz="4" w:space="0"/>
              <w:right w:val="single" w:color="auto" w:sz="4" w:space="0"/>
            </w:tcBorders>
            <w:vAlign w:val="center"/>
          </w:tcPr>
          <w:p w14:paraId="60329032">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职务</w:t>
            </w:r>
          </w:p>
        </w:tc>
        <w:tc>
          <w:tcPr>
            <w:tcW w:w="1830" w:type="dxa"/>
            <w:tcBorders>
              <w:top w:val="single" w:color="auto" w:sz="4" w:space="0"/>
              <w:left w:val="single" w:color="auto" w:sz="4" w:space="0"/>
              <w:bottom w:val="single" w:color="auto" w:sz="4" w:space="0"/>
              <w:right w:val="single" w:color="auto" w:sz="4" w:space="0"/>
            </w:tcBorders>
            <w:vAlign w:val="center"/>
          </w:tcPr>
          <w:p w14:paraId="7998F080">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专业技术资格</w:t>
            </w:r>
          </w:p>
        </w:tc>
        <w:tc>
          <w:tcPr>
            <w:tcW w:w="1200" w:type="dxa"/>
            <w:tcBorders>
              <w:top w:val="single" w:color="auto" w:sz="4" w:space="0"/>
              <w:left w:val="single" w:color="auto" w:sz="4" w:space="0"/>
              <w:bottom w:val="single" w:color="auto" w:sz="4" w:space="0"/>
              <w:right w:val="single" w:color="auto" w:sz="4" w:space="0"/>
            </w:tcBorders>
            <w:vAlign w:val="center"/>
          </w:tcPr>
          <w:p w14:paraId="582D9301">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证书编号</w:t>
            </w:r>
          </w:p>
        </w:tc>
        <w:tc>
          <w:tcPr>
            <w:tcW w:w="1854" w:type="dxa"/>
            <w:tcBorders>
              <w:top w:val="single" w:color="auto" w:sz="4" w:space="0"/>
              <w:left w:val="single" w:color="auto" w:sz="4" w:space="0"/>
              <w:bottom w:val="single" w:color="auto" w:sz="4" w:space="0"/>
              <w:right w:val="single" w:color="auto" w:sz="4" w:space="0"/>
            </w:tcBorders>
            <w:vAlign w:val="center"/>
          </w:tcPr>
          <w:p w14:paraId="71F128BB">
            <w:pPr>
              <w:adjustRightInd w:val="0"/>
              <w:snapToGrid w:val="0"/>
              <w:spacing w:line="360" w:lineRule="auto"/>
              <w:jc w:val="center"/>
              <w:rPr>
                <w:rFonts w:ascii="仿宋_GB2312" w:hAnsi="仿宋" w:eastAsia="仿宋_GB2312" w:cs="仿宋"/>
                <w:bCs/>
                <w:sz w:val="24"/>
              </w:rPr>
            </w:pPr>
            <w:r>
              <w:rPr>
                <w:rFonts w:hint="eastAsia" w:ascii="仿宋_GB2312" w:hAnsi="仿宋" w:eastAsia="仿宋_GB2312" w:cs="仿宋"/>
                <w:bCs/>
                <w:sz w:val="24"/>
              </w:rPr>
              <w:t>参加本单位工作时间</w:t>
            </w:r>
          </w:p>
        </w:tc>
        <w:tc>
          <w:tcPr>
            <w:tcW w:w="1657" w:type="dxa"/>
            <w:tcBorders>
              <w:top w:val="single" w:color="auto" w:sz="4" w:space="0"/>
              <w:left w:val="single" w:color="auto" w:sz="4" w:space="0"/>
              <w:bottom w:val="single" w:color="auto" w:sz="4" w:space="0"/>
              <w:right w:val="single" w:color="auto" w:sz="4" w:space="0"/>
            </w:tcBorders>
            <w:vAlign w:val="center"/>
          </w:tcPr>
          <w:p w14:paraId="0103C355">
            <w:pPr>
              <w:adjustRightInd w:val="0"/>
              <w:snapToGrid w:val="0"/>
              <w:spacing w:line="360" w:lineRule="auto"/>
              <w:jc w:val="center"/>
              <w:rPr>
                <w:rFonts w:ascii="仿宋_GB2312" w:hAnsi="仿宋" w:eastAsia="仿宋_GB2312" w:cs="仿宋"/>
                <w:bCs/>
                <w:sz w:val="24"/>
              </w:rPr>
            </w:pPr>
            <w:r>
              <w:rPr>
                <w:rFonts w:hint="eastAsia" w:ascii="仿宋_GB2312" w:hAnsi="仿宋" w:eastAsia="仿宋_GB2312" w:cs="仿宋"/>
                <w:bCs/>
                <w:sz w:val="24"/>
              </w:rPr>
              <w:t>相关工作经验</w:t>
            </w:r>
          </w:p>
        </w:tc>
      </w:tr>
      <w:tr w14:paraId="0E5FA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vAlign w:val="center"/>
          </w:tcPr>
          <w:p w14:paraId="55BCB6FF">
            <w:pPr>
              <w:adjustRightInd w:val="0"/>
              <w:snapToGrid w:val="0"/>
              <w:spacing w:line="360" w:lineRule="auto"/>
              <w:rPr>
                <w:rFonts w:ascii="仿宋_GB2312" w:hAnsi="仿宋" w:eastAsia="仿宋_GB2312" w:cs="仿宋"/>
                <w:sz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410092ED">
            <w:pPr>
              <w:adjustRightInd w:val="0"/>
              <w:snapToGrid w:val="0"/>
              <w:spacing w:line="360" w:lineRule="auto"/>
              <w:rPr>
                <w:rFonts w:ascii="仿宋_GB2312" w:hAnsi="仿宋" w:eastAsia="仿宋_GB2312" w:cs="仿宋"/>
                <w:sz w:val="24"/>
              </w:rPr>
            </w:pPr>
          </w:p>
        </w:tc>
        <w:tc>
          <w:tcPr>
            <w:tcW w:w="1830" w:type="dxa"/>
            <w:tcBorders>
              <w:top w:val="single" w:color="auto" w:sz="4" w:space="0"/>
              <w:left w:val="single" w:color="auto" w:sz="4" w:space="0"/>
              <w:bottom w:val="single" w:color="auto" w:sz="4" w:space="0"/>
              <w:right w:val="single" w:color="auto" w:sz="4" w:space="0"/>
            </w:tcBorders>
            <w:vAlign w:val="center"/>
          </w:tcPr>
          <w:p w14:paraId="60F76060">
            <w:pPr>
              <w:adjustRightInd w:val="0"/>
              <w:snapToGrid w:val="0"/>
              <w:spacing w:line="360" w:lineRule="auto"/>
              <w:rPr>
                <w:rFonts w:ascii="仿宋_GB2312" w:hAnsi="仿宋" w:eastAsia="仿宋_GB2312" w:cs="仿宋"/>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7305518A">
            <w:pPr>
              <w:adjustRightInd w:val="0"/>
              <w:snapToGrid w:val="0"/>
              <w:spacing w:line="360" w:lineRule="auto"/>
              <w:rPr>
                <w:rFonts w:ascii="仿宋_GB2312" w:hAnsi="仿宋" w:eastAsia="仿宋_GB2312" w:cs="仿宋"/>
                <w:sz w:val="24"/>
              </w:rPr>
            </w:pPr>
          </w:p>
        </w:tc>
        <w:tc>
          <w:tcPr>
            <w:tcW w:w="1854" w:type="dxa"/>
            <w:tcBorders>
              <w:top w:val="single" w:color="auto" w:sz="4" w:space="0"/>
              <w:left w:val="single" w:color="auto" w:sz="4" w:space="0"/>
              <w:bottom w:val="single" w:color="auto" w:sz="4" w:space="0"/>
              <w:right w:val="single" w:color="auto" w:sz="4" w:space="0"/>
            </w:tcBorders>
            <w:vAlign w:val="center"/>
          </w:tcPr>
          <w:p w14:paraId="32586DB7">
            <w:pPr>
              <w:adjustRightInd w:val="0"/>
              <w:snapToGrid w:val="0"/>
              <w:spacing w:line="360" w:lineRule="auto"/>
              <w:rPr>
                <w:rFonts w:ascii="仿宋_GB2312" w:hAnsi="仿宋" w:eastAsia="仿宋_GB2312" w:cs="仿宋"/>
                <w:sz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2C1BC49B">
            <w:pPr>
              <w:adjustRightInd w:val="0"/>
              <w:snapToGrid w:val="0"/>
              <w:spacing w:line="360" w:lineRule="auto"/>
              <w:rPr>
                <w:rFonts w:ascii="仿宋_GB2312" w:hAnsi="仿宋" w:eastAsia="仿宋_GB2312" w:cs="仿宋"/>
                <w:sz w:val="24"/>
              </w:rPr>
            </w:pPr>
          </w:p>
        </w:tc>
      </w:tr>
      <w:tr w14:paraId="26736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vAlign w:val="center"/>
          </w:tcPr>
          <w:p w14:paraId="1F75F583">
            <w:pPr>
              <w:adjustRightInd w:val="0"/>
              <w:snapToGrid w:val="0"/>
              <w:spacing w:line="360" w:lineRule="auto"/>
              <w:rPr>
                <w:rFonts w:ascii="仿宋_GB2312" w:hAnsi="仿宋" w:eastAsia="仿宋_GB2312" w:cs="仿宋"/>
                <w:sz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483D53B5">
            <w:pPr>
              <w:adjustRightInd w:val="0"/>
              <w:snapToGrid w:val="0"/>
              <w:spacing w:line="360" w:lineRule="auto"/>
              <w:rPr>
                <w:rFonts w:ascii="仿宋_GB2312" w:hAnsi="仿宋" w:eastAsia="仿宋_GB2312" w:cs="仿宋"/>
                <w:sz w:val="24"/>
              </w:rPr>
            </w:pPr>
          </w:p>
        </w:tc>
        <w:tc>
          <w:tcPr>
            <w:tcW w:w="1830" w:type="dxa"/>
            <w:tcBorders>
              <w:top w:val="single" w:color="auto" w:sz="4" w:space="0"/>
              <w:left w:val="single" w:color="auto" w:sz="4" w:space="0"/>
              <w:bottom w:val="single" w:color="auto" w:sz="4" w:space="0"/>
              <w:right w:val="single" w:color="auto" w:sz="4" w:space="0"/>
            </w:tcBorders>
            <w:vAlign w:val="center"/>
          </w:tcPr>
          <w:p w14:paraId="4AB5E193">
            <w:pPr>
              <w:adjustRightInd w:val="0"/>
              <w:snapToGrid w:val="0"/>
              <w:spacing w:line="360" w:lineRule="auto"/>
              <w:rPr>
                <w:rFonts w:ascii="仿宋_GB2312" w:hAnsi="仿宋" w:eastAsia="仿宋_GB2312" w:cs="仿宋"/>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7B9CC861">
            <w:pPr>
              <w:adjustRightInd w:val="0"/>
              <w:snapToGrid w:val="0"/>
              <w:spacing w:line="360" w:lineRule="auto"/>
              <w:rPr>
                <w:rFonts w:ascii="仿宋_GB2312" w:hAnsi="仿宋" w:eastAsia="仿宋_GB2312" w:cs="仿宋"/>
                <w:sz w:val="24"/>
              </w:rPr>
            </w:pPr>
          </w:p>
        </w:tc>
        <w:tc>
          <w:tcPr>
            <w:tcW w:w="1854" w:type="dxa"/>
            <w:tcBorders>
              <w:top w:val="single" w:color="auto" w:sz="4" w:space="0"/>
              <w:left w:val="single" w:color="auto" w:sz="4" w:space="0"/>
              <w:bottom w:val="single" w:color="auto" w:sz="4" w:space="0"/>
              <w:right w:val="single" w:color="auto" w:sz="4" w:space="0"/>
            </w:tcBorders>
            <w:vAlign w:val="center"/>
          </w:tcPr>
          <w:p w14:paraId="2F7594C7">
            <w:pPr>
              <w:adjustRightInd w:val="0"/>
              <w:snapToGrid w:val="0"/>
              <w:spacing w:line="360" w:lineRule="auto"/>
              <w:rPr>
                <w:rFonts w:ascii="仿宋_GB2312" w:hAnsi="仿宋" w:eastAsia="仿宋_GB2312" w:cs="仿宋"/>
                <w:sz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1F34FEF3">
            <w:pPr>
              <w:adjustRightInd w:val="0"/>
              <w:snapToGrid w:val="0"/>
              <w:spacing w:line="360" w:lineRule="auto"/>
              <w:rPr>
                <w:rFonts w:ascii="仿宋_GB2312" w:hAnsi="仿宋" w:eastAsia="仿宋_GB2312" w:cs="仿宋"/>
                <w:sz w:val="24"/>
              </w:rPr>
            </w:pPr>
          </w:p>
        </w:tc>
      </w:tr>
      <w:tr w14:paraId="39898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vAlign w:val="center"/>
          </w:tcPr>
          <w:p w14:paraId="03E0038B">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w:t>
            </w:r>
          </w:p>
        </w:tc>
        <w:tc>
          <w:tcPr>
            <w:tcW w:w="960" w:type="dxa"/>
            <w:tcBorders>
              <w:top w:val="single" w:color="auto" w:sz="4" w:space="0"/>
              <w:left w:val="single" w:color="auto" w:sz="4" w:space="0"/>
              <w:bottom w:val="single" w:color="auto" w:sz="4" w:space="0"/>
              <w:right w:val="single" w:color="auto" w:sz="4" w:space="0"/>
            </w:tcBorders>
            <w:vAlign w:val="center"/>
          </w:tcPr>
          <w:p w14:paraId="2E34E202">
            <w:pPr>
              <w:adjustRightInd w:val="0"/>
              <w:snapToGrid w:val="0"/>
              <w:spacing w:line="360" w:lineRule="auto"/>
              <w:rPr>
                <w:rFonts w:ascii="仿宋_GB2312" w:hAnsi="仿宋" w:eastAsia="仿宋_GB2312" w:cs="仿宋"/>
                <w:sz w:val="24"/>
              </w:rPr>
            </w:pPr>
          </w:p>
        </w:tc>
        <w:tc>
          <w:tcPr>
            <w:tcW w:w="1830" w:type="dxa"/>
            <w:tcBorders>
              <w:top w:val="single" w:color="auto" w:sz="4" w:space="0"/>
              <w:left w:val="single" w:color="auto" w:sz="4" w:space="0"/>
              <w:bottom w:val="single" w:color="auto" w:sz="4" w:space="0"/>
              <w:right w:val="single" w:color="auto" w:sz="4" w:space="0"/>
            </w:tcBorders>
            <w:vAlign w:val="center"/>
          </w:tcPr>
          <w:p w14:paraId="6B9880F7">
            <w:pPr>
              <w:adjustRightInd w:val="0"/>
              <w:snapToGrid w:val="0"/>
              <w:spacing w:line="360" w:lineRule="auto"/>
              <w:rPr>
                <w:rFonts w:ascii="仿宋_GB2312" w:hAnsi="仿宋" w:eastAsia="仿宋_GB2312" w:cs="仿宋"/>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4FE6832B">
            <w:pPr>
              <w:adjustRightInd w:val="0"/>
              <w:snapToGrid w:val="0"/>
              <w:spacing w:line="360" w:lineRule="auto"/>
              <w:rPr>
                <w:rFonts w:ascii="仿宋_GB2312" w:hAnsi="仿宋" w:eastAsia="仿宋_GB2312" w:cs="仿宋"/>
                <w:sz w:val="24"/>
              </w:rPr>
            </w:pPr>
          </w:p>
        </w:tc>
        <w:tc>
          <w:tcPr>
            <w:tcW w:w="1854" w:type="dxa"/>
            <w:tcBorders>
              <w:top w:val="single" w:color="auto" w:sz="4" w:space="0"/>
              <w:left w:val="single" w:color="auto" w:sz="4" w:space="0"/>
              <w:bottom w:val="single" w:color="auto" w:sz="4" w:space="0"/>
              <w:right w:val="single" w:color="auto" w:sz="4" w:space="0"/>
            </w:tcBorders>
            <w:vAlign w:val="center"/>
          </w:tcPr>
          <w:p w14:paraId="60850B6E">
            <w:pPr>
              <w:adjustRightInd w:val="0"/>
              <w:snapToGrid w:val="0"/>
              <w:spacing w:line="360" w:lineRule="auto"/>
              <w:rPr>
                <w:rFonts w:ascii="仿宋_GB2312" w:hAnsi="仿宋" w:eastAsia="仿宋_GB2312" w:cs="仿宋"/>
                <w:sz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5918B90E">
            <w:pPr>
              <w:adjustRightInd w:val="0"/>
              <w:snapToGrid w:val="0"/>
              <w:spacing w:line="360" w:lineRule="auto"/>
              <w:rPr>
                <w:rFonts w:ascii="仿宋_GB2312" w:hAnsi="仿宋" w:eastAsia="仿宋_GB2312" w:cs="仿宋"/>
                <w:sz w:val="24"/>
              </w:rPr>
            </w:pPr>
          </w:p>
        </w:tc>
      </w:tr>
    </w:tbl>
    <w:p w14:paraId="7772F844">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注：在填写时，如本表格不适合磋商供应商的实际情况，可根据本表格式自行划表填写。</w:t>
      </w:r>
    </w:p>
    <w:p w14:paraId="7C3CADBD">
      <w:pPr>
        <w:adjustRightInd w:val="0"/>
        <w:snapToGrid w:val="0"/>
        <w:spacing w:line="360" w:lineRule="auto"/>
        <w:jc w:val="left"/>
        <w:rPr>
          <w:rFonts w:ascii="仿宋_GB2312" w:hAnsi="仿宋" w:eastAsia="仿宋_GB2312" w:cs="仿宋"/>
          <w:b/>
          <w:sz w:val="24"/>
        </w:rPr>
      </w:pPr>
    </w:p>
    <w:p w14:paraId="61677FB7">
      <w:pPr>
        <w:adjustRightInd w:val="0"/>
        <w:snapToGrid w:val="0"/>
        <w:spacing w:line="360" w:lineRule="auto"/>
        <w:ind w:firstLine="240" w:firstLineChars="100"/>
        <w:rPr>
          <w:rFonts w:ascii="仿宋_GB2312" w:hAnsi="仿宋" w:eastAsia="仿宋_GB2312" w:cs="仿宋"/>
          <w:sz w:val="24"/>
        </w:rPr>
      </w:pPr>
      <w:r>
        <w:rPr>
          <w:rFonts w:hint="eastAsia" w:ascii="仿宋_GB2312" w:hAnsi="仿宋" w:eastAsia="仿宋_GB2312" w:cs="仿宋"/>
          <w:sz w:val="24"/>
        </w:rPr>
        <w:t>供应商</w:t>
      </w:r>
      <w:r>
        <w:rPr>
          <w:rFonts w:hint="eastAsia" w:ascii="仿宋_GB2312" w:hAnsi="仿宋" w:eastAsia="仿宋_GB2312" w:cs="仿宋"/>
          <w:sz w:val="24"/>
          <w:lang w:val="en-US" w:eastAsia="zh-CN"/>
        </w:rPr>
        <w:t>名</w:t>
      </w:r>
      <w:r>
        <w:rPr>
          <w:rFonts w:hint="eastAsia" w:ascii="仿宋_GB2312" w:hAnsi="仿宋" w:eastAsia="仿宋_GB2312" w:cs="仿宋"/>
          <w:sz w:val="24"/>
        </w:rPr>
        <w:t>称（公章）：</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w:t>
      </w:r>
    </w:p>
    <w:p w14:paraId="464B0332">
      <w:pPr>
        <w:adjustRightInd w:val="0"/>
        <w:snapToGrid w:val="0"/>
        <w:spacing w:line="360" w:lineRule="auto"/>
        <w:ind w:firstLine="240" w:firstLineChars="100"/>
        <w:rPr>
          <w:rFonts w:ascii="仿宋_GB2312" w:hAnsi="仿宋" w:eastAsia="仿宋_GB2312" w:cs="仿宋"/>
          <w:sz w:val="24"/>
          <w:u w:val="single"/>
        </w:rPr>
      </w:pPr>
      <w:r>
        <w:rPr>
          <w:rFonts w:hint="eastAsia" w:ascii="仿宋_GB2312" w:hAnsi="仿宋" w:eastAsia="仿宋_GB2312" w:cs="仿宋"/>
          <w:sz w:val="24"/>
        </w:rPr>
        <w:t>法定代表人或授权代表（签字）：</w:t>
      </w:r>
      <w:r>
        <w:rPr>
          <w:rFonts w:hint="eastAsia" w:ascii="仿宋_GB2312" w:hAnsi="仿宋" w:eastAsia="仿宋_GB2312" w:cs="仿宋"/>
          <w:sz w:val="24"/>
          <w:u w:val="single"/>
        </w:rPr>
        <w:t xml:space="preserve">             </w:t>
      </w:r>
    </w:p>
    <w:p w14:paraId="18B43E56">
      <w:pPr>
        <w:adjustRightInd w:val="0"/>
        <w:snapToGrid w:val="0"/>
        <w:spacing w:line="360" w:lineRule="auto"/>
        <w:ind w:firstLine="240" w:firstLineChars="100"/>
        <w:rPr>
          <w:rFonts w:ascii="仿宋_GB2312" w:hAnsi="仿宋" w:eastAsia="仿宋_GB2312" w:cs="仿宋"/>
          <w:sz w:val="24"/>
        </w:rPr>
      </w:pPr>
      <w:r>
        <w:rPr>
          <w:rFonts w:hint="eastAsia" w:ascii="仿宋_GB2312" w:hAnsi="仿宋" w:eastAsia="仿宋_GB2312" w:cs="仿宋"/>
          <w:sz w:val="24"/>
        </w:rPr>
        <w:t>日期：      年    月    日</w:t>
      </w:r>
    </w:p>
    <w:p w14:paraId="49E53F90">
      <w:pPr>
        <w:adjustRightInd w:val="0"/>
        <w:snapToGrid w:val="0"/>
        <w:spacing w:line="360" w:lineRule="auto"/>
        <w:rPr>
          <w:rFonts w:ascii="仿宋_GB2312" w:hAnsi="仿宋" w:eastAsia="仿宋_GB2312" w:cs="仿宋"/>
          <w:b/>
          <w:sz w:val="24"/>
        </w:rPr>
      </w:pPr>
    </w:p>
    <w:p w14:paraId="270C63E0">
      <w:pPr>
        <w:adjustRightInd w:val="0"/>
        <w:snapToGrid w:val="0"/>
        <w:spacing w:line="360" w:lineRule="auto"/>
        <w:rPr>
          <w:rFonts w:ascii="仿宋_GB2312" w:hAnsi="仿宋" w:eastAsia="仿宋_GB2312" w:cs="仿宋"/>
          <w:b/>
          <w:sz w:val="24"/>
        </w:rPr>
      </w:pPr>
      <w:r>
        <w:rPr>
          <w:rFonts w:hint="eastAsia" w:ascii="仿宋_GB2312" w:hAnsi="仿宋" w:eastAsia="仿宋_GB2312" w:cs="仿宋"/>
          <w:b/>
          <w:sz w:val="24"/>
        </w:rPr>
        <w:t>附：项目实施人员相关经验或资质证明文件复印件</w:t>
      </w:r>
    </w:p>
    <w:p w14:paraId="66773073">
      <w:pPr>
        <w:adjustRightInd w:val="0"/>
        <w:snapToGrid w:val="0"/>
        <w:spacing w:line="360" w:lineRule="auto"/>
        <w:rPr>
          <w:rFonts w:ascii="仿宋_GB2312" w:hAnsi="仿宋" w:eastAsia="仿宋_GB2312" w:cs="仿宋"/>
          <w:b/>
          <w:sz w:val="24"/>
          <w:u w:val="single"/>
        </w:rPr>
      </w:pPr>
      <w:r>
        <w:rPr>
          <w:rFonts w:hint="eastAsia" w:ascii="仿宋_GB2312" w:hAnsi="仿宋" w:eastAsia="仿宋_GB2312" w:cs="仿宋"/>
          <w:b/>
          <w:sz w:val="24"/>
        </w:rPr>
        <w:t>姓名：</w:t>
      </w:r>
      <w:r>
        <w:rPr>
          <w:rFonts w:hint="eastAsia" w:ascii="仿宋_GB2312" w:hAnsi="仿宋" w:eastAsia="仿宋_GB2312" w:cs="仿宋"/>
          <w:b/>
          <w:sz w:val="24"/>
          <w:u w:val="single"/>
        </w:rPr>
        <w:t xml:space="preserve">                  </w:t>
      </w:r>
      <w:r>
        <w:rPr>
          <w:rFonts w:hint="eastAsia" w:ascii="仿宋_GB2312" w:hAnsi="仿宋" w:eastAsia="仿宋_GB2312" w:cs="仿宋"/>
          <w:b/>
          <w:sz w:val="24"/>
        </w:rPr>
        <w:t>职务：</w:t>
      </w:r>
      <w:r>
        <w:rPr>
          <w:rFonts w:hint="eastAsia" w:ascii="仿宋_GB2312" w:hAnsi="仿宋" w:eastAsia="仿宋_GB2312" w:cs="仿宋"/>
          <w:b/>
          <w:sz w:val="24"/>
          <w:u w:val="single"/>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E3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522" w:type="dxa"/>
          </w:tcPr>
          <w:p w14:paraId="1861029D">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经验或资质证明文件复印件。</w:t>
            </w:r>
          </w:p>
        </w:tc>
      </w:tr>
    </w:tbl>
    <w:p w14:paraId="7222F1C5">
      <w:pPr>
        <w:pStyle w:val="17"/>
        <w:adjustRightInd w:val="0"/>
        <w:snapToGrid w:val="0"/>
        <w:spacing w:before="156" w:after="156" w:line="360" w:lineRule="auto"/>
        <w:rPr>
          <w:rFonts w:ascii="仿宋_GB2312" w:hAnsi="仿宋" w:eastAsia="仿宋_GB2312" w:cs="仿宋"/>
          <w:b/>
          <w:bCs/>
        </w:rPr>
      </w:pPr>
    </w:p>
    <w:p w14:paraId="69DD1AD0">
      <w:pPr>
        <w:pStyle w:val="17"/>
        <w:adjustRightInd w:val="0"/>
        <w:snapToGrid w:val="0"/>
        <w:spacing w:before="156" w:after="156" w:line="360" w:lineRule="auto"/>
        <w:rPr>
          <w:rFonts w:ascii="仿宋_GB2312" w:hAnsi="仿宋" w:eastAsia="仿宋_GB2312" w:cs="仿宋"/>
          <w:b/>
          <w:bCs/>
        </w:rPr>
      </w:pPr>
      <w:r>
        <w:rPr>
          <w:rFonts w:hint="eastAsia" w:ascii="仿宋_GB2312" w:hAnsi="仿宋" w:eastAsia="仿宋_GB2312" w:cs="仿宋"/>
          <w:b/>
          <w:bCs/>
          <w:lang w:val="en-US" w:eastAsia="zh-CN"/>
        </w:rPr>
        <w:t>十、</w:t>
      </w:r>
      <w:r>
        <w:rPr>
          <w:rFonts w:hint="eastAsia" w:ascii="仿宋_GB2312" w:hAnsi="仿宋" w:eastAsia="仿宋_GB2312" w:cs="仿宋"/>
          <w:b/>
          <w:bCs/>
        </w:rPr>
        <w:t>商务技术</w:t>
      </w:r>
      <w:r>
        <w:rPr>
          <w:rFonts w:hint="eastAsia" w:ascii="仿宋_GB2312" w:hAnsi="仿宋" w:eastAsia="仿宋_GB2312" w:cs="仿宋"/>
          <w:b/>
          <w:bCs/>
          <w:lang w:val="zh-CN"/>
        </w:rPr>
        <w:t>响应</w:t>
      </w:r>
      <w:r>
        <w:rPr>
          <w:rFonts w:hint="eastAsia" w:ascii="仿宋_GB2312" w:hAnsi="仿宋" w:eastAsia="仿宋_GB2312" w:cs="仿宋"/>
          <w:b/>
          <w:bCs/>
        </w:rPr>
        <w:t>表格式：</w:t>
      </w:r>
    </w:p>
    <w:p w14:paraId="1288E158">
      <w:pPr>
        <w:pStyle w:val="17"/>
        <w:adjustRightInd w:val="0"/>
        <w:snapToGrid w:val="0"/>
        <w:spacing w:before="156" w:after="156" w:line="360" w:lineRule="auto"/>
        <w:jc w:val="center"/>
        <w:rPr>
          <w:rFonts w:ascii="仿宋_GB2312" w:hAnsi="仿宋" w:eastAsia="仿宋_GB2312" w:cs="仿宋"/>
          <w:b/>
          <w:bCs/>
        </w:rPr>
      </w:pPr>
      <w:r>
        <w:rPr>
          <w:rFonts w:hint="eastAsia" w:ascii="仿宋_GB2312" w:hAnsi="仿宋" w:eastAsia="仿宋_GB2312" w:cs="仿宋"/>
          <w:b/>
          <w:bCs/>
        </w:rPr>
        <w:t>商务技术</w:t>
      </w:r>
      <w:r>
        <w:rPr>
          <w:rFonts w:hint="eastAsia" w:ascii="仿宋_GB2312" w:hAnsi="仿宋" w:eastAsia="仿宋_GB2312" w:cs="仿宋"/>
          <w:b/>
          <w:bCs/>
          <w:lang w:val="zh-CN"/>
        </w:rPr>
        <w:t>响应</w:t>
      </w:r>
      <w:r>
        <w:rPr>
          <w:rFonts w:hint="eastAsia" w:ascii="仿宋_GB2312" w:hAnsi="仿宋" w:eastAsia="仿宋_GB2312" w:cs="仿宋"/>
          <w:b/>
          <w:bCs/>
        </w:rPr>
        <w:t>表</w:t>
      </w:r>
    </w:p>
    <w:p w14:paraId="04F2A889">
      <w:pPr>
        <w:adjustRightInd w:val="0"/>
        <w:snapToGrid w:val="0"/>
        <w:spacing w:line="360" w:lineRule="auto"/>
        <w:rPr>
          <w:rFonts w:ascii="仿宋_GB2312" w:hAnsi="仿宋" w:eastAsia="仿宋_GB2312" w:cs="仿宋"/>
          <w:sz w:val="24"/>
          <w:u w:val="single"/>
        </w:rPr>
      </w:pPr>
      <w:r>
        <w:rPr>
          <w:rFonts w:hint="eastAsia" w:ascii="仿宋_GB2312" w:hAnsi="仿宋" w:eastAsia="仿宋_GB2312" w:cs="仿宋"/>
          <w:sz w:val="24"/>
        </w:rPr>
        <w:t>项目名称：</w:t>
      </w:r>
      <w:r>
        <w:rPr>
          <w:rFonts w:hint="eastAsia" w:ascii="仿宋_GB2312" w:hAnsi="仿宋" w:eastAsia="仿宋_GB2312" w:cs="仿宋"/>
          <w:sz w:val="24"/>
          <w:u w:val="single"/>
        </w:rPr>
        <w:t xml:space="preserve">                </w:t>
      </w:r>
    </w:p>
    <w:p w14:paraId="60B58B80">
      <w:pPr>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项目编号：</w:t>
      </w:r>
      <w:r>
        <w:rPr>
          <w:rFonts w:hint="eastAsia" w:ascii="仿宋_GB2312" w:hAnsi="仿宋" w:eastAsia="仿宋_GB2312" w:cs="仿宋"/>
          <w:sz w:val="24"/>
          <w:u w:val="singl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1"/>
        <w:gridCol w:w="1917"/>
        <w:gridCol w:w="2132"/>
        <w:gridCol w:w="1696"/>
        <w:gridCol w:w="1566"/>
      </w:tblGrid>
      <w:tr w14:paraId="03A9C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vAlign w:val="center"/>
          </w:tcPr>
          <w:p w14:paraId="13358BF7">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名称</w:t>
            </w:r>
          </w:p>
        </w:tc>
        <w:tc>
          <w:tcPr>
            <w:tcW w:w="1917" w:type="dxa"/>
            <w:tcBorders>
              <w:top w:val="single" w:color="auto" w:sz="4" w:space="0"/>
              <w:left w:val="single" w:color="auto" w:sz="4" w:space="0"/>
              <w:bottom w:val="single" w:color="auto" w:sz="4" w:space="0"/>
              <w:right w:val="single" w:color="auto" w:sz="4" w:space="0"/>
            </w:tcBorders>
            <w:vAlign w:val="center"/>
          </w:tcPr>
          <w:p w14:paraId="0E1E8CE4">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磋商文件要求</w:t>
            </w:r>
          </w:p>
        </w:tc>
        <w:tc>
          <w:tcPr>
            <w:tcW w:w="2132" w:type="dxa"/>
            <w:tcBorders>
              <w:top w:val="single" w:color="auto" w:sz="4" w:space="0"/>
              <w:left w:val="single" w:color="auto" w:sz="4" w:space="0"/>
              <w:bottom w:val="single" w:color="auto" w:sz="4" w:space="0"/>
              <w:right w:val="single" w:color="auto" w:sz="4" w:space="0"/>
            </w:tcBorders>
            <w:vAlign w:val="center"/>
          </w:tcPr>
          <w:p w14:paraId="1BCAE9C6">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磋商响应文件响应</w:t>
            </w:r>
          </w:p>
        </w:tc>
        <w:tc>
          <w:tcPr>
            <w:tcW w:w="1696" w:type="dxa"/>
            <w:tcBorders>
              <w:top w:val="single" w:color="auto" w:sz="4" w:space="0"/>
              <w:left w:val="single" w:color="auto" w:sz="4" w:space="0"/>
              <w:bottom w:val="single" w:color="auto" w:sz="4" w:space="0"/>
              <w:right w:val="single" w:color="auto" w:sz="4" w:space="0"/>
            </w:tcBorders>
            <w:vAlign w:val="center"/>
          </w:tcPr>
          <w:p w14:paraId="5B9CD62D">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偏离情况</w:t>
            </w:r>
          </w:p>
        </w:tc>
        <w:tc>
          <w:tcPr>
            <w:tcW w:w="1566" w:type="dxa"/>
            <w:tcBorders>
              <w:top w:val="single" w:color="auto" w:sz="4" w:space="0"/>
              <w:left w:val="single" w:color="auto" w:sz="4" w:space="0"/>
              <w:bottom w:val="single" w:color="auto" w:sz="4" w:space="0"/>
              <w:right w:val="single" w:color="auto" w:sz="4" w:space="0"/>
            </w:tcBorders>
            <w:vAlign w:val="center"/>
          </w:tcPr>
          <w:p w14:paraId="2EAC0397">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说明</w:t>
            </w:r>
          </w:p>
        </w:tc>
      </w:tr>
      <w:tr w14:paraId="4C306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14:paraId="6AA901ED">
            <w:pPr>
              <w:adjustRightInd w:val="0"/>
              <w:snapToGrid w:val="0"/>
              <w:spacing w:line="360" w:lineRule="auto"/>
              <w:jc w:val="center"/>
              <w:rPr>
                <w:rFonts w:ascii="仿宋_GB2312" w:hAnsi="仿宋" w:eastAsia="仿宋_GB2312" w:cs="仿宋"/>
                <w:sz w:val="24"/>
              </w:rPr>
            </w:pPr>
          </w:p>
        </w:tc>
        <w:tc>
          <w:tcPr>
            <w:tcW w:w="1917" w:type="dxa"/>
            <w:tcBorders>
              <w:top w:val="single" w:color="auto" w:sz="4" w:space="0"/>
              <w:left w:val="single" w:color="auto" w:sz="4" w:space="0"/>
              <w:bottom w:val="single" w:color="auto" w:sz="4" w:space="0"/>
              <w:right w:val="single" w:color="auto" w:sz="4" w:space="0"/>
            </w:tcBorders>
          </w:tcPr>
          <w:p w14:paraId="48618AE2">
            <w:pPr>
              <w:adjustRightInd w:val="0"/>
              <w:snapToGrid w:val="0"/>
              <w:spacing w:line="360" w:lineRule="auto"/>
              <w:jc w:val="center"/>
              <w:rPr>
                <w:rFonts w:ascii="仿宋_GB2312" w:hAnsi="仿宋" w:eastAsia="仿宋_GB2312" w:cs="仿宋"/>
                <w:sz w:val="24"/>
              </w:rPr>
            </w:pPr>
          </w:p>
        </w:tc>
        <w:tc>
          <w:tcPr>
            <w:tcW w:w="2132" w:type="dxa"/>
            <w:tcBorders>
              <w:top w:val="single" w:color="auto" w:sz="4" w:space="0"/>
              <w:left w:val="single" w:color="auto" w:sz="4" w:space="0"/>
              <w:bottom w:val="single" w:color="auto" w:sz="4" w:space="0"/>
              <w:right w:val="single" w:color="auto" w:sz="4" w:space="0"/>
            </w:tcBorders>
          </w:tcPr>
          <w:p w14:paraId="4F4329DE">
            <w:pPr>
              <w:adjustRightInd w:val="0"/>
              <w:snapToGrid w:val="0"/>
              <w:spacing w:line="360" w:lineRule="auto"/>
              <w:jc w:val="center"/>
              <w:rPr>
                <w:rFonts w:ascii="仿宋_GB2312" w:hAnsi="仿宋" w:eastAsia="仿宋_GB2312" w:cs="仿宋"/>
                <w:sz w:val="24"/>
              </w:rPr>
            </w:pPr>
          </w:p>
        </w:tc>
        <w:tc>
          <w:tcPr>
            <w:tcW w:w="1696" w:type="dxa"/>
            <w:tcBorders>
              <w:top w:val="single" w:color="auto" w:sz="4" w:space="0"/>
              <w:left w:val="single" w:color="auto" w:sz="4" w:space="0"/>
              <w:bottom w:val="single" w:color="auto" w:sz="4" w:space="0"/>
              <w:right w:val="single" w:color="auto" w:sz="4" w:space="0"/>
            </w:tcBorders>
          </w:tcPr>
          <w:p w14:paraId="0988E92F">
            <w:pPr>
              <w:adjustRightInd w:val="0"/>
              <w:snapToGrid w:val="0"/>
              <w:spacing w:line="360" w:lineRule="auto"/>
              <w:jc w:val="center"/>
              <w:rPr>
                <w:rFonts w:ascii="仿宋_GB2312" w:hAnsi="仿宋" w:eastAsia="仿宋_GB2312" w:cs="仿宋"/>
                <w:sz w:val="24"/>
              </w:rPr>
            </w:pPr>
          </w:p>
        </w:tc>
        <w:tc>
          <w:tcPr>
            <w:tcW w:w="1566" w:type="dxa"/>
            <w:tcBorders>
              <w:top w:val="single" w:color="auto" w:sz="4" w:space="0"/>
              <w:left w:val="single" w:color="auto" w:sz="4" w:space="0"/>
              <w:bottom w:val="single" w:color="auto" w:sz="4" w:space="0"/>
              <w:right w:val="single" w:color="auto" w:sz="4" w:space="0"/>
            </w:tcBorders>
          </w:tcPr>
          <w:p w14:paraId="569CF074">
            <w:pPr>
              <w:adjustRightInd w:val="0"/>
              <w:snapToGrid w:val="0"/>
              <w:spacing w:line="360" w:lineRule="auto"/>
              <w:jc w:val="center"/>
              <w:rPr>
                <w:rFonts w:ascii="仿宋_GB2312" w:hAnsi="仿宋" w:eastAsia="仿宋_GB2312" w:cs="仿宋"/>
                <w:sz w:val="24"/>
              </w:rPr>
            </w:pPr>
          </w:p>
        </w:tc>
      </w:tr>
      <w:tr w14:paraId="3B7F3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14:paraId="5C918738">
            <w:pPr>
              <w:adjustRightInd w:val="0"/>
              <w:snapToGrid w:val="0"/>
              <w:spacing w:line="360" w:lineRule="auto"/>
              <w:jc w:val="center"/>
              <w:rPr>
                <w:rFonts w:ascii="仿宋_GB2312" w:hAnsi="仿宋" w:eastAsia="仿宋_GB2312" w:cs="仿宋"/>
                <w:sz w:val="24"/>
              </w:rPr>
            </w:pPr>
          </w:p>
        </w:tc>
        <w:tc>
          <w:tcPr>
            <w:tcW w:w="1917" w:type="dxa"/>
            <w:tcBorders>
              <w:top w:val="single" w:color="auto" w:sz="4" w:space="0"/>
              <w:left w:val="single" w:color="auto" w:sz="4" w:space="0"/>
              <w:bottom w:val="single" w:color="auto" w:sz="4" w:space="0"/>
              <w:right w:val="single" w:color="auto" w:sz="4" w:space="0"/>
            </w:tcBorders>
          </w:tcPr>
          <w:p w14:paraId="24735AF0">
            <w:pPr>
              <w:adjustRightInd w:val="0"/>
              <w:snapToGrid w:val="0"/>
              <w:spacing w:line="360" w:lineRule="auto"/>
              <w:jc w:val="center"/>
              <w:rPr>
                <w:rFonts w:ascii="仿宋_GB2312" w:hAnsi="仿宋" w:eastAsia="仿宋_GB2312" w:cs="仿宋"/>
                <w:sz w:val="24"/>
              </w:rPr>
            </w:pPr>
          </w:p>
        </w:tc>
        <w:tc>
          <w:tcPr>
            <w:tcW w:w="2132" w:type="dxa"/>
            <w:tcBorders>
              <w:top w:val="single" w:color="auto" w:sz="4" w:space="0"/>
              <w:left w:val="single" w:color="auto" w:sz="4" w:space="0"/>
              <w:bottom w:val="single" w:color="auto" w:sz="4" w:space="0"/>
              <w:right w:val="single" w:color="auto" w:sz="4" w:space="0"/>
            </w:tcBorders>
          </w:tcPr>
          <w:p w14:paraId="1A86ADB7">
            <w:pPr>
              <w:adjustRightInd w:val="0"/>
              <w:snapToGrid w:val="0"/>
              <w:spacing w:line="360" w:lineRule="auto"/>
              <w:jc w:val="center"/>
              <w:rPr>
                <w:rFonts w:ascii="仿宋_GB2312" w:hAnsi="仿宋" w:eastAsia="仿宋_GB2312" w:cs="仿宋"/>
                <w:sz w:val="24"/>
              </w:rPr>
            </w:pPr>
          </w:p>
        </w:tc>
        <w:tc>
          <w:tcPr>
            <w:tcW w:w="1696" w:type="dxa"/>
            <w:tcBorders>
              <w:top w:val="single" w:color="auto" w:sz="4" w:space="0"/>
              <w:left w:val="single" w:color="auto" w:sz="4" w:space="0"/>
              <w:bottom w:val="single" w:color="auto" w:sz="4" w:space="0"/>
              <w:right w:val="single" w:color="auto" w:sz="4" w:space="0"/>
            </w:tcBorders>
          </w:tcPr>
          <w:p w14:paraId="1A91C383">
            <w:pPr>
              <w:adjustRightInd w:val="0"/>
              <w:snapToGrid w:val="0"/>
              <w:spacing w:line="360" w:lineRule="auto"/>
              <w:jc w:val="center"/>
              <w:rPr>
                <w:rFonts w:ascii="仿宋_GB2312" w:hAnsi="仿宋" w:eastAsia="仿宋_GB2312" w:cs="仿宋"/>
                <w:sz w:val="24"/>
              </w:rPr>
            </w:pPr>
          </w:p>
        </w:tc>
        <w:tc>
          <w:tcPr>
            <w:tcW w:w="1566" w:type="dxa"/>
            <w:tcBorders>
              <w:top w:val="single" w:color="auto" w:sz="4" w:space="0"/>
              <w:left w:val="single" w:color="auto" w:sz="4" w:space="0"/>
              <w:bottom w:val="single" w:color="auto" w:sz="4" w:space="0"/>
              <w:right w:val="single" w:color="auto" w:sz="4" w:space="0"/>
            </w:tcBorders>
          </w:tcPr>
          <w:p w14:paraId="0CB2B784">
            <w:pPr>
              <w:adjustRightInd w:val="0"/>
              <w:snapToGrid w:val="0"/>
              <w:spacing w:line="360" w:lineRule="auto"/>
              <w:jc w:val="center"/>
              <w:rPr>
                <w:rFonts w:ascii="仿宋_GB2312" w:hAnsi="仿宋" w:eastAsia="仿宋_GB2312" w:cs="仿宋"/>
                <w:sz w:val="24"/>
              </w:rPr>
            </w:pPr>
          </w:p>
        </w:tc>
      </w:tr>
      <w:tr w14:paraId="6532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14:paraId="55C64E0F">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w:t>
            </w:r>
          </w:p>
        </w:tc>
        <w:tc>
          <w:tcPr>
            <w:tcW w:w="1917" w:type="dxa"/>
            <w:tcBorders>
              <w:top w:val="single" w:color="auto" w:sz="4" w:space="0"/>
              <w:left w:val="single" w:color="auto" w:sz="4" w:space="0"/>
              <w:bottom w:val="single" w:color="auto" w:sz="4" w:space="0"/>
              <w:right w:val="single" w:color="auto" w:sz="4" w:space="0"/>
            </w:tcBorders>
          </w:tcPr>
          <w:p w14:paraId="6C623A9B">
            <w:pPr>
              <w:adjustRightInd w:val="0"/>
              <w:snapToGrid w:val="0"/>
              <w:spacing w:line="360" w:lineRule="auto"/>
              <w:jc w:val="center"/>
              <w:rPr>
                <w:rFonts w:ascii="仿宋_GB2312" w:hAnsi="仿宋" w:eastAsia="仿宋_GB2312" w:cs="仿宋"/>
                <w:sz w:val="24"/>
              </w:rPr>
            </w:pPr>
          </w:p>
        </w:tc>
        <w:tc>
          <w:tcPr>
            <w:tcW w:w="2132" w:type="dxa"/>
            <w:tcBorders>
              <w:top w:val="single" w:color="auto" w:sz="4" w:space="0"/>
              <w:left w:val="single" w:color="auto" w:sz="4" w:space="0"/>
              <w:bottom w:val="single" w:color="auto" w:sz="4" w:space="0"/>
              <w:right w:val="single" w:color="auto" w:sz="4" w:space="0"/>
            </w:tcBorders>
          </w:tcPr>
          <w:p w14:paraId="2F083651">
            <w:pPr>
              <w:adjustRightInd w:val="0"/>
              <w:snapToGrid w:val="0"/>
              <w:spacing w:line="360" w:lineRule="auto"/>
              <w:jc w:val="center"/>
              <w:rPr>
                <w:rFonts w:ascii="仿宋_GB2312" w:hAnsi="仿宋" w:eastAsia="仿宋_GB2312" w:cs="仿宋"/>
                <w:sz w:val="24"/>
              </w:rPr>
            </w:pPr>
          </w:p>
        </w:tc>
        <w:tc>
          <w:tcPr>
            <w:tcW w:w="1696" w:type="dxa"/>
            <w:tcBorders>
              <w:top w:val="single" w:color="auto" w:sz="4" w:space="0"/>
              <w:left w:val="single" w:color="auto" w:sz="4" w:space="0"/>
              <w:bottom w:val="single" w:color="auto" w:sz="4" w:space="0"/>
              <w:right w:val="single" w:color="auto" w:sz="4" w:space="0"/>
            </w:tcBorders>
          </w:tcPr>
          <w:p w14:paraId="0D238864">
            <w:pPr>
              <w:adjustRightInd w:val="0"/>
              <w:snapToGrid w:val="0"/>
              <w:spacing w:line="360" w:lineRule="auto"/>
              <w:jc w:val="center"/>
              <w:rPr>
                <w:rFonts w:ascii="仿宋_GB2312" w:hAnsi="仿宋" w:eastAsia="仿宋_GB2312" w:cs="仿宋"/>
                <w:sz w:val="24"/>
              </w:rPr>
            </w:pPr>
          </w:p>
        </w:tc>
        <w:tc>
          <w:tcPr>
            <w:tcW w:w="1566" w:type="dxa"/>
            <w:tcBorders>
              <w:top w:val="single" w:color="auto" w:sz="4" w:space="0"/>
              <w:left w:val="single" w:color="auto" w:sz="4" w:space="0"/>
              <w:bottom w:val="single" w:color="auto" w:sz="4" w:space="0"/>
              <w:right w:val="single" w:color="auto" w:sz="4" w:space="0"/>
            </w:tcBorders>
          </w:tcPr>
          <w:p w14:paraId="6C5FB7BC">
            <w:pPr>
              <w:adjustRightInd w:val="0"/>
              <w:snapToGrid w:val="0"/>
              <w:spacing w:line="360" w:lineRule="auto"/>
              <w:jc w:val="center"/>
              <w:rPr>
                <w:rFonts w:ascii="仿宋_GB2312" w:hAnsi="仿宋" w:eastAsia="仿宋_GB2312" w:cs="仿宋"/>
                <w:sz w:val="24"/>
              </w:rPr>
            </w:pPr>
          </w:p>
        </w:tc>
      </w:tr>
    </w:tbl>
    <w:p w14:paraId="4EE29324">
      <w:pPr>
        <w:pStyle w:val="11"/>
        <w:adjustRightInd w:val="0"/>
        <w:snapToGrid w:val="0"/>
        <w:spacing w:line="360" w:lineRule="auto"/>
        <w:rPr>
          <w:rFonts w:ascii="仿宋_GB2312" w:hAnsi="仿宋" w:eastAsia="仿宋_GB2312" w:cs="仿宋"/>
          <w:spacing w:val="20"/>
          <w:sz w:val="24"/>
        </w:rPr>
      </w:pPr>
      <w:r>
        <w:rPr>
          <w:rFonts w:hint="eastAsia" w:ascii="仿宋_GB2312" w:hAnsi="仿宋" w:eastAsia="仿宋_GB2312" w:cs="仿宋"/>
          <w:sz w:val="24"/>
          <w:szCs w:val="24"/>
        </w:rPr>
        <w:t>注：供应商应根据实际情况对照磋商文件要求在“偏离情况”栏注明“正偏离”、“负偏离”或“无偏离”。</w:t>
      </w:r>
    </w:p>
    <w:p w14:paraId="5B899E80">
      <w:pPr>
        <w:adjustRightInd w:val="0"/>
        <w:snapToGrid w:val="0"/>
        <w:spacing w:line="360" w:lineRule="auto"/>
        <w:jc w:val="left"/>
        <w:rPr>
          <w:rFonts w:ascii="仿宋_GB2312" w:hAnsi="仿宋" w:eastAsia="仿宋_GB2312" w:cs="仿宋"/>
          <w:sz w:val="24"/>
        </w:rPr>
      </w:pPr>
    </w:p>
    <w:p w14:paraId="79F47296">
      <w:pPr>
        <w:adjustRightInd w:val="0"/>
        <w:snapToGrid w:val="0"/>
        <w:spacing w:line="360" w:lineRule="auto"/>
        <w:ind w:firstLine="240" w:firstLineChars="100"/>
        <w:rPr>
          <w:rFonts w:ascii="仿宋_GB2312" w:hAnsi="仿宋" w:eastAsia="仿宋_GB2312" w:cs="仿宋"/>
          <w:sz w:val="24"/>
        </w:rPr>
      </w:pPr>
      <w:r>
        <w:rPr>
          <w:rFonts w:hint="eastAsia" w:ascii="仿宋_GB2312" w:hAnsi="仿宋" w:eastAsia="仿宋_GB2312" w:cs="仿宋"/>
          <w:sz w:val="24"/>
        </w:rPr>
        <w:t>供应商</w:t>
      </w:r>
      <w:r>
        <w:rPr>
          <w:rFonts w:hint="eastAsia" w:ascii="仿宋_GB2312" w:hAnsi="仿宋" w:eastAsia="仿宋_GB2312" w:cs="仿宋"/>
          <w:sz w:val="24"/>
          <w:lang w:val="en-US" w:eastAsia="zh-CN"/>
        </w:rPr>
        <w:t>名</w:t>
      </w:r>
      <w:r>
        <w:rPr>
          <w:rFonts w:hint="eastAsia" w:ascii="仿宋_GB2312" w:hAnsi="仿宋" w:eastAsia="仿宋_GB2312" w:cs="仿宋"/>
          <w:sz w:val="24"/>
        </w:rPr>
        <w:t>称（公章）：</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w:t>
      </w:r>
    </w:p>
    <w:p w14:paraId="411F51E6">
      <w:pPr>
        <w:adjustRightInd w:val="0"/>
        <w:snapToGrid w:val="0"/>
        <w:spacing w:line="360" w:lineRule="auto"/>
        <w:ind w:firstLine="240" w:firstLineChars="100"/>
        <w:rPr>
          <w:rFonts w:ascii="仿宋_GB2312" w:hAnsi="仿宋" w:eastAsia="仿宋_GB2312" w:cs="仿宋"/>
          <w:sz w:val="24"/>
          <w:u w:val="single"/>
        </w:rPr>
      </w:pPr>
      <w:r>
        <w:rPr>
          <w:rFonts w:hint="eastAsia" w:ascii="仿宋_GB2312" w:hAnsi="仿宋" w:eastAsia="仿宋_GB2312" w:cs="仿宋"/>
          <w:sz w:val="24"/>
        </w:rPr>
        <w:t>法定代表人或授权代表（签字）：</w:t>
      </w:r>
      <w:r>
        <w:rPr>
          <w:rFonts w:hint="eastAsia" w:ascii="仿宋_GB2312" w:hAnsi="仿宋" w:eastAsia="仿宋_GB2312" w:cs="仿宋"/>
          <w:sz w:val="24"/>
          <w:u w:val="single"/>
        </w:rPr>
        <w:t xml:space="preserve">             </w:t>
      </w:r>
    </w:p>
    <w:p w14:paraId="6FC10D7F">
      <w:pPr>
        <w:adjustRightInd w:val="0"/>
        <w:snapToGrid w:val="0"/>
        <w:spacing w:line="360" w:lineRule="auto"/>
        <w:ind w:firstLine="240" w:firstLineChars="100"/>
        <w:rPr>
          <w:rFonts w:ascii="仿宋_GB2312" w:hAnsi="仿宋" w:eastAsia="仿宋_GB2312" w:cs="仿宋"/>
          <w:b/>
          <w:bCs/>
          <w:sz w:val="24"/>
          <w:lang w:val="zh-CN"/>
        </w:rPr>
      </w:pPr>
      <w:r>
        <w:rPr>
          <w:rFonts w:hint="eastAsia" w:ascii="仿宋_GB2312" w:hAnsi="仿宋" w:eastAsia="仿宋_GB2312" w:cs="仿宋"/>
          <w:sz w:val="24"/>
        </w:rPr>
        <w:t>日期：      年    月    日</w:t>
      </w:r>
    </w:p>
    <w:p w14:paraId="3ECE7822">
      <w:pPr>
        <w:pStyle w:val="17"/>
        <w:numPr>
          <w:ilvl w:val="0"/>
          <w:numId w:val="11"/>
        </w:numPr>
        <w:adjustRightInd w:val="0"/>
        <w:snapToGrid w:val="0"/>
        <w:spacing w:before="156" w:after="156" w:line="360" w:lineRule="auto"/>
        <w:rPr>
          <w:rFonts w:hint="eastAsia" w:ascii="仿宋_GB2312" w:hAnsi="仿宋" w:eastAsia="仿宋_GB2312" w:cs="仿宋"/>
          <w:b/>
          <w:bCs/>
          <w:lang w:val="en-US" w:eastAsia="zh-CN"/>
        </w:rPr>
      </w:pPr>
      <w:r>
        <w:rPr>
          <w:rFonts w:hint="eastAsia" w:ascii="仿宋_GB2312" w:hAnsi="仿宋" w:eastAsia="仿宋_GB2312" w:cs="仿宋"/>
          <w:b/>
          <w:bCs/>
          <w:lang w:val="en-US" w:eastAsia="zh-CN"/>
        </w:rPr>
        <w:t>优惠条件和实质承诺</w:t>
      </w:r>
    </w:p>
    <w:p w14:paraId="7B69016D">
      <w:pPr>
        <w:pStyle w:val="17"/>
        <w:numPr>
          <w:ilvl w:val="-1"/>
          <w:numId w:val="0"/>
        </w:numPr>
        <w:adjustRightInd w:val="0"/>
        <w:snapToGrid w:val="0"/>
        <w:spacing w:before="156" w:after="156" w:line="360" w:lineRule="auto"/>
        <w:rPr>
          <w:rFonts w:hint="eastAsia" w:ascii="仿宋_GB2312" w:hAnsi="仿宋" w:eastAsia="仿宋_GB2312" w:cs="仿宋"/>
          <w:b/>
          <w:bCs/>
          <w:lang w:val="en-US" w:eastAsia="zh-CN"/>
        </w:rPr>
      </w:pPr>
    </w:p>
    <w:p w14:paraId="0A589B73">
      <w:pPr>
        <w:pStyle w:val="17"/>
        <w:numPr>
          <w:ilvl w:val="-1"/>
          <w:numId w:val="0"/>
        </w:numPr>
        <w:adjustRightInd w:val="0"/>
        <w:snapToGrid w:val="0"/>
        <w:spacing w:before="156" w:after="156" w:line="360" w:lineRule="auto"/>
        <w:rPr>
          <w:rFonts w:hint="default" w:ascii="仿宋_GB2312" w:hAnsi="仿宋" w:eastAsia="仿宋_GB2312" w:cs="仿宋"/>
          <w:b/>
          <w:bCs/>
          <w:lang w:val="en-US" w:eastAsia="zh-CN"/>
        </w:rPr>
      </w:pPr>
    </w:p>
    <w:p w14:paraId="2F020DA3">
      <w:pPr>
        <w:pStyle w:val="17"/>
        <w:adjustRightInd w:val="0"/>
        <w:snapToGrid w:val="0"/>
        <w:spacing w:before="156" w:after="156" w:line="360" w:lineRule="auto"/>
        <w:rPr>
          <w:rFonts w:ascii="仿宋_GB2312" w:hAnsi="仿宋" w:eastAsia="仿宋_GB2312" w:cs="仿宋"/>
          <w:b/>
          <w:bCs/>
        </w:rPr>
      </w:pPr>
      <w:r>
        <w:rPr>
          <w:rFonts w:hint="eastAsia" w:ascii="仿宋_GB2312" w:hAnsi="仿宋" w:eastAsia="仿宋_GB2312" w:cs="仿宋"/>
          <w:b/>
          <w:bCs/>
          <w:lang w:val="en-US" w:eastAsia="zh-CN"/>
        </w:rPr>
        <w:t>十二</w:t>
      </w:r>
      <w:r>
        <w:rPr>
          <w:rFonts w:hint="eastAsia" w:ascii="仿宋_GB2312" w:hAnsi="仿宋" w:eastAsia="仿宋_GB2312" w:cs="仿宋"/>
          <w:b/>
          <w:bCs/>
        </w:rPr>
        <w:t>、供应商认为需要说明的其他文件和资料</w:t>
      </w:r>
    </w:p>
    <w:p w14:paraId="03A83521">
      <w:pPr>
        <w:autoSpaceDE/>
        <w:autoSpaceDN/>
        <w:spacing w:line="240" w:lineRule="auto"/>
        <w:jc w:val="left"/>
        <w:rPr>
          <w:rFonts w:hint="default" w:ascii="仿宋_GB2312" w:hAnsi="仿宋" w:eastAsia="仿宋_GB2312" w:cs="仿宋"/>
          <w:b/>
          <w:bCs/>
          <w:kern w:val="2"/>
          <w:sz w:val="24"/>
          <w:szCs w:val="24"/>
          <w:lang w:val="en-US" w:eastAsia="zh-CN"/>
        </w:rPr>
      </w:pPr>
      <w:r>
        <w:rPr>
          <w:rFonts w:hint="default" w:ascii="仿宋_GB2312" w:hAnsi="仿宋" w:eastAsia="仿宋_GB2312" w:cs="仿宋"/>
          <w:b/>
          <w:bCs/>
          <w:kern w:val="2"/>
          <w:sz w:val="24"/>
          <w:szCs w:val="24"/>
          <w:lang w:val="en-US" w:eastAsia="zh-CN"/>
        </w:rPr>
        <w:br w:type="page"/>
      </w:r>
    </w:p>
    <w:p w14:paraId="24B51A5B">
      <w:pPr>
        <w:tabs>
          <w:tab w:val="left" w:pos="0"/>
        </w:tabs>
        <w:autoSpaceDE w:val="0"/>
        <w:autoSpaceDN w:val="0"/>
        <w:spacing w:line="360" w:lineRule="auto"/>
        <w:jc w:val="center"/>
        <w:rPr>
          <w:rFonts w:hint="eastAsia" w:ascii="仿宋_GB2312" w:hAnsi="仿宋" w:eastAsia="仿宋_GB2312" w:cs="仿宋"/>
          <w:b/>
          <w:bCs/>
          <w:sz w:val="24"/>
          <w:szCs w:val="24"/>
        </w:rPr>
      </w:pPr>
      <w:r>
        <w:rPr>
          <w:rFonts w:hint="eastAsia" w:ascii="仿宋_GB2312" w:hAnsi="仿宋" w:eastAsia="仿宋_GB2312" w:cs="仿宋"/>
          <w:b/>
          <w:bCs/>
          <w:kern w:val="2"/>
          <w:sz w:val="24"/>
          <w:szCs w:val="24"/>
          <w:lang w:val="en-US" w:eastAsia="zh-CN"/>
        </w:rPr>
        <w:t>十三、</w:t>
      </w:r>
      <w:r>
        <w:rPr>
          <w:rFonts w:hint="eastAsia" w:ascii="仿宋_GB2312" w:hAnsi="仿宋" w:eastAsia="仿宋_GB2312" w:cs="仿宋"/>
          <w:b/>
          <w:bCs/>
          <w:kern w:val="2"/>
          <w:sz w:val="24"/>
          <w:szCs w:val="24"/>
          <w:lang w:val="en-US"/>
        </w:rPr>
        <w:t>政府采购供应商廉洁自律承诺书</w:t>
      </w:r>
    </w:p>
    <w:p w14:paraId="359E025F">
      <w:pPr>
        <w:autoSpaceDE w:val="0"/>
        <w:autoSpaceDN w:val="0"/>
        <w:spacing w:line="360" w:lineRule="auto"/>
        <w:jc w:val="left"/>
        <w:rPr>
          <w:rFonts w:hint="eastAsia" w:ascii="仿宋" w:hAnsi="仿宋" w:eastAsia="仿宋" w:cs="仿宋"/>
          <w:kern w:val="0"/>
          <w:sz w:val="24"/>
          <w:lang w:val="zh-CN"/>
        </w:rPr>
      </w:pPr>
      <w:r>
        <w:rPr>
          <w:rFonts w:hint="eastAsia" w:ascii="仿宋" w:hAnsi="仿宋" w:eastAsia="仿宋" w:cs="仿宋"/>
          <w:sz w:val="24"/>
        </w:rPr>
        <w:t>（采购人）</w:t>
      </w:r>
      <w:r>
        <w:rPr>
          <w:rFonts w:hint="eastAsia" w:ascii="仿宋" w:hAnsi="仿宋" w:eastAsia="仿宋" w:cs="仿宋"/>
          <w:sz w:val="24"/>
          <w:lang w:eastAsia="zh-CN"/>
        </w:rPr>
        <w:t>、（采购代理机构）</w:t>
      </w:r>
      <w:r>
        <w:rPr>
          <w:rFonts w:hint="eastAsia" w:ascii="仿宋" w:hAnsi="仿宋" w:eastAsia="仿宋" w:cs="仿宋"/>
          <w:kern w:val="0"/>
          <w:sz w:val="24"/>
          <w:lang w:val="zh-CN"/>
        </w:rPr>
        <w:t xml:space="preserve">：    </w:t>
      </w:r>
    </w:p>
    <w:p w14:paraId="7E8DA4A2">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我单位响应你</w:t>
      </w:r>
      <w:r>
        <w:rPr>
          <w:rFonts w:hint="eastAsia" w:ascii="仿宋" w:hAnsi="仿宋" w:eastAsia="仿宋" w:cs="仿宋"/>
          <w:sz w:val="24"/>
        </w:rPr>
        <w:t>单位</w:t>
      </w:r>
      <w:r>
        <w:rPr>
          <w:rFonts w:hint="eastAsia" w:ascii="仿宋" w:hAnsi="仿宋" w:eastAsia="仿宋" w:cs="仿宋"/>
          <w:kern w:val="0"/>
          <w:sz w:val="24"/>
          <w:lang w:val="zh-CN"/>
        </w:rPr>
        <w:t>项目采购要求参加响应。在这次响应过程中和成交后，我们将严格遵守国家法律法规要求，并郑重承诺：</w:t>
      </w:r>
    </w:p>
    <w:p w14:paraId="100BBC6D">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一、不向项目有关人员及部门赠送礼金礼物、有价证券、回扣以及中介费、介绍费、咨询费等好处费； </w:t>
      </w:r>
    </w:p>
    <w:p w14:paraId="4B8332FD">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二、不为项目有关人员及部门报销应由你方单位或个人支付的费用； </w:t>
      </w:r>
    </w:p>
    <w:p w14:paraId="3C39FC2B">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三、不向项目有关人员及部门提供有可能影响公正的宴请和健身娱乐等活动； </w:t>
      </w:r>
    </w:p>
    <w:p w14:paraId="4102F394">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四、不为项目有关人员及部门出国（境）、旅游等提供方便；</w:t>
      </w:r>
    </w:p>
    <w:p w14:paraId="0FEEA70A">
      <w:pPr>
        <w:autoSpaceDE w:val="0"/>
        <w:autoSpaceDN w:val="0"/>
        <w:spacing w:line="360" w:lineRule="auto"/>
        <w:ind w:left="481" w:leftChars="229"/>
        <w:jc w:val="left"/>
        <w:rPr>
          <w:rFonts w:hint="eastAsia" w:ascii="仿宋" w:hAnsi="仿宋" w:eastAsia="仿宋" w:cs="仿宋"/>
          <w:kern w:val="0"/>
          <w:sz w:val="24"/>
          <w:lang w:val="zh-CN"/>
        </w:rPr>
      </w:pPr>
      <w:r>
        <w:rPr>
          <w:rFonts w:hint="eastAsia" w:ascii="仿宋" w:hAnsi="仿宋" w:eastAsia="仿宋" w:cs="仿宋"/>
          <w:kern w:val="0"/>
          <w:sz w:val="24"/>
          <w:lang w:val="zh-CN"/>
        </w:rPr>
        <w:t>五、不为项目有关人员个人装修住房、婚丧嫁娶、配偶子女工作安排等提供</w:t>
      </w:r>
    </w:p>
    <w:p w14:paraId="09EAC96F">
      <w:pPr>
        <w:autoSpaceDE w:val="0"/>
        <w:autoSpaceDN w:val="0"/>
        <w:spacing w:line="360" w:lineRule="auto"/>
        <w:jc w:val="left"/>
        <w:rPr>
          <w:rFonts w:hint="eastAsia" w:ascii="仿宋" w:hAnsi="仿宋" w:eastAsia="仿宋" w:cs="仿宋"/>
          <w:kern w:val="0"/>
          <w:sz w:val="24"/>
          <w:lang w:val="zh-CN"/>
        </w:rPr>
      </w:pPr>
      <w:r>
        <w:rPr>
          <w:rFonts w:hint="eastAsia" w:ascii="仿宋" w:hAnsi="仿宋" w:eastAsia="仿宋" w:cs="仿宋"/>
          <w:kern w:val="0"/>
          <w:sz w:val="24"/>
          <w:lang w:val="zh-CN"/>
        </w:rPr>
        <w:t>好处；</w:t>
      </w:r>
    </w:p>
    <w:p w14:paraId="4D35CC12">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六、严格遵守《中华人民共和国政府采购法》《中华人民共和国招标投标法》《中华人民共和国民法典》等法律法规，诚实守信，合法经营，坚决抵制各种违法违纪行为。 </w:t>
      </w:r>
    </w:p>
    <w:p w14:paraId="63A17696">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如违反上述承诺，你</w:t>
      </w:r>
      <w:r>
        <w:rPr>
          <w:rFonts w:hint="eastAsia" w:ascii="仿宋" w:hAnsi="仿宋" w:eastAsia="仿宋" w:cs="仿宋"/>
          <w:sz w:val="24"/>
        </w:rPr>
        <w:t>单位</w:t>
      </w:r>
      <w:r>
        <w:rPr>
          <w:rFonts w:hint="eastAsia" w:ascii="仿宋" w:hAnsi="仿宋" w:eastAsia="仿宋" w:cs="仿宋"/>
          <w:kern w:val="0"/>
          <w:sz w:val="24"/>
          <w:lang w:val="zh-CN"/>
        </w:rPr>
        <w:t>有权立即取消我单位响应、成交或在建项目的建设资格，有权拒绝我单位在一定时期内进入你</w:t>
      </w:r>
      <w:r>
        <w:rPr>
          <w:rFonts w:hint="eastAsia" w:ascii="仿宋" w:hAnsi="仿宋" w:eastAsia="仿宋" w:cs="仿宋"/>
          <w:sz w:val="24"/>
        </w:rPr>
        <w:t>单位</w:t>
      </w:r>
      <w:r>
        <w:rPr>
          <w:rFonts w:hint="eastAsia" w:ascii="仿宋" w:hAnsi="仿宋" w:eastAsia="仿宋" w:cs="仿宋"/>
          <w:kern w:val="0"/>
          <w:sz w:val="24"/>
          <w:lang w:val="zh-CN"/>
        </w:rPr>
        <w:t>进行项目建设或其他经营活动，并通报市财政局。由此引起的相应损失均由我单位承担。</w:t>
      </w:r>
    </w:p>
    <w:p w14:paraId="62AD7517">
      <w:pPr>
        <w:autoSpaceDE w:val="0"/>
        <w:autoSpaceDN w:val="0"/>
        <w:spacing w:line="360" w:lineRule="auto"/>
        <w:ind w:left="2"/>
        <w:jc w:val="left"/>
        <w:rPr>
          <w:rFonts w:hint="eastAsia" w:ascii="仿宋" w:hAnsi="仿宋" w:eastAsia="仿宋" w:cs="仿宋"/>
          <w:kern w:val="0"/>
          <w:sz w:val="24"/>
          <w:lang w:val="zh-CN"/>
        </w:rPr>
      </w:pPr>
    </w:p>
    <w:p w14:paraId="40BADA0A">
      <w:pPr>
        <w:autoSpaceDE w:val="0"/>
        <w:autoSpaceDN w:val="0"/>
        <w:spacing w:line="360" w:lineRule="auto"/>
        <w:ind w:left="2"/>
        <w:jc w:val="left"/>
        <w:rPr>
          <w:rFonts w:cs="仿宋_GB2312" w:asciiTheme="minorEastAsia" w:hAnsiTheme="minorEastAsia" w:eastAsiaTheme="minorEastAsia"/>
          <w:kern w:val="0"/>
          <w:sz w:val="24"/>
          <w:lang w:val="zh-CN"/>
        </w:rPr>
      </w:pPr>
    </w:p>
    <w:p w14:paraId="50E1D7B3">
      <w:pPr>
        <w:autoSpaceDE w:val="0"/>
        <w:autoSpaceDN w:val="0"/>
        <w:spacing w:line="360" w:lineRule="auto"/>
        <w:ind w:left="2"/>
        <w:jc w:val="left"/>
        <w:rPr>
          <w:rFonts w:hint="eastAsia" w:ascii="仿宋" w:hAnsi="仿宋" w:eastAsia="仿宋" w:cs="仿宋"/>
          <w:kern w:val="0"/>
          <w:sz w:val="24"/>
          <w:lang w:val="zh-CN"/>
        </w:rPr>
      </w:pPr>
    </w:p>
    <w:p w14:paraId="137CF29D">
      <w:pPr>
        <w:autoSpaceDE w:val="0"/>
        <w:autoSpaceDN w:val="0"/>
        <w:spacing w:line="360" w:lineRule="auto"/>
        <w:ind w:left="2" w:leftChars="1" w:right="1120" w:firstLine="4560" w:firstLineChars="1900"/>
        <w:jc w:val="left"/>
        <w:rPr>
          <w:rFonts w:hint="eastAsia" w:ascii="仿宋" w:hAnsi="仿宋" w:eastAsia="仿宋" w:cs="仿宋"/>
          <w:kern w:val="0"/>
          <w:sz w:val="24"/>
          <w:lang w:val="zh-CN"/>
        </w:rPr>
      </w:pPr>
      <w:r>
        <w:rPr>
          <w:rFonts w:hint="eastAsia" w:ascii="仿宋" w:hAnsi="仿宋" w:eastAsia="仿宋" w:cs="仿宋"/>
          <w:kern w:val="0"/>
          <w:sz w:val="24"/>
        </w:rPr>
        <w:t>供应商</w:t>
      </w:r>
      <w:r>
        <w:rPr>
          <w:rFonts w:hint="eastAsia" w:ascii="仿宋" w:hAnsi="仿宋" w:eastAsia="仿宋" w:cs="仿宋"/>
          <w:kern w:val="0"/>
          <w:sz w:val="24"/>
          <w:lang w:val="zh-CN"/>
        </w:rPr>
        <w:t>名称（</w:t>
      </w:r>
      <w:r>
        <w:rPr>
          <w:rFonts w:hint="eastAsia" w:ascii="仿宋" w:hAnsi="仿宋" w:eastAsia="仿宋" w:cs="仿宋"/>
          <w:sz w:val="24"/>
        </w:rPr>
        <w:t>电子签名</w:t>
      </w:r>
      <w:r>
        <w:rPr>
          <w:rFonts w:hint="eastAsia" w:ascii="仿宋" w:hAnsi="仿宋" w:eastAsia="仿宋" w:cs="仿宋"/>
          <w:kern w:val="0"/>
          <w:sz w:val="24"/>
          <w:lang w:val="zh-CN"/>
        </w:rPr>
        <w:t xml:space="preserve">）：                </w:t>
      </w:r>
    </w:p>
    <w:p w14:paraId="41722D33">
      <w:pPr>
        <w:spacing w:line="360" w:lineRule="auto"/>
        <w:ind w:left="4620" w:leftChars="2200"/>
        <w:rPr>
          <w:rFonts w:hint="eastAsia" w:ascii="仿宋" w:hAnsi="仿宋" w:eastAsia="仿宋" w:cs="仿宋"/>
          <w:sz w:val="24"/>
        </w:rPr>
      </w:pPr>
      <w:r>
        <w:rPr>
          <w:rFonts w:hint="eastAsia" w:ascii="仿宋" w:hAnsi="仿宋" w:eastAsia="仿宋" w:cs="仿宋"/>
          <w:kern w:val="0"/>
          <w:sz w:val="24"/>
          <w:lang w:val="zh-CN"/>
        </w:rPr>
        <w:t>日期</w:t>
      </w:r>
      <w:r>
        <w:rPr>
          <w:rFonts w:hint="eastAsia" w:ascii="仿宋" w:hAnsi="仿宋" w:eastAsia="仿宋" w:cs="仿宋"/>
          <w:kern w:val="0"/>
          <w:sz w:val="24"/>
        </w:rPr>
        <w:t>：</w:t>
      </w:r>
      <w:r>
        <w:rPr>
          <w:rFonts w:hint="eastAsia" w:ascii="仿宋" w:hAnsi="仿宋" w:eastAsia="仿宋" w:cs="仿宋"/>
          <w:kern w:val="0"/>
          <w:sz w:val="24"/>
          <w:lang w:val="zh-CN"/>
        </w:rPr>
        <w:t xml:space="preserve">   年   月   日</w:t>
      </w:r>
    </w:p>
    <w:p w14:paraId="6E53FCEC">
      <w:pPr>
        <w:spacing w:line="360" w:lineRule="auto"/>
        <w:jc w:val="center"/>
        <w:rPr>
          <w:rFonts w:cs="仿宋_GB2312" w:asciiTheme="minorEastAsia" w:hAnsiTheme="minorEastAsia" w:eastAsiaTheme="minorEastAsia"/>
          <w:b/>
          <w:sz w:val="36"/>
          <w:szCs w:val="36"/>
        </w:rPr>
      </w:pPr>
    </w:p>
    <w:p w14:paraId="5CEC8DF9">
      <w:pPr>
        <w:adjustRightInd w:val="0"/>
        <w:snapToGrid w:val="0"/>
        <w:spacing w:before="156" w:beforeLines="50" w:after="50" w:line="360" w:lineRule="auto"/>
        <w:rPr>
          <w:rFonts w:ascii="仿宋_GB2312" w:hAnsi="仿宋" w:eastAsia="仿宋_GB2312" w:cs="仿宋"/>
          <w:b/>
          <w:sz w:val="30"/>
          <w:szCs w:val="30"/>
        </w:rPr>
      </w:pPr>
      <w:r>
        <w:rPr>
          <w:rFonts w:hint="eastAsia" w:ascii="仿宋_GB2312" w:hAnsi="仿宋" w:eastAsia="仿宋_GB2312" w:cs="仿宋"/>
          <w:sz w:val="30"/>
          <w:szCs w:val="30"/>
        </w:rPr>
        <w:br w:type="page"/>
      </w:r>
      <w:r>
        <w:rPr>
          <w:rFonts w:hint="eastAsia" w:ascii="仿宋_GB2312" w:hAnsi="仿宋" w:eastAsia="仿宋_GB2312" w:cs="仿宋"/>
          <w:sz w:val="30"/>
          <w:szCs w:val="30"/>
        </w:rPr>
        <w:t>封面</w:t>
      </w:r>
      <w:r>
        <w:rPr>
          <w:rFonts w:hint="eastAsia" w:ascii="仿宋_GB2312" w:hAnsi="仿宋" w:eastAsia="仿宋_GB2312" w:cs="仿宋"/>
          <w:b/>
          <w:sz w:val="30"/>
          <w:szCs w:val="30"/>
        </w:rPr>
        <w:t xml:space="preserve">：                                    </w:t>
      </w:r>
      <w:r>
        <w:rPr>
          <w:rFonts w:hint="eastAsia" w:ascii="仿宋_GB2312" w:hAnsi="仿宋" w:eastAsia="仿宋_GB2312" w:cs="仿宋"/>
          <w:sz w:val="30"/>
          <w:szCs w:val="30"/>
        </w:rPr>
        <w:t xml:space="preserve"> 正本或副本</w:t>
      </w:r>
    </w:p>
    <w:p w14:paraId="28602698">
      <w:pPr>
        <w:adjustRightInd w:val="0"/>
        <w:snapToGrid w:val="0"/>
        <w:spacing w:line="360" w:lineRule="auto"/>
        <w:ind w:right="-110"/>
        <w:jc w:val="center"/>
        <w:rPr>
          <w:rFonts w:ascii="仿宋_GB2312" w:hAnsi="仿宋" w:eastAsia="仿宋_GB2312" w:cs="仿宋"/>
          <w:spacing w:val="40"/>
          <w:sz w:val="52"/>
          <w:szCs w:val="52"/>
        </w:rPr>
      </w:pPr>
    </w:p>
    <w:p w14:paraId="3AF845EF">
      <w:pPr>
        <w:adjustRightInd w:val="0"/>
        <w:snapToGrid w:val="0"/>
        <w:spacing w:line="360" w:lineRule="auto"/>
        <w:ind w:right="-110"/>
        <w:jc w:val="center"/>
        <w:rPr>
          <w:rFonts w:ascii="仿宋_GB2312" w:hAnsi="仿宋" w:eastAsia="仿宋_GB2312" w:cs="仿宋"/>
          <w:spacing w:val="40"/>
          <w:sz w:val="52"/>
          <w:szCs w:val="52"/>
        </w:rPr>
      </w:pPr>
      <w:r>
        <w:rPr>
          <w:rFonts w:hint="eastAsia" w:ascii="仿宋_GB2312" w:hAnsi="仿宋" w:eastAsia="仿宋_GB2312" w:cs="仿宋"/>
          <w:spacing w:val="40"/>
          <w:sz w:val="52"/>
          <w:szCs w:val="52"/>
        </w:rPr>
        <w:t>***项目名称</w:t>
      </w:r>
    </w:p>
    <w:p w14:paraId="2A65E13E">
      <w:pPr>
        <w:adjustRightInd w:val="0"/>
        <w:snapToGrid w:val="0"/>
        <w:spacing w:before="312" w:beforeLines="100" w:line="360" w:lineRule="auto"/>
        <w:ind w:right="-108"/>
        <w:jc w:val="center"/>
        <w:rPr>
          <w:rFonts w:ascii="仿宋_GB2312" w:hAnsi="仿宋" w:eastAsia="仿宋_GB2312" w:cs="仿宋"/>
          <w:sz w:val="36"/>
          <w:szCs w:val="36"/>
        </w:rPr>
      </w:pPr>
      <w:r>
        <w:rPr>
          <w:rFonts w:hint="eastAsia" w:ascii="仿宋_GB2312" w:hAnsi="仿宋" w:eastAsia="仿宋_GB2312" w:cs="仿宋"/>
          <w:sz w:val="36"/>
          <w:szCs w:val="36"/>
        </w:rPr>
        <w:t>项目编号：</w:t>
      </w:r>
    </w:p>
    <w:p w14:paraId="556D66C3">
      <w:pPr>
        <w:adjustRightInd w:val="0"/>
        <w:snapToGrid w:val="0"/>
        <w:spacing w:before="312" w:beforeLines="100" w:line="360" w:lineRule="auto"/>
        <w:ind w:right="-108"/>
        <w:jc w:val="center"/>
        <w:rPr>
          <w:rFonts w:ascii="仿宋_GB2312" w:hAnsi="仿宋" w:eastAsia="仿宋_GB2312" w:cs="仿宋"/>
          <w:sz w:val="36"/>
          <w:szCs w:val="36"/>
        </w:rPr>
      </w:pPr>
    </w:p>
    <w:p w14:paraId="20E33B1C">
      <w:pPr>
        <w:adjustRightInd w:val="0"/>
        <w:snapToGrid w:val="0"/>
        <w:spacing w:after="100" w:afterAutospacing="1"/>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报</w:t>
      </w:r>
    </w:p>
    <w:p w14:paraId="355FBF28">
      <w:pPr>
        <w:adjustRightInd w:val="0"/>
        <w:snapToGrid w:val="0"/>
        <w:spacing w:after="100" w:afterAutospacing="1"/>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价</w:t>
      </w:r>
    </w:p>
    <w:p w14:paraId="2ED82CEB">
      <w:pPr>
        <w:adjustRightInd w:val="0"/>
        <w:snapToGrid w:val="0"/>
        <w:spacing w:after="100" w:afterAutospacing="1"/>
        <w:jc w:val="center"/>
        <w:rPr>
          <w:rFonts w:ascii="仿宋_GB2312" w:hAnsi="仿宋" w:eastAsia="仿宋_GB2312" w:cs="仿宋"/>
          <w:b/>
          <w:spacing w:val="40"/>
          <w:sz w:val="72"/>
          <w:szCs w:val="72"/>
        </w:rPr>
      </w:pPr>
      <w:r>
        <w:rPr>
          <w:rFonts w:hint="eastAsia" w:ascii="仿宋_GB2312" w:hAnsi="仿宋" w:eastAsia="仿宋_GB2312" w:cs="仿宋"/>
          <w:b/>
          <w:spacing w:val="40"/>
          <w:sz w:val="72"/>
          <w:szCs w:val="72"/>
        </w:rPr>
        <w:t>文</w:t>
      </w:r>
    </w:p>
    <w:p w14:paraId="629D33AB">
      <w:pPr>
        <w:adjustRightInd w:val="0"/>
        <w:snapToGrid w:val="0"/>
        <w:spacing w:after="100" w:afterAutospacing="1"/>
        <w:jc w:val="center"/>
        <w:rPr>
          <w:rFonts w:ascii="仿宋_GB2312" w:hAnsi="仿宋" w:eastAsia="仿宋_GB2312" w:cs="仿宋"/>
          <w:b/>
          <w:spacing w:val="40"/>
          <w:sz w:val="84"/>
          <w:szCs w:val="84"/>
        </w:rPr>
      </w:pPr>
      <w:r>
        <w:rPr>
          <w:rFonts w:hint="eastAsia" w:ascii="仿宋_GB2312" w:hAnsi="仿宋" w:eastAsia="仿宋_GB2312" w:cs="仿宋"/>
          <w:b/>
          <w:spacing w:val="40"/>
          <w:sz w:val="72"/>
          <w:szCs w:val="72"/>
        </w:rPr>
        <w:t>件</w:t>
      </w:r>
    </w:p>
    <w:p w14:paraId="70F3FF9A">
      <w:pPr>
        <w:adjustRightInd w:val="0"/>
        <w:snapToGrid w:val="0"/>
        <w:spacing w:line="360" w:lineRule="auto"/>
        <w:ind w:right="532"/>
        <w:jc w:val="center"/>
        <w:rPr>
          <w:rFonts w:ascii="仿宋_GB2312" w:hAnsi="仿宋" w:eastAsia="仿宋_GB2312" w:cs="仿宋"/>
          <w:sz w:val="36"/>
          <w:szCs w:val="36"/>
        </w:rPr>
      </w:pPr>
    </w:p>
    <w:p w14:paraId="350C8499">
      <w:pPr>
        <w:adjustRightInd w:val="0"/>
        <w:snapToGrid w:val="0"/>
        <w:spacing w:line="360" w:lineRule="auto"/>
        <w:ind w:right="532"/>
        <w:jc w:val="center"/>
        <w:rPr>
          <w:rFonts w:ascii="仿宋_GB2312" w:hAnsi="仿宋" w:eastAsia="仿宋_GB2312" w:cs="仿宋"/>
          <w:sz w:val="36"/>
          <w:szCs w:val="36"/>
        </w:rPr>
      </w:pPr>
    </w:p>
    <w:p w14:paraId="02DC0F6E">
      <w:pPr>
        <w:adjustRightInd w:val="0"/>
        <w:snapToGrid w:val="0"/>
        <w:spacing w:line="360" w:lineRule="auto"/>
        <w:ind w:right="532" w:firstLine="720" w:firstLineChars="200"/>
        <w:rPr>
          <w:rFonts w:ascii="仿宋_GB2312" w:hAnsi="仿宋" w:eastAsia="仿宋_GB2312" w:cs="仿宋"/>
          <w:sz w:val="36"/>
          <w:szCs w:val="36"/>
        </w:rPr>
      </w:pPr>
      <w:r>
        <w:rPr>
          <w:rFonts w:hint="eastAsia" w:ascii="仿宋_GB2312" w:hAnsi="仿宋" w:eastAsia="仿宋_GB2312" w:cs="仿宋"/>
          <w:sz w:val="36"/>
          <w:szCs w:val="36"/>
        </w:rPr>
        <w:t>磋商供应商全称（公章）：</w:t>
      </w:r>
    </w:p>
    <w:p w14:paraId="4A47B0A5">
      <w:pPr>
        <w:adjustRightInd w:val="0"/>
        <w:snapToGrid w:val="0"/>
        <w:spacing w:line="360" w:lineRule="auto"/>
        <w:ind w:right="532" w:firstLine="720" w:firstLineChars="200"/>
        <w:rPr>
          <w:rFonts w:ascii="仿宋_GB2312" w:hAnsi="仿宋" w:eastAsia="仿宋_GB2312" w:cs="仿宋"/>
          <w:sz w:val="36"/>
          <w:szCs w:val="36"/>
        </w:rPr>
      </w:pPr>
      <w:r>
        <w:rPr>
          <w:rFonts w:hint="eastAsia" w:ascii="仿宋_GB2312" w:hAnsi="仿宋" w:eastAsia="仿宋_GB2312" w:cs="仿宋"/>
          <w:sz w:val="36"/>
          <w:szCs w:val="36"/>
        </w:rPr>
        <w:t>授权代表（签字）：</w:t>
      </w:r>
    </w:p>
    <w:p w14:paraId="7B9EADEC">
      <w:pPr>
        <w:wordWrap w:val="0"/>
        <w:adjustRightInd w:val="0"/>
        <w:snapToGrid w:val="0"/>
        <w:spacing w:line="360" w:lineRule="auto"/>
        <w:ind w:right="-108" w:firstLine="720" w:firstLineChars="200"/>
        <w:rPr>
          <w:rFonts w:ascii="仿宋_GB2312" w:hAnsi="仿宋" w:eastAsia="仿宋_GB2312" w:cs="仿宋"/>
          <w:sz w:val="36"/>
          <w:szCs w:val="36"/>
        </w:rPr>
      </w:pPr>
      <w:r>
        <w:rPr>
          <w:rFonts w:hint="eastAsia" w:ascii="仿宋_GB2312" w:hAnsi="仿宋" w:eastAsia="仿宋_GB2312" w:cs="仿宋"/>
          <w:sz w:val="36"/>
          <w:szCs w:val="36"/>
        </w:rPr>
        <w:t>地    址：</w:t>
      </w:r>
    </w:p>
    <w:p w14:paraId="352C735A">
      <w:pPr>
        <w:wordWrap w:val="0"/>
        <w:adjustRightInd w:val="0"/>
        <w:snapToGrid w:val="0"/>
        <w:spacing w:line="360" w:lineRule="auto"/>
        <w:ind w:right="-108" w:firstLine="720" w:firstLineChars="200"/>
        <w:rPr>
          <w:rFonts w:ascii="仿宋_GB2312" w:hAnsi="仿宋" w:eastAsia="仿宋_GB2312" w:cs="仿宋"/>
          <w:sz w:val="36"/>
          <w:szCs w:val="36"/>
        </w:rPr>
      </w:pPr>
      <w:r>
        <w:rPr>
          <w:rFonts w:hint="eastAsia" w:ascii="仿宋_GB2312" w:hAnsi="仿宋" w:eastAsia="仿宋_GB2312" w:cs="仿宋"/>
          <w:sz w:val="36"/>
          <w:szCs w:val="36"/>
        </w:rPr>
        <w:t>时    间：</w:t>
      </w:r>
    </w:p>
    <w:p w14:paraId="1C1550DF">
      <w:pPr>
        <w:adjustRightInd w:val="0"/>
        <w:snapToGrid w:val="0"/>
        <w:spacing w:line="360" w:lineRule="auto"/>
        <w:jc w:val="center"/>
        <w:rPr>
          <w:rFonts w:ascii="仿宋_GB2312" w:hAnsi="仿宋" w:eastAsia="仿宋_GB2312" w:cs="仿宋"/>
          <w:b/>
          <w:sz w:val="36"/>
          <w:szCs w:val="36"/>
        </w:rPr>
      </w:pPr>
    </w:p>
    <w:p w14:paraId="6D65CD2D">
      <w:pPr>
        <w:adjustRightInd w:val="0"/>
        <w:snapToGrid w:val="0"/>
        <w:spacing w:line="360" w:lineRule="auto"/>
        <w:jc w:val="center"/>
        <w:rPr>
          <w:rFonts w:ascii="仿宋_GB2312" w:hAnsi="仿宋" w:eastAsia="仿宋_GB2312" w:cs="仿宋"/>
          <w:b/>
          <w:sz w:val="36"/>
          <w:szCs w:val="36"/>
        </w:rPr>
      </w:pPr>
      <w:r>
        <w:rPr>
          <w:rFonts w:hint="eastAsia" w:ascii="仿宋_GB2312" w:hAnsi="仿宋" w:eastAsia="仿宋_GB2312" w:cs="仿宋"/>
          <w:b/>
          <w:sz w:val="36"/>
          <w:szCs w:val="36"/>
        </w:rPr>
        <w:t>报价文件</w:t>
      </w:r>
    </w:p>
    <w:p w14:paraId="2FCC22F3">
      <w:pPr>
        <w:adjustRightInd w:val="0"/>
        <w:snapToGrid w:val="0"/>
        <w:spacing w:line="360" w:lineRule="auto"/>
        <w:jc w:val="center"/>
        <w:rPr>
          <w:rFonts w:ascii="仿宋_GB2312" w:hAnsi="仿宋" w:eastAsia="仿宋_GB2312" w:cs="仿宋"/>
          <w:sz w:val="32"/>
          <w:szCs w:val="32"/>
        </w:rPr>
      </w:pPr>
      <w:r>
        <w:rPr>
          <w:rFonts w:hint="eastAsia" w:ascii="仿宋_GB2312" w:hAnsi="仿宋" w:eastAsia="仿宋_GB2312" w:cs="仿宋"/>
          <w:sz w:val="32"/>
          <w:szCs w:val="32"/>
        </w:rPr>
        <w:t>目录</w:t>
      </w:r>
    </w:p>
    <w:p w14:paraId="7B931BE3">
      <w:pPr>
        <w:tabs>
          <w:tab w:val="left" w:pos="3870"/>
          <w:tab w:val="left" w:pos="4085"/>
        </w:tabs>
        <w:adjustRightInd w:val="0"/>
        <w:snapToGrid w:val="0"/>
        <w:spacing w:line="360" w:lineRule="auto"/>
        <w:jc w:val="left"/>
        <w:rPr>
          <w:rFonts w:ascii="仿宋_GB2312" w:hAnsi="仿宋" w:eastAsia="仿宋_GB2312" w:cs="仿宋"/>
          <w:sz w:val="24"/>
        </w:rPr>
      </w:pPr>
      <w:r>
        <w:rPr>
          <w:rFonts w:hint="eastAsia" w:ascii="仿宋_GB2312" w:hAnsi="仿宋" w:eastAsia="仿宋_GB2312" w:cs="仿宋"/>
          <w:sz w:val="24"/>
        </w:rPr>
        <w:t>（1）磋商响应函———————————————————————（页码）</w:t>
      </w:r>
    </w:p>
    <w:p w14:paraId="1BC0A34E">
      <w:pPr>
        <w:adjustRightInd w:val="0"/>
        <w:snapToGrid w:val="0"/>
        <w:spacing w:line="360" w:lineRule="auto"/>
        <w:jc w:val="left"/>
        <w:rPr>
          <w:rFonts w:ascii="仿宋_GB2312" w:hAnsi="仿宋" w:eastAsia="仿宋_GB2312" w:cs="仿宋"/>
          <w:sz w:val="24"/>
        </w:rPr>
      </w:pPr>
      <w:r>
        <w:rPr>
          <w:rFonts w:hint="eastAsia" w:ascii="仿宋_GB2312" w:hAnsi="仿宋" w:eastAsia="仿宋_GB2312" w:cs="仿宋"/>
          <w:sz w:val="24"/>
        </w:rPr>
        <w:t>（2）初次报价（开标）一览表—————————————————（页码）</w:t>
      </w:r>
    </w:p>
    <w:p w14:paraId="319AEED0">
      <w:pPr>
        <w:tabs>
          <w:tab w:val="left" w:pos="3870"/>
          <w:tab w:val="left" w:pos="4085"/>
        </w:tabs>
        <w:adjustRightInd w:val="0"/>
        <w:snapToGrid w:val="0"/>
        <w:spacing w:line="360" w:lineRule="auto"/>
        <w:jc w:val="left"/>
        <w:rPr>
          <w:rFonts w:ascii="仿宋_GB2312" w:hAnsi="仿宋" w:eastAsia="仿宋_GB2312" w:cs="仿宋"/>
          <w:sz w:val="24"/>
        </w:rPr>
      </w:pPr>
      <w:r>
        <w:rPr>
          <w:rFonts w:hint="eastAsia" w:ascii="仿宋_GB2312" w:hAnsi="仿宋" w:eastAsia="仿宋_GB2312" w:cs="仿宋"/>
          <w:sz w:val="24"/>
        </w:rPr>
        <w:t>（3）报价明细表———————————————————————（页码）</w:t>
      </w:r>
    </w:p>
    <w:p w14:paraId="13AAFB65">
      <w:pPr>
        <w:tabs>
          <w:tab w:val="left" w:pos="3870"/>
          <w:tab w:val="left" w:pos="4085"/>
        </w:tabs>
        <w:adjustRightInd w:val="0"/>
        <w:snapToGrid w:val="0"/>
        <w:spacing w:line="360" w:lineRule="auto"/>
        <w:jc w:val="left"/>
        <w:rPr>
          <w:rFonts w:hint="eastAsia" w:ascii="仿宋_GB2312" w:hAnsi="仿宋" w:eastAsia="仿宋_GB2312" w:cs="仿宋"/>
          <w:sz w:val="24"/>
        </w:rPr>
      </w:pPr>
      <w:r>
        <w:rPr>
          <w:rFonts w:hint="eastAsia" w:ascii="仿宋_GB2312" w:hAnsi="仿宋" w:eastAsia="仿宋_GB2312" w:cs="仿宋"/>
          <w:sz w:val="24"/>
        </w:rPr>
        <w:t>（</w:t>
      </w:r>
      <w:r>
        <w:rPr>
          <w:rFonts w:hint="eastAsia" w:ascii="仿宋_GB2312" w:hAnsi="仿宋" w:eastAsia="仿宋_GB2312" w:cs="仿宋"/>
          <w:sz w:val="24"/>
          <w:lang w:val="en-US" w:eastAsia="zh-CN"/>
        </w:rPr>
        <w:t>4</w:t>
      </w:r>
      <w:r>
        <w:rPr>
          <w:rFonts w:hint="eastAsia" w:ascii="仿宋_GB2312" w:hAnsi="仿宋" w:eastAsia="仿宋_GB2312" w:cs="仿宋"/>
          <w:sz w:val="24"/>
        </w:rPr>
        <w:t>）中小企业声明函（如有）—————————————————（页码）</w:t>
      </w:r>
    </w:p>
    <w:p w14:paraId="22E325CF">
      <w:pPr>
        <w:adjustRightInd w:val="0"/>
        <w:snapToGrid w:val="0"/>
        <w:spacing w:line="360" w:lineRule="auto"/>
        <w:jc w:val="left"/>
        <w:rPr>
          <w:rFonts w:ascii="仿宋_GB2312" w:hAnsi="仿宋" w:eastAsia="仿宋_GB2312" w:cs="仿宋"/>
          <w:sz w:val="24"/>
        </w:rPr>
      </w:pPr>
    </w:p>
    <w:p w14:paraId="1F0D8B2D">
      <w:pPr>
        <w:adjustRightInd w:val="0"/>
        <w:snapToGrid w:val="0"/>
        <w:spacing w:line="360" w:lineRule="auto"/>
        <w:jc w:val="left"/>
        <w:rPr>
          <w:rFonts w:ascii="仿宋_GB2312" w:hAnsi="仿宋" w:eastAsia="仿宋_GB2312" w:cs="仿宋"/>
          <w:sz w:val="24"/>
        </w:rPr>
      </w:pPr>
    </w:p>
    <w:p w14:paraId="1AFD72C9">
      <w:pPr>
        <w:adjustRightInd w:val="0"/>
        <w:snapToGrid w:val="0"/>
        <w:spacing w:line="360" w:lineRule="auto"/>
        <w:rPr>
          <w:rFonts w:ascii="仿宋_GB2312" w:hAnsi="仿宋" w:eastAsia="仿宋_GB2312" w:cs="仿宋"/>
        </w:rPr>
      </w:pPr>
    </w:p>
    <w:p w14:paraId="66BE6C3F">
      <w:pPr>
        <w:adjustRightInd w:val="0"/>
        <w:snapToGrid w:val="0"/>
        <w:spacing w:line="360" w:lineRule="auto"/>
        <w:rPr>
          <w:rFonts w:ascii="仿宋_GB2312" w:hAnsi="仿宋" w:eastAsia="仿宋_GB2312" w:cs="仿宋"/>
        </w:rPr>
      </w:pPr>
    </w:p>
    <w:p w14:paraId="64A39EAC">
      <w:pPr>
        <w:adjustRightInd w:val="0"/>
        <w:snapToGrid w:val="0"/>
        <w:spacing w:line="360" w:lineRule="auto"/>
        <w:rPr>
          <w:rFonts w:ascii="仿宋_GB2312" w:hAnsi="仿宋" w:eastAsia="仿宋_GB2312" w:cs="仿宋"/>
          <w:sz w:val="24"/>
        </w:rPr>
      </w:pPr>
      <w:r>
        <w:rPr>
          <w:rFonts w:hint="eastAsia" w:ascii="仿宋_GB2312" w:hAnsi="仿宋" w:eastAsia="仿宋_GB2312" w:cs="仿宋"/>
        </w:rPr>
        <w:br w:type="page"/>
      </w:r>
      <w:r>
        <w:rPr>
          <w:rFonts w:hint="eastAsia" w:ascii="仿宋_GB2312" w:hAnsi="仿宋" w:eastAsia="仿宋_GB2312" w:cs="仿宋"/>
          <w:b/>
          <w:bCs/>
          <w:sz w:val="24"/>
        </w:rPr>
        <w:t>一、磋商响应函格式：</w:t>
      </w:r>
    </w:p>
    <w:p w14:paraId="05A5954F">
      <w:pPr>
        <w:pStyle w:val="86"/>
        <w:keepNext w:val="0"/>
        <w:pageBreakBefore w:val="0"/>
        <w:tabs>
          <w:tab w:val="clear" w:pos="720"/>
        </w:tabs>
        <w:adjustRightInd w:val="0"/>
        <w:snapToGrid w:val="0"/>
        <w:outlineLvl w:val="9"/>
        <w:rPr>
          <w:rFonts w:ascii="仿宋" w:hAnsi="仿宋" w:eastAsia="仿宋" w:cs="仿宋"/>
          <w:sz w:val="24"/>
          <w:szCs w:val="24"/>
        </w:rPr>
      </w:pPr>
      <w:bookmarkStart w:id="9" w:name="_Toc415734855"/>
      <w:r>
        <w:rPr>
          <w:rFonts w:hint="eastAsia" w:ascii="仿宋" w:hAnsi="仿宋" w:eastAsia="仿宋" w:cs="仿宋"/>
          <w:sz w:val="24"/>
          <w:szCs w:val="24"/>
        </w:rPr>
        <w:t>磋商响应函</w:t>
      </w:r>
      <w:bookmarkEnd w:id="9"/>
    </w:p>
    <w:p w14:paraId="72295327">
      <w:pPr>
        <w:adjustRightInd w:val="0"/>
        <w:snapToGrid w:val="0"/>
        <w:spacing w:line="360" w:lineRule="auto"/>
        <w:rPr>
          <w:rFonts w:ascii="仿宋" w:hAnsi="仿宋" w:eastAsia="仿宋" w:cs="仿宋"/>
          <w:sz w:val="24"/>
        </w:rPr>
      </w:pPr>
      <w:r>
        <w:rPr>
          <w:rFonts w:hint="eastAsia" w:ascii="仿宋" w:hAnsi="仿宋" w:eastAsia="仿宋" w:cs="仿宋"/>
          <w:sz w:val="24"/>
          <w:lang w:val="zh-CN"/>
        </w:rPr>
        <w:t xml:space="preserve"> 中共浙江省委组织部（本级）、</w:t>
      </w:r>
      <w:r>
        <w:rPr>
          <w:rFonts w:hint="eastAsia" w:ascii="仿宋" w:hAnsi="仿宋" w:eastAsia="仿宋" w:cs="仿宋"/>
          <w:sz w:val="24"/>
        </w:rPr>
        <w:t>浙江通用招标代理有限公司：</w:t>
      </w:r>
    </w:p>
    <w:p w14:paraId="284FBEF4">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w:t>
      </w:r>
      <w:r>
        <w:rPr>
          <w:rFonts w:hint="eastAsia" w:ascii="仿宋" w:hAnsi="仿宋" w:eastAsia="仿宋" w:cs="仿宋"/>
          <w:sz w:val="24"/>
        </w:rPr>
        <w:t>磋商供应商全称</w:t>
      </w:r>
      <w:r>
        <w:rPr>
          <w:rFonts w:ascii="仿宋" w:hAnsi="仿宋" w:eastAsia="仿宋" w:cs="仿宋"/>
          <w:sz w:val="24"/>
        </w:rPr>
        <w:t>)</w:t>
      </w:r>
      <w:r>
        <w:rPr>
          <w:rFonts w:hint="eastAsia" w:ascii="仿宋" w:hAnsi="仿宋" w:eastAsia="仿宋" w:cs="仿宋"/>
          <w:sz w:val="24"/>
        </w:rPr>
        <w:t>授权</w:t>
      </w:r>
      <w:r>
        <w:rPr>
          <w:rFonts w:ascii="仿宋" w:hAnsi="仿宋" w:eastAsia="仿宋" w:cs="仿宋"/>
          <w:sz w:val="24"/>
        </w:rPr>
        <w:t>(</w:t>
      </w:r>
      <w:r>
        <w:rPr>
          <w:rFonts w:hint="eastAsia" w:ascii="仿宋" w:hAnsi="仿宋" w:eastAsia="仿宋" w:cs="仿宋"/>
          <w:sz w:val="24"/>
        </w:rPr>
        <w:t>全权代表姓名</w:t>
      </w:r>
      <w:r>
        <w:rPr>
          <w:rFonts w:ascii="仿宋" w:hAnsi="仿宋" w:eastAsia="仿宋" w:cs="仿宋"/>
          <w:sz w:val="24"/>
        </w:rPr>
        <w:t>)(</w:t>
      </w:r>
      <w:r>
        <w:rPr>
          <w:rFonts w:hint="eastAsia" w:ascii="仿宋" w:hAnsi="仿宋" w:eastAsia="仿宋" w:cs="仿宋"/>
          <w:sz w:val="24"/>
        </w:rPr>
        <w:t>职务、职称</w:t>
      </w:r>
      <w:r>
        <w:rPr>
          <w:rFonts w:ascii="仿宋" w:hAnsi="仿宋" w:eastAsia="仿宋" w:cs="仿宋"/>
          <w:sz w:val="24"/>
        </w:rPr>
        <w:t>)</w:t>
      </w:r>
      <w:r>
        <w:rPr>
          <w:rFonts w:hint="eastAsia" w:ascii="仿宋" w:hAnsi="仿宋" w:eastAsia="仿宋" w:cs="仿宋"/>
          <w:sz w:val="24"/>
        </w:rPr>
        <w:t>为全权代表，参加贵方组织的</w:t>
      </w:r>
      <w:r>
        <w:rPr>
          <w:rFonts w:hint="eastAsia" w:ascii="仿宋_GB2312" w:hAnsi="仿宋" w:eastAsia="仿宋_GB2312" w:cs="仿宋_GB2312"/>
          <w:sz w:val="24"/>
        </w:rPr>
        <w:t>（项目名称）【招标编号：</w:t>
      </w:r>
      <w:r>
        <w:rPr>
          <w:rFonts w:hint="eastAsia" w:ascii="仿宋_GB2312" w:hAnsi="仿宋" w:eastAsia="仿宋_GB2312"/>
          <w:sz w:val="24"/>
        </w:rPr>
        <w:t>（采购编号）</w:t>
      </w:r>
      <w:r>
        <w:rPr>
          <w:rFonts w:hint="eastAsia" w:ascii="仿宋_GB2312" w:hAnsi="仿宋" w:eastAsia="仿宋_GB2312" w:cs="仿宋_GB2312"/>
          <w:sz w:val="24"/>
        </w:rPr>
        <w:t>】</w:t>
      </w:r>
      <w:r>
        <w:rPr>
          <w:rFonts w:hint="eastAsia" w:ascii="仿宋" w:hAnsi="仿宋" w:eastAsia="仿宋" w:cs="仿宋"/>
          <w:sz w:val="24"/>
        </w:rPr>
        <w:t>招标的有关活动，并对此项目进行磋商响应。为此：</w:t>
      </w:r>
    </w:p>
    <w:p w14:paraId="72CD9CB5">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、我方同意在磋商供应商</w:t>
      </w:r>
      <w:r>
        <w:rPr>
          <w:rFonts w:hint="eastAsia" w:ascii="仿宋" w:hAnsi="仿宋" w:eastAsia="仿宋" w:cs="仿宋"/>
          <w:kern w:val="44"/>
          <w:sz w:val="24"/>
        </w:rPr>
        <w:t>编制和提交采购响应文件须知</w:t>
      </w:r>
      <w:r>
        <w:rPr>
          <w:rFonts w:hint="eastAsia" w:ascii="仿宋" w:hAnsi="仿宋" w:eastAsia="仿宋" w:cs="仿宋"/>
          <w:sz w:val="24"/>
        </w:rPr>
        <w:t>规定的开标日期起遵守本磋商响应文件中的承诺且在磋商有效期满之前均具有约束力。</w:t>
      </w:r>
    </w:p>
    <w:p w14:paraId="5AE51AF2">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、我方承诺已经具备《中华人民共和国政府采购法》中规定的参加政府采购活动的供应商应当具备的条件：</w:t>
      </w:r>
    </w:p>
    <w:p w14:paraId="208F3177">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具有独立承担民事责任的能力；</w:t>
      </w:r>
    </w:p>
    <w:p w14:paraId="211C34EE">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遵守国家法律、行政法规，具有良好的信誉和商业道德；</w:t>
      </w:r>
    </w:p>
    <w:p w14:paraId="05FC884F">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具有履行合同的能力和良好的履行合同记录；</w:t>
      </w:r>
    </w:p>
    <w:p w14:paraId="73E881FC">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良好的资金、财务状况；</w:t>
      </w:r>
    </w:p>
    <w:p w14:paraId="28792E11">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产品及生产所需装备符合中国政府规定的相应技术标准和环保标准；</w:t>
      </w:r>
    </w:p>
    <w:p w14:paraId="4616FFCA">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没有违反政府采购法规、政策的记录；</w:t>
      </w:r>
    </w:p>
    <w:p w14:paraId="53AE16B8">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(7)</w:t>
      </w:r>
      <w:r>
        <w:rPr>
          <w:rFonts w:hint="eastAsia" w:ascii="仿宋" w:hAnsi="仿宋" w:eastAsia="仿宋" w:cs="仿宋"/>
          <w:sz w:val="24"/>
        </w:rPr>
        <w:t>没有发生重大经济纠纷和走私犯罪记录。</w:t>
      </w:r>
    </w:p>
    <w:p w14:paraId="3CE95EA8">
      <w:pPr>
        <w:adjustRightInd w:val="0"/>
        <w:snapToGrid w:val="0"/>
        <w:spacing w:line="360" w:lineRule="auto"/>
        <w:ind w:left="479" w:leftChars="228"/>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、提供</w:t>
      </w:r>
      <w:r>
        <w:rPr>
          <w:rFonts w:hint="eastAsia" w:ascii="仿宋" w:hAnsi="仿宋" w:eastAsia="仿宋" w:cs="仿宋"/>
          <w:kern w:val="44"/>
          <w:sz w:val="24"/>
        </w:rPr>
        <w:t>编制和提交采购响应文件须知</w:t>
      </w:r>
      <w:r>
        <w:rPr>
          <w:rFonts w:hint="eastAsia" w:ascii="仿宋" w:hAnsi="仿宋" w:eastAsia="仿宋" w:cs="仿宋"/>
          <w:sz w:val="24"/>
        </w:rPr>
        <w:t>规定的全部磋商响应文件，包括磋商响应文件</w:t>
      </w:r>
      <w:r>
        <w:rPr>
          <w:rFonts w:hint="eastAsia" w:ascii="仿宋" w:hAnsi="仿宋" w:eastAsia="仿宋" w:cs="仿宋"/>
          <w:kern w:val="44"/>
          <w:sz w:val="24"/>
        </w:rPr>
        <w:t>（见磋商响应须知前附表所述）。</w:t>
      </w:r>
      <w:r>
        <w:rPr>
          <w:rFonts w:hint="eastAsia" w:ascii="仿宋" w:hAnsi="仿宋" w:eastAsia="仿宋" w:cs="仿宋"/>
          <w:sz w:val="24"/>
        </w:rPr>
        <w:t>具体内容为：</w:t>
      </w:r>
    </w:p>
    <w:p w14:paraId="618B3885">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开标</w:t>
      </w:r>
      <w:r>
        <w:rPr>
          <w:rFonts w:ascii="仿宋" w:hAnsi="仿宋" w:eastAsia="仿宋" w:cs="仿宋"/>
          <w:sz w:val="24"/>
        </w:rPr>
        <w:t>)</w:t>
      </w:r>
      <w:r>
        <w:rPr>
          <w:rFonts w:hint="eastAsia" w:ascii="仿宋" w:hAnsi="仿宋" w:eastAsia="仿宋" w:cs="仿宋"/>
          <w:sz w:val="24"/>
        </w:rPr>
        <w:t>一览表及报价明细清单；</w:t>
      </w:r>
    </w:p>
    <w:p w14:paraId="78002F14">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资格、</w:t>
      </w:r>
      <w:r>
        <w:rPr>
          <w:rFonts w:hint="eastAsia" w:ascii="仿宋" w:hAnsi="仿宋" w:eastAsia="仿宋" w:cs="仿宋"/>
          <w:sz w:val="24"/>
          <w:lang w:val="zh-CN"/>
        </w:rPr>
        <w:t>商务</w:t>
      </w:r>
      <w:r>
        <w:rPr>
          <w:rFonts w:hint="eastAsia" w:ascii="仿宋" w:hAnsi="仿宋" w:eastAsia="仿宋" w:cs="仿宋"/>
          <w:kern w:val="0"/>
          <w:sz w:val="24"/>
          <w:lang w:val="zh-CN"/>
        </w:rPr>
        <w:t>技术文件</w:t>
      </w:r>
      <w:r>
        <w:rPr>
          <w:rFonts w:hint="eastAsia" w:ascii="仿宋" w:hAnsi="仿宋" w:eastAsia="仿宋" w:cs="仿宋"/>
          <w:sz w:val="24"/>
        </w:rPr>
        <w:t>；</w:t>
      </w:r>
    </w:p>
    <w:p w14:paraId="4036C77D">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kern w:val="44"/>
          <w:sz w:val="24"/>
        </w:rPr>
        <w:t>编制和提交采购响应文件须知</w:t>
      </w:r>
      <w:r>
        <w:rPr>
          <w:rFonts w:hint="eastAsia" w:ascii="仿宋" w:hAnsi="仿宋" w:eastAsia="仿宋" w:cs="仿宋"/>
          <w:sz w:val="24"/>
        </w:rPr>
        <w:t>要求磋商供应商提交的全部文件；</w:t>
      </w:r>
    </w:p>
    <w:p w14:paraId="24F8BA50">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w:t>
      </w:r>
      <w:r>
        <w:rPr>
          <w:rFonts w:hint="eastAsia" w:ascii="仿宋" w:hAnsi="仿宋" w:eastAsia="仿宋" w:cs="仿宋"/>
          <w:sz w:val="24"/>
        </w:rPr>
        <w:t>4</w:t>
      </w:r>
      <w:r>
        <w:rPr>
          <w:rFonts w:ascii="仿宋" w:hAnsi="仿宋" w:eastAsia="仿宋" w:cs="仿宋"/>
          <w:sz w:val="24"/>
        </w:rPr>
        <w:t>)</w:t>
      </w:r>
      <w:r>
        <w:rPr>
          <w:rFonts w:hint="eastAsia" w:ascii="仿宋" w:hAnsi="仿宋" w:eastAsia="仿宋" w:cs="仿宋"/>
          <w:sz w:val="24"/>
        </w:rPr>
        <w:t>按磋商文件要求提供和交付的货物和服务的磋商报价详见</w:t>
      </w:r>
      <w:r>
        <w:rPr>
          <w:rFonts w:ascii="仿宋" w:hAnsi="仿宋" w:eastAsia="仿宋" w:cs="仿宋"/>
          <w:sz w:val="24"/>
        </w:rPr>
        <w:t>(</w:t>
      </w:r>
      <w:r>
        <w:rPr>
          <w:rFonts w:hint="eastAsia" w:ascii="仿宋" w:hAnsi="仿宋" w:eastAsia="仿宋" w:cs="仿宋"/>
          <w:sz w:val="24"/>
        </w:rPr>
        <w:t>开标</w:t>
      </w:r>
      <w:r>
        <w:rPr>
          <w:rFonts w:ascii="仿宋" w:hAnsi="仿宋" w:eastAsia="仿宋" w:cs="仿宋"/>
          <w:sz w:val="24"/>
        </w:rPr>
        <w:t>)</w:t>
      </w:r>
      <w:r>
        <w:rPr>
          <w:rFonts w:hint="eastAsia" w:ascii="仿宋" w:hAnsi="仿宋" w:eastAsia="仿宋" w:cs="仿宋"/>
          <w:sz w:val="24"/>
        </w:rPr>
        <w:t>一览表；</w:t>
      </w:r>
    </w:p>
    <w:p w14:paraId="323B1486">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w:t>
      </w:r>
      <w:r>
        <w:rPr>
          <w:rFonts w:hint="eastAsia" w:ascii="仿宋" w:hAnsi="仿宋" w:eastAsia="仿宋" w:cs="仿宋"/>
          <w:sz w:val="24"/>
        </w:rPr>
        <w:t>5</w:t>
      </w:r>
      <w:r>
        <w:rPr>
          <w:rFonts w:ascii="仿宋" w:hAnsi="仿宋" w:eastAsia="仿宋" w:cs="仿宋"/>
          <w:sz w:val="24"/>
        </w:rPr>
        <w:t>)</w:t>
      </w:r>
      <w:r>
        <w:rPr>
          <w:rFonts w:hint="eastAsia" w:ascii="仿宋" w:hAnsi="仿宋" w:eastAsia="仿宋" w:cs="仿宋"/>
          <w:sz w:val="24"/>
        </w:rPr>
        <w:t>保证忠实地执行双方所签订的合同，并承担合同规定的责任和义务；</w:t>
      </w:r>
    </w:p>
    <w:p w14:paraId="33A98D59">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w:t>
      </w:r>
      <w:r>
        <w:rPr>
          <w:rFonts w:hint="eastAsia" w:ascii="仿宋" w:hAnsi="仿宋" w:eastAsia="仿宋" w:cs="仿宋"/>
          <w:sz w:val="24"/>
        </w:rPr>
        <w:t>6</w:t>
      </w:r>
      <w:r>
        <w:rPr>
          <w:rFonts w:ascii="仿宋" w:hAnsi="仿宋" w:eastAsia="仿宋" w:cs="仿宋"/>
          <w:sz w:val="24"/>
        </w:rPr>
        <w:t>)</w:t>
      </w:r>
      <w:r>
        <w:rPr>
          <w:rFonts w:hint="eastAsia" w:ascii="仿宋" w:hAnsi="仿宋" w:eastAsia="仿宋" w:cs="仿宋"/>
          <w:sz w:val="24"/>
        </w:rPr>
        <w:t>保证遵守磋商文件中的其他有关规定。</w:t>
      </w:r>
    </w:p>
    <w:p w14:paraId="0E5869C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4、我方完全理解贵方不一定要接受最低价的磋商响应。</w:t>
      </w:r>
    </w:p>
    <w:p w14:paraId="4D1094E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5、我方愿意向贵方提供任何与该项磋商响应有关的数据、情况和技术资料。若贵方需要，我方愿意提供我方作出的一切承诺的证明材料。</w:t>
      </w:r>
    </w:p>
    <w:p w14:paraId="19245DA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6、我方已详细审核全部磋商文件，包括磋商文件修改书</w:t>
      </w:r>
      <w:r>
        <w:rPr>
          <w:rFonts w:ascii="仿宋" w:hAnsi="仿宋" w:eastAsia="仿宋" w:cs="仿宋"/>
          <w:sz w:val="24"/>
        </w:rPr>
        <w:t>(</w:t>
      </w:r>
      <w:r>
        <w:rPr>
          <w:rFonts w:hint="eastAsia" w:ascii="仿宋" w:hAnsi="仿宋" w:eastAsia="仿宋" w:cs="仿宋"/>
          <w:sz w:val="24"/>
        </w:rPr>
        <w:t>如果有</w:t>
      </w:r>
      <w:r>
        <w:rPr>
          <w:rFonts w:ascii="仿宋" w:hAnsi="仿宋" w:eastAsia="仿宋" w:cs="仿宋"/>
          <w:sz w:val="24"/>
        </w:rPr>
        <w:t>)</w:t>
      </w:r>
      <w:r>
        <w:rPr>
          <w:rFonts w:hint="eastAsia" w:ascii="仿宋" w:hAnsi="仿宋" w:eastAsia="仿宋" w:cs="仿宋"/>
          <w:sz w:val="24"/>
        </w:rPr>
        <w:t>、参考资料及有关附件，确认无误。</w:t>
      </w:r>
    </w:p>
    <w:p w14:paraId="20F473E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7、我方将严格遵守《中华人民共和国政府采购法》第七十七条规定，供应商有下列情形之一的，处以采购金额</w:t>
      </w:r>
      <w:r>
        <w:rPr>
          <w:rFonts w:ascii="仿宋" w:hAnsi="仿宋" w:eastAsia="仿宋" w:cs="仿宋"/>
          <w:sz w:val="24"/>
        </w:rPr>
        <w:t>5</w:t>
      </w:r>
      <w:r>
        <w:rPr>
          <w:rFonts w:hint="eastAsia" w:ascii="仿宋" w:hAnsi="仿宋" w:eastAsia="仿宋" w:cs="仿宋"/>
          <w:sz w:val="24"/>
        </w:rPr>
        <w:t>‰以上</w:t>
      </w:r>
      <w:r>
        <w:rPr>
          <w:rFonts w:ascii="仿宋" w:hAnsi="仿宋" w:eastAsia="仿宋" w:cs="仿宋"/>
          <w:sz w:val="24"/>
        </w:rPr>
        <w:t>10</w:t>
      </w:r>
      <w:r>
        <w:rPr>
          <w:rFonts w:hint="eastAsia" w:ascii="仿宋" w:hAnsi="仿宋" w:eastAsia="仿宋" w:cs="仿宋"/>
          <w:sz w:val="24"/>
        </w:rPr>
        <w:t>‰以下的罚款，列入不良行为记录名单，在一至三年内禁止参加政府采购活动；有违法所得的，并处没收违法所得；情节严重的，由工商行政管理机关吊销营业执照；构成犯罪的，依法追究刑事责任：</w:t>
      </w:r>
    </w:p>
    <w:p w14:paraId="75BCE581">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a)</w:t>
      </w:r>
      <w:r>
        <w:rPr>
          <w:rFonts w:hint="eastAsia" w:ascii="仿宋" w:hAnsi="仿宋" w:eastAsia="仿宋" w:cs="仿宋"/>
          <w:sz w:val="24"/>
        </w:rPr>
        <w:t>提供虚假材料谋取成交、成交的；</w:t>
      </w:r>
    </w:p>
    <w:p w14:paraId="14314701">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b)</w:t>
      </w:r>
      <w:r>
        <w:rPr>
          <w:rFonts w:hint="eastAsia" w:ascii="仿宋" w:hAnsi="仿宋" w:eastAsia="仿宋" w:cs="仿宋"/>
          <w:sz w:val="24"/>
        </w:rPr>
        <w:t>采取不正当手段诋毁、排挤其他供应商的；</w:t>
      </w:r>
    </w:p>
    <w:p w14:paraId="56BB196F">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c)</w:t>
      </w:r>
      <w:r>
        <w:rPr>
          <w:rFonts w:hint="eastAsia" w:ascii="仿宋" w:hAnsi="仿宋" w:eastAsia="仿宋" w:cs="仿宋"/>
          <w:sz w:val="24"/>
        </w:rPr>
        <w:t>与采购人、其它供应商或者采购代理机构恶意串通的；</w:t>
      </w:r>
    </w:p>
    <w:p w14:paraId="10DDEF54">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d)</w:t>
      </w:r>
      <w:r>
        <w:rPr>
          <w:rFonts w:hint="eastAsia" w:ascii="仿宋" w:hAnsi="仿宋" w:eastAsia="仿宋" w:cs="仿宋"/>
          <w:sz w:val="24"/>
        </w:rPr>
        <w:t>向采购人、采购代理机构行贿或者提供其他不正当利益的；</w:t>
      </w:r>
    </w:p>
    <w:p w14:paraId="3E1A9E0A">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e)</w:t>
      </w:r>
      <w:r>
        <w:rPr>
          <w:rFonts w:hint="eastAsia" w:ascii="仿宋" w:hAnsi="仿宋" w:eastAsia="仿宋" w:cs="仿宋"/>
          <w:sz w:val="24"/>
        </w:rPr>
        <w:t>在招标采购过程中与采购人进行协商谈判的；</w:t>
      </w:r>
    </w:p>
    <w:p w14:paraId="6D51A6BD">
      <w:pPr>
        <w:adjustRightInd w:val="0"/>
        <w:snapToGrid w:val="0"/>
        <w:spacing w:line="360" w:lineRule="auto"/>
        <w:ind w:firstLine="480" w:firstLineChars="200"/>
        <w:rPr>
          <w:rFonts w:ascii="仿宋" w:hAnsi="仿宋" w:eastAsia="仿宋" w:cs="仿宋"/>
          <w:sz w:val="24"/>
        </w:rPr>
      </w:pPr>
      <w:r>
        <w:rPr>
          <w:rFonts w:ascii="仿宋" w:hAnsi="仿宋" w:eastAsia="仿宋" w:cs="仿宋"/>
          <w:sz w:val="24"/>
        </w:rPr>
        <w:t>f)</w:t>
      </w:r>
      <w:r>
        <w:rPr>
          <w:rFonts w:hint="eastAsia" w:ascii="仿宋" w:hAnsi="仿宋" w:eastAsia="仿宋" w:cs="仿宋"/>
          <w:sz w:val="24"/>
        </w:rPr>
        <w:t>拒绝有关部门监督检查或提供虚假情况的。</w:t>
      </w:r>
    </w:p>
    <w:p w14:paraId="6713A5B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供应商有前款第</w:t>
      </w:r>
      <w:r>
        <w:rPr>
          <w:rFonts w:ascii="仿宋" w:hAnsi="仿宋" w:eastAsia="仿宋" w:cs="仿宋"/>
          <w:sz w:val="24"/>
        </w:rPr>
        <w:t>a)</w:t>
      </w:r>
      <w:r>
        <w:rPr>
          <w:rFonts w:hint="eastAsia" w:ascii="仿宋" w:hAnsi="仿宋" w:eastAsia="仿宋" w:cs="仿宋"/>
          <w:sz w:val="24"/>
        </w:rPr>
        <w:t>至</w:t>
      </w:r>
      <w:r>
        <w:rPr>
          <w:rFonts w:ascii="仿宋" w:hAnsi="仿宋" w:eastAsia="仿宋" w:cs="仿宋"/>
          <w:sz w:val="24"/>
        </w:rPr>
        <w:t>e)</w:t>
      </w:r>
      <w:r>
        <w:rPr>
          <w:rFonts w:hint="eastAsia" w:ascii="仿宋" w:hAnsi="仿宋" w:eastAsia="仿宋" w:cs="仿宋"/>
          <w:sz w:val="24"/>
        </w:rPr>
        <w:t>项情形之一的，成交、成交无效。</w:t>
      </w:r>
    </w:p>
    <w:p w14:paraId="69C26DC8">
      <w:pPr>
        <w:adjustRightInd w:val="0"/>
        <w:snapToGrid w:val="0"/>
        <w:spacing w:line="360" w:lineRule="auto"/>
        <w:ind w:firstLine="3600" w:firstLineChars="1500"/>
        <w:rPr>
          <w:rFonts w:ascii="仿宋" w:hAnsi="仿宋" w:eastAsia="仿宋" w:cs="仿宋"/>
          <w:sz w:val="24"/>
        </w:rPr>
      </w:pPr>
    </w:p>
    <w:p w14:paraId="52789B8E">
      <w:pPr>
        <w:adjustRightInd w:val="0"/>
        <w:snapToGrid w:val="0"/>
        <w:spacing w:line="360" w:lineRule="auto"/>
        <w:ind w:firstLine="3600" w:firstLineChars="1500"/>
        <w:rPr>
          <w:rFonts w:ascii="仿宋" w:hAnsi="仿宋" w:eastAsia="仿宋" w:cs="仿宋"/>
          <w:sz w:val="24"/>
        </w:rPr>
      </w:pPr>
      <w:r>
        <w:rPr>
          <w:rFonts w:hint="eastAsia" w:ascii="仿宋" w:hAnsi="仿宋" w:eastAsia="仿宋" w:cs="仿宋"/>
          <w:sz w:val="24"/>
        </w:rPr>
        <w:t>磋商供应商名称（公章）：</w:t>
      </w:r>
    </w:p>
    <w:p w14:paraId="50EC1CF7">
      <w:pPr>
        <w:adjustRightInd w:val="0"/>
        <w:snapToGrid w:val="0"/>
        <w:spacing w:line="360" w:lineRule="auto"/>
        <w:ind w:firstLine="3600" w:firstLineChars="1500"/>
        <w:rPr>
          <w:rFonts w:ascii="仿宋" w:hAnsi="仿宋" w:eastAsia="仿宋" w:cs="仿宋"/>
          <w:sz w:val="24"/>
        </w:rPr>
      </w:pPr>
      <w:r>
        <w:rPr>
          <w:rFonts w:hint="eastAsia" w:ascii="仿宋" w:hAnsi="仿宋" w:eastAsia="仿宋" w:cs="仿宋"/>
          <w:sz w:val="24"/>
        </w:rPr>
        <w:t>法定代表人或其授权代表（签字或盖章）：</w:t>
      </w:r>
    </w:p>
    <w:p w14:paraId="2AD0A142">
      <w:pPr>
        <w:adjustRightInd w:val="0"/>
        <w:snapToGrid w:val="0"/>
        <w:spacing w:line="360" w:lineRule="auto"/>
        <w:ind w:firstLine="3600" w:firstLineChars="1500"/>
        <w:rPr>
          <w:rFonts w:ascii="仿宋" w:hAnsi="仿宋" w:eastAsia="仿宋" w:cs="仿宋"/>
          <w:sz w:val="24"/>
        </w:rPr>
      </w:pPr>
      <w:r>
        <w:rPr>
          <w:rFonts w:hint="eastAsia" w:ascii="仿宋" w:hAnsi="仿宋" w:eastAsia="仿宋" w:cs="仿宋"/>
          <w:sz w:val="24"/>
        </w:rPr>
        <w:t>日期：</w:t>
      </w: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p w14:paraId="6B30ECC6">
      <w:pPr>
        <w:adjustRightInd w:val="0"/>
        <w:snapToGrid w:val="0"/>
        <w:spacing w:line="360" w:lineRule="auto"/>
        <w:ind w:left="420" w:leftChars="200" w:firstLine="4200" w:firstLineChars="1750"/>
        <w:rPr>
          <w:rFonts w:ascii="仿宋" w:hAnsi="仿宋" w:eastAsia="仿宋" w:cs="仿宋"/>
          <w:kern w:val="0"/>
          <w:sz w:val="24"/>
          <w:u w:val="single"/>
          <w:lang w:val="zh-CN"/>
        </w:rPr>
      </w:pPr>
    </w:p>
    <w:p w14:paraId="2B755A83">
      <w:pPr>
        <w:adjustRightInd w:val="0"/>
        <w:snapToGrid w:val="0"/>
        <w:spacing w:line="360" w:lineRule="auto"/>
        <w:ind w:left="420" w:leftChars="200"/>
        <w:rPr>
          <w:rFonts w:ascii="仿宋" w:hAnsi="仿宋" w:eastAsia="仿宋" w:cs="仿宋"/>
          <w:kern w:val="0"/>
          <w:sz w:val="24"/>
        </w:rPr>
      </w:pPr>
      <w:r>
        <w:rPr>
          <w:rFonts w:hint="eastAsia" w:ascii="仿宋" w:hAnsi="仿宋" w:eastAsia="仿宋" w:cs="仿宋"/>
          <w:kern w:val="0"/>
          <w:sz w:val="24"/>
          <w:lang w:val="zh-CN"/>
        </w:rPr>
        <w:t>联系人：</w:t>
      </w:r>
      <w:r>
        <w:rPr>
          <w:rFonts w:ascii="仿宋" w:hAnsi="仿宋" w:eastAsia="仿宋" w:cs="仿宋"/>
          <w:kern w:val="0"/>
          <w:sz w:val="24"/>
          <w:lang w:val="zh-CN"/>
        </w:rPr>
        <w:t xml:space="preserve">      </w:t>
      </w:r>
      <w:r>
        <w:rPr>
          <w:rFonts w:hint="eastAsia" w:ascii="仿宋" w:hAnsi="仿宋" w:eastAsia="仿宋" w:cs="仿宋"/>
          <w:kern w:val="0"/>
          <w:sz w:val="24"/>
          <w:lang w:val="zh-CN"/>
        </w:rPr>
        <w:t>联系电话：</w:t>
      </w:r>
      <w:r>
        <w:rPr>
          <w:rFonts w:ascii="仿宋" w:hAnsi="仿宋" w:eastAsia="仿宋" w:cs="仿宋"/>
          <w:kern w:val="0"/>
          <w:sz w:val="24"/>
          <w:lang w:val="zh-CN"/>
        </w:rPr>
        <w:t xml:space="preserve"> </w:t>
      </w:r>
    </w:p>
    <w:p w14:paraId="7C93BF6A">
      <w:pPr>
        <w:adjustRightInd w:val="0"/>
        <w:snapToGrid w:val="0"/>
        <w:spacing w:line="360" w:lineRule="auto"/>
        <w:ind w:left="420" w:leftChars="200"/>
        <w:rPr>
          <w:rFonts w:ascii="仿宋" w:hAnsi="仿宋" w:eastAsia="仿宋" w:cs="仿宋"/>
          <w:kern w:val="0"/>
          <w:sz w:val="24"/>
        </w:rPr>
      </w:pPr>
      <w:r>
        <w:rPr>
          <w:rFonts w:hint="eastAsia" w:ascii="仿宋" w:hAnsi="仿宋" w:eastAsia="仿宋" w:cs="仿宋"/>
          <w:kern w:val="0"/>
          <w:sz w:val="24"/>
          <w:lang w:val="zh-CN"/>
        </w:rPr>
        <w:t>联系地址：</w:t>
      </w:r>
    </w:p>
    <w:p w14:paraId="453AA330">
      <w:pPr>
        <w:adjustRightInd w:val="0"/>
        <w:snapToGrid w:val="0"/>
        <w:spacing w:line="360" w:lineRule="auto"/>
        <w:ind w:left="420" w:leftChars="200"/>
        <w:rPr>
          <w:rFonts w:ascii="仿宋" w:hAnsi="仿宋" w:eastAsia="仿宋" w:cs="仿宋"/>
          <w:kern w:val="0"/>
          <w:sz w:val="24"/>
        </w:rPr>
      </w:pPr>
      <w:r>
        <w:rPr>
          <w:rFonts w:hint="eastAsia" w:ascii="仿宋" w:hAnsi="仿宋" w:eastAsia="仿宋" w:cs="仿宋"/>
          <w:kern w:val="0"/>
          <w:sz w:val="24"/>
          <w:lang w:val="zh-CN"/>
        </w:rPr>
        <w:t>邮政编码：</w:t>
      </w:r>
      <w:r>
        <w:rPr>
          <w:rFonts w:ascii="仿宋" w:hAnsi="仿宋" w:eastAsia="仿宋" w:cs="仿宋"/>
          <w:kern w:val="0"/>
          <w:sz w:val="24"/>
          <w:lang w:val="zh-CN"/>
        </w:rPr>
        <w:t xml:space="preserve">    </w:t>
      </w:r>
      <w:r>
        <w:rPr>
          <w:rFonts w:hint="eastAsia" w:ascii="仿宋" w:hAnsi="仿宋" w:eastAsia="仿宋" w:cs="仿宋"/>
          <w:kern w:val="0"/>
          <w:sz w:val="24"/>
          <w:lang w:val="zh-CN"/>
        </w:rPr>
        <w:t>传真号码：</w:t>
      </w:r>
    </w:p>
    <w:p w14:paraId="220DBD30">
      <w:pPr>
        <w:adjustRightInd w:val="0"/>
        <w:snapToGrid w:val="0"/>
        <w:spacing w:line="360" w:lineRule="auto"/>
        <w:rPr>
          <w:rFonts w:ascii="仿宋" w:hAnsi="仿宋" w:eastAsia="仿宋" w:cs="仿宋"/>
          <w:kern w:val="0"/>
          <w:sz w:val="24"/>
          <w:lang w:val="zh-CN"/>
        </w:rPr>
      </w:pPr>
      <w:r>
        <w:rPr>
          <w:rFonts w:hint="eastAsia" w:ascii="仿宋" w:hAnsi="仿宋" w:eastAsia="仿宋" w:cs="仿宋"/>
          <w:b/>
          <w:kern w:val="0"/>
          <w:sz w:val="24"/>
          <w:lang w:val="zh-CN"/>
        </w:rPr>
        <w:t>注：未按照本磋商响应函要求填报的将被视为非实质性响应，从而可能导致被拒绝。</w:t>
      </w:r>
    </w:p>
    <w:p w14:paraId="4247B80B">
      <w:pPr>
        <w:pStyle w:val="17"/>
        <w:adjustRightInd w:val="0"/>
        <w:snapToGrid w:val="0"/>
        <w:spacing w:beforeLines="0" w:afterLines="0" w:line="360" w:lineRule="auto"/>
        <w:rPr>
          <w:rFonts w:ascii="仿宋_GB2312" w:hAnsi="仿宋" w:eastAsia="仿宋_GB2312" w:cs="仿宋"/>
        </w:rPr>
      </w:pPr>
    </w:p>
    <w:p w14:paraId="3DCAAEAE">
      <w:pPr>
        <w:adjustRightInd w:val="0"/>
        <w:snapToGrid w:val="0"/>
        <w:spacing w:line="360" w:lineRule="auto"/>
        <w:rPr>
          <w:rFonts w:ascii="仿宋_GB2312" w:hAnsi="仿宋" w:eastAsia="仿宋_GB2312" w:cs="仿宋"/>
        </w:rPr>
      </w:pPr>
    </w:p>
    <w:p w14:paraId="459FD25F">
      <w:pPr>
        <w:adjustRightInd w:val="0"/>
        <w:snapToGrid w:val="0"/>
        <w:spacing w:line="360" w:lineRule="auto"/>
        <w:rPr>
          <w:rFonts w:ascii="仿宋_GB2312" w:hAnsi="仿宋" w:eastAsia="仿宋_GB2312" w:cs="仿宋"/>
          <w:b/>
          <w:bCs/>
          <w:sz w:val="24"/>
        </w:rPr>
      </w:pPr>
      <w:r>
        <w:rPr>
          <w:rFonts w:hint="eastAsia" w:ascii="仿宋_GB2312" w:hAnsi="仿宋" w:eastAsia="仿宋_GB2312" w:cs="仿宋"/>
          <w:b/>
          <w:bCs/>
          <w:sz w:val="24"/>
        </w:rPr>
        <w:br w:type="page"/>
      </w:r>
      <w:r>
        <w:rPr>
          <w:rFonts w:hint="eastAsia" w:ascii="仿宋_GB2312" w:hAnsi="仿宋" w:eastAsia="仿宋_GB2312" w:cs="仿宋"/>
          <w:b/>
          <w:bCs/>
          <w:sz w:val="24"/>
        </w:rPr>
        <w:t>二、初次报价（开标）一览表格式：</w:t>
      </w:r>
    </w:p>
    <w:p w14:paraId="72835254">
      <w:pPr>
        <w:pStyle w:val="17"/>
        <w:adjustRightInd w:val="0"/>
        <w:snapToGrid w:val="0"/>
        <w:spacing w:beforeLines="0" w:afterLines="0" w:line="360" w:lineRule="auto"/>
        <w:jc w:val="center"/>
        <w:rPr>
          <w:rFonts w:ascii="仿宋_GB2312" w:hAnsi="仿宋" w:eastAsia="仿宋_GB2312" w:cs="仿宋"/>
          <w:b/>
          <w:bCs/>
        </w:rPr>
      </w:pPr>
    </w:p>
    <w:p w14:paraId="67E685FC">
      <w:pPr>
        <w:pStyle w:val="17"/>
        <w:adjustRightInd w:val="0"/>
        <w:snapToGrid w:val="0"/>
        <w:spacing w:beforeLines="0" w:afterLines="0" w:line="360" w:lineRule="auto"/>
        <w:jc w:val="center"/>
        <w:rPr>
          <w:rFonts w:ascii="仿宋_GB2312" w:hAnsi="仿宋" w:eastAsia="仿宋_GB2312" w:cs="仿宋"/>
          <w:b/>
          <w:bCs/>
        </w:rPr>
      </w:pPr>
      <w:r>
        <w:rPr>
          <w:rFonts w:hint="eastAsia" w:ascii="仿宋_GB2312" w:hAnsi="仿宋" w:eastAsia="仿宋_GB2312" w:cs="仿宋"/>
          <w:b/>
          <w:bCs/>
        </w:rPr>
        <w:t>初次报价（开标）一览表</w:t>
      </w:r>
    </w:p>
    <w:p w14:paraId="33EC5B8E">
      <w:pPr>
        <w:pStyle w:val="17"/>
        <w:adjustRightInd w:val="0"/>
        <w:snapToGrid w:val="0"/>
        <w:spacing w:beforeLines="0" w:afterLines="0" w:line="360" w:lineRule="auto"/>
        <w:rPr>
          <w:rFonts w:ascii="仿宋_GB2312" w:hAnsi="仿宋" w:eastAsia="仿宋_GB2312" w:cs="仿宋"/>
        </w:rPr>
      </w:pPr>
      <w:r>
        <w:rPr>
          <w:rFonts w:hint="eastAsia" w:ascii="仿宋_GB2312" w:hAnsi="仿宋" w:eastAsia="仿宋_GB2312" w:cs="仿宋"/>
        </w:rPr>
        <w:t>项目名称：</w:t>
      </w:r>
      <w:r>
        <w:rPr>
          <w:rFonts w:hint="eastAsia" w:ascii="仿宋_GB2312" w:hAnsi="仿宋" w:eastAsia="仿宋_GB2312" w:cs="仿宋"/>
          <w:u w:val="single"/>
        </w:rPr>
        <w:t xml:space="preserve">            </w:t>
      </w:r>
    </w:p>
    <w:p w14:paraId="7096318F">
      <w:pPr>
        <w:pStyle w:val="17"/>
        <w:adjustRightInd w:val="0"/>
        <w:snapToGrid w:val="0"/>
        <w:spacing w:beforeLines="0" w:afterLines="0" w:line="360" w:lineRule="auto"/>
        <w:rPr>
          <w:rFonts w:ascii="仿宋_GB2312" w:hAnsi="仿宋" w:eastAsia="仿宋_GB2312" w:cs="仿宋"/>
        </w:rPr>
      </w:pPr>
      <w:r>
        <w:rPr>
          <w:rFonts w:hint="eastAsia" w:ascii="仿宋_GB2312" w:hAnsi="仿宋" w:eastAsia="仿宋_GB2312" w:cs="仿宋"/>
        </w:rPr>
        <w:t>项目编号：</w:t>
      </w:r>
      <w:r>
        <w:rPr>
          <w:rFonts w:hint="eastAsia" w:ascii="仿宋_GB2312" w:hAnsi="仿宋" w:eastAsia="仿宋_GB2312" w:cs="仿宋"/>
          <w:u w:val="single"/>
        </w:rPr>
        <w:t xml:space="preserve">            </w:t>
      </w:r>
    </w:p>
    <w:p w14:paraId="0BEA339B">
      <w:pPr>
        <w:adjustRightInd w:val="0"/>
        <w:snapToGrid w:val="0"/>
        <w:spacing w:line="360" w:lineRule="auto"/>
        <w:ind w:firstLine="240" w:firstLineChars="100"/>
        <w:jc w:val="right"/>
        <w:rPr>
          <w:rFonts w:ascii="仿宋_GB2312" w:hAnsi="仿宋" w:eastAsia="仿宋_GB2312" w:cs="仿宋"/>
          <w:sz w:val="24"/>
        </w:rPr>
      </w:pPr>
      <w:r>
        <w:rPr>
          <w:rFonts w:hint="eastAsia" w:ascii="仿宋_GB2312" w:hAnsi="仿宋" w:eastAsia="仿宋_GB2312" w:cs="仿宋"/>
          <w:sz w:val="24"/>
        </w:rPr>
        <w:t xml:space="preserve">  金额单位：人民币（元）</w:t>
      </w:r>
    </w:p>
    <w:tbl>
      <w:tblPr>
        <w:tblStyle w:val="33"/>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159"/>
        <w:gridCol w:w="2010"/>
        <w:gridCol w:w="1665"/>
        <w:gridCol w:w="1665"/>
      </w:tblGrid>
      <w:tr w14:paraId="173C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47" w:type="dxa"/>
            <w:vAlign w:val="center"/>
          </w:tcPr>
          <w:p w14:paraId="397EFF6C">
            <w:pPr>
              <w:autoSpaceDE w:val="0"/>
              <w:autoSpaceDN w:val="0"/>
              <w:adjustRightInd w:val="0"/>
              <w:snapToGrid w:val="0"/>
              <w:spacing w:line="360" w:lineRule="auto"/>
              <w:jc w:val="center"/>
              <w:textAlignment w:val="bottom"/>
              <w:outlineLvl w:val="0"/>
              <w:rPr>
                <w:rFonts w:ascii="仿宋_GB2312" w:hAnsi="仿宋" w:eastAsia="仿宋_GB2312" w:cs="仿宋"/>
                <w:kern w:val="0"/>
                <w:sz w:val="24"/>
              </w:rPr>
            </w:pPr>
            <w:r>
              <w:rPr>
                <w:rFonts w:hint="eastAsia" w:ascii="仿宋_GB2312" w:hAnsi="仿宋" w:eastAsia="仿宋_GB2312" w:cs="仿宋"/>
                <w:kern w:val="0"/>
                <w:sz w:val="24"/>
              </w:rPr>
              <w:t>序号</w:t>
            </w:r>
          </w:p>
        </w:tc>
        <w:tc>
          <w:tcPr>
            <w:tcW w:w="3159" w:type="dxa"/>
            <w:vAlign w:val="center"/>
          </w:tcPr>
          <w:p w14:paraId="1CC962DB">
            <w:pPr>
              <w:autoSpaceDE w:val="0"/>
              <w:autoSpaceDN w:val="0"/>
              <w:adjustRightInd w:val="0"/>
              <w:snapToGrid w:val="0"/>
              <w:spacing w:line="360" w:lineRule="auto"/>
              <w:jc w:val="center"/>
              <w:textAlignment w:val="bottom"/>
              <w:outlineLvl w:val="0"/>
              <w:rPr>
                <w:rFonts w:ascii="仿宋_GB2312" w:hAnsi="仿宋" w:eastAsia="仿宋_GB2312" w:cs="仿宋"/>
                <w:kern w:val="0"/>
                <w:sz w:val="24"/>
              </w:rPr>
            </w:pPr>
            <w:r>
              <w:rPr>
                <w:rFonts w:hint="eastAsia" w:ascii="仿宋_GB2312" w:hAnsi="仿宋" w:eastAsia="仿宋_GB2312" w:cs="仿宋"/>
                <w:kern w:val="0"/>
                <w:sz w:val="24"/>
              </w:rPr>
              <w:t>项目内容</w:t>
            </w:r>
          </w:p>
        </w:tc>
        <w:tc>
          <w:tcPr>
            <w:tcW w:w="2010" w:type="dxa"/>
            <w:vAlign w:val="center"/>
          </w:tcPr>
          <w:p w14:paraId="6006F39E">
            <w:pPr>
              <w:autoSpaceDE w:val="0"/>
              <w:autoSpaceDN w:val="0"/>
              <w:adjustRightInd w:val="0"/>
              <w:snapToGrid w:val="0"/>
              <w:spacing w:line="360" w:lineRule="auto"/>
              <w:jc w:val="center"/>
              <w:textAlignment w:val="bottom"/>
              <w:outlineLvl w:val="0"/>
              <w:rPr>
                <w:rFonts w:ascii="仿宋_GB2312" w:hAnsi="仿宋" w:eastAsia="仿宋_GB2312" w:cs="仿宋"/>
                <w:kern w:val="0"/>
                <w:sz w:val="24"/>
              </w:rPr>
            </w:pPr>
            <w:r>
              <w:rPr>
                <w:rFonts w:hint="eastAsia" w:ascii="仿宋_GB2312" w:hAnsi="仿宋" w:eastAsia="仿宋_GB2312" w:cs="仿宋"/>
                <w:kern w:val="0"/>
                <w:sz w:val="24"/>
              </w:rPr>
              <w:t>投标报价</w:t>
            </w:r>
          </w:p>
        </w:tc>
        <w:tc>
          <w:tcPr>
            <w:tcW w:w="1665" w:type="dxa"/>
            <w:vAlign w:val="center"/>
          </w:tcPr>
          <w:p w14:paraId="50F24F6B">
            <w:pPr>
              <w:autoSpaceDE w:val="0"/>
              <w:autoSpaceDN w:val="0"/>
              <w:adjustRightInd w:val="0"/>
              <w:snapToGrid w:val="0"/>
              <w:spacing w:line="360" w:lineRule="auto"/>
              <w:jc w:val="center"/>
              <w:textAlignment w:val="bottom"/>
              <w:outlineLvl w:val="0"/>
              <w:rPr>
                <w:rFonts w:ascii="仿宋_GB2312" w:hAnsi="仿宋" w:eastAsia="仿宋_GB2312" w:cs="仿宋"/>
                <w:kern w:val="0"/>
                <w:sz w:val="24"/>
              </w:rPr>
            </w:pPr>
            <w:r>
              <w:rPr>
                <w:rFonts w:hint="eastAsia" w:ascii="仿宋_GB2312" w:hAnsi="仿宋" w:eastAsia="仿宋_GB2312" w:cs="仿宋"/>
                <w:kern w:val="0"/>
                <w:sz w:val="24"/>
              </w:rPr>
              <w:t>服务期限</w:t>
            </w:r>
          </w:p>
        </w:tc>
        <w:tc>
          <w:tcPr>
            <w:tcW w:w="1665" w:type="dxa"/>
            <w:vAlign w:val="center"/>
          </w:tcPr>
          <w:p w14:paraId="7944BD91">
            <w:pPr>
              <w:autoSpaceDE w:val="0"/>
              <w:autoSpaceDN w:val="0"/>
              <w:adjustRightInd w:val="0"/>
              <w:snapToGrid w:val="0"/>
              <w:spacing w:line="360" w:lineRule="auto"/>
              <w:jc w:val="center"/>
              <w:textAlignment w:val="bottom"/>
              <w:outlineLvl w:val="0"/>
              <w:rPr>
                <w:rFonts w:hint="eastAsia" w:ascii="仿宋_GB2312" w:hAnsi="仿宋" w:eastAsia="仿宋_GB2312" w:cs="仿宋"/>
                <w:kern w:val="0"/>
                <w:sz w:val="24"/>
                <w:lang w:eastAsia="zh-CN"/>
              </w:rPr>
            </w:pPr>
            <w:r>
              <w:rPr>
                <w:rFonts w:hint="eastAsia" w:ascii="仿宋_GB2312" w:hAnsi="仿宋" w:eastAsia="仿宋_GB2312" w:cs="仿宋"/>
                <w:kern w:val="0"/>
                <w:sz w:val="24"/>
                <w:lang w:eastAsia="zh-CN"/>
              </w:rPr>
              <w:t>备注</w:t>
            </w:r>
          </w:p>
        </w:tc>
      </w:tr>
      <w:tr w14:paraId="5EE6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047" w:type="dxa"/>
            <w:vAlign w:val="center"/>
          </w:tcPr>
          <w:p w14:paraId="44CFFA75">
            <w:pPr>
              <w:autoSpaceDE w:val="0"/>
              <w:autoSpaceDN w:val="0"/>
              <w:adjustRightInd w:val="0"/>
              <w:snapToGrid w:val="0"/>
              <w:spacing w:line="360" w:lineRule="auto"/>
              <w:jc w:val="center"/>
              <w:textAlignment w:val="bottom"/>
              <w:outlineLvl w:val="0"/>
              <w:rPr>
                <w:rFonts w:ascii="仿宋_GB2312" w:hAnsi="仿宋" w:eastAsia="仿宋_GB2312" w:cs="仿宋"/>
                <w:kern w:val="0"/>
                <w:sz w:val="24"/>
              </w:rPr>
            </w:pPr>
            <w:r>
              <w:rPr>
                <w:rFonts w:hint="eastAsia" w:ascii="仿宋_GB2312" w:hAnsi="仿宋" w:eastAsia="仿宋_GB2312" w:cs="仿宋"/>
                <w:kern w:val="0"/>
                <w:sz w:val="24"/>
              </w:rPr>
              <w:t>1</w:t>
            </w:r>
          </w:p>
        </w:tc>
        <w:tc>
          <w:tcPr>
            <w:tcW w:w="3159" w:type="dxa"/>
            <w:vAlign w:val="center"/>
          </w:tcPr>
          <w:p w14:paraId="411CAFCD">
            <w:pPr>
              <w:autoSpaceDE w:val="0"/>
              <w:autoSpaceDN w:val="0"/>
              <w:adjustRightInd w:val="0"/>
              <w:snapToGrid w:val="0"/>
              <w:spacing w:line="360" w:lineRule="auto"/>
              <w:jc w:val="center"/>
              <w:textAlignment w:val="bottom"/>
              <w:outlineLvl w:val="0"/>
              <w:rPr>
                <w:rFonts w:hint="eastAsia" w:ascii="仿宋_GB2312" w:hAnsi="仿宋" w:eastAsia="仿宋_GB2312" w:cs="仿宋"/>
                <w:kern w:val="0"/>
                <w:sz w:val="24"/>
                <w:lang w:eastAsia="zh-CN"/>
              </w:rPr>
            </w:pPr>
            <w:r>
              <w:rPr>
                <w:rFonts w:hint="eastAsia" w:ascii="仿宋_GB2312" w:hAnsi="仿宋" w:eastAsia="仿宋_GB2312" w:cs="仿宋"/>
                <w:kern w:val="0"/>
                <w:sz w:val="24"/>
                <w:lang w:eastAsia="zh-CN"/>
              </w:rPr>
              <w:t>中共浙江省委组织部（本级）流动党员一体智管</w:t>
            </w:r>
            <w:r>
              <w:rPr>
                <w:rFonts w:hint="eastAsia" w:ascii="仿宋_GB2312" w:hAnsi="仿宋" w:eastAsia="仿宋_GB2312" w:cs="仿宋"/>
                <w:kern w:val="0"/>
                <w:sz w:val="24"/>
              </w:rPr>
              <w:t>项目</w:t>
            </w:r>
          </w:p>
        </w:tc>
        <w:tc>
          <w:tcPr>
            <w:tcW w:w="2010" w:type="dxa"/>
            <w:vAlign w:val="center"/>
          </w:tcPr>
          <w:p w14:paraId="4948C3BE">
            <w:pPr>
              <w:autoSpaceDE w:val="0"/>
              <w:autoSpaceDN w:val="0"/>
              <w:adjustRightInd w:val="0"/>
              <w:snapToGrid w:val="0"/>
              <w:spacing w:line="360" w:lineRule="auto"/>
              <w:textAlignment w:val="bottom"/>
              <w:outlineLvl w:val="0"/>
              <w:rPr>
                <w:rFonts w:ascii="仿宋_GB2312" w:hAnsi="仿宋" w:eastAsia="仿宋_GB2312" w:cs="仿宋"/>
                <w:kern w:val="0"/>
                <w:sz w:val="24"/>
              </w:rPr>
            </w:pPr>
            <w:r>
              <w:rPr>
                <w:rFonts w:hint="eastAsia" w:ascii="仿宋_GB2312" w:hAnsi="仿宋" w:eastAsia="仿宋_GB2312" w:cs="仿宋"/>
                <w:kern w:val="0"/>
                <w:sz w:val="24"/>
              </w:rPr>
              <w:t>小写：￥</w:t>
            </w:r>
            <w:r>
              <w:rPr>
                <w:rFonts w:hint="eastAsia" w:ascii="仿宋_GB2312" w:hAnsi="仿宋" w:eastAsia="仿宋_GB2312" w:cs="仿宋"/>
                <w:kern w:val="0"/>
                <w:sz w:val="24"/>
                <w:u w:val="single"/>
              </w:rPr>
              <w:t xml:space="preserve">               </w:t>
            </w:r>
          </w:p>
          <w:p w14:paraId="2B2CF742">
            <w:pPr>
              <w:autoSpaceDE w:val="0"/>
              <w:autoSpaceDN w:val="0"/>
              <w:adjustRightInd w:val="0"/>
              <w:snapToGrid w:val="0"/>
              <w:spacing w:line="360" w:lineRule="auto"/>
              <w:textAlignment w:val="bottom"/>
              <w:outlineLvl w:val="0"/>
              <w:rPr>
                <w:rFonts w:ascii="仿宋_GB2312" w:hAnsi="仿宋" w:eastAsia="仿宋_GB2312" w:cs="仿宋"/>
                <w:kern w:val="0"/>
                <w:sz w:val="24"/>
              </w:rPr>
            </w:pPr>
            <w:r>
              <w:rPr>
                <w:rFonts w:hint="eastAsia" w:ascii="仿宋_GB2312" w:hAnsi="仿宋" w:eastAsia="仿宋_GB2312" w:cs="仿宋"/>
                <w:kern w:val="0"/>
                <w:sz w:val="24"/>
              </w:rPr>
              <w:t>大写：</w:t>
            </w:r>
            <w:r>
              <w:rPr>
                <w:rFonts w:hint="eastAsia" w:ascii="仿宋_GB2312" w:hAnsi="仿宋" w:eastAsia="仿宋_GB2312" w:cs="仿宋"/>
                <w:kern w:val="0"/>
                <w:sz w:val="24"/>
                <w:u w:val="single"/>
              </w:rPr>
              <w:t xml:space="preserve">                 </w:t>
            </w:r>
            <w:r>
              <w:rPr>
                <w:rFonts w:hint="eastAsia" w:ascii="仿宋_GB2312" w:hAnsi="仿宋" w:eastAsia="仿宋_GB2312" w:cs="仿宋"/>
                <w:kern w:val="0"/>
                <w:sz w:val="24"/>
              </w:rPr>
              <w:t xml:space="preserve">  </w:t>
            </w:r>
          </w:p>
        </w:tc>
        <w:tc>
          <w:tcPr>
            <w:tcW w:w="1665" w:type="dxa"/>
            <w:vAlign w:val="center"/>
          </w:tcPr>
          <w:p w14:paraId="40C57156">
            <w:pPr>
              <w:autoSpaceDE w:val="0"/>
              <w:autoSpaceDN w:val="0"/>
              <w:adjustRightInd w:val="0"/>
              <w:snapToGrid w:val="0"/>
              <w:spacing w:line="360" w:lineRule="auto"/>
              <w:jc w:val="center"/>
              <w:textAlignment w:val="bottom"/>
              <w:outlineLvl w:val="0"/>
              <w:rPr>
                <w:rFonts w:ascii="仿宋_GB2312" w:hAnsi="仿宋" w:eastAsia="仿宋_GB2312" w:cs="仿宋"/>
                <w:kern w:val="0"/>
                <w:sz w:val="24"/>
              </w:rPr>
            </w:pPr>
          </w:p>
        </w:tc>
        <w:tc>
          <w:tcPr>
            <w:tcW w:w="1665" w:type="dxa"/>
            <w:vAlign w:val="center"/>
          </w:tcPr>
          <w:p w14:paraId="59132D30">
            <w:pPr>
              <w:autoSpaceDE w:val="0"/>
              <w:autoSpaceDN w:val="0"/>
              <w:adjustRightInd w:val="0"/>
              <w:snapToGrid w:val="0"/>
              <w:spacing w:line="360" w:lineRule="auto"/>
              <w:jc w:val="center"/>
              <w:textAlignment w:val="bottom"/>
              <w:outlineLvl w:val="0"/>
              <w:rPr>
                <w:rFonts w:ascii="仿宋_GB2312" w:hAnsi="仿宋" w:eastAsia="仿宋_GB2312" w:cs="仿宋"/>
                <w:kern w:val="0"/>
                <w:sz w:val="24"/>
              </w:rPr>
            </w:pPr>
          </w:p>
        </w:tc>
      </w:tr>
    </w:tbl>
    <w:p w14:paraId="70E97325">
      <w:pPr>
        <w:spacing w:line="360" w:lineRule="auto"/>
        <w:ind w:left="-2" w:leftChars="-1" w:firstLine="480" w:firstLineChars="200"/>
        <w:rPr>
          <w:rFonts w:ascii="仿宋" w:hAnsi="仿宋" w:eastAsia="仿宋" w:cs="仿宋"/>
          <w:kern w:val="0"/>
          <w:sz w:val="24"/>
          <w:lang w:val="zh-CN"/>
        </w:rPr>
      </w:pPr>
      <w:r>
        <w:rPr>
          <w:rFonts w:hint="eastAsia" w:ascii="仿宋" w:hAnsi="仿宋" w:eastAsia="仿宋" w:cs="仿宋"/>
          <w:sz w:val="24"/>
        </w:rPr>
        <w:t>注：</w:t>
      </w:r>
      <w:r>
        <w:rPr>
          <w:rFonts w:hint="eastAsia" w:ascii="仿宋" w:hAnsi="仿宋" w:eastAsia="仿宋" w:cs="仿宋"/>
          <w:kern w:val="0"/>
          <w:sz w:val="24"/>
          <w:lang w:val="zh-CN"/>
        </w:rPr>
        <w:t>1、供应商需按本表格式填写</w:t>
      </w:r>
      <w:r>
        <w:rPr>
          <w:rFonts w:hint="eastAsia" w:ascii="仿宋" w:hAnsi="仿宋" w:eastAsia="仿宋" w:cs="仿宋"/>
          <w:b/>
          <w:kern w:val="0"/>
          <w:sz w:val="24"/>
          <w:lang w:val="zh-CN"/>
        </w:rPr>
        <w:t>，</w:t>
      </w:r>
      <w:r>
        <w:rPr>
          <w:rFonts w:hint="eastAsia" w:ascii="仿宋" w:hAnsi="仿宋" w:eastAsia="仿宋" w:cs="仿宋"/>
          <w:b/>
          <w:kern w:val="0"/>
          <w:sz w:val="24"/>
        </w:rPr>
        <w:t>否则视为</w:t>
      </w:r>
      <w:r>
        <w:rPr>
          <w:rFonts w:hint="eastAsia" w:ascii="仿宋" w:hAnsi="仿宋" w:eastAsia="仿宋" w:cs="仿宋"/>
          <w:b/>
          <w:sz w:val="24"/>
        </w:rPr>
        <w:t>响应文件含有采购人不能接受的附加条件，响应无效</w:t>
      </w:r>
      <w:r>
        <w:rPr>
          <w:rFonts w:hint="eastAsia" w:ascii="仿宋" w:hAnsi="仿宋" w:eastAsia="仿宋" w:cs="仿宋"/>
          <w:kern w:val="0"/>
          <w:sz w:val="24"/>
          <w:lang w:val="zh-CN"/>
        </w:rPr>
        <w:t>。</w:t>
      </w:r>
    </w:p>
    <w:p w14:paraId="2043D3F2">
      <w:pPr>
        <w:snapToGrid w:val="0"/>
        <w:spacing w:line="360" w:lineRule="auto"/>
        <w:ind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2、有关本项目实施所涉及的一切费用均计入报价。</w:t>
      </w:r>
      <w:r>
        <w:rPr>
          <w:rFonts w:hint="eastAsia" w:ascii="仿宋" w:hAnsi="仿宋" w:eastAsia="仿宋" w:cs="仿宋"/>
          <w:b/>
          <w:kern w:val="0"/>
          <w:sz w:val="24"/>
          <w:lang w:val="zh-CN"/>
        </w:rPr>
        <w:t>采购人将以合同形式有偿取得货物或服务，不接受供应商给予的赠品、回扣或者与采购无关的其他商品、服务</w:t>
      </w:r>
      <w:r>
        <w:rPr>
          <w:rFonts w:hint="eastAsia" w:ascii="仿宋" w:hAnsi="仿宋" w:eastAsia="仿宋" w:cs="仿宋"/>
          <w:kern w:val="0"/>
          <w:sz w:val="24"/>
          <w:lang w:val="zh-CN"/>
        </w:rPr>
        <w:t>，</w:t>
      </w:r>
      <w:r>
        <w:rPr>
          <w:rFonts w:hint="eastAsia" w:ascii="仿宋" w:hAnsi="仿宋" w:eastAsia="仿宋" w:cs="仿宋"/>
          <w:b/>
          <w:kern w:val="0"/>
          <w:sz w:val="24"/>
          <w:lang w:val="zh-CN"/>
        </w:rPr>
        <w:t>不得出现“0元”“免费赠送”等形式的无偿报价，</w:t>
      </w:r>
      <w:r>
        <w:rPr>
          <w:rFonts w:hint="eastAsia" w:ascii="仿宋" w:hAnsi="仿宋" w:eastAsia="仿宋" w:cs="仿宋"/>
          <w:b/>
          <w:kern w:val="0"/>
          <w:sz w:val="24"/>
        </w:rPr>
        <w:t>否则视为</w:t>
      </w:r>
      <w:r>
        <w:rPr>
          <w:rFonts w:hint="eastAsia" w:ascii="仿宋" w:hAnsi="仿宋" w:eastAsia="仿宋" w:cs="仿宋"/>
          <w:b/>
          <w:sz w:val="24"/>
        </w:rPr>
        <w:t>最后报价文件含有采购人不能接受的附加条件，响应无效</w:t>
      </w:r>
      <w:r>
        <w:rPr>
          <w:rFonts w:hint="eastAsia" w:ascii="仿宋" w:hAnsi="仿宋" w:eastAsia="仿宋" w:cs="仿宋"/>
          <w:b/>
          <w:kern w:val="0"/>
          <w:sz w:val="24"/>
          <w:lang w:val="zh-CN"/>
        </w:rPr>
        <w:t>；采购内容未包含在《最后报价一览表》名称栏中，供应商不能作出合理解释的，</w:t>
      </w:r>
      <w:r>
        <w:rPr>
          <w:rFonts w:hint="eastAsia" w:ascii="仿宋" w:hAnsi="仿宋" w:eastAsia="仿宋" w:cs="仿宋"/>
          <w:b/>
          <w:kern w:val="0"/>
          <w:sz w:val="24"/>
        </w:rPr>
        <w:t>视为</w:t>
      </w:r>
      <w:r>
        <w:rPr>
          <w:rFonts w:hint="eastAsia" w:ascii="仿宋" w:hAnsi="仿宋" w:eastAsia="仿宋" w:cs="仿宋"/>
          <w:b/>
          <w:sz w:val="24"/>
        </w:rPr>
        <w:t>响应文件含有采购人不能接受的附加条件的，响应无效。</w:t>
      </w:r>
    </w:p>
    <w:p w14:paraId="537E67DB">
      <w:pPr>
        <w:snapToGrid w:val="0"/>
        <w:spacing w:line="360" w:lineRule="auto"/>
        <w:ind w:firstLine="480" w:firstLineChars="200"/>
        <w:jc w:val="left"/>
        <w:rPr>
          <w:rFonts w:ascii="仿宋" w:hAnsi="仿宋" w:eastAsia="仿宋" w:cs="仿宋"/>
          <w:kern w:val="0"/>
          <w:sz w:val="24"/>
          <w:lang w:val="zh-CN"/>
        </w:rPr>
      </w:pPr>
      <w:r>
        <w:rPr>
          <w:rFonts w:hint="eastAsia" w:ascii="仿宋" w:hAnsi="仿宋" w:eastAsia="仿宋" w:cs="仿宋"/>
          <w:kern w:val="0"/>
          <w:sz w:val="24"/>
          <w:lang w:val="zh-CN"/>
        </w:rPr>
        <w:t>3、特别提示：采购代理机构将对项目名称和项目编号，成交供应商名称、地址和成交金额，主要成交标的名称、服务范围、服务要求、服务时间、服务标准等予以公示。</w:t>
      </w:r>
    </w:p>
    <w:p w14:paraId="37BC2DCE">
      <w:pPr>
        <w:spacing w:line="360" w:lineRule="auto"/>
        <w:ind w:firstLine="480" w:firstLineChars="200"/>
        <w:rPr>
          <w:rFonts w:ascii="仿宋" w:hAnsi="仿宋" w:eastAsia="仿宋" w:cs="仿宋"/>
          <w:kern w:val="0"/>
          <w:sz w:val="24"/>
          <w:u w:val="single"/>
          <w:lang w:val="zh-CN"/>
        </w:rPr>
      </w:pPr>
      <w:r>
        <w:rPr>
          <w:rFonts w:hint="eastAsia" w:ascii="仿宋" w:hAnsi="仿宋" w:eastAsia="仿宋" w:cs="仿宋"/>
          <w:kern w:val="0"/>
          <w:sz w:val="24"/>
          <w:szCs w:val="22"/>
          <w:lang w:val="zh-CN"/>
        </w:rPr>
        <w:t>4、</w:t>
      </w:r>
      <w:r>
        <w:rPr>
          <w:rFonts w:hint="eastAsia" w:ascii="仿宋" w:hAnsi="仿宋" w:eastAsia="仿宋" w:cs="仿宋"/>
          <w:kern w:val="0"/>
          <w:sz w:val="24"/>
          <w:lang w:val="zh-CN"/>
        </w:rPr>
        <w:t>符合磋商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C79E778">
      <w:pPr>
        <w:adjustRightInd w:val="0"/>
        <w:snapToGrid w:val="0"/>
        <w:spacing w:line="360" w:lineRule="auto"/>
        <w:rPr>
          <w:rFonts w:ascii="仿宋_GB2312" w:hAnsi="仿宋" w:eastAsia="仿宋_GB2312" w:cs="仿宋"/>
          <w:spacing w:val="20"/>
          <w:sz w:val="24"/>
        </w:rPr>
      </w:pPr>
    </w:p>
    <w:p w14:paraId="3F6BE637">
      <w:pPr>
        <w:adjustRightInd w:val="0"/>
        <w:snapToGrid w:val="0"/>
        <w:spacing w:line="360" w:lineRule="auto"/>
        <w:rPr>
          <w:rFonts w:ascii="仿宋_GB2312" w:hAnsi="仿宋" w:eastAsia="仿宋_GB2312" w:cs="仿宋"/>
          <w:spacing w:val="20"/>
          <w:sz w:val="24"/>
        </w:rPr>
      </w:pPr>
      <w:r>
        <w:rPr>
          <w:rFonts w:hint="eastAsia" w:ascii="仿宋_GB2312" w:hAnsi="仿宋" w:eastAsia="仿宋_GB2312" w:cs="仿宋"/>
          <w:spacing w:val="20"/>
          <w:sz w:val="24"/>
        </w:rPr>
        <w:t>磋商供应商</w:t>
      </w:r>
      <w:r>
        <w:rPr>
          <w:rFonts w:hint="eastAsia" w:ascii="仿宋_GB2312" w:hAnsi="仿宋" w:eastAsia="仿宋_GB2312" w:cs="仿宋"/>
          <w:spacing w:val="20"/>
          <w:sz w:val="24"/>
          <w:lang w:val="en-US" w:eastAsia="zh-CN"/>
        </w:rPr>
        <w:t>名</w:t>
      </w:r>
      <w:r>
        <w:rPr>
          <w:rFonts w:hint="eastAsia" w:ascii="仿宋_GB2312" w:hAnsi="仿宋" w:eastAsia="仿宋_GB2312" w:cs="仿宋"/>
          <w:spacing w:val="20"/>
          <w:sz w:val="24"/>
        </w:rPr>
        <w:t>称（公章）：</w:t>
      </w:r>
      <w:r>
        <w:rPr>
          <w:rFonts w:hint="eastAsia" w:ascii="仿宋_GB2312" w:hAnsi="仿宋" w:eastAsia="仿宋_GB2312" w:cs="仿宋"/>
          <w:spacing w:val="20"/>
          <w:sz w:val="24"/>
          <w:u w:val="single"/>
        </w:rPr>
        <w:t xml:space="preserve">                 </w:t>
      </w:r>
      <w:r>
        <w:rPr>
          <w:rFonts w:hint="eastAsia" w:ascii="仿宋_GB2312" w:hAnsi="仿宋" w:eastAsia="仿宋_GB2312" w:cs="仿宋"/>
          <w:spacing w:val="20"/>
          <w:sz w:val="24"/>
        </w:rPr>
        <w:t xml:space="preserve"> </w:t>
      </w:r>
    </w:p>
    <w:p w14:paraId="5198B93B">
      <w:pPr>
        <w:adjustRightInd w:val="0"/>
        <w:snapToGrid w:val="0"/>
        <w:spacing w:line="360" w:lineRule="auto"/>
        <w:ind w:right="-817" w:rightChars="-389"/>
        <w:rPr>
          <w:rFonts w:ascii="仿宋_GB2312" w:hAnsi="仿宋" w:eastAsia="仿宋_GB2312" w:cs="仿宋"/>
          <w:sz w:val="24"/>
        </w:rPr>
      </w:pPr>
      <w:r>
        <w:rPr>
          <w:rFonts w:hint="eastAsia" w:ascii="仿宋_GB2312" w:hAnsi="仿宋" w:eastAsia="仿宋_GB2312" w:cs="仿宋"/>
          <w:sz w:val="24"/>
        </w:rPr>
        <w:t>法定代表人或授权代表（签字）：</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w:t>
      </w:r>
    </w:p>
    <w:p w14:paraId="0B14E1C2">
      <w:pPr>
        <w:adjustRightInd w:val="0"/>
        <w:snapToGrid w:val="0"/>
        <w:spacing w:line="360" w:lineRule="auto"/>
        <w:rPr>
          <w:rFonts w:ascii="仿宋_GB2312" w:hAnsi="仿宋" w:eastAsia="仿宋_GB2312" w:cs="仿宋"/>
        </w:rPr>
      </w:pPr>
      <w:r>
        <w:rPr>
          <w:rFonts w:hint="eastAsia" w:ascii="仿宋_GB2312" w:hAnsi="仿宋" w:eastAsia="仿宋_GB2312" w:cs="仿宋"/>
          <w:spacing w:val="20"/>
          <w:sz w:val="24"/>
        </w:rPr>
        <w:t>日 期：</w:t>
      </w:r>
      <w:r>
        <w:rPr>
          <w:rFonts w:hint="eastAsia" w:ascii="仿宋_GB2312" w:hAnsi="仿宋" w:eastAsia="仿宋_GB2312" w:cs="仿宋"/>
          <w:spacing w:val="20"/>
          <w:sz w:val="24"/>
          <w:u w:val="single"/>
        </w:rPr>
        <w:t xml:space="preserve">            </w:t>
      </w:r>
    </w:p>
    <w:p w14:paraId="56A99509">
      <w:pPr>
        <w:pStyle w:val="17"/>
        <w:adjustRightInd w:val="0"/>
        <w:snapToGrid w:val="0"/>
        <w:spacing w:beforeLines="0" w:afterLines="0" w:line="360" w:lineRule="auto"/>
        <w:rPr>
          <w:rFonts w:hint="eastAsia" w:ascii="仿宋_GB2312" w:hAnsi="仿宋" w:eastAsia="仿宋_GB2312" w:cs="仿宋"/>
          <w:b/>
          <w:bCs/>
        </w:rPr>
      </w:pPr>
    </w:p>
    <w:p w14:paraId="4C0EE84C">
      <w:pPr>
        <w:pStyle w:val="17"/>
        <w:adjustRightInd w:val="0"/>
        <w:snapToGrid w:val="0"/>
        <w:spacing w:beforeLines="0" w:afterLines="0" w:line="360" w:lineRule="auto"/>
        <w:rPr>
          <w:rFonts w:hint="eastAsia" w:ascii="仿宋_GB2312" w:hAnsi="仿宋" w:eastAsia="仿宋_GB2312" w:cs="仿宋"/>
          <w:b/>
          <w:bCs/>
        </w:rPr>
      </w:pPr>
    </w:p>
    <w:p w14:paraId="26BA4CE5">
      <w:pPr>
        <w:pStyle w:val="17"/>
        <w:adjustRightInd w:val="0"/>
        <w:snapToGrid w:val="0"/>
        <w:spacing w:beforeLines="0" w:afterLines="0" w:line="360" w:lineRule="auto"/>
        <w:rPr>
          <w:rFonts w:hint="eastAsia" w:ascii="仿宋_GB2312" w:hAnsi="仿宋" w:eastAsia="仿宋_GB2312" w:cs="仿宋"/>
          <w:b/>
          <w:bCs/>
        </w:rPr>
      </w:pPr>
    </w:p>
    <w:p w14:paraId="5F9DB987">
      <w:pPr>
        <w:pStyle w:val="17"/>
        <w:adjustRightInd w:val="0"/>
        <w:snapToGrid w:val="0"/>
        <w:spacing w:beforeLines="0" w:afterLines="0" w:line="360" w:lineRule="auto"/>
        <w:rPr>
          <w:rFonts w:ascii="仿宋_GB2312" w:hAnsi="仿宋" w:eastAsia="仿宋_GB2312" w:cs="仿宋"/>
        </w:rPr>
      </w:pPr>
      <w:r>
        <w:rPr>
          <w:rFonts w:hint="eastAsia" w:ascii="仿宋_GB2312" w:hAnsi="仿宋" w:eastAsia="仿宋_GB2312" w:cs="仿宋"/>
          <w:b/>
          <w:bCs/>
        </w:rPr>
        <w:t>三、报价明细表格式：</w:t>
      </w:r>
      <w:r>
        <w:rPr>
          <w:rFonts w:hint="eastAsia" w:ascii="仿宋_GB2312" w:hAnsi="仿宋" w:eastAsia="仿宋_GB2312" w:cs="仿宋"/>
        </w:rPr>
        <w:t xml:space="preserve">       </w:t>
      </w:r>
    </w:p>
    <w:p w14:paraId="576CBEDB">
      <w:pPr>
        <w:pStyle w:val="17"/>
        <w:adjustRightInd w:val="0"/>
        <w:snapToGrid w:val="0"/>
        <w:spacing w:beforeLines="0" w:afterLines="0" w:line="360" w:lineRule="auto"/>
        <w:jc w:val="center"/>
        <w:rPr>
          <w:rFonts w:ascii="仿宋_GB2312" w:hAnsi="仿宋" w:eastAsia="仿宋_GB2312" w:cs="仿宋"/>
          <w:b/>
        </w:rPr>
      </w:pPr>
      <w:r>
        <w:rPr>
          <w:rFonts w:hint="eastAsia" w:ascii="仿宋_GB2312" w:hAnsi="仿宋" w:eastAsia="仿宋_GB2312" w:cs="仿宋"/>
          <w:b/>
        </w:rPr>
        <w:t>报价明细表</w:t>
      </w:r>
    </w:p>
    <w:p w14:paraId="53396B6D">
      <w:pPr>
        <w:pStyle w:val="17"/>
        <w:adjustRightInd w:val="0"/>
        <w:snapToGrid w:val="0"/>
        <w:spacing w:beforeLines="0" w:afterLines="0" w:line="360" w:lineRule="auto"/>
        <w:rPr>
          <w:rFonts w:ascii="仿宋_GB2312" w:hAnsi="仿宋" w:eastAsia="仿宋_GB2312" w:cs="仿宋"/>
        </w:rPr>
      </w:pPr>
      <w:r>
        <w:rPr>
          <w:rFonts w:hint="eastAsia" w:ascii="仿宋_GB2312" w:hAnsi="仿宋" w:eastAsia="仿宋_GB2312" w:cs="仿宋"/>
        </w:rPr>
        <w:t>项目名称：</w:t>
      </w:r>
      <w:r>
        <w:rPr>
          <w:rFonts w:hint="eastAsia" w:ascii="仿宋_GB2312" w:hAnsi="仿宋" w:eastAsia="仿宋_GB2312" w:cs="仿宋"/>
          <w:u w:val="single"/>
        </w:rPr>
        <w:t xml:space="preserve">            </w:t>
      </w:r>
    </w:p>
    <w:p w14:paraId="4008E1D0">
      <w:pPr>
        <w:pStyle w:val="17"/>
        <w:adjustRightInd w:val="0"/>
        <w:snapToGrid w:val="0"/>
        <w:spacing w:beforeLines="0" w:afterLines="0" w:line="360" w:lineRule="auto"/>
        <w:rPr>
          <w:rFonts w:ascii="仿宋_GB2312" w:hAnsi="仿宋" w:eastAsia="仿宋_GB2312" w:cs="仿宋"/>
        </w:rPr>
      </w:pPr>
      <w:r>
        <w:rPr>
          <w:rFonts w:hint="eastAsia" w:ascii="仿宋_GB2312" w:hAnsi="仿宋" w:eastAsia="仿宋_GB2312" w:cs="仿宋"/>
        </w:rPr>
        <w:t>项目编号：</w:t>
      </w:r>
      <w:r>
        <w:rPr>
          <w:rFonts w:hint="eastAsia" w:ascii="仿宋_GB2312" w:hAnsi="仿宋" w:eastAsia="仿宋_GB2312" w:cs="仿宋"/>
          <w:u w:val="single"/>
        </w:rPr>
        <w:t xml:space="preserve">            </w:t>
      </w:r>
    </w:p>
    <w:p w14:paraId="1650B4D1">
      <w:pPr>
        <w:pStyle w:val="17"/>
        <w:adjustRightInd w:val="0"/>
        <w:snapToGrid w:val="0"/>
        <w:spacing w:beforeLines="0" w:afterLines="0" w:line="360" w:lineRule="auto"/>
        <w:ind w:firstLine="3120" w:firstLineChars="1300"/>
        <w:jc w:val="right"/>
        <w:rPr>
          <w:rFonts w:ascii="仿宋_GB2312" w:hAnsi="仿宋" w:eastAsia="仿宋_GB2312" w:cs="仿宋"/>
        </w:rPr>
      </w:pPr>
      <w:r>
        <w:rPr>
          <w:rFonts w:hint="eastAsia" w:ascii="仿宋_GB2312" w:hAnsi="仿宋" w:eastAsia="仿宋_GB2312" w:cs="仿宋"/>
        </w:rPr>
        <w:t xml:space="preserve"> 金额单位：人民币（元）</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2340"/>
        <w:gridCol w:w="1260"/>
        <w:gridCol w:w="1440"/>
      </w:tblGrid>
      <w:tr w14:paraId="2F7DA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tcBorders>
              <w:top w:val="single" w:color="auto" w:sz="4" w:space="0"/>
              <w:left w:val="single" w:color="auto" w:sz="4" w:space="0"/>
              <w:bottom w:val="single" w:color="auto" w:sz="4" w:space="0"/>
              <w:right w:val="single" w:color="auto" w:sz="4" w:space="0"/>
            </w:tcBorders>
            <w:vAlign w:val="center"/>
          </w:tcPr>
          <w:p w14:paraId="5670F7F9">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73A9331">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费用名称</w:t>
            </w:r>
          </w:p>
        </w:tc>
        <w:tc>
          <w:tcPr>
            <w:tcW w:w="2340" w:type="dxa"/>
            <w:tcBorders>
              <w:top w:val="single" w:color="auto" w:sz="4" w:space="0"/>
              <w:left w:val="single" w:color="auto" w:sz="4" w:space="0"/>
              <w:bottom w:val="single" w:color="auto" w:sz="4" w:space="0"/>
              <w:right w:val="single" w:color="auto" w:sz="4" w:space="0"/>
            </w:tcBorders>
            <w:vAlign w:val="center"/>
          </w:tcPr>
          <w:p w14:paraId="535CA764">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价格构成</w:t>
            </w:r>
          </w:p>
        </w:tc>
        <w:tc>
          <w:tcPr>
            <w:tcW w:w="1260" w:type="dxa"/>
            <w:tcBorders>
              <w:top w:val="single" w:color="auto" w:sz="4" w:space="0"/>
              <w:left w:val="single" w:color="auto" w:sz="4" w:space="0"/>
              <w:bottom w:val="single" w:color="auto" w:sz="4" w:space="0"/>
              <w:right w:val="single" w:color="auto" w:sz="4" w:space="0"/>
            </w:tcBorders>
            <w:vAlign w:val="center"/>
          </w:tcPr>
          <w:p w14:paraId="4DE0C90A">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金额</w:t>
            </w:r>
          </w:p>
        </w:tc>
        <w:tc>
          <w:tcPr>
            <w:tcW w:w="1440" w:type="dxa"/>
            <w:tcBorders>
              <w:top w:val="single" w:color="auto" w:sz="4" w:space="0"/>
              <w:left w:val="single" w:color="auto" w:sz="4" w:space="0"/>
              <w:bottom w:val="single" w:color="auto" w:sz="4" w:space="0"/>
              <w:right w:val="single" w:color="auto" w:sz="4" w:space="0"/>
            </w:tcBorders>
            <w:vAlign w:val="center"/>
          </w:tcPr>
          <w:p w14:paraId="04BFE2C0">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有关说明</w:t>
            </w:r>
          </w:p>
        </w:tc>
      </w:tr>
      <w:tr w14:paraId="7897C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left w:val="single" w:color="auto" w:sz="4" w:space="0"/>
              <w:right w:val="single" w:color="auto" w:sz="4" w:space="0"/>
            </w:tcBorders>
            <w:vAlign w:val="center"/>
          </w:tcPr>
          <w:p w14:paraId="34F2E6BA">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1</w:t>
            </w:r>
          </w:p>
        </w:tc>
        <w:tc>
          <w:tcPr>
            <w:tcW w:w="2160" w:type="dxa"/>
            <w:vMerge w:val="restart"/>
            <w:tcBorders>
              <w:top w:val="single" w:color="auto" w:sz="4" w:space="0"/>
              <w:left w:val="single" w:color="auto" w:sz="4" w:space="0"/>
              <w:right w:val="single" w:color="auto" w:sz="4" w:space="0"/>
            </w:tcBorders>
            <w:vAlign w:val="center"/>
          </w:tcPr>
          <w:p w14:paraId="7C813E2E">
            <w:pPr>
              <w:adjustRightInd w:val="0"/>
              <w:snapToGrid w:val="0"/>
              <w:spacing w:line="360" w:lineRule="auto"/>
              <w:jc w:val="center"/>
              <w:rPr>
                <w:rFonts w:ascii="仿宋_GB2312" w:hAnsi="仿宋" w:eastAsia="仿宋_GB2312" w:cs="仿宋"/>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6F46AE7A">
            <w:pPr>
              <w:adjustRightInd w:val="0"/>
              <w:snapToGrid w:val="0"/>
              <w:spacing w:line="360" w:lineRule="auto"/>
              <w:jc w:val="center"/>
              <w:rPr>
                <w:rFonts w:ascii="仿宋_GB2312" w:hAnsi="仿宋" w:eastAsia="仿宋_GB2312"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C13B4EB">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87BC2A0">
            <w:pPr>
              <w:adjustRightInd w:val="0"/>
              <w:snapToGrid w:val="0"/>
              <w:spacing w:line="360" w:lineRule="auto"/>
              <w:jc w:val="center"/>
              <w:rPr>
                <w:rFonts w:ascii="仿宋_GB2312" w:hAnsi="仿宋" w:eastAsia="仿宋_GB2312" w:cs="仿宋"/>
                <w:sz w:val="24"/>
              </w:rPr>
            </w:pPr>
          </w:p>
        </w:tc>
      </w:tr>
      <w:tr w14:paraId="25298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left w:val="single" w:color="auto" w:sz="4" w:space="0"/>
              <w:bottom w:val="single" w:color="auto" w:sz="4" w:space="0"/>
              <w:right w:val="single" w:color="auto" w:sz="4" w:space="0"/>
            </w:tcBorders>
            <w:vAlign w:val="center"/>
          </w:tcPr>
          <w:p w14:paraId="52D20588">
            <w:pPr>
              <w:adjustRightInd w:val="0"/>
              <w:snapToGrid w:val="0"/>
              <w:spacing w:line="360" w:lineRule="auto"/>
              <w:jc w:val="center"/>
              <w:rPr>
                <w:rFonts w:ascii="仿宋_GB2312" w:hAnsi="仿宋" w:eastAsia="仿宋_GB2312" w:cs="仿宋"/>
                <w:sz w:val="24"/>
              </w:rPr>
            </w:pPr>
          </w:p>
        </w:tc>
        <w:tc>
          <w:tcPr>
            <w:tcW w:w="2160" w:type="dxa"/>
            <w:vMerge w:val="continue"/>
            <w:tcBorders>
              <w:left w:val="single" w:color="auto" w:sz="4" w:space="0"/>
              <w:bottom w:val="single" w:color="auto" w:sz="4" w:space="0"/>
              <w:right w:val="single" w:color="auto" w:sz="4" w:space="0"/>
            </w:tcBorders>
            <w:vAlign w:val="center"/>
          </w:tcPr>
          <w:p w14:paraId="43F43754">
            <w:pPr>
              <w:adjustRightInd w:val="0"/>
              <w:snapToGrid w:val="0"/>
              <w:spacing w:line="360" w:lineRule="auto"/>
              <w:jc w:val="center"/>
              <w:rPr>
                <w:rFonts w:ascii="仿宋_GB2312" w:hAnsi="仿宋" w:eastAsia="仿宋_GB2312" w:cs="仿宋"/>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2C793DDA">
            <w:pPr>
              <w:adjustRightInd w:val="0"/>
              <w:snapToGrid w:val="0"/>
              <w:spacing w:line="360" w:lineRule="auto"/>
              <w:jc w:val="center"/>
              <w:rPr>
                <w:rFonts w:ascii="仿宋_GB2312" w:hAnsi="仿宋" w:eastAsia="仿宋_GB2312"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C1A78C2">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E7104CA">
            <w:pPr>
              <w:adjustRightInd w:val="0"/>
              <w:snapToGrid w:val="0"/>
              <w:spacing w:line="360" w:lineRule="auto"/>
              <w:jc w:val="center"/>
              <w:rPr>
                <w:rFonts w:ascii="仿宋_GB2312" w:hAnsi="仿宋" w:eastAsia="仿宋_GB2312" w:cs="仿宋"/>
                <w:sz w:val="24"/>
              </w:rPr>
            </w:pPr>
          </w:p>
        </w:tc>
      </w:tr>
      <w:tr w14:paraId="2B27E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left w:val="single" w:color="auto" w:sz="4" w:space="0"/>
              <w:right w:val="single" w:color="auto" w:sz="4" w:space="0"/>
            </w:tcBorders>
            <w:vAlign w:val="center"/>
          </w:tcPr>
          <w:p w14:paraId="7615064E">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2</w:t>
            </w:r>
          </w:p>
        </w:tc>
        <w:tc>
          <w:tcPr>
            <w:tcW w:w="2160" w:type="dxa"/>
            <w:vMerge w:val="restart"/>
            <w:tcBorders>
              <w:top w:val="single" w:color="auto" w:sz="4" w:space="0"/>
              <w:left w:val="single" w:color="auto" w:sz="4" w:space="0"/>
              <w:right w:val="single" w:color="auto" w:sz="4" w:space="0"/>
            </w:tcBorders>
            <w:vAlign w:val="center"/>
          </w:tcPr>
          <w:p w14:paraId="4BCBB027">
            <w:pPr>
              <w:adjustRightInd w:val="0"/>
              <w:snapToGrid w:val="0"/>
              <w:spacing w:line="360" w:lineRule="auto"/>
              <w:jc w:val="center"/>
              <w:rPr>
                <w:rFonts w:ascii="仿宋_GB2312" w:hAnsi="仿宋" w:eastAsia="仿宋_GB2312" w:cs="仿宋"/>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71B44A25">
            <w:pPr>
              <w:adjustRightInd w:val="0"/>
              <w:snapToGrid w:val="0"/>
              <w:spacing w:line="360" w:lineRule="auto"/>
              <w:jc w:val="center"/>
              <w:rPr>
                <w:rFonts w:ascii="仿宋_GB2312" w:hAnsi="仿宋" w:eastAsia="仿宋_GB2312"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A6A50FC">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C47FB9D">
            <w:pPr>
              <w:adjustRightInd w:val="0"/>
              <w:snapToGrid w:val="0"/>
              <w:spacing w:line="360" w:lineRule="auto"/>
              <w:jc w:val="center"/>
              <w:rPr>
                <w:rFonts w:ascii="仿宋_GB2312" w:hAnsi="仿宋" w:eastAsia="仿宋_GB2312" w:cs="仿宋"/>
                <w:sz w:val="24"/>
              </w:rPr>
            </w:pPr>
          </w:p>
        </w:tc>
      </w:tr>
      <w:tr w14:paraId="64C08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left w:val="single" w:color="auto" w:sz="4" w:space="0"/>
              <w:bottom w:val="single" w:color="auto" w:sz="4" w:space="0"/>
              <w:right w:val="single" w:color="auto" w:sz="4" w:space="0"/>
            </w:tcBorders>
            <w:vAlign w:val="center"/>
          </w:tcPr>
          <w:p w14:paraId="07E5ABF0">
            <w:pPr>
              <w:adjustRightInd w:val="0"/>
              <w:snapToGrid w:val="0"/>
              <w:spacing w:line="360" w:lineRule="auto"/>
              <w:jc w:val="center"/>
              <w:rPr>
                <w:rFonts w:ascii="仿宋_GB2312" w:hAnsi="仿宋" w:eastAsia="仿宋_GB2312" w:cs="仿宋"/>
                <w:sz w:val="24"/>
              </w:rPr>
            </w:pPr>
          </w:p>
        </w:tc>
        <w:tc>
          <w:tcPr>
            <w:tcW w:w="2160" w:type="dxa"/>
            <w:vMerge w:val="continue"/>
            <w:tcBorders>
              <w:left w:val="single" w:color="auto" w:sz="4" w:space="0"/>
              <w:bottom w:val="single" w:color="auto" w:sz="4" w:space="0"/>
              <w:right w:val="single" w:color="auto" w:sz="4" w:space="0"/>
            </w:tcBorders>
            <w:vAlign w:val="center"/>
          </w:tcPr>
          <w:p w14:paraId="5776FA5B">
            <w:pPr>
              <w:adjustRightInd w:val="0"/>
              <w:snapToGrid w:val="0"/>
              <w:spacing w:line="360" w:lineRule="auto"/>
              <w:jc w:val="center"/>
              <w:rPr>
                <w:rFonts w:ascii="仿宋_GB2312" w:hAnsi="仿宋" w:eastAsia="仿宋_GB2312" w:cs="仿宋"/>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32142D81">
            <w:pPr>
              <w:adjustRightInd w:val="0"/>
              <w:snapToGrid w:val="0"/>
              <w:spacing w:line="360" w:lineRule="auto"/>
              <w:jc w:val="center"/>
              <w:rPr>
                <w:rFonts w:ascii="仿宋_GB2312" w:hAnsi="仿宋" w:eastAsia="仿宋_GB2312"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EB9DAA1">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1B75776">
            <w:pPr>
              <w:adjustRightInd w:val="0"/>
              <w:snapToGrid w:val="0"/>
              <w:spacing w:line="360" w:lineRule="auto"/>
              <w:jc w:val="center"/>
              <w:rPr>
                <w:rFonts w:ascii="仿宋_GB2312" w:hAnsi="仿宋" w:eastAsia="仿宋_GB2312" w:cs="仿宋"/>
                <w:sz w:val="24"/>
              </w:rPr>
            </w:pPr>
          </w:p>
        </w:tc>
      </w:tr>
      <w:tr w14:paraId="4850D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00" w:type="dxa"/>
            <w:vMerge w:val="restart"/>
            <w:tcBorders>
              <w:top w:val="single" w:color="auto" w:sz="4" w:space="0"/>
              <w:left w:val="single" w:color="auto" w:sz="4" w:space="0"/>
              <w:right w:val="single" w:color="auto" w:sz="4" w:space="0"/>
            </w:tcBorders>
            <w:vAlign w:val="center"/>
          </w:tcPr>
          <w:p w14:paraId="7CDD6DA5">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3</w:t>
            </w:r>
          </w:p>
        </w:tc>
        <w:tc>
          <w:tcPr>
            <w:tcW w:w="2160" w:type="dxa"/>
            <w:vMerge w:val="restart"/>
            <w:tcBorders>
              <w:top w:val="single" w:color="auto" w:sz="4" w:space="0"/>
              <w:left w:val="single" w:color="auto" w:sz="4" w:space="0"/>
              <w:right w:val="single" w:color="auto" w:sz="4" w:space="0"/>
            </w:tcBorders>
            <w:vAlign w:val="center"/>
          </w:tcPr>
          <w:p w14:paraId="15F644A4">
            <w:pPr>
              <w:adjustRightInd w:val="0"/>
              <w:snapToGrid w:val="0"/>
              <w:spacing w:line="360" w:lineRule="auto"/>
              <w:jc w:val="center"/>
              <w:rPr>
                <w:rFonts w:ascii="仿宋_GB2312" w:hAnsi="仿宋" w:eastAsia="仿宋_GB2312" w:cs="仿宋"/>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18118309">
            <w:pPr>
              <w:adjustRightInd w:val="0"/>
              <w:snapToGrid w:val="0"/>
              <w:spacing w:line="360" w:lineRule="auto"/>
              <w:jc w:val="center"/>
              <w:rPr>
                <w:rFonts w:ascii="仿宋_GB2312" w:hAnsi="仿宋" w:eastAsia="仿宋_GB2312"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0734D1E">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131B02B">
            <w:pPr>
              <w:adjustRightInd w:val="0"/>
              <w:snapToGrid w:val="0"/>
              <w:spacing w:line="360" w:lineRule="auto"/>
              <w:jc w:val="center"/>
              <w:rPr>
                <w:rFonts w:ascii="仿宋_GB2312" w:hAnsi="仿宋" w:eastAsia="仿宋_GB2312" w:cs="仿宋"/>
                <w:sz w:val="24"/>
              </w:rPr>
            </w:pPr>
          </w:p>
        </w:tc>
      </w:tr>
      <w:tr w14:paraId="6B0CA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900" w:type="dxa"/>
            <w:vMerge w:val="continue"/>
            <w:tcBorders>
              <w:left w:val="single" w:color="auto" w:sz="4" w:space="0"/>
              <w:bottom w:val="single" w:color="auto" w:sz="4" w:space="0"/>
              <w:right w:val="single" w:color="auto" w:sz="4" w:space="0"/>
            </w:tcBorders>
            <w:vAlign w:val="center"/>
          </w:tcPr>
          <w:p w14:paraId="560B9E05">
            <w:pPr>
              <w:adjustRightInd w:val="0"/>
              <w:snapToGrid w:val="0"/>
              <w:spacing w:line="360" w:lineRule="auto"/>
              <w:jc w:val="center"/>
              <w:rPr>
                <w:rFonts w:ascii="仿宋_GB2312" w:hAnsi="仿宋" w:eastAsia="仿宋_GB2312" w:cs="仿宋"/>
                <w:sz w:val="24"/>
              </w:rPr>
            </w:pPr>
          </w:p>
        </w:tc>
        <w:tc>
          <w:tcPr>
            <w:tcW w:w="2160" w:type="dxa"/>
            <w:vMerge w:val="continue"/>
            <w:tcBorders>
              <w:left w:val="single" w:color="auto" w:sz="4" w:space="0"/>
              <w:bottom w:val="single" w:color="auto" w:sz="4" w:space="0"/>
              <w:right w:val="single" w:color="auto" w:sz="4" w:space="0"/>
            </w:tcBorders>
            <w:vAlign w:val="center"/>
          </w:tcPr>
          <w:p w14:paraId="2B68F527">
            <w:pPr>
              <w:adjustRightInd w:val="0"/>
              <w:snapToGrid w:val="0"/>
              <w:spacing w:line="360" w:lineRule="auto"/>
              <w:jc w:val="center"/>
              <w:rPr>
                <w:rFonts w:ascii="仿宋_GB2312" w:hAnsi="仿宋" w:eastAsia="仿宋_GB2312" w:cs="仿宋"/>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7E38EF04">
            <w:pPr>
              <w:adjustRightInd w:val="0"/>
              <w:snapToGrid w:val="0"/>
              <w:spacing w:line="360" w:lineRule="auto"/>
              <w:jc w:val="center"/>
              <w:rPr>
                <w:rFonts w:ascii="仿宋_GB2312" w:hAnsi="仿宋" w:eastAsia="仿宋_GB2312"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3E43FD4">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30DF0C9">
            <w:pPr>
              <w:adjustRightInd w:val="0"/>
              <w:snapToGrid w:val="0"/>
              <w:spacing w:line="360" w:lineRule="auto"/>
              <w:jc w:val="center"/>
              <w:rPr>
                <w:rFonts w:ascii="仿宋_GB2312" w:hAnsi="仿宋" w:eastAsia="仿宋_GB2312" w:cs="仿宋"/>
                <w:sz w:val="24"/>
              </w:rPr>
            </w:pPr>
          </w:p>
        </w:tc>
      </w:tr>
      <w:tr w14:paraId="5EB76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900" w:type="dxa"/>
            <w:vMerge w:val="restart"/>
            <w:tcBorders>
              <w:top w:val="single" w:color="auto" w:sz="4" w:space="0"/>
              <w:left w:val="single" w:color="auto" w:sz="4" w:space="0"/>
              <w:right w:val="single" w:color="auto" w:sz="4" w:space="0"/>
            </w:tcBorders>
            <w:vAlign w:val="center"/>
          </w:tcPr>
          <w:p w14:paraId="7403D31C">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4</w:t>
            </w:r>
          </w:p>
        </w:tc>
        <w:tc>
          <w:tcPr>
            <w:tcW w:w="2160" w:type="dxa"/>
            <w:vMerge w:val="restart"/>
            <w:tcBorders>
              <w:top w:val="single" w:color="auto" w:sz="4" w:space="0"/>
              <w:left w:val="single" w:color="auto" w:sz="4" w:space="0"/>
              <w:right w:val="single" w:color="auto" w:sz="4" w:space="0"/>
            </w:tcBorders>
            <w:vAlign w:val="center"/>
          </w:tcPr>
          <w:p w14:paraId="754FD904">
            <w:pPr>
              <w:adjustRightInd w:val="0"/>
              <w:snapToGrid w:val="0"/>
              <w:spacing w:line="360" w:lineRule="auto"/>
              <w:jc w:val="center"/>
              <w:rPr>
                <w:rFonts w:ascii="仿宋_GB2312" w:hAnsi="仿宋" w:eastAsia="仿宋_GB2312" w:cs="仿宋"/>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19C7A93C">
            <w:pPr>
              <w:adjustRightInd w:val="0"/>
              <w:snapToGrid w:val="0"/>
              <w:spacing w:line="360" w:lineRule="auto"/>
              <w:jc w:val="center"/>
              <w:rPr>
                <w:rFonts w:ascii="仿宋_GB2312" w:hAnsi="仿宋" w:eastAsia="仿宋_GB2312"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5DEDDF3">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2046506">
            <w:pPr>
              <w:adjustRightInd w:val="0"/>
              <w:snapToGrid w:val="0"/>
              <w:spacing w:line="360" w:lineRule="auto"/>
              <w:jc w:val="center"/>
              <w:rPr>
                <w:rFonts w:ascii="仿宋_GB2312" w:hAnsi="仿宋" w:eastAsia="仿宋_GB2312" w:cs="仿宋"/>
                <w:sz w:val="24"/>
              </w:rPr>
            </w:pPr>
          </w:p>
        </w:tc>
      </w:tr>
      <w:tr w14:paraId="0C02A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900" w:type="dxa"/>
            <w:vMerge w:val="continue"/>
            <w:tcBorders>
              <w:left w:val="single" w:color="auto" w:sz="4" w:space="0"/>
              <w:bottom w:val="single" w:color="auto" w:sz="4" w:space="0"/>
              <w:right w:val="single" w:color="auto" w:sz="4" w:space="0"/>
            </w:tcBorders>
            <w:vAlign w:val="center"/>
          </w:tcPr>
          <w:p w14:paraId="5EC0C3B6">
            <w:pPr>
              <w:adjustRightInd w:val="0"/>
              <w:snapToGrid w:val="0"/>
              <w:spacing w:line="360" w:lineRule="auto"/>
              <w:jc w:val="center"/>
              <w:rPr>
                <w:rFonts w:ascii="仿宋_GB2312" w:hAnsi="仿宋" w:eastAsia="仿宋_GB2312" w:cs="仿宋"/>
                <w:sz w:val="24"/>
              </w:rPr>
            </w:pPr>
          </w:p>
        </w:tc>
        <w:tc>
          <w:tcPr>
            <w:tcW w:w="2160" w:type="dxa"/>
            <w:vMerge w:val="continue"/>
            <w:tcBorders>
              <w:left w:val="single" w:color="auto" w:sz="4" w:space="0"/>
              <w:bottom w:val="single" w:color="auto" w:sz="4" w:space="0"/>
              <w:right w:val="single" w:color="auto" w:sz="4" w:space="0"/>
            </w:tcBorders>
            <w:vAlign w:val="center"/>
          </w:tcPr>
          <w:p w14:paraId="603797F2">
            <w:pPr>
              <w:adjustRightInd w:val="0"/>
              <w:snapToGrid w:val="0"/>
              <w:spacing w:line="360" w:lineRule="auto"/>
              <w:jc w:val="center"/>
              <w:rPr>
                <w:rFonts w:ascii="仿宋_GB2312" w:hAnsi="仿宋" w:eastAsia="仿宋_GB2312" w:cs="仿宋"/>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39DD7CF1">
            <w:pPr>
              <w:adjustRightInd w:val="0"/>
              <w:snapToGrid w:val="0"/>
              <w:spacing w:line="360" w:lineRule="auto"/>
              <w:jc w:val="center"/>
              <w:rPr>
                <w:rFonts w:ascii="仿宋_GB2312" w:hAnsi="仿宋" w:eastAsia="仿宋_GB2312"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602FC69">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5D3F63E">
            <w:pPr>
              <w:adjustRightInd w:val="0"/>
              <w:snapToGrid w:val="0"/>
              <w:spacing w:line="360" w:lineRule="auto"/>
              <w:jc w:val="center"/>
              <w:rPr>
                <w:rFonts w:ascii="仿宋_GB2312" w:hAnsi="仿宋" w:eastAsia="仿宋_GB2312" w:cs="仿宋"/>
                <w:sz w:val="24"/>
              </w:rPr>
            </w:pPr>
          </w:p>
        </w:tc>
      </w:tr>
      <w:tr w14:paraId="2E174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900" w:type="dxa"/>
            <w:vMerge w:val="restart"/>
            <w:tcBorders>
              <w:top w:val="single" w:color="auto" w:sz="4" w:space="0"/>
              <w:left w:val="single" w:color="auto" w:sz="4" w:space="0"/>
              <w:right w:val="single" w:color="auto" w:sz="4" w:space="0"/>
            </w:tcBorders>
            <w:vAlign w:val="center"/>
          </w:tcPr>
          <w:p w14:paraId="7D10DA51">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w:t>
            </w:r>
          </w:p>
        </w:tc>
        <w:tc>
          <w:tcPr>
            <w:tcW w:w="2160" w:type="dxa"/>
            <w:vMerge w:val="restart"/>
            <w:tcBorders>
              <w:top w:val="single" w:color="auto" w:sz="4" w:space="0"/>
              <w:left w:val="single" w:color="auto" w:sz="4" w:space="0"/>
              <w:right w:val="single" w:color="auto" w:sz="4" w:space="0"/>
            </w:tcBorders>
            <w:vAlign w:val="center"/>
          </w:tcPr>
          <w:p w14:paraId="2DC410B0">
            <w:pPr>
              <w:adjustRightInd w:val="0"/>
              <w:snapToGrid w:val="0"/>
              <w:spacing w:line="360" w:lineRule="auto"/>
              <w:jc w:val="center"/>
              <w:rPr>
                <w:rFonts w:ascii="仿宋_GB2312" w:hAnsi="仿宋" w:eastAsia="仿宋_GB2312" w:cs="仿宋"/>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0EB1B176">
            <w:pPr>
              <w:adjustRightInd w:val="0"/>
              <w:snapToGrid w:val="0"/>
              <w:spacing w:line="360" w:lineRule="auto"/>
              <w:jc w:val="center"/>
              <w:rPr>
                <w:rFonts w:ascii="仿宋_GB2312" w:hAnsi="仿宋" w:eastAsia="仿宋_GB2312"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DC3F473">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1BEB536">
            <w:pPr>
              <w:adjustRightInd w:val="0"/>
              <w:snapToGrid w:val="0"/>
              <w:spacing w:line="360" w:lineRule="auto"/>
              <w:jc w:val="center"/>
              <w:rPr>
                <w:rFonts w:ascii="仿宋_GB2312" w:hAnsi="仿宋" w:eastAsia="仿宋_GB2312" w:cs="仿宋"/>
                <w:sz w:val="24"/>
              </w:rPr>
            </w:pPr>
          </w:p>
        </w:tc>
      </w:tr>
      <w:tr w14:paraId="6CFC4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900" w:type="dxa"/>
            <w:vMerge w:val="continue"/>
            <w:tcBorders>
              <w:left w:val="single" w:color="auto" w:sz="4" w:space="0"/>
              <w:bottom w:val="single" w:color="auto" w:sz="4" w:space="0"/>
              <w:right w:val="single" w:color="auto" w:sz="4" w:space="0"/>
            </w:tcBorders>
            <w:vAlign w:val="center"/>
          </w:tcPr>
          <w:p w14:paraId="24CE44B4">
            <w:pPr>
              <w:adjustRightInd w:val="0"/>
              <w:snapToGrid w:val="0"/>
              <w:spacing w:line="360" w:lineRule="auto"/>
              <w:jc w:val="center"/>
              <w:rPr>
                <w:rFonts w:ascii="仿宋_GB2312" w:hAnsi="仿宋" w:eastAsia="仿宋_GB2312" w:cs="仿宋"/>
                <w:sz w:val="24"/>
              </w:rPr>
            </w:pPr>
          </w:p>
        </w:tc>
        <w:tc>
          <w:tcPr>
            <w:tcW w:w="2160" w:type="dxa"/>
            <w:vMerge w:val="continue"/>
            <w:tcBorders>
              <w:left w:val="single" w:color="auto" w:sz="4" w:space="0"/>
              <w:bottom w:val="single" w:color="auto" w:sz="4" w:space="0"/>
              <w:right w:val="single" w:color="auto" w:sz="4" w:space="0"/>
            </w:tcBorders>
            <w:vAlign w:val="center"/>
          </w:tcPr>
          <w:p w14:paraId="16AAC280">
            <w:pPr>
              <w:adjustRightInd w:val="0"/>
              <w:snapToGrid w:val="0"/>
              <w:spacing w:line="360" w:lineRule="auto"/>
              <w:jc w:val="center"/>
              <w:rPr>
                <w:rFonts w:ascii="仿宋_GB2312" w:hAnsi="仿宋" w:eastAsia="仿宋_GB2312" w:cs="仿宋"/>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1B3B2A8D">
            <w:pPr>
              <w:adjustRightInd w:val="0"/>
              <w:snapToGrid w:val="0"/>
              <w:spacing w:line="360" w:lineRule="auto"/>
              <w:jc w:val="center"/>
              <w:rPr>
                <w:rFonts w:ascii="仿宋_GB2312" w:hAnsi="仿宋" w:eastAsia="仿宋_GB2312"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8A029B5">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907C8F7">
            <w:pPr>
              <w:adjustRightInd w:val="0"/>
              <w:snapToGrid w:val="0"/>
              <w:spacing w:line="360" w:lineRule="auto"/>
              <w:jc w:val="center"/>
              <w:rPr>
                <w:rFonts w:ascii="仿宋_GB2312" w:hAnsi="仿宋" w:eastAsia="仿宋_GB2312" w:cs="仿宋"/>
                <w:sz w:val="24"/>
              </w:rPr>
            </w:pPr>
          </w:p>
        </w:tc>
      </w:tr>
      <w:tr w14:paraId="56904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5400" w:type="dxa"/>
            <w:gridSpan w:val="3"/>
            <w:tcBorders>
              <w:top w:val="single" w:color="auto" w:sz="4" w:space="0"/>
              <w:left w:val="single" w:color="auto" w:sz="4" w:space="0"/>
              <w:bottom w:val="single" w:color="auto" w:sz="4" w:space="0"/>
              <w:right w:val="single" w:color="auto" w:sz="4" w:space="0"/>
            </w:tcBorders>
            <w:vAlign w:val="center"/>
          </w:tcPr>
          <w:p w14:paraId="3FFC2737">
            <w:pPr>
              <w:adjustRightInd w:val="0"/>
              <w:snapToGrid w:val="0"/>
              <w:spacing w:line="360" w:lineRule="auto"/>
              <w:jc w:val="center"/>
              <w:rPr>
                <w:rFonts w:ascii="仿宋_GB2312" w:hAnsi="仿宋" w:eastAsia="仿宋_GB2312" w:cs="仿宋"/>
                <w:sz w:val="24"/>
              </w:rPr>
            </w:pPr>
            <w:r>
              <w:rPr>
                <w:rFonts w:hint="eastAsia" w:ascii="仿宋_GB2312" w:hAnsi="仿宋" w:eastAsia="仿宋_GB2312" w:cs="仿宋"/>
                <w:sz w:val="24"/>
              </w:rPr>
              <w:t>合计</w:t>
            </w:r>
          </w:p>
        </w:tc>
        <w:tc>
          <w:tcPr>
            <w:tcW w:w="1260" w:type="dxa"/>
            <w:tcBorders>
              <w:top w:val="single" w:color="auto" w:sz="4" w:space="0"/>
              <w:left w:val="single" w:color="auto" w:sz="4" w:space="0"/>
              <w:bottom w:val="single" w:color="auto" w:sz="4" w:space="0"/>
              <w:right w:val="single" w:color="auto" w:sz="4" w:space="0"/>
            </w:tcBorders>
            <w:vAlign w:val="center"/>
          </w:tcPr>
          <w:p w14:paraId="0D44F5F3">
            <w:pPr>
              <w:adjustRightInd w:val="0"/>
              <w:snapToGrid w:val="0"/>
              <w:spacing w:line="360" w:lineRule="auto"/>
              <w:jc w:val="center"/>
              <w:rPr>
                <w:rFonts w:ascii="仿宋_GB2312" w:hAnsi="仿宋" w:eastAsia="仿宋_GB2312" w:cs="仿宋"/>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0801458">
            <w:pPr>
              <w:adjustRightInd w:val="0"/>
              <w:snapToGrid w:val="0"/>
              <w:spacing w:line="360" w:lineRule="auto"/>
              <w:jc w:val="center"/>
              <w:rPr>
                <w:rFonts w:ascii="仿宋_GB2312" w:hAnsi="仿宋" w:eastAsia="仿宋_GB2312" w:cs="仿宋"/>
                <w:sz w:val="24"/>
              </w:rPr>
            </w:pPr>
          </w:p>
        </w:tc>
      </w:tr>
    </w:tbl>
    <w:p w14:paraId="5E2F48A0">
      <w:pPr>
        <w:tabs>
          <w:tab w:val="left" w:pos="1418"/>
        </w:tabs>
        <w:adjustRightInd w:val="0"/>
        <w:snapToGrid w:val="0"/>
        <w:spacing w:line="360" w:lineRule="auto"/>
        <w:rPr>
          <w:rFonts w:ascii="仿宋_GB2312" w:hAnsi="仿宋" w:eastAsia="仿宋_GB2312" w:cs="仿宋"/>
          <w:sz w:val="24"/>
        </w:rPr>
      </w:pPr>
      <w:r>
        <w:rPr>
          <w:rFonts w:hint="eastAsia" w:ascii="仿宋_GB2312" w:hAnsi="仿宋" w:eastAsia="仿宋_GB2312" w:cs="仿宋"/>
          <w:sz w:val="24"/>
        </w:rPr>
        <w:t>注：1、此表合计金额应与 “开标一览表”中报价相一致；</w:t>
      </w:r>
    </w:p>
    <w:p w14:paraId="61FAD1D8">
      <w:pPr>
        <w:tabs>
          <w:tab w:val="left" w:pos="1418"/>
        </w:tabs>
        <w:adjustRightInd w:val="0"/>
        <w:snapToGrid w:val="0"/>
        <w:spacing w:line="360" w:lineRule="auto"/>
        <w:rPr>
          <w:rFonts w:ascii="仿宋_GB2312" w:hAnsi="仿宋" w:eastAsia="仿宋_GB2312" w:cs="仿宋"/>
          <w:spacing w:val="20"/>
          <w:sz w:val="24"/>
        </w:rPr>
      </w:pPr>
      <w:r>
        <w:rPr>
          <w:rFonts w:hint="eastAsia" w:ascii="仿宋_GB2312" w:hAnsi="仿宋" w:eastAsia="仿宋_GB2312" w:cs="仿宋"/>
          <w:sz w:val="24"/>
        </w:rPr>
        <w:t xml:space="preserve">    2、此表可进一步细分，栏目可另加，应包括为完成本项目可能发生的全部费用。</w:t>
      </w:r>
    </w:p>
    <w:p w14:paraId="75C303E5">
      <w:pPr>
        <w:adjustRightInd w:val="0"/>
        <w:snapToGrid w:val="0"/>
        <w:spacing w:line="360" w:lineRule="auto"/>
        <w:jc w:val="center"/>
        <w:rPr>
          <w:rFonts w:ascii="仿宋_GB2312" w:hAnsi="仿宋" w:eastAsia="仿宋_GB2312" w:cs="仿宋"/>
          <w:spacing w:val="20"/>
          <w:sz w:val="24"/>
        </w:rPr>
      </w:pPr>
      <w:r>
        <w:rPr>
          <w:rFonts w:hint="eastAsia" w:ascii="仿宋_GB2312" w:hAnsi="仿宋" w:eastAsia="仿宋_GB2312" w:cs="仿宋"/>
          <w:sz w:val="24"/>
        </w:rPr>
        <w:t xml:space="preserve">                         磋商供应商</w:t>
      </w:r>
      <w:r>
        <w:rPr>
          <w:rFonts w:hint="eastAsia" w:ascii="仿宋_GB2312" w:hAnsi="仿宋" w:eastAsia="仿宋_GB2312" w:cs="仿宋"/>
          <w:sz w:val="24"/>
          <w:lang w:val="en-US" w:eastAsia="zh-CN"/>
        </w:rPr>
        <w:t>名</w:t>
      </w:r>
      <w:r>
        <w:rPr>
          <w:rFonts w:hint="eastAsia" w:ascii="仿宋_GB2312" w:hAnsi="仿宋" w:eastAsia="仿宋_GB2312" w:cs="仿宋"/>
          <w:sz w:val="24"/>
        </w:rPr>
        <w:t>称（公章）</w:t>
      </w:r>
      <w:r>
        <w:rPr>
          <w:rFonts w:hint="eastAsia" w:ascii="仿宋_GB2312" w:hAnsi="仿宋" w:eastAsia="仿宋_GB2312" w:cs="仿宋"/>
          <w:spacing w:val="20"/>
          <w:sz w:val="24"/>
        </w:rPr>
        <w:t>：</w:t>
      </w:r>
      <w:r>
        <w:rPr>
          <w:rFonts w:hint="eastAsia" w:ascii="仿宋_GB2312" w:hAnsi="仿宋" w:eastAsia="仿宋_GB2312" w:cs="仿宋"/>
          <w:spacing w:val="20"/>
          <w:sz w:val="24"/>
          <w:u w:val="single"/>
        </w:rPr>
        <w:t xml:space="preserve">               </w:t>
      </w:r>
      <w:r>
        <w:rPr>
          <w:rFonts w:hint="eastAsia" w:ascii="仿宋_GB2312" w:hAnsi="仿宋" w:eastAsia="仿宋_GB2312" w:cs="仿宋"/>
          <w:spacing w:val="20"/>
          <w:sz w:val="24"/>
        </w:rPr>
        <w:t xml:space="preserve">           </w:t>
      </w:r>
    </w:p>
    <w:p w14:paraId="5B039E44">
      <w:pPr>
        <w:adjustRightInd w:val="0"/>
        <w:snapToGrid w:val="0"/>
        <w:spacing w:line="360" w:lineRule="auto"/>
        <w:jc w:val="center"/>
        <w:rPr>
          <w:rFonts w:ascii="仿宋_GB2312" w:hAnsi="仿宋" w:eastAsia="仿宋_GB2312" w:cs="仿宋"/>
          <w:spacing w:val="20"/>
          <w:sz w:val="24"/>
          <w:u w:val="single"/>
        </w:rPr>
      </w:pPr>
      <w:r>
        <w:rPr>
          <w:rFonts w:hint="eastAsia" w:ascii="仿宋_GB2312" w:hAnsi="仿宋" w:eastAsia="仿宋_GB2312" w:cs="仿宋"/>
          <w:sz w:val="24"/>
        </w:rPr>
        <w:t xml:space="preserve">                          法定代表人或授权代表（签字）</w:t>
      </w:r>
      <w:r>
        <w:rPr>
          <w:rFonts w:hint="eastAsia" w:ascii="仿宋_GB2312" w:hAnsi="仿宋" w:eastAsia="仿宋_GB2312" w:cs="仿宋"/>
          <w:spacing w:val="20"/>
          <w:sz w:val="24"/>
        </w:rPr>
        <w:t>：</w:t>
      </w:r>
      <w:r>
        <w:rPr>
          <w:rFonts w:hint="eastAsia" w:ascii="仿宋_GB2312" w:hAnsi="仿宋" w:eastAsia="仿宋_GB2312" w:cs="仿宋"/>
          <w:spacing w:val="20"/>
          <w:sz w:val="24"/>
          <w:u w:val="single"/>
        </w:rPr>
        <w:t xml:space="preserve">          </w:t>
      </w:r>
    </w:p>
    <w:p w14:paraId="2933DBD2">
      <w:pPr>
        <w:adjustRightInd w:val="0"/>
        <w:snapToGrid w:val="0"/>
        <w:spacing w:line="360" w:lineRule="auto"/>
        <w:jc w:val="center"/>
        <w:rPr>
          <w:rFonts w:ascii="仿宋_GB2312" w:hAnsi="仿宋" w:eastAsia="仿宋_GB2312" w:cs="仿宋"/>
          <w:spacing w:val="20"/>
          <w:sz w:val="24"/>
          <w:u w:val="single"/>
        </w:rPr>
      </w:pPr>
      <w:r>
        <w:rPr>
          <w:rFonts w:hint="eastAsia" w:ascii="仿宋_GB2312" w:hAnsi="仿宋" w:eastAsia="仿宋_GB2312" w:cs="仿宋"/>
          <w:spacing w:val="20"/>
          <w:sz w:val="24"/>
        </w:rPr>
        <w:t xml:space="preserve">                      日  期：</w:t>
      </w:r>
      <w:r>
        <w:rPr>
          <w:rFonts w:hint="eastAsia" w:ascii="仿宋_GB2312" w:hAnsi="仿宋" w:eastAsia="仿宋_GB2312" w:cs="仿宋"/>
          <w:sz w:val="24"/>
        </w:rPr>
        <w:t xml:space="preserve">     年    月    日</w:t>
      </w:r>
    </w:p>
    <w:p w14:paraId="0C4B05DB">
      <w:pPr>
        <w:pStyle w:val="17"/>
        <w:adjustRightInd w:val="0"/>
        <w:snapToGrid w:val="0"/>
        <w:spacing w:beforeLines="0" w:afterLines="0" w:line="360" w:lineRule="auto"/>
        <w:rPr>
          <w:rFonts w:ascii="仿宋_GB2312" w:hAnsi="仿宋" w:eastAsia="仿宋_GB2312" w:cs="仿宋"/>
          <w:b/>
          <w:bCs/>
        </w:rPr>
      </w:pPr>
    </w:p>
    <w:p w14:paraId="76AFF369">
      <w:pPr>
        <w:pStyle w:val="17"/>
        <w:adjustRightInd w:val="0"/>
        <w:snapToGrid w:val="0"/>
        <w:spacing w:beforeLines="0" w:afterLines="0" w:line="360" w:lineRule="auto"/>
        <w:rPr>
          <w:rFonts w:ascii="仿宋_GB2312" w:hAnsi="仿宋" w:eastAsia="仿宋_GB2312" w:cs="仿宋"/>
        </w:rPr>
      </w:pPr>
      <w:r>
        <w:rPr>
          <w:rFonts w:hint="eastAsia" w:ascii="仿宋_GB2312" w:hAnsi="仿宋" w:eastAsia="仿宋_GB2312" w:cs="仿宋"/>
          <w:b/>
          <w:bCs/>
          <w:lang w:eastAsia="zh-CN"/>
        </w:rPr>
        <w:t>四</w:t>
      </w:r>
      <w:r>
        <w:rPr>
          <w:rFonts w:hint="eastAsia" w:ascii="仿宋_GB2312" w:hAnsi="仿宋" w:eastAsia="仿宋_GB2312" w:cs="仿宋"/>
          <w:b/>
          <w:bCs/>
        </w:rPr>
        <w:t>、中小企业声明函（如有）</w:t>
      </w:r>
    </w:p>
    <w:p w14:paraId="74FB288F">
      <w:pPr>
        <w:pStyle w:val="2"/>
        <w:pageBreakBefore/>
        <w:widowControl/>
        <w:tabs>
          <w:tab w:val="left" w:pos="432"/>
        </w:tabs>
        <w:spacing w:before="100" w:beforeAutospacing="1" w:after="100" w:afterAutospacing="1"/>
        <w:rPr>
          <w:rFonts w:ascii="仿宋" w:hAnsi="仿宋" w:eastAsia="仿宋" w:cs="仿宋"/>
          <w:b/>
          <w:sz w:val="32"/>
          <w:szCs w:val="32"/>
        </w:rPr>
      </w:pPr>
      <w:r>
        <w:rPr>
          <w:rFonts w:hint="eastAsia" w:ascii="宋体" w:hAnsi="宋体" w:cs="宋体"/>
        </w:rPr>
        <w:t>附件</w:t>
      </w:r>
    </w:p>
    <w:p w14:paraId="60126AAF">
      <w:pPr>
        <w:spacing w:line="360" w:lineRule="auto"/>
        <w:jc w:val="center"/>
        <w:rPr>
          <w:rFonts w:ascii="仿宋" w:hAnsi="仿宋" w:eastAsia="仿宋" w:cs="仿宋"/>
          <w:b/>
          <w:sz w:val="32"/>
          <w:szCs w:val="32"/>
        </w:rPr>
      </w:pPr>
      <w:r>
        <w:rPr>
          <w:rFonts w:hint="eastAsia" w:ascii="仿宋" w:hAnsi="仿宋" w:eastAsia="仿宋" w:cs="仿宋"/>
          <w:b/>
          <w:sz w:val="32"/>
          <w:szCs w:val="32"/>
        </w:rPr>
        <w:t>附件1：中小企业声明函（服务）</w:t>
      </w:r>
    </w:p>
    <w:p w14:paraId="53EDF769">
      <w:pPr>
        <w:spacing w:line="360" w:lineRule="auto"/>
        <w:ind w:firstLine="360" w:firstLineChars="150"/>
        <w:jc w:val="left"/>
        <w:rPr>
          <w:rFonts w:ascii="仿宋" w:hAnsi="仿宋" w:eastAsia="仿宋" w:cs="仿宋"/>
          <w:color w:val="auto"/>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（采购人） </w:t>
      </w:r>
      <w:r>
        <w:rPr>
          <w:rFonts w:hint="eastAsia" w:ascii="仿宋" w:hAnsi="仿宋" w:eastAsia="仿宋" w:cs="仿宋"/>
          <w:color w:val="auto"/>
          <w:sz w:val="24"/>
        </w:rPr>
        <w:t>的</w:t>
      </w:r>
      <w:r>
        <w:rPr>
          <w:rFonts w:hint="eastAsia" w:ascii="仿宋" w:hAnsi="仿宋" w:eastAsia="仿宋" w:cs="仿宋"/>
          <w:color w:val="auto"/>
          <w:sz w:val="24"/>
          <w:u w:val="single"/>
        </w:rPr>
        <w:t xml:space="preserve"> （项目名称） </w:t>
      </w:r>
      <w:r>
        <w:rPr>
          <w:rFonts w:hint="eastAsia" w:ascii="仿宋" w:hAnsi="仿宋" w:eastAsia="仿宋" w:cs="仿宋"/>
          <w:color w:val="auto"/>
          <w:sz w:val="24"/>
        </w:rPr>
        <w:t>采购活动，服务全部由符合政策要求的中小企业承接。相关企业（含联合体中的中小企业、签订分包意向协议的中小企业）的具体情况如下：</w:t>
      </w:r>
    </w:p>
    <w:p w14:paraId="4D4AF5E8">
      <w:pPr>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rPr>
        <w:t xml:space="preserve"> </w:t>
      </w:r>
      <w:r>
        <w:rPr>
          <w:rFonts w:hint="eastAsia" w:ascii="仿宋" w:hAnsi="仿宋" w:eastAsia="仿宋" w:cs="仿宋"/>
          <w:color w:val="auto"/>
          <w:sz w:val="24"/>
          <w:u w:val="single"/>
        </w:rPr>
        <w:t>（标的名称）</w:t>
      </w:r>
      <w:r>
        <w:rPr>
          <w:rFonts w:hint="eastAsia" w:ascii="仿宋" w:hAnsi="仿宋" w:eastAsia="仿宋" w:cs="仿宋"/>
          <w:color w:val="auto"/>
          <w:sz w:val="24"/>
        </w:rPr>
        <w:t>，属于</w:t>
      </w:r>
      <w:r>
        <w:rPr>
          <w:rFonts w:hint="eastAsia" w:ascii="仿宋" w:hAnsi="仿宋" w:eastAsia="仿宋" w:cs="仿宋"/>
          <w:color w:val="auto"/>
          <w:sz w:val="24"/>
          <w:u w:val="single"/>
        </w:rPr>
        <w:t xml:space="preserve"> （采购文件中明确的所属行业）</w:t>
      </w:r>
      <w:r>
        <w:rPr>
          <w:rFonts w:hint="eastAsia" w:ascii="仿宋" w:hAnsi="仿宋" w:eastAsia="仿宋" w:cs="仿宋"/>
          <w:color w:val="auto"/>
          <w:sz w:val="24"/>
        </w:rPr>
        <w:t xml:space="preserve"> ；承接企业为 </w:t>
      </w:r>
      <w:r>
        <w:rPr>
          <w:rFonts w:hint="eastAsia" w:ascii="仿宋" w:hAnsi="仿宋" w:eastAsia="仿宋" w:cs="仿宋"/>
          <w:color w:val="auto"/>
          <w:sz w:val="24"/>
          <w:u w:val="single"/>
        </w:rPr>
        <w:t>（企业名称）</w:t>
      </w:r>
      <w:r>
        <w:rPr>
          <w:rFonts w:hint="eastAsia" w:ascii="仿宋" w:hAnsi="仿宋" w:eastAsia="仿宋" w:cs="仿宋"/>
          <w:color w:val="auto"/>
          <w:sz w:val="24"/>
        </w:rPr>
        <w:t xml:space="preserve"> ，从业人员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 xml:space="preserve"> （中型企业、小型企业、微型企业） </w:t>
      </w:r>
      <w:r>
        <w:rPr>
          <w:rFonts w:hint="eastAsia" w:ascii="仿宋" w:hAnsi="仿宋" w:eastAsia="仿宋" w:cs="仿宋"/>
          <w:color w:val="auto"/>
          <w:sz w:val="24"/>
        </w:rPr>
        <w:t>；</w:t>
      </w:r>
    </w:p>
    <w:p w14:paraId="07597576">
      <w:pPr>
        <w:spacing w:line="360" w:lineRule="auto"/>
        <w:ind w:firstLine="480" w:firstLineChars="200"/>
        <w:jc w:val="left"/>
        <w:rPr>
          <w:rFonts w:ascii="仿宋" w:hAnsi="仿宋" w:eastAsia="仿宋" w:cs="仿宋"/>
          <w:sz w:val="24"/>
        </w:rPr>
      </w:pPr>
      <w:r>
        <w:rPr>
          <w:rFonts w:hint="eastAsia" w:ascii="仿宋" w:hAnsi="仿宋" w:eastAsia="仿宋" w:cs="仿宋"/>
          <w:color w:val="auto"/>
          <w:sz w:val="24"/>
        </w:rPr>
        <w:t>2.</w:t>
      </w:r>
      <w:r>
        <w:rPr>
          <w:rFonts w:hint="eastAsia" w:ascii="仿宋" w:hAnsi="仿宋" w:eastAsia="仿宋" w:cs="仿宋"/>
          <w:color w:val="auto"/>
          <w:sz w:val="24"/>
          <w:u w:val="single"/>
        </w:rPr>
        <w:t xml:space="preserve"> （标的名称），</w:t>
      </w:r>
      <w:r>
        <w:rPr>
          <w:rFonts w:hint="eastAsia" w:ascii="仿宋" w:hAnsi="仿宋" w:eastAsia="仿宋" w:cs="仿宋"/>
          <w:color w:val="auto"/>
          <w:sz w:val="24"/>
        </w:rPr>
        <w:t xml:space="preserve">属于 </w:t>
      </w:r>
      <w:r>
        <w:rPr>
          <w:rFonts w:hint="eastAsia" w:ascii="仿宋" w:hAnsi="仿宋" w:eastAsia="仿宋" w:cs="仿宋"/>
          <w:color w:val="auto"/>
          <w:sz w:val="24"/>
          <w:u w:val="single"/>
        </w:rPr>
        <w:t xml:space="preserve">（采购文件中明确的所属行业） </w:t>
      </w:r>
      <w:r>
        <w:rPr>
          <w:rFonts w:hint="eastAsia" w:ascii="仿宋" w:hAnsi="仿宋" w:eastAsia="仿宋" w:cs="仿宋"/>
          <w:color w:val="auto"/>
          <w:sz w:val="24"/>
        </w:rPr>
        <w:t xml:space="preserve">；承接企业为 </w:t>
      </w:r>
      <w:r>
        <w:rPr>
          <w:rFonts w:hint="eastAsia" w:ascii="仿宋" w:hAnsi="仿宋" w:eastAsia="仿宋" w:cs="仿宋"/>
          <w:color w:val="auto"/>
          <w:sz w:val="24"/>
          <w:u w:val="single"/>
        </w:rPr>
        <w:t>（企业名称）</w:t>
      </w:r>
      <w:r>
        <w:rPr>
          <w:rFonts w:hint="eastAsia" w:ascii="仿宋" w:hAnsi="仿宋" w:eastAsia="仿宋" w:cs="仿宋"/>
          <w:color w:val="auto"/>
          <w:sz w:val="24"/>
        </w:rPr>
        <w:t xml:space="preserve"> ，从业人员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 xml:space="preserve"> （中型企业、小型</w:t>
      </w:r>
      <w:r>
        <w:rPr>
          <w:rFonts w:hint="eastAsia" w:ascii="仿宋" w:hAnsi="仿宋" w:eastAsia="仿宋" w:cs="仿宋"/>
          <w:sz w:val="24"/>
          <w:u w:val="single"/>
        </w:rPr>
        <w:t xml:space="preserve">企业、微型企业） </w:t>
      </w:r>
      <w:r>
        <w:rPr>
          <w:rFonts w:hint="eastAsia" w:ascii="仿宋" w:hAnsi="仿宋" w:eastAsia="仿宋" w:cs="仿宋"/>
          <w:sz w:val="24"/>
        </w:rPr>
        <w:t>；</w:t>
      </w:r>
    </w:p>
    <w:p w14:paraId="57E7E9DE">
      <w:pPr>
        <w:spacing w:line="360" w:lineRule="auto"/>
        <w:ind w:firstLine="480" w:firstLineChars="200"/>
        <w:jc w:val="left"/>
        <w:rPr>
          <w:rFonts w:ascii="仿宋" w:hAnsi="仿宋" w:eastAsia="仿宋" w:cs="仿宋"/>
          <w:sz w:val="24"/>
        </w:rPr>
      </w:pPr>
      <w:r>
        <w:rPr>
          <w:rFonts w:hint="eastAsia" w:ascii="仿宋" w:hAnsi="仿宋" w:eastAsia="仿宋" w:cs="仿宋"/>
          <w:sz w:val="24"/>
        </w:rPr>
        <w:t>……</w:t>
      </w:r>
    </w:p>
    <w:p w14:paraId="7A4D04E3">
      <w:pPr>
        <w:spacing w:line="360" w:lineRule="auto"/>
        <w:ind w:firstLine="480" w:firstLineChars="200"/>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1EF32C81">
      <w:pPr>
        <w:spacing w:line="360" w:lineRule="auto"/>
        <w:ind w:firstLine="480" w:firstLineChars="200"/>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45724892">
      <w:pPr>
        <w:spacing w:line="360" w:lineRule="auto"/>
        <w:ind w:right="1760"/>
        <w:jc w:val="right"/>
        <w:rPr>
          <w:rFonts w:ascii="仿宋" w:hAnsi="仿宋" w:eastAsia="仿宋" w:cs="仿宋"/>
          <w:sz w:val="24"/>
        </w:rPr>
      </w:pPr>
      <w:r>
        <w:rPr>
          <w:rFonts w:hint="eastAsia" w:ascii="仿宋" w:hAnsi="仿宋" w:eastAsia="仿宋" w:cs="仿宋"/>
          <w:sz w:val="24"/>
        </w:rPr>
        <w:t>投标人名称（电子签名）：</w:t>
      </w:r>
    </w:p>
    <w:p w14:paraId="1408D988">
      <w:pPr>
        <w:spacing w:line="360" w:lineRule="auto"/>
        <w:ind w:right="1120" w:firstLine="4680" w:firstLineChars="1950"/>
        <w:rPr>
          <w:rFonts w:ascii="仿宋" w:hAnsi="仿宋" w:eastAsia="仿宋" w:cs="仿宋"/>
          <w:sz w:val="24"/>
        </w:rPr>
      </w:pPr>
      <w:r>
        <w:rPr>
          <w:rFonts w:hint="eastAsia" w:ascii="仿宋" w:hAnsi="仿宋" w:eastAsia="仿宋" w:cs="仿宋"/>
          <w:sz w:val="24"/>
        </w:rPr>
        <w:t>日 期：</w:t>
      </w:r>
    </w:p>
    <w:p w14:paraId="44AB9FC2">
      <w:pPr>
        <w:spacing w:line="360" w:lineRule="auto"/>
        <w:ind w:firstLine="310" w:firstLineChars="147"/>
        <w:jc w:val="left"/>
        <w:rPr>
          <w:rFonts w:ascii="仿宋" w:hAnsi="仿宋" w:eastAsia="仿宋" w:cs="仿宋"/>
          <w:b/>
          <w:szCs w:val="21"/>
        </w:rPr>
      </w:pPr>
      <w:r>
        <w:rPr>
          <w:rFonts w:hint="eastAsia" w:ascii="仿宋" w:hAnsi="仿宋" w:eastAsia="仿宋" w:cs="仿宋"/>
          <w:b/>
          <w:szCs w:val="21"/>
        </w:rPr>
        <w:t>从业人员、营业收入、资产总额填报上一年度数据，无上一年度数据的新成立企业可不填报。</w:t>
      </w:r>
    </w:p>
    <w:p w14:paraId="4698E5BA">
      <w:pPr>
        <w:spacing w:line="360" w:lineRule="auto"/>
        <w:ind w:right="420"/>
        <w:rPr>
          <w:rFonts w:ascii="仿宋" w:hAnsi="仿宋" w:eastAsia="仿宋" w:cs="仿宋"/>
          <w:sz w:val="24"/>
        </w:rPr>
      </w:pPr>
    </w:p>
    <w:p w14:paraId="7BA73F22">
      <w:pPr>
        <w:spacing w:line="360" w:lineRule="auto"/>
        <w:ind w:right="420"/>
        <w:rPr>
          <w:rFonts w:ascii="仿宋" w:hAnsi="仿宋" w:eastAsia="仿宋" w:cs="仿宋"/>
          <w:sz w:val="24"/>
        </w:rPr>
      </w:pPr>
      <w:r>
        <w:rPr>
          <w:rFonts w:hint="eastAsia" w:ascii="仿宋" w:hAnsi="仿宋" w:eastAsia="仿宋" w:cs="仿宋"/>
          <w:sz w:val="24"/>
        </w:rPr>
        <w:t xml:space="preserve">   注：</w:t>
      </w:r>
    </w:p>
    <w:p w14:paraId="57AB4614">
      <w:pPr>
        <w:numPr>
          <w:ilvl w:val="0"/>
          <w:numId w:val="12"/>
        </w:numPr>
        <w:spacing w:line="360" w:lineRule="auto"/>
        <w:ind w:right="420" w:firstLine="480" w:firstLineChars="200"/>
        <w:rPr>
          <w:rFonts w:ascii="仿宋" w:hAnsi="仿宋" w:eastAsia="仿宋" w:cs="仿宋"/>
          <w:sz w:val="24"/>
        </w:rPr>
      </w:pPr>
      <w:r>
        <w:rPr>
          <w:rFonts w:hint="eastAsia" w:ascii="仿宋" w:hAnsi="仿宋" w:eastAsia="仿宋" w:cs="仿宋"/>
          <w:sz w:val="24"/>
        </w:rPr>
        <w:t>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1C94157B">
      <w:pPr>
        <w:spacing w:line="360" w:lineRule="auto"/>
        <w:ind w:right="420" w:firstLine="480" w:firstLineChars="200"/>
      </w:pPr>
      <w:r>
        <w:rPr>
          <w:rFonts w:hint="eastAsia" w:ascii="仿宋" w:hAnsi="仿宋" w:eastAsia="仿宋" w:cs="仿宋"/>
          <w:sz w:val="24"/>
        </w:rPr>
        <w:t>2、符合《关于促进残疾人就业政府采购政策的通知》（财库〔2017〕141号）规定的条件并提供《残疾人福利性单位声明函》（附件2）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33C89FE">
      <w:pPr>
        <w:pStyle w:val="3"/>
        <w:numPr>
          <w:ilvl w:val="-1"/>
          <w:numId w:val="0"/>
        </w:numPr>
      </w:pPr>
    </w:p>
    <w:p w14:paraId="7AF7AB45">
      <w:pPr>
        <w:spacing w:line="360" w:lineRule="auto"/>
        <w:rPr>
          <w:rFonts w:ascii="仿宋" w:hAnsi="仿宋" w:eastAsia="仿宋" w:cs="仿宋"/>
          <w:b/>
          <w:spacing w:val="6"/>
          <w:sz w:val="32"/>
          <w:szCs w:val="32"/>
        </w:rPr>
      </w:pPr>
      <w:r>
        <w:rPr>
          <w:rFonts w:hint="eastAsia" w:ascii="仿宋" w:hAnsi="仿宋" w:eastAsia="仿宋" w:cs="仿宋"/>
          <w:b/>
          <w:spacing w:val="6"/>
          <w:sz w:val="32"/>
          <w:szCs w:val="32"/>
        </w:rPr>
        <w:t>附件2：</w:t>
      </w:r>
    </w:p>
    <w:p w14:paraId="49FA0B5F">
      <w:pPr>
        <w:spacing w:line="360" w:lineRule="auto"/>
        <w:jc w:val="center"/>
        <w:rPr>
          <w:rFonts w:ascii="仿宋" w:hAnsi="仿宋" w:eastAsia="仿宋" w:cs="仿宋"/>
          <w:b/>
          <w:spacing w:val="6"/>
          <w:sz w:val="32"/>
          <w:szCs w:val="32"/>
        </w:rPr>
      </w:pPr>
      <w:bookmarkStart w:id="10" w:name="OLE_LINK13"/>
      <w:bookmarkStart w:id="11" w:name="OLE_LINK14"/>
      <w:r>
        <w:rPr>
          <w:rFonts w:hint="eastAsia" w:ascii="仿宋" w:hAnsi="仿宋" w:eastAsia="仿宋" w:cs="仿宋"/>
          <w:b/>
          <w:spacing w:val="6"/>
          <w:sz w:val="32"/>
          <w:szCs w:val="32"/>
        </w:rPr>
        <w:t>残疾人福利性单位声明函</w:t>
      </w:r>
    </w:p>
    <w:bookmarkEnd w:id="10"/>
    <w:bookmarkEnd w:id="11"/>
    <w:p w14:paraId="68FE8BFE">
      <w:pPr>
        <w:spacing w:line="360" w:lineRule="auto"/>
        <w:rPr>
          <w:rFonts w:ascii="仿宋" w:hAnsi="仿宋" w:eastAsia="仿宋" w:cs="仿宋"/>
          <w:b/>
          <w:spacing w:val="6"/>
          <w:sz w:val="30"/>
          <w:szCs w:val="30"/>
        </w:rPr>
      </w:pPr>
    </w:p>
    <w:p w14:paraId="319E8D28">
      <w:pPr>
        <w:spacing w:line="360" w:lineRule="auto"/>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w:t>
      </w:r>
      <w:r>
        <w:rPr>
          <w:rFonts w:hint="eastAsia" w:ascii="仿宋" w:hAnsi="仿宋" w:eastAsia="仿宋" w:cs="仿宋"/>
          <w:color w:val="auto"/>
          <w:sz w:val="24"/>
        </w:rPr>
        <w:t>加_</w:t>
      </w:r>
      <w:r>
        <w:rPr>
          <w:rFonts w:hint="eastAsia" w:ascii="仿宋" w:hAnsi="仿宋" w:eastAsia="仿宋" w:cs="仿宋"/>
          <w:color w:val="auto"/>
          <w:sz w:val="24"/>
          <w:u w:val="single"/>
        </w:rPr>
        <w:t>(采购人)</w:t>
      </w:r>
      <w:r>
        <w:rPr>
          <w:rFonts w:hint="eastAsia" w:ascii="仿宋" w:hAnsi="仿宋" w:eastAsia="仿宋" w:cs="仿宋"/>
          <w:color w:val="auto"/>
          <w:sz w:val="24"/>
        </w:rPr>
        <w:t>_单位的_</w:t>
      </w:r>
      <w:r>
        <w:rPr>
          <w:rFonts w:hint="eastAsia" w:ascii="仿宋" w:hAnsi="仿宋" w:eastAsia="仿宋" w:cs="仿宋"/>
          <w:color w:val="auto"/>
          <w:sz w:val="24"/>
          <w:u w:val="single"/>
        </w:rPr>
        <w:t>（项目名称）</w:t>
      </w:r>
      <w:r>
        <w:rPr>
          <w:rFonts w:hint="eastAsia" w:ascii="仿宋" w:hAnsi="仿宋" w:eastAsia="仿宋" w:cs="仿宋"/>
          <w:color w:val="auto"/>
          <w:sz w:val="24"/>
        </w:rPr>
        <w:t>__</w:t>
      </w:r>
      <w:r>
        <w:rPr>
          <w:rFonts w:hint="eastAsia" w:ascii="仿宋" w:hAnsi="仿宋" w:eastAsia="仿宋" w:cs="仿宋"/>
          <w:sz w:val="24"/>
        </w:rPr>
        <w:t>项目采购活动提供本单位制造的货物（由本单位承担工程/提供服务），或者提供其他残疾人福利性单位制造的货物（不包括使用非残疾人福利性单位注册商标的货物）。</w:t>
      </w:r>
    </w:p>
    <w:p w14:paraId="170670F3">
      <w:pPr>
        <w:spacing w:line="36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14:paraId="70C99684">
      <w:pPr>
        <w:spacing w:line="360" w:lineRule="auto"/>
        <w:ind w:firstLine="480" w:firstLineChars="200"/>
        <w:rPr>
          <w:rFonts w:ascii="仿宋" w:hAnsi="仿宋" w:eastAsia="仿宋" w:cs="仿宋"/>
          <w:sz w:val="24"/>
        </w:rPr>
      </w:pPr>
    </w:p>
    <w:p w14:paraId="0460DD81">
      <w:pPr>
        <w:spacing w:line="360" w:lineRule="auto"/>
        <w:ind w:firstLine="480" w:firstLineChars="200"/>
        <w:rPr>
          <w:rFonts w:ascii="仿宋" w:hAnsi="仿宋" w:eastAsia="仿宋" w:cs="仿宋"/>
          <w:sz w:val="24"/>
        </w:rPr>
      </w:pPr>
    </w:p>
    <w:p w14:paraId="27D82782">
      <w:pPr>
        <w:tabs>
          <w:tab w:val="left" w:pos="4860"/>
        </w:tabs>
        <w:spacing w:line="360" w:lineRule="auto"/>
        <w:ind w:right="1560" w:firstLine="480" w:firstLineChars="200"/>
        <w:jc w:val="center"/>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lang w:val="zh-CN"/>
        </w:rPr>
        <w:t>投标人名称（电子签名）</w:t>
      </w:r>
      <w:r>
        <w:rPr>
          <w:rFonts w:hint="eastAsia" w:ascii="仿宋" w:hAnsi="仿宋" w:eastAsia="仿宋" w:cs="仿宋"/>
          <w:sz w:val="24"/>
        </w:rPr>
        <w:t>：</w:t>
      </w:r>
    </w:p>
    <w:p w14:paraId="7A769A4F">
      <w:pPr>
        <w:tabs>
          <w:tab w:val="left" w:pos="4860"/>
        </w:tabs>
        <w:spacing w:line="360" w:lineRule="auto"/>
        <w:ind w:right="1560" w:firstLine="480" w:firstLineChars="200"/>
        <w:jc w:val="center"/>
        <w:rPr>
          <w:rFonts w:ascii="仿宋" w:hAnsi="仿宋" w:eastAsia="仿宋" w:cs="仿宋"/>
          <w:sz w:val="24"/>
        </w:rPr>
      </w:pPr>
      <w:r>
        <w:rPr>
          <w:rFonts w:hint="eastAsia" w:ascii="仿宋" w:hAnsi="仿宋" w:eastAsia="仿宋" w:cs="仿宋"/>
          <w:sz w:val="24"/>
        </w:rPr>
        <w:t xml:space="preserve">       日  期：</w:t>
      </w:r>
    </w:p>
    <w:p w14:paraId="6565CE8C">
      <w:pPr>
        <w:rPr>
          <w:szCs w:val="21"/>
        </w:rPr>
      </w:pPr>
    </w:p>
    <w:p w14:paraId="17C492E9">
      <w:pPr>
        <w:pStyle w:val="32"/>
        <w:rPr>
          <w:szCs w:val="21"/>
        </w:rPr>
      </w:pPr>
    </w:p>
    <w:p w14:paraId="0DC2ED4E">
      <w:pPr>
        <w:pStyle w:val="12"/>
        <w:rPr>
          <w:szCs w:val="21"/>
        </w:rPr>
      </w:pPr>
    </w:p>
    <w:p w14:paraId="34C012E9">
      <w:pPr>
        <w:rPr>
          <w:szCs w:val="21"/>
        </w:rPr>
      </w:pPr>
    </w:p>
    <w:p w14:paraId="1965DD60">
      <w:pPr>
        <w:pStyle w:val="32"/>
        <w:rPr>
          <w:szCs w:val="21"/>
        </w:rPr>
      </w:pPr>
    </w:p>
    <w:p w14:paraId="6F43FA76">
      <w:pPr>
        <w:pStyle w:val="12"/>
        <w:rPr>
          <w:szCs w:val="21"/>
        </w:rPr>
      </w:pPr>
    </w:p>
    <w:p w14:paraId="2D87B0FC">
      <w:pPr>
        <w:rPr>
          <w:szCs w:val="21"/>
        </w:rPr>
      </w:pPr>
    </w:p>
    <w:p w14:paraId="2C3A6478">
      <w:pPr>
        <w:pStyle w:val="32"/>
        <w:rPr>
          <w:szCs w:val="21"/>
        </w:rPr>
      </w:pPr>
    </w:p>
    <w:p w14:paraId="0E0501CD">
      <w:pPr>
        <w:pStyle w:val="12"/>
        <w:rPr>
          <w:szCs w:val="21"/>
        </w:rPr>
      </w:pPr>
    </w:p>
    <w:p w14:paraId="39825100">
      <w:p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rPr>
        <w:t>附件</w:t>
      </w:r>
      <w:r>
        <w:rPr>
          <w:rFonts w:hint="eastAsia" w:ascii="仿宋" w:hAnsi="仿宋" w:eastAsia="仿宋" w:cs="仿宋"/>
          <w:b/>
          <w:kern w:val="0"/>
          <w:sz w:val="32"/>
          <w:szCs w:val="32"/>
          <w:lang w:eastAsia="zh-CN"/>
        </w:rPr>
        <w:t>3</w:t>
      </w:r>
      <w:r>
        <w:rPr>
          <w:rFonts w:hint="eastAsia" w:ascii="仿宋" w:hAnsi="仿宋" w:eastAsia="仿宋" w:cs="仿宋"/>
          <w:b/>
          <w:kern w:val="0"/>
          <w:sz w:val="32"/>
          <w:szCs w:val="32"/>
        </w:rPr>
        <w:t>：联合协议</w:t>
      </w:r>
    </w:p>
    <w:p w14:paraId="12EAD4E3">
      <w:pPr>
        <w:widowControl/>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（以联合体形式投标的，提供联合协议；本项目不接受联合体投标或者投标人不以联合体形式投标的，则不需要提供）</w:t>
      </w:r>
    </w:p>
    <w:p w14:paraId="61BD5020">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kern w:val="0"/>
          <w:sz w:val="24"/>
          <w:u w:val="single"/>
        </w:rPr>
        <w:t>（联</w:t>
      </w:r>
      <w:r>
        <w:rPr>
          <w:rFonts w:hint="eastAsia" w:ascii="仿宋" w:hAnsi="仿宋" w:eastAsia="仿宋" w:cs="仿宋"/>
          <w:color w:val="auto"/>
          <w:kern w:val="0"/>
          <w:sz w:val="24"/>
          <w:u w:val="single"/>
        </w:rPr>
        <w:t>合体所有成员名称）</w:t>
      </w:r>
      <w:r>
        <w:rPr>
          <w:rFonts w:hint="eastAsia" w:ascii="仿宋" w:hAnsi="仿宋" w:eastAsia="仿宋" w:cs="仿宋"/>
          <w:color w:val="auto"/>
          <w:kern w:val="0"/>
          <w:sz w:val="24"/>
        </w:rPr>
        <w:t>自愿</w:t>
      </w:r>
      <w:r>
        <w:rPr>
          <w:rFonts w:hint="eastAsia" w:ascii="仿宋" w:hAnsi="仿宋" w:eastAsia="仿宋" w:cs="仿宋"/>
          <w:color w:val="auto"/>
          <w:kern w:val="0"/>
          <w:sz w:val="24"/>
          <w:lang w:val="zh-CN"/>
        </w:rPr>
        <w:t>组成一个联合体，以一个投标人的身份</w:t>
      </w:r>
      <w:r>
        <w:rPr>
          <w:rFonts w:hint="eastAsia" w:ascii="仿宋" w:hAnsi="仿宋" w:eastAsia="仿宋" w:cs="仿宋"/>
          <w:color w:val="auto"/>
          <w:kern w:val="0"/>
          <w:sz w:val="24"/>
        </w:rPr>
        <w:t>参加</w:t>
      </w:r>
      <w:r>
        <w:rPr>
          <w:rFonts w:hint="eastAsia" w:ascii="仿宋" w:hAnsi="仿宋" w:eastAsia="仿宋" w:cs="仿宋"/>
          <w:color w:val="auto"/>
          <w:sz w:val="24"/>
        </w:rPr>
        <w:t>（项目名称）【招标编号：（采购编号）】</w:t>
      </w:r>
      <w:r>
        <w:rPr>
          <w:rFonts w:hint="eastAsia" w:ascii="仿宋" w:hAnsi="仿宋" w:eastAsia="仿宋" w:cs="仿宋"/>
          <w:color w:val="auto"/>
          <w:kern w:val="0"/>
          <w:sz w:val="24"/>
          <w:lang w:val="zh-CN"/>
        </w:rPr>
        <w:t xml:space="preserve">投标。 </w:t>
      </w:r>
    </w:p>
    <w:p w14:paraId="2F628884">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color w:val="auto"/>
          <w:kern w:val="0"/>
          <w:sz w:val="24"/>
          <w:lang w:val="zh-CN"/>
        </w:rPr>
        <w:t>一、各方一致决定，</w:t>
      </w:r>
      <w:r>
        <w:rPr>
          <w:rFonts w:hint="eastAsia" w:ascii="仿宋" w:hAnsi="仿宋" w:eastAsia="仿宋" w:cs="仿宋"/>
          <w:color w:val="auto"/>
          <w:kern w:val="0"/>
          <w:sz w:val="24"/>
          <w:u w:val="single"/>
        </w:rPr>
        <w:t>（某联合体成员名称）</w:t>
      </w:r>
      <w:r>
        <w:rPr>
          <w:rFonts w:hint="eastAsia" w:ascii="仿宋" w:hAnsi="仿宋" w:eastAsia="仿宋" w:cs="仿宋"/>
          <w:color w:val="auto"/>
          <w:kern w:val="0"/>
          <w:sz w:val="24"/>
        </w:rPr>
        <w:t>为联合体</w:t>
      </w:r>
      <w:r>
        <w:rPr>
          <w:rFonts w:hint="eastAsia" w:ascii="仿宋" w:hAnsi="仿宋" w:eastAsia="仿宋" w:cs="仿宋"/>
          <w:color w:val="auto"/>
          <w:kern w:val="0"/>
          <w:sz w:val="24"/>
          <w:lang w:val="zh-CN"/>
        </w:rPr>
        <w:t>牵头人</w:t>
      </w:r>
      <w:r>
        <w:rPr>
          <w:rFonts w:hint="eastAsia" w:ascii="仿宋" w:hAnsi="仿宋" w:eastAsia="仿宋" w:cs="仿宋"/>
          <w:color w:val="auto"/>
          <w:sz w:val="24"/>
        </w:rPr>
        <w:t>，代表所有联合体成</w:t>
      </w:r>
      <w:r>
        <w:rPr>
          <w:rFonts w:hint="eastAsia" w:ascii="仿宋" w:hAnsi="仿宋" w:eastAsia="仿宋" w:cs="仿宋"/>
          <w:sz w:val="24"/>
        </w:rPr>
        <w:t>员负责投标和合同实施阶段的主办、协调工作</w:t>
      </w:r>
      <w:r>
        <w:rPr>
          <w:rFonts w:hint="eastAsia" w:ascii="仿宋" w:hAnsi="仿宋" w:eastAsia="仿宋" w:cs="仿宋"/>
          <w:kern w:val="0"/>
          <w:sz w:val="24"/>
          <w:lang w:val="zh-CN"/>
        </w:rPr>
        <w:t>。</w:t>
      </w:r>
    </w:p>
    <w:p w14:paraId="2F285408">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二、</w:t>
      </w:r>
      <w:r>
        <w:rPr>
          <w:rFonts w:hint="eastAsia" w:ascii="仿宋" w:hAnsi="仿宋" w:eastAsia="仿宋" w:cs="仿宋"/>
          <w:sz w:val="24"/>
        </w:rPr>
        <w:t>所有联合体成员各方签署授权书，授权书载明的</w:t>
      </w:r>
      <w:r>
        <w:rPr>
          <w:rFonts w:hint="eastAsia" w:ascii="仿宋" w:hAnsi="仿宋" w:eastAsia="仿宋" w:cs="仿宋"/>
          <w:kern w:val="0"/>
          <w:sz w:val="24"/>
          <w:lang w:val="zh-CN"/>
        </w:rPr>
        <w:t>授权代表根据招标文件规定及投标内容而对采购人、采购代理机构所作的任何合法承诺，包括书面澄清及相应等均对联合投标各方产生约束力。</w:t>
      </w:r>
    </w:p>
    <w:p w14:paraId="497525D0">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三、本次联合投标中，分工如下：</w:t>
      </w:r>
    </w:p>
    <w:p w14:paraId="5B013FC8">
      <w:pPr>
        <w:snapToGrid w:val="0"/>
        <w:spacing w:line="360" w:lineRule="auto"/>
        <w:ind w:firstLine="576"/>
        <w:rPr>
          <w:rFonts w:hint="eastAsia" w:ascii="仿宋" w:hAnsi="仿宋" w:eastAsia="仿宋" w:cs="仿宋"/>
          <w:kern w:val="0"/>
          <w:sz w:val="24"/>
          <w:lang w:val="zh-CN"/>
        </w:rPr>
      </w:pPr>
      <w:bookmarkStart w:id="12" w:name="_Hlk101134295"/>
      <w:r>
        <w:rPr>
          <w:rFonts w:hint="eastAsia" w:ascii="仿宋" w:hAnsi="仿宋" w:eastAsia="仿宋" w:cs="仿宋"/>
          <w:kern w:val="0"/>
          <w:sz w:val="24"/>
          <w:u w:val="single"/>
        </w:rPr>
        <w:t>（联合体成员1）</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14:paraId="7CE375C1">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（联合体成员2）</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14:paraId="42ABA160">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w:t>
      </w:r>
    </w:p>
    <w:bookmarkEnd w:id="12"/>
    <w:p w14:paraId="2CC322A8">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四、联合体成员中小企业合同份额。</w:t>
      </w:r>
    </w:p>
    <w:p w14:paraId="15E772E3">
      <w:pPr>
        <w:snapToGrid w:val="0"/>
        <w:spacing w:line="360" w:lineRule="auto"/>
        <w:ind w:firstLine="576"/>
        <w:rPr>
          <w:rFonts w:hint="eastAsia" w:ascii="仿宋" w:hAnsi="仿宋" w:eastAsia="仿宋" w:cs="仿宋"/>
          <w:b/>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u w:val="single"/>
        </w:rPr>
        <w:t>（联合体成员X,……）</w:t>
      </w:r>
      <w:r>
        <w:rPr>
          <w:rFonts w:hint="eastAsia" w:ascii="仿宋" w:hAnsi="仿宋" w:eastAsia="仿宋" w:cs="仿宋"/>
          <w:kern w:val="0"/>
          <w:sz w:val="24"/>
        </w:rPr>
        <w:t>提供的全部货物由小微企业制造，其合同份额占到合同总金额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kern w:val="0"/>
          <w:sz w:val="24"/>
          <w:lang w:val="zh-CN"/>
        </w:rPr>
        <w:t>……。</w:t>
      </w:r>
      <w:r>
        <w:rPr>
          <w:rFonts w:hint="eastAsia" w:ascii="仿宋" w:hAnsi="仿宋" w:eastAsia="仿宋" w:cs="仿宋"/>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sz w:val="24"/>
        </w:rPr>
        <w:t>拟享受以上价格扣除政策的，填写有关内容。</w:t>
      </w:r>
      <w:r>
        <w:rPr>
          <w:rFonts w:hint="eastAsia" w:ascii="仿宋" w:hAnsi="仿宋" w:eastAsia="仿宋" w:cs="仿宋"/>
          <w:b/>
          <w:kern w:val="0"/>
          <w:sz w:val="24"/>
          <w:lang w:val="zh-CN"/>
        </w:rPr>
        <w:t>）</w:t>
      </w:r>
    </w:p>
    <w:p w14:paraId="4D16C3DF">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sz w:val="24"/>
        </w:rPr>
        <w:t>2、中小企业合同金额达到</w:t>
      </w:r>
      <w:r>
        <w:rPr>
          <w:rFonts w:hint="eastAsia" w:ascii="仿宋" w:hAnsi="仿宋" w:eastAsia="仿宋" w:cs="仿宋"/>
          <w:sz w:val="24"/>
          <w:u w:val="single"/>
        </w:rPr>
        <w:t xml:space="preserve">  </w:t>
      </w:r>
      <w:r>
        <w:rPr>
          <w:rFonts w:hint="eastAsia" w:ascii="仿宋" w:hAnsi="仿宋" w:eastAsia="仿宋" w:cs="仿宋"/>
          <w:sz w:val="24"/>
        </w:rPr>
        <w:t>%，其中小微企业合同金额达到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w:t>
      </w:r>
      <w:r>
        <w:rPr>
          <w:rFonts w:hint="eastAsia" w:ascii="仿宋" w:hAnsi="仿宋" w:eastAsia="仿宋" w:cs="仿宋"/>
          <w:b/>
          <w:bCs/>
          <w:kern w:val="0"/>
          <w:sz w:val="24"/>
          <w:lang w:val="zh-CN"/>
        </w:rPr>
        <w:t>（</w:t>
      </w:r>
      <w:r>
        <w:rPr>
          <w:rFonts w:hint="eastAsia" w:ascii="仿宋" w:hAnsi="仿宋" w:eastAsia="仿宋" w:cs="仿宋"/>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kern w:val="0"/>
          <w:sz w:val="24"/>
          <w:lang w:val="zh-CN"/>
        </w:rPr>
        <w:t>）</w:t>
      </w:r>
    </w:p>
    <w:p w14:paraId="1C95D78B">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五、如果中标，</w:t>
      </w:r>
      <w:r>
        <w:rPr>
          <w:rFonts w:hint="eastAsia" w:ascii="仿宋" w:hAnsi="仿宋" w:eastAsia="仿宋" w:cs="仿宋"/>
          <w:sz w:val="24"/>
        </w:rPr>
        <w:t>联合体各成员方共同与采购人签订合同，并就采购合同约定的事项对采购人承担连带责任。</w:t>
      </w:r>
    </w:p>
    <w:p w14:paraId="06DFF9A9">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六、有关本次联合投标的其他事宜：</w:t>
      </w:r>
    </w:p>
    <w:p w14:paraId="37CFC78B">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1、联合体各方不再单独参加或者与其他供应商另外组成联合体参加同一合同项下的政府采购活动。</w:t>
      </w:r>
    </w:p>
    <w:p w14:paraId="2A9A4315">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2、联合体中有同类资质的各方按照联合体分工承担相同工作的，按照资质等级较低的供应商确定资质等级。</w:t>
      </w:r>
    </w:p>
    <w:p w14:paraId="0D083A33">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3、本协议提交采购人、采购代理机构后，联合体各方不得以任何形式对上述内容进行修改或撤销。</w:t>
      </w:r>
    </w:p>
    <w:p w14:paraId="044CD162">
      <w:pPr>
        <w:snapToGrid w:val="0"/>
        <w:spacing w:line="360" w:lineRule="auto"/>
        <w:ind w:firstLine="2640" w:firstLineChars="1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77CDCA40">
      <w:pPr>
        <w:snapToGrid w:val="0"/>
        <w:spacing w:line="360" w:lineRule="auto"/>
        <w:ind w:firstLine="2640" w:firstLineChars="1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14:paraId="6993B536">
      <w:pPr>
        <w:snapToGrid w:val="0"/>
        <w:spacing w:line="360" w:lineRule="auto"/>
        <w:ind w:right="960"/>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14:paraId="27486BE9">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日期：  年  月   日</w:t>
      </w:r>
    </w:p>
    <w:p w14:paraId="6D0C4266">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14:paraId="4AD801DF">
      <w:pPr>
        <w:snapToGrid w:val="0"/>
        <w:spacing w:line="360" w:lineRule="auto"/>
        <w:jc w:val="center"/>
        <w:outlineLvl w:val="0"/>
        <w:rPr>
          <w:rFonts w:hint="eastAsia" w:ascii="仿宋" w:hAnsi="仿宋" w:eastAsia="仿宋" w:cs="仿宋"/>
          <w:b/>
          <w:kern w:val="0"/>
          <w:sz w:val="32"/>
          <w:szCs w:val="32"/>
        </w:rPr>
      </w:pPr>
    </w:p>
    <w:p w14:paraId="20460AB0">
      <w:pPr>
        <w:snapToGrid w:val="0"/>
        <w:spacing w:line="360" w:lineRule="auto"/>
        <w:jc w:val="center"/>
        <w:outlineLvl w:val="0"/>
        <w:rPr>
          <w:rFonts w:hint="eastAsia" w:ascii="仿宋" w:hAnsi="仿宋" w:eastAsia="仿宋" w:cs="仿宋"/>
          <w:b/>
          <w:kern w:val="0"/>
          <w:sz w:val="32"/>
          <w:szCs w:val="32"/>
        </w:rPr>
      </w:pPr>
    </w:p>
    <w:p w14:paraId="6BF5237D">
      <w:p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rPr>
        <w:t>附件</w:t>
      </w:r>
      <w:r>
        <w:rPr>
          <w:rFonts w:hint="eastAsia" w:ascii="仿宋" w:hAnsi="仿宋" w:eastAsia="仿宋" w:cs="仿宋"/>
          <w:b/>
          <w:kern w:val="0"/>
          <w:sz w:val="32"/>
          <w:szCs w:val="32"/>
          <w:lang w:eastAsia="zh-CN"/>
        </w:rPr>
        <w:t>4</w:t>
      </w:r>
      <w:r>
        <w:rPr>
          <w:rFonts w:hint="eastAsia" w:ascii="仿宋" w:hAnsi="仿宋" w:eastAsia="仿宋" w:cs="仿宋"/>
          <w:b/>
          <w:kern w:val="0"/>
          <w:sz w:val="32"/>
          <w:szCs w:val="32"/>
        </w:rPr>
        <w:t>：分包意向协议</w:t>
      </w:r>
    </w:p>
    <w:p w14:paraId="3382F773">
      <w:pPr>
        <w:widowControl/>
        <w:spacing w:line="360" w:lineRule="auto"/>
        <w:ind w:firstLine="120" w:firstLineChars="5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中标后以分包方式履行合同的，提供分包意向协议；采购人不同意分包或者投标人中标后不以分包方式履行合同的，则不需要提供。</w:t>
      </w:r>
      <w:r>
        <w:rPr>
          <w:rFonts w:hint="eastAsia" w:ascii="仿宋" w:hAnsi="仿宋" w:eastAsia="仿宋" w:cs="仿宋"/>
          <w:sz w:val="24"/>
        </w:rPr>
        <w:t>）</w:t>
      </w:r>
    </w:p>
    <w:p w14:paraId="2C0C0C90">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（投标人名称）</w:t>
      </w:r>
      <w:r>
        <w:rPr>
          <w:rFonts w:hint="eastAsia" w:ascii="仿宋" w:hAnsi="仿宋" w:eastAsia="仿宋" w:cs="仿宋"/>
          <w:kern w:val="0"/>
          <w:sz w:val="24"/>
          <w:lang w:val="zh-CN"/>
        </w:rPr>
        <w:t>若成</w:t>
      </w:r>
      <w:r>
        <w:rPr>
          <w:rFonts w:hint="eastAsia" w:ascii="仿宋" w:hAnsi="仿宋" w:eastAsia="仿宋" w:cs="仿宋"/>
          <w:color w:val="auto"/>
          <w:kern w:val="0"/>
          <w:sz w:val="24"/>
          <w:lang w:val="zh-CN"/>
        </w:rPr>
        <w:t>为</w:t>
      </w:r>
      <w:r>
        <w:rPr>
          <w:rFonts w:hint="eastAsia" w:ascii="仿宋" w:hAnsi="仿宋" w:eastAsia="仿宋" w:cs="仿宋"/>
          <w:color w:val="auto"/>
          <w:sz w:val="24"/>
        </w:rPr>
        <w:t>（项目名称）【招标编号：（采购编号）】</w:t>
      </w:r>
      <w:r>
        <w:rPr>
          <w:rFonts w:hint="eastAsia" w:ascii="仿宋" w:hAnsi="仿宋" w:eastAsia="仿宋" w:cs="仿宋"/>
          <w:color w:val="auto"/>
          <w:kern w:val="0"/>
          <w:sz w:val="24"/>
          <w:lang w:val="zh-CN"/>
        </w:rPr>
        <w:t>的</w:t>
      </w:r>
      <w:r>
        <w:rPr>
          <w:rFonts w:hint="eastAsia" w:ascii="仿宋" w:hAnsi="仿宋" w:eastAsia="仿宋" w:cs="仿宋"/>
          <w:kern w:val="0"/>
          <w:sz w:val="24"/>
          <w:lang w:val="zh-CN"/>
        </w:rPr>
        <w:t>中标供应商，将依法采取分包方式履行合同。</w:t>
      </w:r>
      <w:r>
        <w:rPr>
          <w:rFonts w:hint="eastAsia" w:ascii="仿宋" w:hAnsi="仿宋" w:eastAsia="仿宋" w:cs="仿宋"/>
          <w:kern w:val="0"/>
          <w:sz w:val="24"/>
          <w:u w:val="single"/>
        </w:rPr>
        <w:t>（投标人名称）</w:t>
      </w:r>
      <w:r>
        <w:rPr>
          <w:rFonts w:hint="eastAsia" w:ascii="仿宋" w:hAnsi="仿宋" w:eastAsia="仿宋" w:cs="仿宋"/>
          <w:kern w:val="0"/>
          <w:sz w:val="24"/>
        </w:rPr>
        <w:t>与</w:t>
      </w:r>
      <w:r>
        <w:rPr>
          <w:rFonts w:hint="eastAsia" w:ascii="仿宋" w:hAnsi="仿宋" w:eastAsia="仿宋" w:cs="仿宋"/>
          <w:kern w:val="0"/>
          <w:sz w:val="24"/>
          <w:u w:val="single"/>
        </w:rPr>
        <w:t>（所有分包供应商名称）</w:t>
      </w:r>
      <w:r>
        <w:rPr>
          <w:rFonts w:hint="eastAsia" w:ascii="仿宋" w:hAnsi="仿宋" w:eastAsia="仿宋" w:cs="仿宋"/>
          <w:kern w:val="0"/>
          <w:sz w:val="24"/>
        </w:rPr>
        <w:t>达成分包意向协议</w:t>
      </w:r>
      <w:r>
        <w:rPr>
          <w:rFonts w:hint="eastAsia" w:ascii="仿宋" w:hAnsi="仿宋" w:eastAsia="仿宋" w:cs="仿宋"/>
          <w:kern w:val="0"/>
          <w:sz w:val="24"/>
          <w:lang w:val="zh-CN"/>
        </w:rPr>
        <w:t xml:space="preserve">。 </w:t>
      </w:r>
    </w:p>
    <w:p w14:paraId="07217A0D">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一、分包标的及数量</w:t>
      </w:r>
    </w:p>
    <w:p w14:paraId="18487948">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（投标人名称）</w:t>
      </w:r>
      <w:r>
        <w:rPr>
          <w:rFonts w:hint="eastAsia" w:ascii="仿宋" w:hAnsi="仿宋" w:eastAsia="仿宋" w:cs="仿宋"/>
          <w:kern w:val="0"/>
          <w:sz w:val="24"/>
          <w:lang w:val="zh-CN"/>
        </w:rPr>
        <w:t>将</w:t>
      </w:r>
      <w:r>
        <w:rPr>
          <w:rFonts w:hint="eastAsia" w:ascii="仿宋" w:hAnsi="仿宋" w:eastAsia="仿宋" w:cs="仿宋"/>
          <w:u w:val="single"/>
        </w:rPr>
        <w:t xml:space="preserve"> </w:t>
      </w:r>
      <w:r>
        <w:rPr>
          <w:rFonts w:hint="eastAsia" w:ascii="仿宋" w:hAnsi="仿宋" w:eastAsia="仿宋" w:cs="仿宋"/>
          <w:kern w:val="0"/>
          <w:sz w:val="24"/>
          <w:u w:val="single"/>
        </w:rPr>
        <w:t xml:space="preserve">  XX工作内容   </w:t>
      </w:r>
      <w:r>
        <w:rPr>
          <w:rFonts w:hint="eastAsia" w:ascii="仿宋" w:hAnsi="仿宋" w:eastAsia="仿宋" w:cs="仿宋"/>
          <w:sz w:val="24"/>
        </w:rPr>
        <w:t>分包给</w:t>
      </w:r>
      <w:r>
        <w:rPr>
          <w:rFonts w:hint="eastAsia" w:ascii="仿宋" w:hAnsi="仿宋" w:eastAsia="仿宋" w:cs="仿宋"/>
          <w:kern w:val="0"/>
          <w:sz w:val="24"/>
          <w:u w:val="single"/>
        </w:rPr>
        <w:t>（分包供应商1名称）</w:t>
      </w:r>
      <w:r>
        <w:rPr>
          <w:rFonts w:hint="eastAsia" w:ascii="仿宋" w:hAnsi="仿宋" w:eastAsia="仿宋" w:cs="仿宋"/>
          <w:kern w:val="0"/>
          <w:sz w:val="24"/>
          <w:lang w:val="zh-CN"/>
        </w:rPr>
        <w:t>，</w:t>
      </w:r>
      <w:r>
        <w:rPr>
          <w:rFonts w:hint="eastAsia" w:ascii="仿宋" w:hAnsi="仿宋" w:eastAsia="仿宋" w:cs="仿宋"/>
          <w:kern w:val="0"/>
          <w:sz w:val="24"/>
          <w:u w:val="single"/>
        </w:rPr>
        <w:t>（分包供应商1名称），</w:t>
      </w:r>
      <w:r>
        <w:rPr>
          <w:rFonts w:hint="eastAsia" w:ascii="仿宋" w:hAnsi="仿宋" w:eastAsia="仿宋" w:cs="仿宋"/>
          <w:kern w:val="0"/>
          <w:sz w:val="24"/>
          <w:lang w:val="zh-CN"/>
        </w:rPr>
        <w:t>具备承</w:t>
      </w:r>
      <w:r>
        <w:rPr>
          <w:rFonts w:hint="eastAsia" w:ascii="仿宋" w:hAnsi="仿宋" w:eastAsia="仿宋" w:cs="仿宋"/>
          <w:kern w:val="0"/>
          <w:sz w:val="24"/>
        </w:rPr>
        <w:t>担</w:t>
      </w:r>
      <w:r>
        <w:rPr>
          <w:rFonts w:hint="eastAsia" w:ascii="仿宋" w:hAnsi="仿宋" w:eastAsia="仿宋" w:cs="仿宋"/>
          <w:kern w:val="0"/>
          <w:sz w:val="24"/>
          <w:u w:val="single"/>
          <w:lang w:val="zh-CN"/>
        </w:rPr>
        <w:t>XX工作内容</w:t>
      </w:r>
      <w:r>
        <w:rPr>
          <w:rFonts w:hint="eastAsia" w:ascii="仿宋" w:hAnsi="仿宋" w:eastAsia="仿宋" w:cs="仿宋"/>
          <w:kern w:val="0"/>
          <w:sz w:val="24"/>
          <w:lang w:val="zh-CN"/>
        </w:rPr>
        <w:t>相应资质条件且不得再次分包；</w:t>
      </w:r>
    </w:p>
    <w:p w14:paraId="2957DF75">
      <w:pPr>
        <w:pStyle w:val="3"/>
        <w:tabs>
          <w:tab w:val="left" w:pos="432"/>
        </w:tabs>
        <w:ind w:left="664" w:leftChars="316" w:firstLine="229" w:firstLineChars="95"/>
        <w:rPr>
          <w:rFonts w:hint="eastAsia" w:ascii="仿宋" w:hAnsi="仿宋" w:eastAsia="仿宋" w:cs="仿宋"/>
          <w:kern w:val="0"/>
          <w:sz w:val="24"/>
          <w:szCs w:val="24"/>
        </w:rPr>
      </w:pPr>
      <w:r>
        <w:rPr>
          <w:rFonts w:hint="eastAsia" w:ascii="仿宋" w:hAnsi="仿宋" w:eastAsia="仿宋" w:cs="仿宋"/>
          <w:kern w:val="0"/>
          <w:sz w:val="24"/>
          <w:szCs w:val="24"/>
        </w:rPr>
        <w:t>……</w:t>
      </w:r>
    </w:p>
    <w:p w14:paraId="6B18D46F">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二、分包供应商中小企业合同份额</w:t>
      </w:r>
    </w:p>
    <w:p w14:paraId="28F764EF">
      <w:pPr>
        <w:snapToGrid w:val="0"/>
        <w:spacing w:line="360" w:lineRule="auto"/>
        <w:ind w:firstLine="576"/>
        <w:rPr>
          <w:rFonts w:hint="eastAsia" w:ascii="仿宋" w:hAnsi="仿宋" w:eastAsia="仿宋" w:cs="仿宋"/>
          <w:b/>
          <w:kern w:val="0"/>
          <w:sz w:val="24"/>
          <w:lang w:val="zh-CN"/>
        </w:rPr>
      </w:pPr>
      <w:r>
        <w:rPr>
          <w:rFonts w:hint="eastAsia" w:ascii="仿宋" w:hAnsi="仿宋" w:eastAsia="仿宋" w:cs="仿宋"/>
          <w:kern w:val="0"/>
          <w:sz w:val="24"/>
        </w:rPr>
        <w:t>1、</w:t>
      </w:r>
      <w:r>
        <w:rPr>
          <w:rFonts w:hint="eastAsia" w:ascii="仿宋" w:hAnsi="仿宋" w:eastAsia="仿宋" w:cs="仿宋"/>
          <w:kern w:val="0"/>
          <w:sz w:val="24"/>
          <w:u w:val="single"/>
        </w:rPr>
        <w:t>（分包供应商X,……）提供的货物全部由小微企业制造，</w:t>
      </w:r>
      <w:r>
        <w:rPr>
          <w:rFonts w:hint="eastAsia" w:ascii="仿宋" w:hAnsi="仿宋" w:eastAsia="仿宋" w:cs="仿宋"/>
          <w:kern w:val="0"/>
          <w:sz w:val="24"/>
        </w:rPr>
        <w:t>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rPr>
        <w:t>。</w:t>
      </w:r>
      <w:r>
        <w:rPr>
          <w:rFonts w:hint="eastAsia" w:ascii="仿宋" w:hAnsi="仿宋" w:eastAsia="仿宋" w:cs="仿宋"/>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sz w:val="24"/>
        </w:rPr>
        <w:t>拟享受以上价格扣除政策的，填写有关内容。</w:t>
      </w:r>
      <w:r>
        <w:rPr>
          <w:rFonts w:hint="eastAsia" w:ascii="仿宋" w:hAnsi="仿宋" w:eastAsia="仿宋" w:cs="仿宋"/>
          <w:b/>
          <w:kern w:val="0"/>
          <w:sz w:val="24"/>
          <w:lang w:val="zh-CN"/>
        </w:rPr>
        <w:t>）</w:t>
      </w:r>
    </w:p>
    <w:p w14:paraId="46024408">
      <w:pPr>
        <w:spacing w:line="360" w:lineRule="auto"/>
        <w:ind w:firstLine="480" w:firstLineChars="200"/>
        <w:rPr>
          <w:rFonts w:hint="eastAsia" w:ascii="仿宋" w:hAnsi="仿宋" w:eastAsia="仿宋" w:cs="仿宋"/>
          <w:b/>
          <w:bCs/>
          <w:kern w:val="0"/>
          <w:sz w:val="24"/>
          <w:lang w:val="zh-CN"/>
        </w:rPr>
      </w:pPr>
      <w:r>
        <w:rPr>
          <w:rFonts w:hint="eastAsia" w:ascii="仿宋" w:hAnsi="仿宋" w:eastAsia="仿宋" w:cs="仿宋"/>
          <w:sz w:val="24"/>
        </w:rPr>
        <w:t>2、</w:t>
      </w:r>
      <w:bookmarkStart w:id="13" w:name="_Hlk101133173"/>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%，其中小微企业合同金额达到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w:t>
      </w:r>
      <w:r>
        <w:rPr>
          <w:rFonts w:hint="eastAsia" w:ascii="仿宋" w:hAnsi="仿宋" w:eastAsia="仿宋" w:cs="仿宋"/>
          <w:b/>
          <w:bCs/>
          <w:kern w:val="0"/>
          <w:sz w:val="24"/>
          <w:lang w:val="zh-CN"/>
        </w:rPr>
        <w:t>（</w:t>
      </w:r>
      <w:r>
        <w:rPr>
          <w:rFonts w:hint="eastAsia" w:ascii="仿宋" w:hAnsi="仿宋" w:eastAsia="仿宋" w:cs="仿宋"/>
          <w:b/>
          <w:bCs/>
          <w:sz w:val="24"/>
        </w:rPr>
        <w:t>要求合同分包形式参加的项目或采购包，供应商按招标文件第一部分招标公告申请人的资格要求中规定的</w:t>
      </w:r>
      <w:r>
        <w:rPr>
          <w:rFonts w:hint="eastAsia" w:ascii="仿宋" w:hAnsi="仿宋" w:eastAsia="仿宋" w:cs="仿宋"/>
          <w:b/>
          <w:kern w:val="0"/>
          <w:sz w:val="24"/>
          <w:lang w:val="zh-CN"/>
        </w:rPr>
        <w:t>分包意向协议</w:t>
      </w:r>
      <w:r>
        <w:rPr>
          <w:rFonts w:hint="eastAsia" w:ascii="仿宋" w:hAnsi="仿宋" w:eastAsia="仿宋" w:cs="仿宋"/>
          <w:b/>
          <w:bCs/>
          <w:sz w:val="24"/>
        </w:rPr>
        <w:t>中中小企业、小微企业合同金额应当达到的比例要求填写。</w:t>
      </w:r>
      <w:r>
        <w:rPr>
          <w:rFonts w:hint="eastAsia" w:ascii="仿宋" w:hAnsi="仿宋" w:eastAsia="仿宋" w:cs="仿宋"/>
          <w:b/>
          <w:bCs/>
          <w:kern w:val="0"/>
          <w:sz w:val="24"/>
          <w:lang w:val="zh-CN"/>
        </w:rPr>
        <w:t>）</w:t>
      </w:r>
      <w:bookmarkEnd w:id="13"/>
    </w:p>
    <w:p w14:paraId="26F5202C">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三、分包工作履行期限、地点、方式</w:t>
      </w:r>
    </w:p>
    <w:p w14:paraId="6B485277">
      <w:pPr>
        <w:snapToGrid w:val="0"/>
        <w:spacing w:line="360" w:lineRule="auto"/>
        <w:ind w:firstLine="576"/>
        <w:rPr>
          <w:rFonts w:hint="eastAsia" w:ascii="仿宋" w:hAnsi="仿宋" w:eastAsia="仿宋" w:cs="仿宋"/>
          <w:u w:val="single"/>
        </w:rPr>
      </w:pPr>
      <w:r>
        <w:rPr>
          <w:rFonts w:hint="eastAsia" w:ascii="仿宋" w:hAnsi="仿宋" w:eastAsia="仿宋" w:cs="仿宋"/>
          <w:u w:val="single"/>
        </w:rPr>
        <w:t xml:space="preserve">                                                                                                                                                                   </w:t>
      </w:r>
    </w:p>
    <w:p w14:paraId="669EDBA3">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四、质量</w:t>
      </w:r>
    </w:p>
    <w:p w14:paraId="2C8E98B8">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14:paraId="7C1D501F">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五、价款或者报酬</w:t>
      </w:r>
    </w:p>
    <w:p w14:paraId="79735035">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u w:val="single"/>
        </w:rPr>
        <w:t xml:space="preserve">                                                                                     </w:t>
      </w:r>
    </w:p>
    <w:p w14:paraId="070B34C0">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kern w:val="0"/>
          <w:sz w:val="24"/>
          <w:lang w:val="zh-CN"/>
        </w:rPr>
        <w:t>六、违约责任</w:t>
      </w:r>
    </w:p>
    <w:p w14:paraId="581511F5">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14:paraId="6CF228FC">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七、争议解决的办法</w:t>
      </w:r>
    </w:p>
    <w:p w14:paraId="33E374AC">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14:paraId="00529AB7">
      <w:pPr>
        <w:snapToGrid w:val="0"/>
        <w:spacing w:line="360" w:lineRule="auto"/>
        <w:ind w:left="5758" w:leftChars="342" w:hanging="5040" w:hangingChars="2100"/>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rPr>
        <w:t>投标人名称(电子签名)：</w:t>
      </w:r>
    </w:p>
    <w:p w14:paraId="40FC73F4">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分包供应商名称(电子签名/公章)：</w:t>
      </w:r>
    </w:p>
    <w:p w14:paraId="4C34E92F">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14:paraId="511BDEF8">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14:paraId="0A697B89">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14:paraId="46CA790E">
      <w:pPr>
        <w:spacing w:line="360" w:lineRule="auto"/>
        <w:jc w:val="left"/>
        <w:rPr>
          <w:rFonts w:hint="eastAsia" w:ascii="仿宋" w:hAnsi="仿宋" w:eastAsia="仿宋" w:cs="仿宋"/>
          <w:b/>
          <w:spacing w:val="6"/>
          <w:sz w:val="32"/>
          <w:szCs w:val="32"/>
        </w:rPr>
      </w:pPr>
    </w:p>
    <w:p w14:paraId="4153B015">
      <w:pPr>
        <w:rPr>
          <w:rFonts w:hint="eastAsia" w:ascii="仿宋" w:hAnsi="仿宋" w:eastAsia="仿宋" w:cs="仿宋"/>
        </w:rPr>
      </w:pPr>
    </w:p>
    <w:sectPr>
      <w:footerReference r:id="rId8" w:type="first"/>
      <w:footerReference r:id="rId7" w:type="default"/>
      <w:pgSz w:w="11906" w:h="16838"/>
      <w:pgMar w:top="1587" w:right="1134" w:bottom="1134" w:left="113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Helvetica">
    <w:panose1 w:val="020B0604020202020204"/>
    <w:charset w:val="00"/>
    <w:family w:val="swiss"/>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DB6C">
    <w:pPr>
      <w:pStyle w:val="21"/>
      <w:ind w:right="360"/>
      <w:jc w:val="right"/>
      <w:rPr>
        <w:rFonts w:ascii="仿宋" w:hAnsi="仿宋" w:eastAsia="仿宋" w:cs="仿宋"/>
      </w:rPr>
    </w:pPr>
    <w:r>
      <w:rPr>
        <w:rFonts w:hint="eastAsia" w:ascii="仿宋" w:hAnsi="仿宋" w:eastAsia="仿宋" w:cs="仿宋"/>
      </w:rPr>
      <w:t>浙江通用招标代理有限公司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0347">
    <w:pPr>
      <w:pStyle w:val="21"/>
      <w:framePr w:wrap="around" w:vAnchor="text" w:hAnchor="margin" w:xAlign="center" w:y="1"/>
      <w:rPr>
        <w:rStyle w:val="37"/>
      </w:rPr>
    </w:pPr>
    <w:r>
      <w:fldChar w:fldCharType="begin"/>
    </w:r>
    <w:r>
      <w:rPr>
        <w:rStyle w:val="37"/>
      </w:rPr>
      <w:instrText xml:space="preserve">PAGE  </w:instrText>
    </w:r>
    <w:r>
      <w:fldChar w:fldCharType="separate"/>
    </w:r>
    <w:r>
      <w:rPr>
        <w:rStyle w:val="37"/>
      </w:rPr>
      <w:t>2</w:t>
    </w:r>
    <w:r>
      <w:fldChar w:fldCharType="end"/>
    </w:r>
  </w:p>
  <w:p w14:paraId="38D81A94">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1216">
    <w:pPr>
      <w:pStyle w:val="21"/>
      <w:ind w:right="360"/>
      <w:jc w:val="right"/>
      <w:rPr>
        <w:rFonts w:ascii="仿宋" w:hAnsi="仿宋" w:eastAsia="仿宋" w:cs="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5"/>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15875">
                        <a:noFill/>
                      </a:ln>
                    </wps:spPr>
                    <wps:txbx>
                      <w:txbxContent>
                        <w:p w14:paraId="49D817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RCjIzUAAAAAwEAAA8AAAAAAAAAAQAgAAAAIgAAAGRycy9k&#10;b3ducmV2LnhtbFBLAQIUABQAAAAIAIdO4kBjUoH6zQEAAJQDAAAOAAAAAAAAAAEAIAAAACMBAABk&#10;cnMvZTJvRG9jLnhtbFBLBQYAAAAABgAGAFkBAABiBQAAAAA=&#10;">
              <v:fill on="f" focussize="0,0"/>
              <v:stroke on="f" weight="1.25pt"/>
              <v:imagedata o:title=""/>
              <o:lock v:ext="edit" aspectratio="f"/>
              <v:textbox inset="0mm,0mm,0mm,0mm" style="mso-fit-shape-to-text:t;">
                <w:txbxContent>
                  <w:p w14:paraId="49D817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v:textbox>
            </v:shape>
          </w:pict>
        </mc:Fallback>
      </mc:AlternateContent>
    </w:r>
    <w:r>
      <w:rPr>
        <w:rFonts w:hint="eastAsia" w:ascii="仿宋" w:hAnsi="仿宋" w:eastAsia="仿宋" w:cs="仿宋"/>
      </w:rPr>
      <w:t xml:space="preserve">     浙江通用招标代理有限公司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D2CC">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文本框 6"/>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15875">
                        <a:noFill/>
                      </a:ln>
                    </wps:spPr>
                    <wps:txbx>
                      <w:txbxContent>
                        <w:p w14:paraId="568629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RCjIzUAAAAAwEAAA8AAAAAAAAAAQAgAAAAIgAAAGRycy9k&#10;b3ducmV2LnhtbFBLAQIUABQAAAAIAIdO4kDUJ4xazQEAAJQDAAAOAAAAAAAAAAEAIAAAACMBAABk&#10;cnMvZTJvRG9jLnhtbFBLBQYAAAAABgAGAFkBAABiBQAAAAA=&#10;">
              <v:fill on="f" focussize="0,0"/>
              <v:stroke on="f" weight="1.25pt"/>
              <v:imagedata o:title=""/>
              <o:lock v:ext="edit" aspectratio="f"/>
              <v:textbox inset="0mm,0mm,0mm,0mm" style="mso-fit-shape-to-text:t;">
                <w:txbxContent>
                  <w:p w14:paraId="568629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7CC9">
    <w:pPr>
      <w:pStyle w:val="22"/>
      <w:jc w:val="both"/>
      <w:rPr>
        <w:rFonts w:hint="default" w:ascii="仿宋_GB2312" w:eastAsia="仿宋_GB2312"/>
        <w:color w:val="404040"/>
        <w:sz w:val="16"/>
        <w:szCs w:val="16"/>
        <w:lang w:val="en-US"/>
      </w:rPr>
    </w:pPr>
    <w:r>
      <w:rPr>
        <w:rFonts w:hint="eastAsia" w:ascii="仿宋_GB2312" w:eastAsia="仿宋_GB2312"/>
        <w:color w:val="404040"/>
        <w:sz w:val="16"/>
        <w:szCs w:val="16"/>
        <w:lang w:eastAsia="zh-CN"/>
      </w:rPr>
      <w:t>中共浙江省委组织部（本级）</w:t>
    </w:r>
    <w:r>
      <w:rPr>
        <w:rFonts w:hint="eastAsia" w:ascii="仿宋_GB2312" w:eastAsia="仿宋_GB2312"/>
        <w:color w:val="404040"/>
        <w:sz w:val="16"/>
        <w:szCs w:val="16"/>
        <w:lang w:val="en-US" w:eastAsia="zh-CN"/>
      </w:rPr>
      <w:t>流动党员一体智管</w:t>
    </w:r>
    <w:r>
      <w:rPr>
        <w:rFonts w:hint="eastAsia" w:ascii="仿宋_GB2312" w:eastAsia="仿宋_GB2312"/>
        <w:color w:val="404040"/>
        <w:sz w:val="16"/>
        <w:szCs w:val="16"/>
        <w:lang w:eastAsia="zh-CN"/>
      </w:rPr>
      <w:t>项目</w:t>
    </w:r>
    <w:r>
      <w:rPr>
        <w:rFonts w:hint="eastAsia" w:ascii="仿宋_GB2312" w:eastAsia="仿宋_GB2312"/>
        <w:color w:val="404040"/>
        <w:sz w:val="16"/>
        <w:szCs w:val="16"/>
      </w:rPr>
      <w:t xml:space="preserve">磋商文件 </w:t>
    </w:r>
    <w:r>
      <w:rPr>
        <w:rFonts w:ascii="仿宋_GB2312" w:eastAsia="仿宋_GB2312"/>
        <w:color w:val="404040"/>
        <w:sz w:val="16"/>
        <w:szCs w:val="16"/>
      </w:rPr>
      <w:t xml:space="preserve">      </w:t>
    </w:r>
    <w:r>
      <w:rPr>
        <w:rFonts w:hint="eastAsia" w:ascii="仿宋_GB2312" w:eastAsia="仿宋_GB2312"/>
        <w:color w:val="404040"/>
        <w:sz w:val="16"/>
        <w:szCs w:val="16"/>
      </w:rPr>
      <w:t xml:space="preserve">               </w:t>
    </w:r>
    <w:r>
      <w:rPr>
        <w:rFonts w:hint="eastAsia" w:ascii="仿宋_GB2312" w:eastAsia="仿宋_GB2312"/>
        <w:color w:val="404040"/>
        <w:sz w:val="16"/>
        <w:szCs w:val="16"/>
        <w:lang w:val="en-US" w:eastAsia="zh-CN"/>
      </w:rPr>
      <w:t xml:space="preserve">                   </w:t>
    </w:r>
    <w:r>
      <w:rPr>
        <w:rFonts w:hint="eastAsia" w:ascii="仿宋_GB2312" w:eastAsia="仿宋_GB2312"/>
        <w:color w:val="404040"/>
        <w:sz w:val="16"/>
        <w:szCs w:val="16"/>
        <w:lang w:eastAsia="zh-CN"/>
      </w:rPr>
      <w:t>ZJTY202</w:t>
    </w:r>
    <w:r>
      <w:rPr>
        <w:rFonts w:hint="eastAsia" w:ascii="仿宋_GB2312" w:eastAsia="仿宋_GB2312"/>
        <w:color w:val="404040"/>
        <w:sz w:val="16"/>
        <w:szCs w:val="16"/>
        <w:lang w:val="en-US" w:eastAsia="zh-CN"/>
      </w:rPr>
      <w:t>6M</w:t>
    </w:r>
    <w:r>
      <w:rPr>
        <w:rFonts w:hint="eastAsia" w:ascii="仿宋_GB2312" w:eastAsia="仿宋_GB2312"/>
        <w:color w:val="404040"/>
        <w:sz w:val="16"/>
        <w:szCs w:val="16"/>
        <w:lang w:eastAsia="zh-CN"/>
      </w:rPr>
      <w:t>-JF-</w:t>
    </w:r>
    <w:r>
      <w:rPr>
        <w:rFonts w:hint="eastAsia" w:ascii="仿宋_GB2312" w:eastAsia="仿宋_GB2312"/>
        <w:color w:val="404040"/>
        <w:sz w:val="16"/>
        <w:szCs w:val="16"/>
        <w:lang w:val="en-US" w:eastAsia="zh-CN"/>
      </w:rPr>
      <w:t>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8AD3">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0F60"/>
    <w:multiLevelType w:val="singleLevel"/>
    <w:tmpl w:val="CFFF0F60"/>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pStyle w:val="7"/>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2">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540" w:firstLine="0"/>
      </w:pPr>
      <w:rPr>
        <w:rFonts w:hint="eastAsia" w:ascii="黑体" w:hAnsi="Times New Roman" w:eastAsia="黑体"/>
        <w:b w:val="0"/>
        <w:i w:val="0"/>
        <w:sz w:val="28"/>
      </w:rPr>
    </w:lvl>
    <w:lvl w:ilvl="2" w:tentative="0">
      <w:start w:val="1"/>
      <w:numFmt w:val="decimal"/>
      <w:pStyle w:val="43"/>
      <w:suff w:val="nothing"/>
      <w:lvlText w:val="%1%2.%3　"/>
      <w:lvlJc w:val="left"/>
      <w:pPr>
        <w:ind w:left="0" w:firstLine="0"/>
      </w:pPr>
      <w:rPr>
        <w:rFonts w:hint="eastAsia" w:ascii="黑体" w:hAnsi="Times New Roman" w:eastAsia="黑体"/>
        <w:b/>
        <w:i w:val="0"/>
        <w:sz w:val="24"/>
      </w:rPr>
    </w:lvl>
    <w:lvl w:ilvl="3" w:tentative="0">
      <w:start w:val="1"/>
      <w:numFmt w:val="decimal"/>
      <w:suff w:val="nothing"/>
      <w:lvlText w:val="%1%2.%3.%4　"/>
      <w:lvlJc w:val="left"/>
      <w:pPr>
        <w:ind w:left="587" w:firstLine="673"/>
      </w:pPr>
      <w:rPr>
        <w:rFonts w:hint="eastAsia" w:ascii="黑体" w:hAnsi="Times New Roman" w:eastAsia="黑体"/>
        <w:b w:val="0"/>
        <w:i w:val="0"/>
        <w:sz w:val="21"/>
      </w:rPr>
    </w:lvl>
    <w:lvl w:ilvl="4" w:tentative="0">
      <w:start w:val="1"/>
      <w:numFmt w:val="decimal"/>
      <w:suff w:val="nothing"/>
      <w:lvlText w:val="%1%2.%3.%4.%5　"/>
      <w:lvlJc w:val="left"/>
      <w:pPr>
        <w:ind w:left="90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144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pStyle w:val="59"/>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00000010"/>
    <w:multiLevelType w:val="multilevel"/>
    <w:tmpl w:val="00000010"/>
    <w:lvl w:ilvl="0" w:tentative="0">
      <w:start w:val="1"/>
      <w:numFmt w:val="chineseCountingThousand"/>
      <w:lvlText w:val="第%1章 "/>
      <w:lvlJc w:val="left"/>
      <w:pPr>
        <w:tabs>
          <w:tab w:val="left" w:pos="420"/>
        </w:tabs>
        <w:ind w:left="420" w:hanging="420"/>
      </w:pPr>
      <w:rPr>
        <w:rFonts w:hint="eastAsia"/>
      </w:rPr>
    </w:lvl>
    <w:lvl w:ilvl="1" w:tentative="0">
      <w:start w:val="1"/>
      <w:numFmt w:val="chineseCountingThousand"/>
      <w:lvlText w:val="第%2节"/>
      <w:lvlJc w:val="left"/>
      <w:pPr>
        <w:tabs>
          <w:tab w:val="left" w:pos="2315"/>
        </w:tabs>
        <w:ind w:left="2315" w:hanging="575"/>
      </w:pPr>
      <w:rPr>
        <w:rFonts w:hint="eastAsia"/>
      </w:rPr>
    </w:lvl>
    <w:lvl w:ilvl="2" w:tentative="0">
      <w:start w:val="1"/>
      <w:numFmt w:val="chineseCounting"/>
      <w:lvlText w:val="%3、"/>
      <w:lvlJc w:val="left"/>
      <w:pPr>
        <w:tabs>
          <w:tab w:val="left" w:pos="1020"/>
        </w:tabs>
        <w:ind w:left="1020" w:hanging="720"/>
      </w:pPr>
      <w:rPr>
        <w:rFonts w:hint="eastAsia" w:ascii="宋体" w:hAnsi="宋体" w:eastAsia="宋体"/>
      </w:rPr>
    </w:lvl>
    <w:lvl w:ilvl="3" w:tentative="0">
      <w:start w:val="1"/>
      <w:numFmt w:val="decimal"/>
      <w:lvlText w:val="%4"/>
      <w:lvlJc w:val="left"/>
      <w:pPr>
        <w:tabs>
          <w:tab w:val="left" w:pos="2604"/>
        </w:tabs>
        <w:ind w:left="2604" w:hanging="864"/>
      </w:pPr>
      <w:rPr>
        <w:rFonts w:hint="eastAsia" w:ascii="宋体" w:hAnsi="宋体" w:eastAsia="宋体"/>
      </w:rPr>
    </w:lvl>
    <w:lvl w:ilvl="4" w:tentative="0">
      <w:start w:val="1"/>
      <w:numFmt w:val="decimal"/>
      <w:pStyle w:val="67"/>
      <w:lvlText w:val="%3.%4.%5"/>
      <w:lvlJc w:val="left"/>
      <w:pPr>
        <w:tabs>
          <w:tab w:val="left" w:pos="1008"/>
        </w:tabs>
        <w:ind w:left="1008" w:hanging="1008"/>
      </w:pPr>
      <w:rPr>
        <w:rFonts w:hint="eastAsia"/>
      </w:rPr>
    </w:lvl>
    <w:lvl w:ilvl="5" w:tentative="0">
      <w:start w:val="1"/>
      <w:numFmt w:val="decimal"/>
      <w:lvlText w:val="%1.%2.%3.%4.%5.%6."/>
      <w:lvlJc w:val="left"/>
      <w:pPr>
        <w:tabs>
          <w:tab w:val="left" w:pos="1151"/>
        </w:tabs>
        <w:ind w:left="1151" w:hanging="1151"/>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3"/>
        </w:tabs>
        <w:ind w:left="1583" w:hanging="1583"/>
      </w:pPr>
      <w:rPr>
        <w:rFonts w:hint="eastAsia"/>
      </w:rPr>
    </w:lvl>
  </w:abstractNum>
  <w:abstractNum w:abstractNumId="5">
    <w:nsid w:val="35216C1F"/>
    <w:multiLevelType w:val="singleLevel"/>
    <w:tmpl w:val="35216C1F"/>
    <w:lvl w:ilvl="0" w:tentative="0">
      <w:start w:val="11"/>
      <w:numFmt w:val="chineseCounting"/>
      <w:suff w:val="nothing"/>
      <w:lvlText w:val="%1、"/>
      <w:lvlJc w:val="left"/>
      <w:rPr>
        <w:rFonts w:hint="eastAsia"/>
      </w:rPr>
    </w:lvl>
  </w:abstractNum>
  <w:abstractNum w:abstractNumId="6">
    <w:nsid w:val="45875AB3"/>
    <w:multiLevelType w:val="singleLevel"/>
    <w:tmpl w:val="45875AB3"/>
    <w:lvl w:ilvl="0" w:tentative="0">
      <w:start w:val="1"/>
      <w:numFmt w:val="decimal"/>
      <w:suff w:val="nothing"/>
      <w:lvlText w:val="%1、"/>
      <w:lvlJc w:val="left"/>
    </w:lvl>
  </w:abstractNum>
  <w:abstractNum w:abstractNumId="7">
    <w:nsid w:val="552931DA"/>
    <w:multiLevelType w:val="singleLevel"/>
    <w:tmpl w:val="552931DA"/>
    <w:lvl w:ilvl="0" w:tentative="0">
      <w:start w:val="32"/>
      <w:numFmt w:val="decimal"/>
      <w:suff w:val="nothing"/>
      <w:lvlText w:val="%1、"/>
      <w:lvlJc w:val="left"/>
    </w:lvl>
  </w:abstractNum>
  <w:abstractNum w:abstractNumId="8">
    <w:nsid w:val="56555421"/>
    <w:multiLevelType w:val="singleLevel"/>
    <w:tmpl w:val="56555421"/>
    <w:lvl w:ilvl="0" w:tentative="0">
      <w:start w:val="3"/>
      <w:numFmt w:val="chineseCounting"/>
      <w:suff w:val="nothing"/>
      <w:lvlText w:val="%1、"/>
      <w:lvlJc w:val="left"/>
    </w:lvl>
  </w:abstractNum>
  <w:abstractNum w:abstractNumId="9">
    <w:nsid w:val="59F0223E"/>
    <w:multiLevelType w:val="singleLevel"/>
    <w:tmpl w:val="59F0223E"/>
    <w:lvl w:ilvl="0" w:tentative="0">
      <w:start w:val="2"/>
      <w:numFmt w:val="chineseCounting"/>
      <w:suff w:val="nothing"/>
      <w:lvlText w:val="%1、"/>
      <w:lvlJc w:val="left"/>
    </w:lvl>
  </w:abstractNum>
  <w:abstractNum w:abstractNumId="10">
    <w:nsid w:val="6D341451"/>
    <w:multiLevelType w:val="singleLevel"/>
    <w:tmpl w:val="6D341451"/>
    <w:lvl w:ilvl="0" w:tentative="0">
      <w:start w:val="3"/>
      <w:numFmt w:val="decimal"/>
      <w:pStyle w:val="62"/>
      <w:suff w:val="nothing"/>
      <w:lvlText w:val="（%1）"/>
      <w:lvlJc w:val="left"/>
      <w:rPr>
        <w:rFonts w:cs="Times New Roman"/>
      </w:rPr>
    </w:lvl>
  </w:abstractNum>
  <w:abstractNum w:abstractNumId="11">
    <w:nsid w:val="75973255"/>
    <w:multiLevelType w:val="singleLevel"/>
    <w:tmpl w:val="75973255"/>
    <w:lvl w:ilvl="0" w:tentative="0">
      <w:start w:val="7"/>
      <w:numFmt w:val="chineseCounting"/>
      <w:suff w:val="nothing"/>
      <w:lvlText w:val="%1、"/>
      <w:lvlJc w:val="left"/>
      <w:rPr>
        <w:rFonts w:hint="eastAsia"/>
      </w:rPr>
    </w:lvl>
  </w:abstractNum>
  <w:num w:numId="1">
    <w:abstractNumId w:val="1"/>
  </w:num>
  <w:num w:numId="2">
    <w:abstractNumId w:val="2"/>
  </w:num>
  <w:num w:numId="3">
    <w:abstractNumId w:val="3"/>
  </w:num>
  <w:num w:numId="4">
    <w:abstractNumId w:val="10"/>
  </w:num>
  <w:num w:numId="5">
    <w:abstractNumId w:val="4"/>
  </w:num>
  <w:num w:numId="6">
    <w:abstractNumId w:val="11"/>
  </w:num>
  <w:num w:numId="7">
    <w:abstractNumId w:val="0"/>
  </w:num>
  <w:num w:numId="8">
    <w:abstractNumId w:val="7"/>
  </w:num>
  <w:num w:numId="9">
    <w:abstractNumId w:val="9"/>
  </w:num>
  <w:num w:numId="10">
    <w:abstractNumId w:val="8"/>
  </w:num>
  <w:num w:numId="11">
    <w:abstractNumId w:val="5"/>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
    <w15:presenceInfo w15:providerId="WPS Office" w15:userId="2631444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zMzBlOTUxZTgxOTFlYjk1YjQwNWFkOWYzMmYzZjYifQ=="/>
  </w:docVars>
  <w:rsids>
    <w:rsidRoot w:val="00AD3374"/>
    <w:rsid w:val="000026B9"/>
    <w:rsid w:val="0000466D"/>
    <w:rsid w:val="0001055D"/>
    <w:rsid w:val="00011A8E"/>
    <w:rsid w:val="00014E4C"/>
    <w:rsid w:val="00016AFF"/>
    <w:rsid w:val="00020700"/>
    <w:rsid w:val="00024D05"/>
    <w:rsid w:val="0002664D"/>
    <w:rsid w:val="00026D2A"/>
    <w:rsid w:val="00033331"/>
    <w:rsid w:val="00034EA5"/>
    <w:rsid w:val="00034FC7"/>
    <w:rsid w:val="00041538"/>
    <w:rsid w:val="000425A0"/>
    <w:rsid w:val="0004336A"/>
    <w:rsid w:val="0004587C"/>
    <w:rsid w:val="0005033E"/>
    <w:rsid w:val="00051EE7"/>
    <w:rsid w:val="00052F5E"/>
    <w:rsid w:val="00053F4C"/>
    <w:rsid w:val="00054135"/>
    <w:rsid w:val="000543BA"/>
    <w:rsid w:val="00055C7B"/>
    <w:rsid w:val="000565EB"/>
    <w:rsid w:val="000579EC"/>
    <w:rsid w:val="00057AA1"/>
    <w:rsid w:val="00060FBD"/>
    <w:rsid w:val="000652D4"/>
    <w:rsid w:val="000675C0"/>
    <w:rsid w:val="000727A6"/>
    <w:rsid w:val="00073A02"/>
    <w:rsid w:val="000759DB"/>
    <w:rsid w:val="00075FC2"/>
    <w:rsid w:val="0007736E"/>
    <w:rsid w:val="00083E63"/>
    <w:rsid w:val="00083EE7"/>
    <w:rsid w:val="0008664E"/>
    <w:rsid w:val="00086C00"/>
    <w:rsid w:val="00090923"/>
    <w:rsid w:val="000936A3"/>
    <w:rsid w:val="00094BD9"/>
    <w:rsid w:val="00094F9E"/>
    <w:rsid w:val="000A0138"/>
    <w:rsid w:val="000A2AD7"/>
    <w:rsid w:val="000A3AD1"/>
    <w:rsid w:val="000A4400"/>
    <w:rsid w:val="000A4FAB"/>
    <w:rsid w:val="000A54C2"/>
    <w:rsid w:val="000B027C"/>
    <w:rsid w:val="000B0827"/>
    <w:rsid w:val="000B1977"/>
    <w:rsid w:val="000B6771"/>
    <w:rsid w:val="000C1DA1"/>
    <w:rsid w:val="000C5F27"/>
    <w:rsid w:val="000D024E"/>
    <w:rsid w:val="000D2551"/>
    <w:rsid w:val="000D3AB1"/>
    <w:rsid w:val="000D4355"/>
    <w:rsid w:val="000D4536"/>
    <w:rsid w:val="000D70F5"/>
    <w:rsid w:val="000D7C8F"/>
    <w:rsid w:val="000D7CAA"/>
    <w:rsid w:val="000D7FB6"/>
    <w:rsid w:val="000E0D1B"/>
    <w:rsid w:val="000E2C31"/>
    <w:rsid w:val="000E3C65"/>
    <w:rsid w:val="000E4737"/>
    <w:rsid w:val="000E5D57"/>
    <w:rsid w:val="000F05AA"/>
    <w:rsid w:val="000F10B8"/>
    <w:rsid w:val="000F176D"/>
    <w:rsid w:val="000F2B3F"/>
    <w:rsid w:val="000F4874"/>
    <w:rsid w:val="000F7A37"/>
    <w:rsid w:val="000F7BAE"/>
    <w:rsid w:val="00100FA6"/>
    <w:rsid w:val="0010215C"/>
    <w:rsid w:val="001027A9"/>
    <w:rsid w:val="00103535"/>
    <w:rsid w:val="00110B64"/>
    <w:rsid w:val="0011208B"/>
    <w:rsid w:val="0011504F"/>
    <w:rsid w:val="00115314"/>
    <w:rsid w:val="00115395"/>
    <w:rsid w:val="00115E41"/>
    <w:rsid w:val="00120E7D"/>
    <w:rsid w:val="00121D4A"/>
    <w:rsid w:val="0012552B"/>
    <w:rsid w:val="00136A4C"/>
    <w:rsid w:val="001377BE"/>
    <w:rsid w:val="00140A19"/>
    <w:rsid w:val="0014130A"/>
    <w:rsid w:val="00142839"/>
    <w:rsid w:val="0014302F"/>
    <w:rsid w:val="0014554A"/>
    <w:rsid w:val="001455E8"/>
    <w:rsid w:val="00146021"/>
    <w:rsid w:val="00146865"/>
    <w:rsid w:val="00146C45"/>
    <w:rsid w:val="0014763E"/>
    <w:rsid w:val="00153A31"/>
    <w:rsid w:val="00153EA9"/>
    <w:rsid w:val="00155FEC"/>
    <w:rsid w:val="0016148F"/>
    <w:rsid w:val="00164922"/>
    <w:rsid w:val="0016510C"/>
    <w:rsid w:val="0016514B"/>
    <w:rsid w:val="00166E94"/>
    <w:rsid w:val="00171455"/>
    <w:rsid w:val="00183593"/>
    <w:rsid w:val="00191064"/>
    <w:rsid w:val="00192513"/>
    <w:rsid w:val="0019411B"/>
    <w:rsid w:val="0019655B"/>
    <w:rsid w:val="001A113E"/>
    <w:rsid w:val="001A1953"/>
    <w:rsid w:val="001A23F7"/>
    <w:rsid w:val="001A4B72"/>
    <w:rsid w:val="001B1F7E"/>
    <w:rsid w:val="001B48BA"/>
    <w:rsid w:val="001C13F8"/>
    <w:rsid w:val="001C4B09"/>
    <w:rsid w:val="001D3009"/>
    <w:rsid w:val="001D74C4"/>
    <w:rsid w:val="001E62AE"/>
    <w:rsid w:val="001F0494"/>
    <w:rsid w:val="001F2713"/>
    <w:rsid w:val="001F6A05"/>
    <w:rsid w:val="001F6FC1"/>
    <w:rsid w:val="002112B8"/>
    <w:rsid w:val="00212F11"/>
    <w:rsid w:val="0021437A"/>
    <w:rsid w:val="00215B44"/>
    <w:rsid w:val="00215D4A"/>
    <w:rsid w:val="0021672F"/>
    <w:rsid w:val="00217018"/>
    <w:rsid w:val="00217421"/>
    <w:rsid w:val="00217445"/>
    <w:rsid w:val="00217E8C"/>
    <w:rsid w:val="00225489"/>
    <w:rsid w:val="00225F99"/>
    <w:rsid w:val="00232455"/>
    <w:rsid w:val="002359FA"/>
    <w:rsid w:val="00235A32"/>
    <w:rsid w:val="00236B17"/>
    <w:rsid w:val="00237260"/>
    <w:rsid w:val="00240058"/>
    <w:rsid w:val="0024060B"/>
    <w:rsid w:val="00243570"/>
    <w:rsid w:val="00244815"/>
    <w:rsid w:val="00246923"/>
    <w:rsid w:val="00251EFF"/>
    <w:rsid w:val="00252AA8"/>
    <w:rsid w:val="00254A5D"/>
    <w:rsid w:val="002553B5"/>
    <w:rsid w:val="00255F72"/>
    <w:rsid w:val="00257A8E"/>
    <w:rsid w:val="00262032"/>
    <w:rsid w:val="002628D4"/>
    <w:rsid w:val="00262FD8"/>
    <w:rsid w:val="00264368"/>
    <w:rsid w:val="002649E9"/>
    <w:rsid w:val="002654BA"/>
    <w:rsid w:val="002718D7"/>
    <w:rsid w:val="002835BB"/>
    <w:rsid w:val="002848F5"/>
    <w:rsid w:val="0028655D"/>
    <w:rsid w:val="00287CBD"/>
    <w:rsid w:val="002904BF"/>
    <w:rsid w:val="002906FB"/>
    <w:rsid w:val="00292443"/>
    <w:rsid w:val="002944B9"/>
    <w:rsid w:val="002A028D"/>
    <w:rsid w:val="002A07FA"/>
    <w:rsid w:val="002A083D"/>
    <w:rsid w:val="002A0FE7"/>
    <w:rsid w:val="002A13F3"/>
    <w:rsid w:val="002A19CD"/>
    <w:rsid w:val="002A3B42"/>
    <w:rsid w:val="002A5B46"/>
    <w:rsid w:val="002A608F"/>
    <w:rsid w:val="002B0DF6"/>
    <w:rsid w:val="002B1388"/>
    <w:rsid w:val="002B26CC"/>
    <w:rsid w:val="002B3A9C"/>
    <w:rsid w:val="002B4A6C"/>
    <w:rsid w:val="002B52A9"/>
    <w:rsid w:val="002B6B26"/>
    <w:rsid w:val="002C28A8"/>
    <w:rsid w:val="002C292D"/>
    <w:rsid w:val="002C3497"/>
    <w:rsid w:val="002C4191"/>
    <w:rsid w:val="002C5B6E"/>
    <w:rsid w:val="002C7323"/>
    <w:rsid w:val="002D047A"/>
    <w:rsid w:val="002D2D93"/>
    <w:rsid w:val="002D5F22"/>
    <w:rsid w:val="002E3141"/>
    <w:rsid w:val="002E69BD"/>
    <w:rsid w:val="002E7DB8"/>
    <w:rsid w:val="002E7FA9"/>
    <w:rsid w:val="002F0238"/>
    <w:rsid w:val="002F1885"/>
    <w:rsid w:val="002F2401"/>
    <w:rsid w:val="002F25AA"/>
    <w:rsid w:val="002F5135"/>
    <w:rsid w:val="002F577B"/>
    <w:rsid w:val="00300C89"/>
    <w:rsid w:val="00302D8E"/>
    <w:rsid w:val="00303608"/>
    <w:rsid w:val="00303F7D"/>
    <w:rsid w:val="003041EB"/>
    <w:rsid w:val="00304795"/>
    <w:rsid w:val="003067A0"/>
    <w:rsid w:val="003073F0"/>
    <w:rsid w:val="00312FF0"/>
    <w:rsid w:val="00315B46"/>
    <w:rsid w:val="00316954"/>
    <w:rsid w:val="003174BF"/>
    <w:rsid w:val="003253B6"/>
    <w:rsid w:val="0032589D"/>
    <w:rsid w:val="00325B55"/>
    <w:rsid w:val="00326DAD"/>
    <w:rsid w:val="00327C34"/>
    <w:rsid w:val="003333B8"/>
    <w:rsid w:val="003341BD"/>
    <w:rsid w:val="00334EBE"/>
    <w:rsid w:val="00340E72"/>
    <w:rsid w:val="00342DE6"/>
    <w:rsid w:val="00351C52"/>
    <w:rsid w:val="00353525"/>
    <w:rsid w:val="00355D10"/>
    <w:rsid w:val="00360BD2"/>
    <w:rsid w:val="00365BB3"/>
    <w:rsid w:val="00375AC8"/>
    <w:rsid w:val="00375E60"/>
    <w:rsid w:val="00375FF4"/>
    <w:rsid w:val="00381A73"/>
    <w:rsid w:val="00382AEF"/>
    <w:rsid w:val="0038430F"/>
    <w:rsid w:val="00384F8E"/>
    <w:rsid w:val="0038633D"/>
    <w:rsid w:val="00387B13"/>
    <w:rsid w:val="00392DC3"/>
    <w:rsid w:val="00394950"/>
    <w:rsid w:val="00395648"/>
    <w:rsid w:val="003968D6"/>
    <w:rsid w:val="003A12EC"/>
    <w:rsid w:val="003A181C"/>
    <w:rsid w:val="003A3354"/>
    <w:rsid w:val="003A353C"/>
    <w:rsid w:val="003A3BDA"/>
    <w:rsid w:val="003A55AE"/>
    <w:rsid w:val="003A5A72"/>
    <w:rsid w:val="003A5F29"/>
    <w:rsid w:val="003A62D7"/>
    <w:rsid w:val="003A66CD"/>
    <w:rsid w:val="003A716E"/>
    <w:rsid w:val="003B75E7"/>
    <w:rsid w:val="003B7CC8"/>
    <w:rsid w:val="003C0074"/>
    <w:rsid w:val="003C09BD"/>
    <w:rsid w:val="003C0E41"/>
    <w:rsid w:val="003C2F09"/>
    <w:rsid w:val="003C3426"/>
    <w:rsid w:val="003C4F9F"/>
    <w:rsid w:val="003C7B64"/>
    <w:rsid w:val="003D2E67"/>
    <w:rsid w:val="003D7B27"/>
    <w:rsid w:val="003E542A"/>
    <w:rsid w:val="003F0E8C"/>
    <w:rsid w:val="003F691D"/>
    <w:rsid w:val="004038CE"/>
    <w:rsid w:val="0040400F"/>
    <w:rsid w:val="00404FA7"/>
    <w:rsid w:val="004103B2"/>
    <w:rsid w:val="00410C8C"/>
    <w:rsid w:val="004112F5"/>
    <w:rsid w:val="00413ABA"/>
    <w:rsid w:val="00424AF9"/>
    <w:rsid w:val="00425461"/>
    <w:rsid w:val="00425582"/>
    <w:rsid w:val="00425DA1"/>
    <w:rsid w:val="00427D10"/>
    <w:rsid w:val="00430B2A"/>
    <w:rsid w:val="00434266"/>
    <w:rsid w:val="0043485B"/>
    <w:rsid w:val="00435B0E"/>
    <w:rsid w:val="0044157F"/>
    <w:rsid w:val="00443967"/>
    <w:rsid w:val="00443F67"/>
    <w:rsid w:val="00444F9F"/>
    <w:rsid w:val="00444FD2"/>
    <w:rsid w:val="00446E48"/>
    <w:rsid w:val="0044740F"/>
    <w:rsid w:val="00447A38"/>
    <w:rsid w:val="004510FE"/>
    <w:rsid w:val="004515BC"/>
    <w:rsid w:val="00453DAE"/>
    <w:rsid w:val="00455905"/>
    <w:rsid w:val="00455FB1"/>
    <w:rsid w:val="00456235"/>
    <w:rsid w:val="004566F8"/>
    <w:rsid w:val="00456AC7"/>
    <w:rsid w:val="004602C7"/>
    <w:rsid w:val="004615DD"/>
    <w:rsid w:val="004623F0"/>
    <w:rsid w:val="0046249A"/>
    <w:rsid w:val="004631F1"/>
    <w:rsid w:val="00464486"/>
    <w:rsid w:val="00466698"/>
    <w:rsid w:val="004678E6"/>
    <w:rsid w:val="004716D3"/>
    <w:rsid w:val="00472831"/>
    <w:rsid w:val="00473DAC"/>
    <w:rsid w:val="00476193"/>
    <w:rsid w:val="00481889"/>
    <w:rsid w:val="00485E4C"/>
    <w:rsid w:val="004878F5"/>
    <w:rsid w:val="00487E64"/>
    <w:rsid w:val="00494274"/>
    <w:rsid w:val="00495F11"/>
    <w:rsid w:val="004A2087"/>
    <w:rsid w:val="004A2967"/>
    <w:rsid w:val="004A7339"/>
    <w:rsid w:val="004B3949"/>
    <w:rsid w:val="004B41EA"/>
    <w:rsid w:val="004B4F3C"/>
    <w:rsid w:val="004B52F7"/>
    <w:rsid w:val="004C0F8C"/>
    <w:rsid w:val="004C44C6"/>
    <w:rsid w:val="004C541C"/>
    <w:rsid w:val="004C6169"/>
    <w:rsid w:val="004D195A"/>
    <w:rsid w:val="004D1B53"/>
    <w:rsid w:val="004D291B"/>
    <w:rsid w:val="004D2F48"/>
    <w:rsid w:val="004D474C"/>
    <w:rsid w:val="004D5860"/>
    <w:rsid w:val="004D600E"/>
    <w:rsid w:val="004D6733"/>
    <w:rsid w:val="004D6D8A"/>
    <w:rsid w:val="004E44A4"/>
    <w:rsid w:val="004E6320"/>
    <w:rsid w:val="004E7659"/>
    <w:rsid w:val="004F2BBC"/>
    <w:rsid w:val="004F33C4"/>
    <w:rsid w:val="004F41D2"/>
    <w:rsid w:val="004F533D"/>
    <w:rsid w:val="004F5C13"/>
    <w:rsid w:val="004F73A4"/>
    <w:rsid w:val="005007DA"/>
    <w:rsid w:val="00503CC2"/>
    <w:rsid w:val="005051CE"/>
    <w:rsid w:val="005051DC"/>
    <w:rsid w:val="00505CBA"/>
    <w:rsid w:val="00511FBE"/>
    <w:rsid w:val="00513156"/>
    <w:rsid w:val="00515BDA"/>
    <w:rsid w:val="00516A17"/>
    <w:rsid w:val="00517F19"/>
    <w:rsid w:val="00522D9A"/>
    <w:rsid w:val="00526763"/>
    <w:rsid w:val="00530608"/>
    <w:rsid w:val="005332D4"/>
    <w:rsid w:val="005332E4"/>
    <w:rsid w:val="00536893"/>
    <w:rsid w:val="005374C9"/>
    <w:rsid w:val="00540774"/>
    <w:rsid w:val="00542A4F"/>
    <w:rsid w:val="00547A42"/>
    <w:rsid w:val="00547EB3"/>
    <w:rsid w:val="0056471D"/>
    <w:rsid w:val="0056475A"/>
    <w:rsid w:val="00566E4E"/>
    <w:rsid w:val="00567AF3"/>
    <w:rsid w:val="00574716"/>
    <w:rsid w:val="005759F6"/>
    <w:rsid w:val="00575AB3"/>
    <w:rsid w:val="00580BB9"/>
    <w:rsid w:val="00584936"/>
    <w:rsid w:val="00585079"/>
    <w:rsid w:val="0058796B"/>
    <w:rsid w:val="00590A75"/>
    <w:rsid w:val="005929DC"/>
    <w:rsid w:val="00592F98"/>
    <w:rsid w:val="0059466C"/>
    <w:rsid w:val="00594730"/>
    <w:rsid w:val="005955A8"/>
    <w:rsid w:val="00595DCA"/>
    <w:rsid w:val="005A120D"/>
    <w:rsid w:val="005A3B24"/>
    <w:rsid w:val="005A5273"/>
    <w:rsid w:val="005B0820"/>
    <w:rsid w:val="005B17DB"/>
    <w:rsid w:val="005B2FBF"/>
    <w:rsid w:val="005C146A"/>
    <w:rsid w:val="005C3F6E"/>
    <w:rsid w:val="005C40BD"/>
    <w:rsid w:val="005C4417"/>
    <w:rsid w:val="005C66C9"/>
    <w:rsid w:val="005C6F6C"/>
    <w:rsid w:val="005C7D18"/>
    <w:rsid w:val="005C7E94"/>
    <w:rsid w:val="005D045A"/>
    <w:rsid w:val="005D2CC2"/>
    <w:rsid w:val="005D39F4"/>
    <w:rsid w:val="005D3B80"/>
    <w:rsid w:val="005D4E05"/>
    <w:rsid w:val="005D4F27"/>
    <w:rsid w:val="005E0D97"/>
    <w:rsid w:val="005E337E"/>
    <w:rsid w:val="005E57AD"/>
    <w:rsid w:val="005F1D89"/>
    <w:rsid w:val="005F31B3"/>
    <w:rsid w:val="005F48FA"/>
    <w:rsid w:val="005F4BEE"/>
    <w:rsid w:val="006003D5"/>
    <w:rsid w:val="00604328"/>
    <w:rsid w:val="00607213"/>
    <w:rsid w:val="00610595"/>
    <w:rsid w:val="00612F39"/>
    <w:rsid w:val="00614CA9"/>
    <w:rsid w:val="00615C02"/>
    <w:rsid w:val="00620611"/>
    <w:rsid w:val="00621393"/>
    <w:rsid w:val="00621C3E"/>
    <w:rsid w:val="00624F5D"/>
    <w:rsid w:val="00626794"/>
    <w:rsid w:val="00631118"/>
    <w:rsid w:val="00633AFB"/>
    <w:rsid w:val="00633E54"/>
    <w:rsid w:val="006355C7"/>
    <w:rsid w:val="00635F49"/>
    <w:rsid w:val="00636006"/>
    <w:rsid w:val="00636FB5"/>
    <w:rsid w:val="006417E1"/>
    <w:rsid w:val="00643C3B"/>
    <w:rsid w:val="00650E62"/>
    <w:rsid w:val="00651EFF"/>
    <w:rsid w:val="00653690"/>
    <w:rsid w:val="00661AC9"/>
    <w:rsid w:val="00661F98"/>
    <w:rsid w:val="00662751"/>
    <w:rsid w:val="00662F9B"/>
    <w:rsid w:val="00664124"/>
    <w:rsid w:val="0066440F"/>
    <w:rsid w:val="00666041"/>
    <w:rsid w:val="00670F75"/>
    <w:rsid w:val="00671F54"/>
    <w:rsid w:val="006727F8"/>
    <w:rsid w:val="00676091"/>
    <w:rsid w:val="006776ED"/>
    <w:rsid w:val="0068046E"/>
    <w:rsid w:val="006834E8"/>
    <w:rsid w:val="00684C5A"/>
    <w:rsid w:val="00686476"/>
    <w:rsid w:val="006873F6"/>
    <w:rsid w:val="006912C0"/>
    <w:rsid w:val="006919E4"/>
    <w:rsid w:val="0069319B"/>
    <w:rsid w:val="006935FA"/>
    <w:rsid w:val="00695D5A"/>
    <w:rsid w:val="00695E45"/>
    <w:rsid w:val="006A00E1"/>
    <w:rsid w:val="006A532B"/>
    <w:rsid w:val="006A569D"/>
    <w:rsid w:val="006A7731"/>
    <w:rsid w:val="006B1457"/>
    <w:rsid w:val="006B1EFA"/>
    <w:rsid w:val="006C0EFB"/>
    <w:rsid w:val="006C39D5"/>
    <w:rsid w:val="006D05EA"/>
    <w:rsid w:val="006D183F"/>
    <w:rsid w:val="006D3E83"/>
    <w:rsid w:val="006E02AA"/>
    <w:rsid w:val="006E1071"/>
    <w:rsid w:val="006E1098"/>
    <w:rsid w:val="006E2CA5"/>
    <w:rsid w:val="006E6C3F"/>
    <w:rsid w:val="006E6F39"/>
    <w:rsid w:val="006F4126"/>
    <w:rsid w:val="006F4E54"/>
    <w:rsid w:val="006F515D"/>
    <w:rsid w:val="00700E7E"/>
    <w:rsid w:val="00701972"/>
    <w:rsid w:val="00701E67"/>
    <w:rsid w:val="007029CB"/>
    <w:rsid w:val="00705267"/>
    <w:rsid w:val="007102FE"/>
    <w:rsid w:val="007118A8"/>
    <w:rsid w:val="007138AC"/>
    <w:rsid w:val="0071447C"/>
    <w:rsid w:val="00715602"/>
    <w:rsid w:val="007176C8"/>
    <w:rsid w:val="00717F28"/>
    <w:rsid w:val="00720AAA"/>
    <w:rsid w:val="00722881"/>
    <w:rsid w:val="00724300"/>
    <w:rsid w:val="00724CAB"/>
    <w:rsid w:val="007250AD"/>
    <w:rsid w:val="0072608E"/>
    <w:rsid w:val="007328EF"/>
    <w:rsid w:val="00733075"/>
    <w:rsid w:val="007351C0"/>
    <w:rsid w:val="00743E5A"/>
    <w:rsid w:val="00747465"/>
    <w:rsid w:val="007531CF"/>
    <w:rsid w:val="00755047"/>
    <w:rsid w:val="00757997"/>
    <w:rsid w:val="00761D29"/>
    <w:rsid w:val="00762474"/>
    <w:rsid w:val="00764A15"/>
    <w:rsid w:val="00765A00"/>
    <w:rsid w:val="00780C2E"/>
    <w:rsid w:val="00780DCA"/>
    <w:rsid w:val="00781266"/>
    <w:rsid w:val="007840CE"/>
    <w:rsid w:val="0078509E"/>
    <w:rsid w:val="0079117F"/>
    <w:rsid w:val="007915F5"/>
    <w:rsid w:val="007919D5"/>
    <w:rsid w:val="00793C68"/>
    <w:rsid w:val="00794151"/>
    <w:rsid w:val="00795A17"/>
    <w:rsid w:val="00796F54"/>
    <w:rsid w:val="00797664"/>
    <w:rsid w:val="007A160D"/>
    <w:rsid w:val="007A5DE4"/>
    <w:rsid w:val="007A6B53"/>
    <w:rsid w:val="007B165C"/>
    <w:rsid w:val="007B3E52"/>
    <w:rsid w:val="007C22AD"/>
    <w:rsid w:val="007C77BA"/>
    <w:rsid w:val="007C7A92"/>
    <w:rsid w:val="007C7AB8"/>
    <w:rsid w:val="007C7D0E"/>
    <w:rsid w:val="007D0D4C"/>
    <w:rsid w:val="007D48DC"/>
    <w:rsid w:val="007D7991"/>
    <w:rsid w:val="007E1405"/>
    <w:rsid w:val="007E244B"/>
    <w:rsid w:val="007E3186"/>
    <w:rsid w:val="007E465F"/>
    <w:rsid w:val="007F00FD"/>
    <w:rsid w:val="007F0BD8"/>
    <w:rsid w:val="007F128F"/>
    <w:rsid w:val="007F20C3"/>
    <w:rsid w:val="007F3F3E"/>
    <w:rsid w:val="007F72D5"/>
    <w:rsid w:val="00802528"/>
    <w:rsid w:val="00803B9C"/>
    <w:rsid w:val="00805DD7"/>
    <w:rsid w:val="00806B52"/>
    <w:rsid w:val="00810EE7"/>
    <w:rsid w:val="00811A11"/>
    <w:rsid w:val="00817BF7"/>
    <w:rsid w:val="008220A3"/>
    <w:rsid w:val="00823474"/>
    <w:rsid w:val="0082347F"/>
    <w:rsid w:val="0082412D"/>
    <w:rsid w:val="00826656"/>
    <w:rsid w:val="00826A02"/>
    <w:rsid w:val="008272D8"/>
    <w:rsid w:val="0082738D"/>
    <w:rsid w:val="00830C6C"/>
    <w:rsid w:val="00834755"/>
    <w:rsid w:val="00835174"/>
    <w:rsid w:val="00837840"/>
    <w:rsid w:val="00843CDE"/>
    <w:rsid w:val="00844550"/>
    <w:rsid w:val="00845C90"/>
    <w:rsid w:val="00847123"/>
    <w:rsid w:val="00847A2A"/>
    <w:rsid w:val="008518B5"/>
    <w:rsid w:val="00852762"/>
    <w:rsid w:val="00853EDE"/>
    <w:rsid w:val="00856E85"/>
    <w:rsid w:val="00862F64"/>
    <w:rsid w:val="008672B2"/>
    <w:rsid w:val="008675E3"/>
    <w:rsid w:val="008703A6"/>
    <w:rsid w:val="008709B4"/>
    <w:rsid w:val="00872779"/>
    <w:rsid w:val="00872BDF"/>
    <w:rsid w:val="00872C63"/>
    <w:rsid w:val="00875463"/>
    <w:rsid w:val="00876178"/>
    <w:rsid w:val="008829A9"/>
    <w:rsid w:val="0088590E"/>
    <w:rsid w:val="00886431"/>
    <w:rsid w:val="00893194"/>
    <w:rsid w:val="00896C79"/>
    <w:rsid w:val="0089717A"/>
    <w:rsid w:val="00897FDD"/>
    <w:rsid w:val="008A6572"/>
    <w:rsid w:val="008B10D4"/>
    <w:rsid w:val="008B3BBD"/>
    <w:rsid w:val="008B402F"/>
    <w:rsid w:val="008B5408"/>
    <w:rsid w:val="008B77D4"/>
    <w:rsid w:val="008C153C"/>
    <w:rsid w:val="008C7478"/>
    <w:rsid w:val="008C7673"/>
    <w:rsid w:val="008D1943"/>
    <w:rsid w:val="008D4C54"/>
    <w:rsid w:val="008D50B7"/>
    <w:rsid w:val="008E13DC"/>
    <w:rsid w:val="008E3111"/>
    <w:rsid w:val="008E3A97"/>
    <w:rsid w:val="008E4883"/>
    <w:rsid w:val="008E501C"/>
    <w:rsid w:val="008E51E9"/>
    <w:rsid w:val="008E5297"/>
    <w:rsid w:val="008E674E"/>
    <w:rsid w:val="008F1069"/>
    <w:rsid w:val="008F26D9"/>
    <w:rsid w:val="008F288F"/>
    <w:rsid w:val="008F3C6E"/>
    <w:rsid w:val="008F612D"/>
    <w:rsid w:val="008F6184"/>
    <w:rsid w:val="00912222"/>
    <w:rsid w:val="009137AE"/>
    <w:rsid w:val="009157FB"/>
    <w:rsid w:val="00922558"/>
    <w:rsid w:val="00923713"/>
    <w:rsid w:val="009263A0"/>
    <w:rsid w:val="00926EF8"/>
    <w:rsid w:val="00930449"/>
    <w:rsid w:val="0093171A"/>
    <w:rsid w:val="00931CC2"/>
    <w:rsid w:val="009377E5"/>
    <w:rsid w:val="0094177E"/>
    <w:rsid w:val="00941E6F"/>
    <w:rsid w:val="009422CA"/>
    <w:rsid w:val="00943B48"/>
    <w:rsid w:val="00952088"/>
    <w:rsid w:val="00952773"/>
    <w:rsid w:val="00952798"/>
    <w:rsid w:val="00953CA4"/>
    <w:rsid w:val="00955E6E"/>
    <w:rsid w:val="009618B6"/>
    <w:rsid w:val="00962205"/>
    <w:rsid w:val="00962703"/>
    <w:rsid w:val="00962ECD"/>
    <w:rsid w:val="00964FDF"/>
    <w:rsid w:val="00970459"/>
    <w:rsid w:val="0097051B"/>
    <w:rsid w:val="00971E52"/>
    <w:rsid w:val="00976E35"/>
    <w:rsid w:val="00980E22"/>
    <w:rsid w:val="00981C04"/>
    <w:rsid w:val="00981C2E"/>
    <w:rsid w:val="0098238E"/>
    <w:rsid w:val="00983A20"/>
    <w:rsid w:val="0099190E"/>
    <w:rsid w:val="009954A6"/>
    <w:rsid w:val="00997E33"/>
    <w:rsid w:val="00997F33"/>
    <w:rsid w:val="009A40EA"/>
    <w:rsid w:val="009A4DE6"/>
    <w:rsid w:val="009A5054"/>
    <w:rsid w:val="009A5208"/>
    <w:rsid w:val="009A7A48"/>
    <w:rsid w:val="009C3B8F"/>
    <w:rsid w:val="009C4430"/>
    <w:rsid w:val="009C562B"/>
    <w:rsid w:val="009C5E52"/>
    <w:rsid w:val="009D0720"/>
    <w:rsid w:val="009D0A35"/>
    <w:rsid w:val="009D28A7"/>
    <w:rsid w:val="009D4D9B"/>
    <w:rsid w:val="009E33A5"/>
    <w:rsid w:val="009E3762"/>
    <w:rsid w:val="009E4701"/>
    <w:rsid w:val="009E4E36"/>
    <w:rsid w:val="009F0753"/>
    <w:rsid w:val="009F109F"/>
    <w:rsid w:val="009F38AA"/>
    <w:rsid w:val="009F6527"/>
    <w:rsid w:val="00A0142F"/>
    <w:rsid w:val="00A0438C"/>
    <w:rsid w:val="00A047E5"/>
    <w:rsid w:val="00A05210"/>
    <w:rsid w:val="00A06A82"/>
    <w:rsid w:val="00A07BB2"/>
    <w:rsid w:val="00A11DCB"/>
    <w:rsid w:val="00A13D5B"/>
    <w:rsid w:val="00A144FF"/>
    <w:rsid w:val="00A21453"/>
    <w:rsid w:val="00A21E7E"/>
    <w:rsid w:val="00A321BA"/>
    <w:rsid w:val="00A32287"/>
    <w:rsid w:val="00A33180"/>
    <w:rsid w:val="00A3372F"/>
    <w:rsid w:val="00A35CB3"/>
    <w:rsid w:val="00A35DB3"/>
    <w:rsid w:val="00A37017"/>
    <w:rsid w:val="00A4146B"/>
    <w:rsid w:val="00A41C9C"/>
    <w:rsid w:val="00A442FB"/>
    <w:rsid w:val="00A45467"/>
    <w:rsid w:val="00A512DE"/>
    <w:rsid w:val="00A5157A"/>
    <w:rsid w:val="00A52BE8"/>
    <w:rsid w:val="00A56D70"/>
    <w:rsid w:val="00A5751B"/>
    <w:rsid w:val="00A652B3"/>
    <w:rsid w:val="00A71033"/>
    <w:rsid w:val="00A71635"/>
    <w:rsid w:val="00A72905"/>
    <w:rsid w:val="00A74229"/>
    <w:rsid w:val="00A74390"/>
    <w:rsid w:val="00A77C31"/>
    <w:rsid w:val="00A842AA"/>
    <w:rsid w:val="00A87ECD"/>
    <w:rsid w:val="00A94DF0"/>
    <w:rsid w:val="00A964BE"/>
    <w:rsid w:val="00A966EB"/>
    <w:rsid w:val="00AA04F7"/>
    <w:rsid w:val="00AA268E"/>
    <w:rsid w:val="00AA3B51"/>
    <w:rsid w:val="00AA55E2"/>
    <w:rsid w:val="00AA66B0"/>
    <w:rsid w:val="00AA773A"/>
    <w:rsid w:val="00AA7DB0"/>
    <w:rsid w:val="00AB0E4A"/>
    <w:rsid w:val="00AB1086"/>
    <w:rsid w:val="00AC5022"/>
    <w:rsid w:val="00AC7840"/>
    <w:rsid w:val="00AD3374"/>
    <w:rsid w:val="00AD3421"/>
    <w:rsid w:val="00AD5561"/>
    <w:rsid w:val="00AE1249"/>
    <w:rsid w:val="00AE1D12"/>
    <w:rsid w:val="00AE4930"/>
    <w:rsid w:val="00AE7164"/>
    <w:rsid w:val="00AE7C86"/>
    <w:rsid w:val="00AF0547"/>
    <w:rsid w:val="00AF2718"/>
    <w:rsid w:val="00AF7ADE"/>
    <w:rsid w:val="00B02AD0"/>
    <w:rsid w:val="00B0309E"/>
    <w:rsid w:val="00B04E68"/>
    <w:rsid w:val="00B164C6"/>
    <w:rsid w:val="00B21AE2"/>
    <w:rsid w:val="00B23467"/>
    <w:rsid w:val="00B23569"/>
    <w:rsid w:val="00B26475"/>
    <w:rsid w:val="00B27286"/>
    <w:rsid w:val="00B325DC"/>
    <w:rsid w:val="00B36C4B"/>
    <w:rsid w:val="00B37B98"/>
    <w:rsid w:val="00B4104A"/>
    <w:rsid w:val="00B46B21"/>
    <w:rsid w:val="00B4715E"/>
    <w:rsid w:val="00B54B87"/>
    <w:rsid w:val="00B55391"/>
    <w:rsid w:val="00B56612"/>
    <w:rsid w:val="00B56913"/>
    <w:rsid w:val="00B6021B"/>
    <w:rsid w:val="00B61CCC"/>
    <w:rsid w:val="00B65118"/>
    <w:rsid w:val="00B66165"/>
    <w:rsid w:val="00B705A5"/>
    <w:rsid w:val="00B808F1"/>
    <w:rsid w:val="00B80B70"/>
    <w:rsid w:val="00B82579"/>
    <w:rsid w:val="00B83AA0"/>
    <w:rsid w:val="00B8632E"/>
    <w:rsid w:val="00B873C5"/>
    <w:rsid w:val="00B90E68"/>
    <w:rsid w:val="00B93828"/>
    <w:rsid w:val="00BA1D43"/>
    <w:rsid w:val="00BA3CBD"/>
    <w:rsid w:val="00BA4AA9"/>
    <w:rsid w:val="00BA5E71"/>
    <w:rsid w:val="00BA6AE7"/>
    <w:rsid w:val="00BB0AA0"/>
    <w:rsid w:val="00BB13E3"/>
    <w:rsid w:val="00BB2E21"/>
    <w:rsid w:val="00BB57E3"/>
    <w:rsid w:val="00BB691F"/>
    <w:rsid w:val="00BC0B7B"/>
    <w:rsid w:val="00BC0CDA"/>
    <w:rsid w:val="00BC1901"/>
    <w:rsid w:val="00BC4815"/>
    <w:rsid w:val="00BC5775"/>
    <w:rsid w:val="00BD290C"/>
    <w:rsid w:val="00BE193D"/>
    <w:rsid w:val="00BE5021"/>
    <w:rsid w:val="00BE602A"/>
    <w:rsid w:val="00BE70DD"/>
    <w:rsid w:val="00BE7A6B"/>
    <w:rsid w:val="00BF0D15"/>
    <w:rsid w:val="00BF50A0"/>
    <w:rsid w:val="00BF67FA"/>
    <w:rsid w:val="00C00020"/>
    <w:rsid w:val="00C0174A"/>
    <w:rsid w:val="00C0239D"/>
    <w:rsid w:val="00C02719"/>
    <w:rsid w:val="00C03872"/>
    <w:rsid w:val="00C04128"/>
    <w:rsid w:val="00C06858"/>
    <w:rsid w:val="00C12158"/>
    <w:rsid w:val="00C12F33"/>
    <w:rsid w:val="00C138A8"/>
    <w:rsid w:val="00C165E1"/>
    <w:rsid w:val="00C23392"/>
    <w:rsid w:val="00C27351"/>
    <w:rsid w:val="00C33021"/>
    <w:rsid w:val="00C40CCE"/>
    <w:rsid w:val="00C414CA"/>
    <w:rsid w:val="00C4757E"/>
    <w:rsid w:val="00C4784D"/>
    <w:rsid w:val="00C53422"/>
    <w:rsid w:val="00C53935"/>
    <w:rsid w:val="00C550CD"/>
    <w:rsid w:val="00C56AF8"/>
    <w:rsid w:val="00C56E11"/>
    <w:rsid w:val="00C57DAF"/>
    <w:rsid w:val="00C64ABB"/>
    <w:rsid w:val="00C6567F"/>
    <w:rsid w:val="00C6626A"/>
    <w:rsid w:val="00C77A6C"/>
    <w:rsid w:val="00C804EA"/>
    <w:rsid w:val="00C80C59"/>
    <w:rsid w:val="00C912F4"/>
    <w:rsid w:val="00C93959"/>
    <w:rsid w:val="00C94DC3"/>
    <w:rsid w:val="00CA6ABA"/>
    <w:rsid w:val="00CB003E"/>
    <w:rsid w:val="00CB2724"/>
    <w:rsid w:val="00CB2AA7"/>
    <w:rsid w:val="00CB3778"/>
    <w:rsid w:val="00CB3923"/>
    <w:rsid w:val="00CB55CE"/>
    <w:rsid w:val="00CB665C"/>
    <w:rsid w:val="00CC16DF"/>
    <w:rsid w:val="00CC3727"/>
    <w:rsid w:val="00CC73FC"/>
    <w:rsid w:val="00CD4AEE"/>
    <w:rsid w:val="00CD579A"/>
    <w:rsid w:val="00CE081F"/>
    <w:rsid w:val="00CE08EB"/>
    <w:rsid w:val="00CE0F86"/>
    <w:rsid w:val="00CE5C81"/>
    <w:rsid w:val="00CE74AA"/>
    <w:rsid w:val="00CE7609"/>
    <w:rsid w:val="00CF1353"/>
    <w:rsid w:val="00CF3B0C"/>
    <w:rsid w:val="00CF6A55"/>
    <w:rsid w:val="00CF6D42"/>
    <w:rsid w:val="00CF6E9E"/>
    <w:rsid w:val="00D05949"/>
    <w:rsid w:val="00D0678E"/>
    <w:rsid w:val="00D122F4"/>
    <w:rsid w:val="00D13369"/>
    <w:rsid w:val="00D15421"/>
    <w:rsid w:val="00D16104"/>
    <w:rsid w:val="00D215DD"/>
    <w:rsid w:val="00D230F4"/>
    <w:rsid w:val="00D234DB"/>
    <w:rsid w:val="00D34E9F"/>
    <w:rsid w:val="00D40B44"/>
    <w:rsid w:val="00D42F49"/>
    <w:rsid w:val="00D44FA8"/>
    <w:rsid w:val="00D469A0"/>
    <w:rsid w:val="00D4726D"/>
    <w:rsid w:val="00D47C09"/>
    <w:rsid w:val="00D555ED"/>
    <w:rsid w:val="00D55941"/>
    <w:rsid w:val="00D55B18"/>
    <w:rsid w:val="00D57D10"/>
    <w:rsid w:val="00D6635E"/>
    <w:rsid w:val="00D67A5F"/>
    <w:rsid w:val="00D67C44"/>
    <w:rsid w:val="00D74570"/>
    <w:rsid w:val="00D74C21"/>
    <w:rsid w:val="00D77996"/>
    <w:rsid w:val="00D82123"/>
    <w:rsid w:val="00D84622"/>
    <w:rsid w:val="00D87751"/>
    <w:rsid w:val="00D87CAD"/>
    <w:rsid w:val="00D91564"/>
    <w:rsid w:val="00D92419"/>
    <w:rsid w:val="00D940B3"/>
    <w:rsid w:val="00D96B9A"/>
    <w:rsid w:val="00DA0A53"/>
    <w:rsid w:val="00DA0B96"/>
    <w:rsid w:val="00DA3895"/>
    <w:rsid w:val="00DA79B5"/>
    <w:rsid w:val="00DB0507"/>
    <w:rsid w:val="00DB05F8"/>
    <w:rsid w:val="00DB1EC3"/>
    <w:rsid w:val="00DB4780"/>
    <w:rsid w:val="00DB4856"/>
    <w:rsid w:val="00DC0281"/>
    <w:rsid w:val="00DC0C59"/>
    <w:rsid w:val="00DC14F7"/>
    <w:rsid w:val="00DC389C"/>
    <w:rsid w:val="00DC4299"/>
    <w:rsid w:val="00DD70B2"/>
    <w:rsid w:val="00DD7BF9"/>
    <w:rsid w:val="00DE012F"/>
    <w:rsid w:val="00DE3052"/>
    <w:rsid w:val="00DE3493"/>
    <w:rsid w:val="00DE3823"/>
    <w:rsid w:val="00DE66EB"/>
    <w:rsid w:val="00DE6FEF"/>
    <w:rsid w:val="00DF011A"/>
    <w:rsid w:val="00DF0408"/>
    <w:rsid w:val="00DF0BB5"/>
    <w:rsid w:val="00DF14E4"/>
    <w:rsid w:val="00DF22BE"/>
    <w:rsid w:val="00DF3B67"/>
    <w:rsid w:val="00DF4548"/>
    <w:rsid w:val="00DF4E9E"/>
    <w:rsid w:val="00E02DA2"/>
    <w:rsid w:val="00E046D4"/>
    <w:rsid w:val="00E05660"/>
    <w:rsid w:val="00E077F8"/>
    <w:rsid w:val="00E07D3F"/>
    <w:rsid w:val="00E118DD"/>
    <w:rsid w:val="00E128DE"/>
    <w:rsid w:val="00E13AA0"/>
    <w:rsid w:val="00E17918"/>
    <w:rsid w:val="00E20753"/>
    <w:rsid w:val="00E224C2"/>
    <w:rsid w:val="00E2331B"/>
    <w:rsid w:val="00E277E7"/>
    <w:rsid w:val="00E300A8"/>
    <w:rsid w:val="00E30B87"/>
    <w:rsid w:val="00E30C12"/>
    <w:rsid w:val="00E32596"/>
    <w:rsid w:val="00E32836"/>
    <w:rsid w:val="00E33CC7"/>
    <w:rsid w:val="00E35263"/>
    <w:rsid w:val="00E358DF"/>
    <w:rsid w:val="00E365F4"/>
    <w:rsid w:val="00E36C9B"/>
    <w:rsid w:val="00E41051"/>
    <w:rsid w:val="00E41445"/>
    <w:rsid w:val="00E4282E"/>
    <w:rsid w:val="00E43325"/>
    <w:rsid w:val="00E45C2A"/>
    <w:rsid w:val="00E4640F"/>
    <w:rsid w:val="00E5201A"/>
    <w:rsid w:val="00E55F48"/>
    <w:rsid w:val="00E57E78"/>
    <w:rsid w:val="00E620E6"/>
    <w:rsid w:val="00E64B51"/>
    <w:rsid w:val="00E6689F"/>
    <w:rsid w:val="00E70A64"/>
    <w:rsid w:val="00E71060"/>
    <w:rsid w:val="00E749E7"/>
    <w:rsid w:val="00E775AC"/>
    <w:rsid w:val="00E77C5D"/>
    <w:rsid w:val="00E81684"/>
    <w:rsid w:val="00E82931"/>
    <w:rsid w:val="00E84788"/>
    <w:rsid w:val="00E860A9"/>
    <w:rsid w:val="00E86A9C"/>
    <w:rsid w:val="00E912A6"/>
    <w:rsid w:val="00E9445F"/>
    <w:rsid w:val="00E976D6"/>
    <w:rsid w:val="00EA04C3"/>
    <w:rsid w:val="00EA240F"/>
    <w:rsid w:val="00EA5859"/>
    <w:rsid w:val="00EC15B9"/>
    <w:rsid w:val="00EC52BB"/>
    <w:rsid w:val="00ED362C"/>
    <w:rsid w:val="00ED3C3B"/>
    <w:rsid w:val="00ED7C98"/>
    <w:rsid w:val="00EE3AE9"/>
    <w:rsid w:val="00EE53DC"/>
    <w:rsid w:val="00EE58E9"/>
    <w:rsid w:val="00EF2BA4"/>
    <w:rsid w:val="00EF3D0D"/>
    <w:rsid w:val="00EF55F5"/>
    <w:rsid w:val="00EF5C18"/>
    <w:rsid w:val="00F00A04"/>
    <w:rsid w:val="00F02E6D"/>
    <w:rsid w:val="00F054D7"/>
    <w:rsid w:val="00F07B00"/>
    <w:rsid w:val="00F111D8"/>
    <w:rsid w:val="00F12DEF"/>
    <w:rsid w:val="00F23EA7"/>
    <w:rsid w:val="00F25BAE"/>
    <w:rsid w:val="00F3128F"/>
    <w:rsid w:val="00F3198E"/>
    <w:rsid w:val="00F35147"/>
    <w:rsid w:val="00F35F27"/>
    <w:rsid w:val="00F37E2A"/>
    <w:rsid w:val="00F42E61"/>
    <w:rsid w:val="00F43C11"/>
    <w:rsid w:val="00F45172"/>
    <w:rsid w:val="00F51254"/>
    <w:rsid w:val="00F52848"/>
    <w:rsid w:val="00F53C90"/>
    <w:rsid w:val="00F54D4F"/>
    <w:rsid w:val="00F56371"/>
    <w:rsid w:val="00F56581"/>
    <w:rsid w:val="00F65F86"/>
    <w:rsid w:val="00F673B1"/>
    <w:rsid w:val="00F7025B"/>
    <w:rsid w:val="00F713B8"/>
    <w:rsid w:val="00F7580B"/>
    <w:rsid w:val="00F8073D"/>
    <w:rsid w:val="00F80CA2"/>
    <w:rsid w:val="00F80F6D"/>
    <w:rsid w:val="00F816CE"/>
    <w:rsid w:val="00F8352B"/>
    <w:rsid w:val="00F87AB3"/>
    <w:rsid w:val="00F90C08"/>
    <w:rsid w:val="00F91B4D"/>
    <w:rsid w:val="00F93983"/>
    <w:rsid w:val="00F93A39"/>
    <w:rsid w:val="00F96758"/>
    <w:rsid w:val="00F96A31"/>
    <w:rsid w:val="00F97D6C"/>
    <w:rsid w:val="00FA1EB1"/>
    <w:rsid w:val="00FA6B37"/>
    <w:rsid w:val="00FB11C7"/>
    <w:rsid w:val="00FB6F48"/>
    <w:rsid w:val="00FC235E"/>
    <w:rsid w:val="00FC23AF"/>
    <w:rsid w:val="00FC3C26"/>
    <w:rsid w:val="00FC7B2F"/>
    <w:rsid w:val="00FD0AD7"/>
    <w:rsid w:val="00FD1750"/>
    <w:rsid w:val="00FD194B"/>
    <w:rsid w:val="00FD5FF6"/>
    <w:rsid w:val="00FD682A"/>
    <w:rsid w:val="00FD682F"/>
    <w:rsid w:val="00FE047C"/>
    <w:rsid w:val="00FE1E68"/>
    <w:rsid w:val="00FE440E"/>
    <w:rsid w:val="00FE5D8F"/>
    <w:rsid w:val="00FF1070"/>
    <w:rsid w:val="00FF7963"/>
    <w:rsid w:val="00FF79FB"/>
    <w:rsid w:val="010D460F"/>
    <w:rsid w:val="011F65D6"/>
    <w:rsid w:val="01281720"/>
    <w:rsid w:val="012A3E56"/>
    <w:rsid w:val="013B676D"/>
    <w:rsid w:val="0158156C"/>
    <w:rsid w:val="0159247D"/>
    <w:rsid w:val="015D6E80"/>
    <w:rsid w:val="016E63F9"/>
    <w:rsid w:val="019A7C7D"/>
    <w:rsid w:val="01AD2E01"/>
    <w:rsid w:val="01AD5503"/>
    <w:rsid w:val="01B175E6"/>
    <w:rsid w:val="01B7598C"/>
    <w:rsid w:val="01CE26A0"/>
    <w:rsid w:val="01CF4023"/>
    <w:rsid w:val="01D053DF"/>
    <w:rsid w:val="01D06754"/>
    <w:rsid w:val="01D57F1B"/>
    <w:rsid w:val="01DA4561"/>
    <w:rsid w:val="01DB2B10"/>
    <w:rsid w:val="01DC6DAA"/>
    <w:rsid w:val="01F35C36"/>
    <w:rsid w:val="01F730F5"/>
    <w:rsid w:val="01FB30E3"/>
    <w:rsid w:val="020316CA"/>
    <w:rsid w:val="02143DAC"/>
    <w:rsid w:val="022162AA"/>
    <w:rsid w:val="024A1C45"/>
    <w:rsid w:val="025B7276"/>
    <w:rsid w:val="02825419"/>
    <w:rsid w:val="0294788F"/>
    <w:rsid w:val="02B4259E"/>
    <w:rsid w:val="02BB418F"/>
    <w:rsid w:val="02C238EF"/>
    <w:rsid w:val="02D02275"/>
    <w:rsid w:val="02D53E23"/>
    <w:rsid w:val="02E21655"/>
    <w:rsid w:val="02ED55BE"/>
    <w:rsid w:val="03272B56"/>
    <w:rsid w:val="032B5F26"/>
    <w:rsid w:val="03387AAA"/>
    <w:rsid w:val="033F18FD"/>
    <w:rsid w:val="036A389A"/>
    <w:rsid w:val="03733AC2"/>
    <w:rsid w:val="037D53E1"/>
    <w:rsid w:val="037E3260"/>
    <w:rsid w:val="038D3FB3"/>
    <w:rsid w:val="039D4A2B"/>
    <w:rsid w:val="03D3340F"/>
    <w:rsid w:val="03DB5DAC"/>
    <w:rsid w:val="03E35522"/>
    <w:rsid w:val="03E53E9E"/>
    <w:rsid w:val="03EC7CF2"/>
    <w:rsid w:val="03EF2588"/>
    <w:rsid w:val="041B7FFC"/>
    <w:rsid w:val="042626E8"/>
    <w:rsid w:val="042D11A4"/>
    <w:rsid w:val="045521C0"/>
    <w:rsid w:val="04884407"/>
    <w:rsid w:val="049B5CCA"/>
    <w:rsid w:val="049C7496"/>
    <w:rsid w:val="04A9221D"/>
    <w:rsid w:val="04DB2099"/>
    <w:rsid w:val="04DF6864"/>
    <w:rsid w:val="04E71C6C"/>
    <w:rsid w:val="04E75B5B"/>
    <w:rsid w:val="04F0361C"/>
    <w:rsid w:val="04F70694"/>
    <w:rsid w:val="04F94FFF"/>
    <w:rsid w:val="04FA26A2"/>
    <w:rsid w:val="04FC0200"/>
    <w:rsid w:val="050B2CC2"/>
    <w:rsid w:val="0512425D"/>
    <w:rsid w:val="0518400C"/>
    <w:rsid w:val="051F2025"/>
    <w:rsid w:val="053C6B70"/>
    <w:rsid w:val="054618FA"/>
    <w:rsid w:val="05507C78"/>
    <w:rsid w:val="055E79A3"/>
    <w:rsid w:val="056A5307"/>
    <w:rsid w:val="056B2992"/>
    <w:rsid w:val="056B6B74"/>
    <w:rsid w:val="057000E1"/>
    <w:rsid w:val="0570507D"/>
    <w:rsid w:val="05811CB5"/>
    <w:rsid w:val="05852E0B"/>
    <w:rsid w:val="05962443"/>
    <w:rsid w:val="059940F9"/>
    <w:rsid w:val="059C3CB5"/>
    <w:rsid w:val="05A51AA3"/>
    <w:rsid w:val="05CD5CE7"/>
    <w:rsid w:val="05CF2BE4"/>
    <w:rsid w:val="05D83331"/>
    <w:rsid w:val="05E80E12"/>
    <w:rsid w:val="060E6E80"/>
    <w:rsid w:val="06116DB7"/>
    <w:rsid w:val="06122A65"/>
    <w:rsid w:val="061E01D3"/>
    <w:rsid w:val="061F71EF"/>
    <w:rsid w:val="06222385"/>
    <w:rsid w:val="062D2548"/>
    <w:rsid w:val="063338C2"/>
    <w:rsid w:val="065906F6"/>
    <w:rsid w:val="065B6E0B"/>
    <w:rsid w:val="066B2C29"/>
    <w:rsid w:val="0675505B"/>
    <w:rsid w:val="06780C37"/>
    <w:rsid w:val="06890812"/>
    <w:rsid w:val="06A74BAC"/>
    <w:rsid w:val="06AA5B10"/>
    <w:rsid w:val="06C62F02"/>
    <w:rsid w:val="06CF495C"/>
    <w:rsid w:val="06ED5434"/>
    <w:rsid w:val="06F25F34"/>
    <w:rsid w:val="0703788F"/>
    <w:rsid w:val="070F52E0"/>
    <w:rsid w:val="071E5E0E"/>
    <w:rsid w:val="074A70C2"/>
    <w:rsid w:val="074F7BDE"/>
    <w:rsid w:val="07514875"/>
    <w:rsid w:val="0762510A"/>
    <w:rsid w:val="076F4FFC"/>
    <w:rsid w:val="0778001E"/>
    <w:rsid w:val="07832AA8"/>
    <w:rsid w:val="07846522"/>
    <w:rsid w:val="078F6F9D"/>
    <w:rsid w:val="079A08E7"/>
    <w:rsid w:val="07A6253A"/>
    <w:rsid w:val="07B96AD3"/>
    <w:rsid w:val="07C738B6"/>
    <w:rsid w:val="07D948CC"/>
    <w:rsid w:val="07F65946"/>
    <w:rsid w:val="07FE5F45"/>
    <w:rsid w:val="080823CA"/>
    <w:rsid w:val="080A6A2A"/>
    <w:rsid w:val="08186EB3"/>
    <w:rsid w:val="081945D3"/>
    <w:rsid w:val="082B57A2"/>
    <w:rsid w:val="08311717"/>
    <w:rsid w:val="08426019"/>
    <w:rsid w:val="084B0A05"/>
    <w:rsid w:val="085362F9"/>
    <w:rsid w:val="08570D6B"/>
    <w:rsid w:val="086955C6"/>
    <w:rsid w:val="086E1ED4"/>
    <w:rsid w:val="08866B1D"/>
    <w:rsid w:val="088A2098"/>
    <w:rsid w:val="089B6F51"/>
    <w:rsid w:val="08A2298F"/>
    <w:rsid w:val="08A9562A"/>
    <w:rsid w:val="08AA247B"/>
    <w:rsid w:val="08B0686F"/>
    <w:rsid w:val="08DE110F"/>
    <w:rsid w:val="08F32CDB"/>
    <w:rsid w:val="08F50FD3"/>
    <w:rsid w:val="08F64A4B"/>
    <w:rsid w:val="09012DA9"/>
    <w:rsid w:val="090258CB"/>
    <w:rsid w:val="090410B1"/>
    <w:rsid w:val="090F23DD"/>
    <w:rsid w:val="09132EB8"/>
    <w:rsid w:val="09171A49"/>
    <w:rsid w:val="092714F6"/>
    <w:rsid w:val="093641E0"/>
    <w:rsid w:val="095021AC"/>
    <w:rsid w:val="095B09E2"/>
    <w:rsid w:val="095C2F2D"/>
    <w:rsid w:val="09674FCB"/>
    <w:rsid w:val="0980458D"/>
    <w:rsid w:val="09813ACC"/>
    <w:rsid w:val="098F1F59"/>
    <w:rsid w:val="09B303ED"/>
    <w:rsid w:val="09B567A0"/>
    <w:rsid w:val="09C4706D"/>
    <w:rsid w:val="09D231A0"/>
    <w:rsid w:val="09E97422"/>
    <w:rsid w:val="09FE73D1"/>
    <w:rsid w:val="0A0F4485"/>
    <w:rsid w:val="0A1606A7"/>
    <w:rsid w:val="0A1B3427"/>
    <w:rsid w:val="0A2A09E0"/>
    <w:rsid w:val="0A2A37A9"/>
    <w:rsid w:val="0A2C3A60"/>
    <w:rsid w:val="0A2D4308"/>
    <w:rsid w:val="0A3138A8"/>
    <w:rsid w:val="0A324397"/>
    <w:rsid w:val="0A6069B8"/>
    <w:rsid w:val="0A686409"/>
    <w:rsid w:val="0A8D3F1E"/>
    <w:rsid w:val="0AAB31A3"/>
    <w:rsid w:val="0AC47D81"/>
    <w:rsid w:val="0AC556F3"/>
    <w:rsid w:val="0ACC2E1A"/>
    <w:rsid w:val="0AD92868"/>
    <w:rsid w:val="0AF07E43"/>
    <w:rsid w:val="0B173A92"/>
    <w:rsid w:val="0B192521"/>
    <w:rsid w:val="0B1A4810"/>
    <w:rsid w:val="0B40744F"/>
    <w:rsid w:val="0B511945"/>
    <w:rsid w:val="0B6A2766"/>
    <w:rsid w:val="0B7B6D35"/>
    <w:rsid w:val="0B824424"/>
    <w:rsid w:val="0BA86E3D"/>
    <w:rsid w:val="0BB6747D"/>
    <w:rsid w:val="0BB806BF"/>
    <w:rsid w:val="0BBE484B"/>
    <w:rsid w:val="0BC53752"/>
    <w:rsid w:val="0BCA0CC0"/>
    <w:rsid w:val="0BCB66DA"/>
    <w:rsid w:val="0BD26275"/>
    <w:rsid w:val="0BDB356B"/>
    <w:rsid w:val="0BE21763"/>
    <w:rsid w:val="0BE41065"/>
    <w:rsid w:val="0BE411E4"/>
    <w:rsid w:val="0C057375"/>
    <w:rsid w:val="0C09062B"/>
    <w:rsid w:val="0C0D514B"/>
    <w:rsid w:val="0C25769A"/>
    <w:rsid w:val="0C327D26"/>
    <w:rsid w:val="0C514399"/>
    <w:rsid w:val="0C666F41"/>
    <w:rsid w:val="0C6B7DEC"/>
    <w:rsid w:val="0C702A7A"/>
    <w:rsid w:val="0C702C11"/>
    <w:rsid w:val="0C772F27"/>
    <w:rsid w:val="0C7D0B32"/>
    <w:rsid w:val="0C7F1695"/>
    <w:rsid w:val="0C8541A6"/>
    <w:rsid w:val="0C8C1CFD"/>
    <w:rsid w:val="0C964437"/>
    <w:rsid w:val="0C972604"/>
    <w:rsid w:val="0CBC75AE"/>
    <w:rsid w:val="0CCB259D"/>
    <w:rsid w:val="0CD37BC5"/>
    <w:rsid w:val="0CE26BC5"/>
    <w:rsid w:val="0CEF777F"/>
    <w:rsid w:val="0CFF7C91"/>
    <w:rsid w:val="0D0155DB"/>
    <w:rsid w:val="0D173089"/>
    <w:rsid w:val="0D1803B8"/>
    <w:rsid w:val="0D1852EF"/>
    <w:rsid w:val="0D232AA2"/>
    <w:rsid w:val="0D2C46A5"/>
    <w:rsid w:val="0D356C21"/>
    <w:rsid w:val="0D3C2416"/>
    <w:rsid w:val="0D4138D3"/>
    <w:rsid w:val="0D530F1C"/>
    <w:rsid w:val="0D612572"/>
    <w:rsid w:val="0D754ABD"/>
    <w:rsid w:val="0D814692"/>
    <w:rsid w:val="0D89409E"/>
    <w:rsid w:val="0D8D18C5"/>
    <w:rsid w:val="0D8D419A"/>
    <w:rsid w:val="0DA01520"/>
    <w:rsid w:val="0DA4275C"/>
    <w:rsid w:val="0DA8152A"/>
    <w:rsid w:val="0DB31D9E"/>
    <w:rsid w:val="0DBB62D2"/>
    <w:rsid w:val="0DDD5C0B"/>
    <w:rsid w:val="0DF82566"/>
    <w:rsid w:val="0E2C52BF"/>
    <w:rsid w:val="0E367CDC"/>
    <w:rsid w:val="0E3B6627"/>
    <w:rsid w:val="0E4C0AC3"/>
    <w:rsid w:val="0E502FE9"/>
    <w:rsid w:val="0E572DAA"/>
    <w:rsid w:val="0E6063E0"/>
    <w:rsid w:val="0E666EB5"/>
    <w:rsid w:val="0E8D2CAC"/>
    <w:rsid w:val="0E9139D9"/>
    <w:rsid w:val="0E951AEE"/>
    <w:rsid w:val="0EA07F1D"/>
    <w:rsid w:val="0EA55223"/>
    <w:rsid w:val="0EA73C39"/>
    <w:rsid w:val="0ECB2ED6"/>
    <w:rsid w:val="0EDA70F5"/>
    <w:rsid w:val="0EDA7968"/>
    <w:rsid w:val="0F075DAA"/>
    <w:rsid w:val="0F327BF4"/>
    <w:rsid w:val="0F48231A"/>
    <w:rsid w:val="0F4C02F5"/>
    <w:rsid w:val="0F50311F"/>
    <w:rsid w:val="0F5959B7"/>
    <w:rsid w:val="0F6B2B33"/>
    <w:rsid w:val="0F730C25"/>
    <w:rsid w:val="0F890DA4"/>
    <w:rsid w:val="0F891A2A"/>
    <w:rsid w:val="0F901B80"/>
    <w:rsid w:val="0FBB7D13"/>
    <w:rsid w:val="0FC34D1F"/>
    <w:rsid w:val="0FD05DAE"/>
    <w:rsid w:val="0FDA1C1D"/>
    <w:rsid w:val="0FDC6874"/>
    <w:rsid w:val="0FDD363A"/>
    <w:rsid w:val="0FEC69EA"/>
    <w:rsid w:val="0FF26B15"/>
    <w:rsid w:val="100159A6"/>
    <w:rsid w:val="100B5F5D"/>
    <w:rsid w:val="100F4C2D"/>
    <w:rsid w:val="101651DC"/>
    <w:rsid w:val="10193D68"/>
    <w:rsid w:val="101A6E46"/>
    <w:rsid w:val="102452EF"/>
    <w:rsid w:val="102D0A5E"/>
    <w:rsid w:val="103344C5"/>
    <w:rsid w:val="103A65D2"/>
    <w:rsid w:val="10472C73"/>
    <w:rsid w:val="10511B53"/>
    <w:rsid w:val="105A52EC"/>
    <w:rsid w:val="107566F7"/>
    <w:rsid w:val="107D01A9"/>
    <w:rsid w:val="107F20D5"/>
    <w:rsid w:val="10875C4F"/>
    <w:rsid w:val="109B03CC"/>
    <w:rsid w:val="109C76C1"/>
    <w:rsid w:val="10B17732"/>
    <w:rsid w:val="10B30B8C"/>
    <w:rsid w:val="10BB3B2E"/>
    <w:rsid w:val="10BC70E5"/>
    <w:rsid w:val="10D31EEA"/>
    <w:rsid w:val="10F8590D"/>
    <w:rsid w:val="10FB4805"/>
    <w:rsid w:val="11040D83"/>
    <w:rsid w:val="110969E4"/>
    <w:rsid w:val="110E760C"/>
    <w:rsid w:val="11131439"/>
    <w:rsid w:val="11165A5A"/>
    <w:rsid w:val="111C224E"/>
    <w:rsid w:val="11251AF4"/>
    <w:rsid w:val="112E23FC"/>
    <w:rsid w:val="11372409"/>
    <w:rsid w:val="11420CF3"/>
    <w:rsid w:val="114D4BBD"/>
    <w:rsid w:val="114E56A0"/>
    <w:rsid w:val="115537EC"/>
    <w:rsid w:val="116160A5"/>
    <w:rsid w:val="118453B8"/>
    <w:rsid w:val="11874E13"/>
    <w:rsid w:val="1188437C"/>
    <w:rsid w:val="11890C6C"/>
    <w:rsid w:val="1194223F"/>
    <w:rsid w:val="119753D6"/>
    <w:rsid w:val="11975FEB"/>
    <w:rsid w:val="11A37219"/>
    <w:rsid w:val="11A70309"/>
    <w:rsid w:val="11D4034B"/>
    <w:rsid w:val="11D57C08"/>
    <w:rsid w:val="11DA4D81"/>
    <w:rsid w:val="11FC121B"/>
    <w:rsid w:val="11FF5DA5"/>
    <w:rsid w:val="12064EE1"/>
    <w:rsid w:val="120D05C9"/>
    <w:rsid w:val="120E7E1E"/>
    <w:rsid w:val="121E1A26"/>
    <w:rsid w:val="122B475E"/>
    <w:rsid w:val="122E4398"/>
    <w:rsid w:val="122F3EEA"/>
    <w:rsid w:val="123221A4"/>
    <w:rsid w:val="124706B6"/>
    <w:rsid w:val="1279362F"/>
    <w:rsid w:val="127F0AF5"/>
    <w:rsid w:val="12826671"/>
    <w:rsid w:val="128A6D6A"/>
    <w:rsid w:val="128C2914"/>
    <w:rsid w:val="1290446D"/>
    <w:rsid w:val="129720B8"/>
    <w:rsid w:val="12A5703B"/>
    <w:rsid w:val="12B02D70"/>
    <w:rsid w:val="12B04250"/>
    <w:rsid w:val="12B37BD2"/>
    <w:rsid w:val="12C57CC3"/>
    <w:rsid w:val="12CA39E2"/>
    <w:rsid w:val="12CE792F"/>
    <w:rsid w:val="12DB29FE"/>
    <w:rsid w:val="12E85F4B"/>
    <w:rsid w:val="13047949"/>
    <w:rsid w:val="13267AB2"/>
    <w:rsid w:val="132E339F"/>
    <w:rsid w:val="13342F7B"/>
    <w:rsid w:val="1349653E"/>
    <w:rsid w:val="134B4017"/>
    <w:rsid w:val="136010D8"/>
    <w:rsid w:val="136E2B53"/>
    <w:rsid w:val="13794D5E"/>
    <w:rsid w:val="13891297"/>
    <w:rsid w:val="13D77957"/>
    <w:rsid w:val="13EC1308"/>
    <w:rsid w:val="13ED40A0"/>
    <w:rsid w:val="13EF3707"/>
    <w:rsid w:val="13F402E7"/>
    <w:rsid w:val="14031121"/>
    <w:rsid w:val="14187F72"/>
    <w:rsid w:val="142C2F63"/>
    <w:rsid w:val="145C0940"/>
    <w:rsid w:val="14615889"/>
    <w:rsid w:val="146530A5"/>
    <w:rsid w:val="14662AD7"/>
    <w:rsid w:val="146E6A9D"/>
    <w:rsid w:val="148C721A"/>
    <w:rsid w:val="1492250A"/>
    <w:rsid w:val="14A45E34"/>
    <w:rsid w:val="14A73031"/>
    <w:rsid w:val="14AD4E3C"/>
    <w:rsid w:val="14C01668"/>
    <w:rsid w:val="14CA47A2"/>
    <w:rsid w:val="150D1A17"/>
    <w:rsid w:val="151C0408"/>
    <w:rsid w:val="15491A77"/>
    <w:rsid w:val="154E4F1D"/>
    <w:rsid w:val="1554208C"/>
    <w:rsid w:val="156575F4"/>
    <w:rsid w:val="15781EF5"/>
    <w:rsid w:val="157D1577"/>
    <w:rsid w:val="1581171B"/>
    <w:rsid w:val="15854626"/>
    <w:rsid w:val="158F2835"/>
    <w:rsid w:val="159D30A5"/>
    <w:rsid w:val="15A563D8"/>
    <w:rsid w:val="15CB7E96"/>
    <w:rsid w:val="15D5483C"/>
    <w:rsid w:val="15E760CA"/>
    <w:rsid w:val="15F162AB"/>
    <w:rsid w:val="16072901"/>
    <w:rsid w:val="160830E6"/>
    <w:rsid w:val="160A611D"/>
    <w:rsid w:val="161C6C31"/>
    <w:rsid w:val="162911F7"/>
    <w:rsid w:val="164E6A0F"/>
    <w:rsid w:val="16570D09"/>
    <w:rsid w:val="167C2CED"/>
    <w:rsid w:val="168020A8"/>
    <w:rsid w:val="1683477C"/>
    <w:rsid w:val="168F0F4C"/>
    <w:rsid w:val="16A545D7"/>
    <w:rsid w:val="16B55786"/>
    <w:rsid w:val="16B8444B"/>
    <w:rsid w:val="16C975DB"/>
    <w:rsid w:val="16CC6413"/>
    <w:rsid w:val="16CD1DCC"/>
    <w:rsid w:val="170F2D7A"/>
    <w:rsid w:val="17135EF3"/>
    <w:rsid w:val="171F2E38"/>
    <w:rsid w:val="1731099F"/>
    <w:rsid w:val="17315E05"/>
    <w:rsid w:val="17363E93"/>
    <w:rsid w:val="1744644A"/>
    <w:rsid w:val="175D0479"/>
    <w:rsid w:val="175D4012"/>
    <w:rsid w:val="176148B3"/>
    <w:rsid w:val="17642120"/>
    <w:rsid w:val="17686560"/>
    <w:rsid w:val="17B11F5F"/>
    <w:rsid w:val="17B403B9"/>
    <w:rsid w:val="17B83605"/>
    <w:rsid w:val="17C27CF7"/>
    <w:rsid w:val="17CD0B4B"/>
    <w:rsid w:val="17CD3D1E"/>
    <w:rsid w:val="17F5789E"/>
    <w:rsid w:val="18094A7F"/>
    <w:rsid w:val="181B1599"/>
    <w:rsid w:val="181F3EB1"/>
    <w:rsid w:val="182D5E7E"/>
    <w:rsid w:val="18321055"/>
    <w:rsid w:val="183337D8"/>
    <w:rsid w:val="18356386"/>
    <w:rsid w:val="18365A1B"/>
    <w:rsid w:val="18600ED9"/>
    <w:rsid w:val="186B32EC"/>
    <w:rsid w:val="188016DB"/>
    <w:rsid w:val="18823A2E"/>
    <w:rsid w:val="18996DCB"/>
    <w:rsid w:val="18A35A82"/>
    <w:rsid w:val="18BE16A2"/>
    <w:rsid w:val="18E046E8"/>
    <w:rsid w:val="18EB6C2D"/>
    <w:rsid w:val="18F17920"/>
    <w:rsid w:val="18F8099F"/>
    <w:rsid w:val="190D0912"/>
    <w:rsid w:val="190F4F8D"/>
    <w:rsid w:val="19112A65"/>
    <w:rsid w:val="1919436D"/>
    <w:rsid w:val="191E0AA7"/>
    <w:rsid w:val="193B099F"/>
    <w:rsid w:val="193B4E4B"/>
    <w:rsid w:val="194369DB"/>
    <w:rsid w:val="19464B88"/>
    <w:rsid w:val="1954064D"/>
    <w:rsid w:val="195A701F"/>
    <w:rsid w:val="195B4D50"/>
    <w:rsid w:val="19613398"/>
    <w:rsid w:val="196906A5"/>
    <w:rsid w:val="196F3DD8"/>
    <w:rsid w:val="197F6B4D"/>
    <w:rsid w:val="199850B2"/>
    <w:rsid w:val="199E5C8B"/>
    <w:rsid w:val="19A20E66"/>
    <w:rsid w:val="19A4008A"/>
    <w:rsid w:val="19B4308D"/>
    <w:rsid w:val="19C162B6"/>
    <w:rsid w:val="19C415AD"/>
    <w:rsid w:val="1A091490"/>
    <w:rsid w:val="1A125F95"/>
    <w:rsid w:val="1A2842E8"/>
    <w:rsid w:val="1A2E3DEE"/>
    <w:rsid w:val="1A322B37"/>
    <w:rsid w:val="1A36685B"/>
    <w:rsid w:val="1A531DA2"/>
    <w:rsid w:val="1A654DB4"/>
    <w:rsid w:val="1A732C90"/>
    <w:rsid w:val="1A757757"/>
    <w:rsid w:val="1A924A6C"/>
    <w:rsid w:val="1A9E451A"/>
    <w:rsid w:val="1A9E4F22"/>
    <w:rsid w:val="1AA87B24"/>
    <w:rsid w:val="1AE249E9"/>
    <w:rsid w:val="1B012F9C"/>
    <w:rsid w:val="1B0513EA"/>
    <w:rsid w:val="1B063DBD"/>
    <w:rsid w:val="1B1A4214"/>
    <w:rsid w:val="1B285AE1"/>
    <w:rsid w:val="1B3F7238"/>
    <w:rsid w:val="1B465224"/>
    <w:rsid w:val="1B4D5930"/>
    <w:rsid w:val="1B51178D"/>
    <w:rsid w:val="1B535373"/>
    <w:rsid w:val="1B5C23E0"/>
    <w:rsid w:val="1B6A0369"/>
    <w:rsid w:val="1B737368"/>
    <w:rsid w:val="1B7470FB"/>
    <w:rsid w:val="1B7A300F"/>
    <w:rsid w:val="1B910196"/>
    <w:rsid w:val="1BA727BD"/>
    <w:rsid w:val="1BA749BA"/>
    <w:rsid w:val="1BBA3C2E"/>
    <w:rsid w:val="1BCA09DE"/>
    <w:rsid w:val="1BCE1737"/>
    <w:rsid w:val="1BD9554B"/>
    <w:rsid w:val="1C005C05"/>
    <w:rsid w:val="1C1A62AA"/>
    <w:rsid w:val="1C1B2D45"/>
    <w:rsid w:val="1C1C3850"/>
    <w:rsid w:val="1C4F508F"/>
    <w:rsid w:val="1C5372E3"/>
    <w:rsid w:val="1C617D30"/>
    <w:rsid w:val="1C681261"/>
    <w:rsid w:val="1C887EFB"/>
    <w:rsid w:val="1C97309C"/>
    <w:rsid w:val="1CA714A8"/>
    <w:rsid w:val="1CA7693F"/>
    <w:rsid w:val="1CA81EF4"/>
    <w:rsid w:val="1CB471CD"/>
    <w:rsid w:val="1CBB2963"/>
    <w:rsid w:val="1CBD7AD8"/>
    <w:rsid w:val="1CC758AA"/>
    <w:rsid w:val="1CC95003"/>
    <w:rsid w:val="1CD049D9"/>
    <w:rsid w:val="1CD84490"/>
    <w:rsid w:val="1CEC325E"/>
    <w:rsid w:val="1CF106CF"/>
    <w:rsid w:val="1CF70261"/>
    <w:rsid w:val="1D227416"/>
    <w:rsid w:val="1D29748E"/>
    <w:rsid w:val="1D314954"/>
    <w:rsid w:val="1D377617"/>
    <w:rsid w:val="1D566C85"/>
    <w:rsid w:val="1D5D1A84"/>
    <w:rsid w:val="1D714D0F"/>
    <w:rsid w:val="1D716CB0"/>
    <w:rsid w:val="1D7475B4"/>
    <w:rsid w:val="1D783AB6"/>
    <w:rsid w:val="1D856233"/>
    <w:rsid w:val="1D8C35ED"/>
    <w:rsid w:val="1D8F0168"/>
    <w:rsid w:val="1DB2069D"/>
    <w:rsid w:val="1DB5331B"/>
    <w:rsid w:val="1DBC0322"/>
    <w:rsid w:val="1DCB6613"/>
    <w:rsid w:val="1DD43E86"/>
    <w:rsid w:val="1DDD214A"/>
    <w:rsid w:val="1DF7594B"/>
    <w:rsid w:val="1DFA0FEE"/>
    <w:rsid w:val="1E0008F4"/>
    <w:rsid w:val="1E0114CA"/>
    <w:rsid w:val="1E086871"/>
    <w:rsid w:val="1E255A22"/>
    <w:rsid w:val="1E3131DB"/>
    <w:rsid w:val="1E3632BE"/>
    <w:rsid w:val="1E450384"/>
    <w:rsid w:val="1E4A1392"/>
    <w:rsid w:val="1E5C7B4C"/>
    <w:rsid w:val="1E6A3B7F"/>
    <w:rsid w:val="1E7B36A4"/>
    <w:rsid w:val="1E93502F"/>
    <w:rsid w:val="1E9F776E"/>
    <w:rsid w:val="1EA06440"/>
    <w:rsid w:val="1EA100C3"/>
    <w:rsid w:val="1EBC6E1F"/>
    <w:rsid w:val="1EC27FFB"/>
    <w:rsid w:val="1EDD2A7E"/>
    <w:rsid w:val="1F2B3721"/>
    <w:rsid w:val="1F543994"/>
    <w:rsid w:val="1F593A1A"/>
    <w:rsid w:val="1F7023CB"/>
    <w:rsid w:val="1F7A3314"/>
    <w:rsid w:val="1F7B03B9"/>
    <w:rsid w:val="1F844BEB"/>
    <w:rsid w:val="1F892A21"/>
    <w:rsid w:val="1F93542D"/>
    <w:rsid w:val="1F9A409A"/>
    <w:rsid w:val="1FCC2E8F"/>
    <w:rsid w:val="1FD14FDF"/>
    <w:rsid w:val="1FDD2AA6"/>
    <w:rsid w:val="1FEA2106"/>
    <w:rsid w:val="1FEC5182"/>
    <w:rsid w:val="1FF715A0"/>
    <w:rsid w:val="1FF7749B"/>
    <w:rsid w:val="1FF86D49"/>
    <w:rsid w:val="20445063"/>
    <w:rsid w:val="20544CFF"/>
    <w:rsid w:val="2059423F"/>
    <w:rsid w:val="205D55EE"/>
    <w:rsid w:val="206366C2"/>
    <w:rsid w:val="207175F4"/>
    <w:rsid w:val="20730C4C"/>
    <w:rsid w:val="20850416"/>
    <w:rsid w:val="20A03A95"/>
    <w:rsid w:val="20AA7959"/>
    <w:rsid w:val="20AB5C1B"/>
    <w:rsid w:val="20BC0728"/>
    <w:rsid w:val="20C222FF"/>
    <w:rsid w:val="20CC5201"/>
    <w:rsid w:val="20D2629F"/>
    <w:rsid w:val="20D851C2"/>
    <w:rsid w:val="20DF4882"/>
    <w:rsid w:val="20E82622"/>
    <w:rsid w:val="20E8499B"/>
    <w:rsid w:val="20FB44E9"/>
    <w:rsid w:val="21022930"/>
    <w:rsid w:val="212717AC"/>
    <w:rsid w:val="21312494"/>
    <w:rsid w:val="213D585A"/>
    <w:rsid w:val="2144727F"/>
    <w:rsid w:val="21540BE4"/>
    <w:rsid w:val="215B3BBA"/>
    <w:rsid w:val="216471CE"/>
    <w:rsid w:val="218B7ED0"/>
    <w:rsid w:val="21904F9A"/>
    <w:rsid w:val="21997F25"/>
    <w:rsid w:val="219E49BB"/>
    <w:rsid w:val="21CE0431"/>
    <w:rsid w:val="21E035B6"/>
    <w:rsid w:val="21EC1819"/>
    <w:rsid w:val="21F14BE5"/>
    <w:rsid w:val="21FC12D9"/>
    <w:rsid w:val="2211528B"/>
    <w:rsid w:val="22464820"/>
    <w:rsid w:val="225478BC"/>
    <w:rsid w:val="22570411"/>
    <w:rsid w:val="226C6475"/>
    <w:rsid w:val="226D1522"/>
    <w:rsid w:val="22A72B62"/>
    <w:rsid w:val="22C956EE"/>
    <w:rsid w:val="22D05863"/>
    <w:rsid w:val="22D917FA"/>
    <w:rsid w:val="22D96826"/>
    <w:rsid w:val="22E12431"/>
    <w:rsid w:val="22FA4F78"/>
    <w:rsid w:val="230D42C2"/>
    <w:rsid w:val="23107897"/>
    <w:rsid w:val="231A2F44"/>
    <w:rsid w:val="23231469"/>
    <w:rsid w:val="232F0790"/>
    <w:rsid w:val="233D2FCB"/>
    <w:rsid w:val="2360409F"/>
    <w:rsid w:val="236B0F91"/>
    <w:rsid w:val="236F0ED8"/>
    <w:rsid w:val="237E12CB"/>
    <w:rsid w:val="237E3A25"/>
    <w:rsid w:val="23BA05F0"/>
    <w:rsid w:val="23BD324D"/>
    <w:rsid w:val="23BF0FAD"/>
    <w:rsid w:val="23C31E7C"/>
    <w:rsid w:val="23CD5A54"/>
    <w:rsid w:val="23CE5EF1"/>
    <w:rsid w:val="23EA6DE7"/>
    <w:rsid w:val="23ED18EA"/>
    <w:rsid w:val="23F32496"/>
    <w:rsid w:val="241061BA"/>
    <w:rsid w:val="243A550E"/>
    <w:rsid w:val="243E731C"/>
    <w:rsid w:val="24412133"/>
    <w:rsid w:val="24481592"/>
    <w:rsid w:val="244C73B5"/>
    <w:rsid w:val="245221F5"/>
    <w:rsid w:val="245D2237"/>
    <w:rsid w:val="24634EC1"/>
    <w:rsid w:val="2464133D"/>
    <w:rsid w:val="246D235C"/>
    <w:rsid w:val="247767B0"/>
    <w:rsid w:val="24792273"/>
    <w:rsid w:val="247A22FB"/>
    <w:rsid w:val="248A33E6"/>
    <w:rsid w:val="248F320D"/>
    <w:rsid w:val="24AD2392"/>
    <w:rsid w:val="24B029B7"/>
    <w:rsid w:val="24B72BDC"/>
    <w:rsid w:val="24D5117F"/>
    <w:rsid w:val="24E45DA7"/>
    <w:rsid w:val="250749A2"/>
    <w:rsid w:val="2508680C"/>
    <w:rsid w:val="25194F11"/>
    <w:rsid w:val="2527615E"/>
    <w:rsid w:val="253138D4"/>
    <w:rsid w:val="253849E2"/>
    <w:rsid w:val="253F1357"/>
    <w:rsid w:val="254D7DF9"/>
    <w:rsid w:val="25605025"/>
    <w:rsid w:val="25623E46"/>
    <w:rsid w:val="257012E3"/>
    <w:rsid w:val="25755A46"/>
    <w:rsid w:val="25AC4F43"/>
    <w:rsid w:val="25AE5D63"/>
    <w:rsid w:val="25C414B8"/>
    <w:rsid w:val="25C878D4"/>
    <w:rsid w:val="25DE1BBE"/>
    <w:rsid w:val="25E4702A"/>
    <w:rsid w:val="25EA69A1"/>
    <w:rsid w:val="25ED149B"/>
    <w:rsid w:val="25F062CF"/>
    <w:rsid w:val="2603767D"/>
    <w:rsid w:val="26067D44"/>
    <w:rsid w:val="262E0C30"/>
    <w:rsid w:val="263415B6"/>
    <w:rsid w:val="263E4B6D"/>
    <w:rsid w:val="26667CF1"/>
    <w:rsid w:val="267C4BB7"/>
    <w:rsid w:val="268243F4"/>
    <w:rsid w:val="26996D27"/>
    <w:rsid w:val="26A0230D"/>
    <w:rsid w:val="26A31C5B"/>
    <w:rsid w:val="26A4247B"/>
    <w:rsid w:val="26A739CC"/>
    <w:rsid w:val="26A82E24"/>
    <w:rsid w:val="26DB0FF6"/>
    <w:rsid w:val="26E82FAE"/>
    <w:rsid w:val="26F811B5"/>
    <w:rsid w:val="27054874"/>
    <w:rsid w:val="27082C98"/>
    <w:rsid w:val="270A354F"/>
    <w:rsid w:val="2711434A"/>
    <w:rsid w:val="27162424"/>
    <w:rsid w:val="271B2318"/>
    <w:rsid w:val="276949FA"/>
    <w:rsid w:val="27746F17"/>
    <w:rsid w:val="2785238E"/>
    <w:rsid w:val="27A8132D"/>
    <w:rsid w:val="27AA368C"/>
    <w:rsid w:val="27D66BBA"/>
    <w:rsid w:val="27E9419D"/>
    <w:rsid w:val="27F142DE"/>
    <w:rsid w:val="27FD518D"/>
    <w:rsid w:val="28140829"/>
    <w:rsid w:val="281F59AE"/>
    <w:rsid w:val="282A4993"/>
    <w:rsid w:val="282E18EB"/>
    <w:rsid w:val="28534819"/>
    <w:rsid w:val="285A186A"/>
    <w:rsid w:val="286679FC"/>
    <w:rsid w:val="2878726B"/>
    <w:rsid w:val="2888382E"/>
    <w:rsid w:val="288C2568"/>
    <w:rsid w:val="28947F48"/>
    <w:rsid w:val="289B0253"/>
    <w:rsid w:val="28A62C44"/>
    <w:rsid w:val="28B51914"/>
    <w:rsid w:val="28C10DD6"/>
    <w:rsid w:val="28C6134F"/>
    <w:rsid w:val="28D05159"/>
    <w:rsid w:val="28D52467"/>
    <w:rsid w:val="28D86CF9"/>
    <w:rsid w:val="28E14993"/>
    <w:rsid w:val="28E82D54"/>
    <w:rsid w:val="28F717E3"/>
    <w:rsid w:val="28FF69FC"/>
    <w:rsid w:val="290221F3"/>
    <w:rsid w:val="290E37F1"/>
    <w:rsid w:val="2915456B"/>
    <w:rsid w:val="293B7993"/>
    <w:rsid w:val="29427126"/>
    <w:rsid w:val="29432817"/>
    <w:rsid w:val="294A6719"/>
    <w:rsid w:val="294D6120"/>
    <w:rsid w:val="2962449C"/>
    <w:rsid w:val="298266CA"/>
    <w:rsid w:val="29881391"/>
    <w:rsid w:val="298C24D6"/>
    <w:rsid w:val="2997499C"/>
    <w:rsid w:val="299B1DD6"/>
    <w:rsid w:val="299E7626"/>
    <w:rsid w:val="29A52B05"/>
    <w:rsid w:val="29AE6BE5"/>
    <w:rsid w:val="29B10EDD"/>
    <w:rsid w:val="29C07077"/>
    <w:rsid w:val="29D9156F"/>
    <w:rsid w:val="29DA2A1A"/>
    <w:rsid w:val="29DA5184"/>
    <w:rsid w:val="29E334E4"/>
    <w:rsid w:val="29E95A18"/>
    <w:rsid w:val="29FA05EA"/>
    <w:rsid w:val="29FE0468"/>
    <w:rsid w:val="29FF3157"/>
    <w:rsid w:val="2A1F1193"/>
    <w:rsid w:val="2A2033A7"/>
    <w:rsid w:val="2A247F3C"/>
    <w:rsid w:val="2A3A70DC"/>
    <w:rsid w:val="2A3D7C26"/>
    <w:rsid w:val="2A586FF8"/>
    <w:rsid w:val="2A6E29A9"/>
    <w:rsid w:val="2A78635B"/>
    <w:rsid w:val="2A84669C"/>
    <w:rsid w:val="2A885C72"/>
    <w:rsid w:val="2A8A7838"/>
    <w:rsid w:val="2A92118D"/>
    <w:rsid w:val="2AAA17F9"/>
    <w:rsid w:val="2AB865D9"/>
    <w:rsid w:val="2ABB48CC"/>
    <w:rsid w:val="2ABB77FB"/>
    <w:rsid w:val="2AC12BA6"/>
    <w:rsid w:val="2ADC58A9"/>
    <w:rsid w:val="2AE7630E"/>
    <w:rsid w:val="2AFB7172"/>
    <w:rsid w:val="2B116A9A"/>
    <w:rsid w:val="2B2358C0"/>
    <w:rsid w:val="2B27714B"/>
    <w:rsid w:val="2B296102"/>
    <w:rsid w:val="2B344107"/>
    <w:rsid w:val="2B370BC4"/>
    <w:rsid w:val="2B45651C"/>
    <w:rsid w:val="2B4C1531"/>
    <w:rsid w:val="2B511A8A"/>
    <w:rsid w:val="2B55180B"/>
    <w:rsid w:val="2B58521E"/>
    <w:rsid w:val="2B5C6D0E"/>
    <w:rsid w:val="2B635406"/>
    <w:rsid w:val="2B77064A"/>
    <w:rsid w:val="2B7F7EFC"/>
    <w:rsid w:val="2B99474B"/>
    <w:rsid w:val="2B9D03AD"/>
    <w:rsid w:val="2BA0147C"/>
    <w:rsid w:val="2BCD3CB9"/>
    <w:rsid w:val="2C037C56"/>
    <w:rsid w:val="2C0716D1"/>
    <w:rsid w:val="2C1523D8"/>
    <w:rsid w:val="2C1F77B1"/>
    <w:rsid w:val="2C274CFC"/>
    <w:rsid w:val="2C37527D"/>
    <w:rsid w:val="2C416A9D"/>
    <w:rsid w:val="2C4231A6"/>
    <w:rsid w:val="2C4D101D"/>
    <w:rsid w:val="2C4E7B43"/>
    <w:rsid w:val="2C5916FF"/>
    <w:rsid w:val="2C6D21CE"/>
    <w:rsid w:val="2C7E193A"/>
    <w:rsid w:val="2C7F60D3"/>
    <w:rsid w:val="2C8E5011"/>
    <w:rsid w:val="2C921FD5"/>
    <w:rsid w:val="2C944D34"/>
    <w:rsid w:val="2C970342"/>
    <w:rsid w:val="2C9B6C7C"/>
    <w:rsid w:val="2CAA0F80"/>
    <w:rsid w:val="2CBA5CAC"/>
    <w:rsid w:val="2CBD3580"/>
    <w:rsid w:val="2CC65387"/>
    <w:rsid w:val="2CD073D1"/>
    <w:rsid w:val="2CEA2359"/>
    <w:rsid w:val="2CF76641"/>
    <w:rsid w:val="2D055D4A"/>
    <w:rsid w:val="2D0D2719"/>
    <w:rsid w:val="2D2E398F"/>
    <w:rsid w:val="2D3E6864"/>
    <w:rsid w:val="2D490FC7"/>
    <w:rsid w:val="2D4F5290"/>
    <w:rsid w:val="2D5613C2"/>
    <w:rsid w:val="2D58337B"/>
    <w:rsid w:val="2D594881"/>
    <w:rsid w:val="2D69347C"/>
    <w:rsid w:val="2D6C416F"/>
    <w:rsid w:val="2D726C62"/>
    <w:rsid w:val="2D7B60DA"/>
    <w:rsid w:val="2D8A3EBA"/>
    <w:rsid w:val="2D96670C"/>
    <w:rsid w:val="2D9B034B"/>
    <w:rsid w:val="2D9F5A94"/>
    <w:rsid w:val="2DA33FD6"/>
    <w:rsid w:val="2DB44A76"/>
    <w:rsid w:val="2DBF2F4F"/>
    <w:rsid w:val="2DC02A9E"/>
    <w:rsid w:val="2DE675E5"/>
    <w:rsid w:val="2DF5263A"/>
    <w:rsid w:val="2E057BB2"/>
    <w:rsid w:val="2E0A6539"/>
    <w:rsid w:val="2E1E4F33"/>
    <w:rsid w:val="2E3B64D7"/>
    <w:rsid w:val="2E3C19F7"/>
    <w:rsid w:val="2E3C1EC2"/>
    <w:rsid w:val="2E402EF8"/>
    <w:rsid w:val="2E4F170A"/>
    <w:rsid w:val="2E566FC3"/>
    <w:rsid w:val="2E5D4FA8"/>
    <w:rsid w:val="2E6861D0"/>
    <w:rsid w:val="2E697CFA"/>
    <w:rsid w:val="2E7841C7"/>
    <w:rsid w:val="2E7F3379"/>
    <w:rsid w:val="2E913A1A"/>
    <w:rsid w:val="2E942420"/>
    <w:rsid w:val="2E9637FB"/>
    <w:rsid w:val="2EA25EC6"/>
    <w:rsid w:val="2EAA062B"/>
    <w:rsid w:val="2EB13BC8"/>
    <w:rsid w:val="2EBF2C92"/>
    <w:rsid w:val="2EC27208"/>
    <w:rsid w:val="2ED5762B"/>
    <w:rsid w:val="2ED6372C"/>
    <w:rsid w:val="2EF92DC6"/>
    <w:rsid w:val="2F1C7A86"/>
    <w:rsid w:val="2F280B66"/>
    <w:rsid w:val="2F382599"/>
    <w:rsid w:val="2F3B018D"/>
    <w:rsid w:val="2F3B0E03"/>
    <w:rsid w:val="2F475C7C"/>
    <w:rsid w:val="2F4A4214"/>
    <w:rsid w:val="2F6D303A"/>
    <w:rsid w:val="2F7F59A5"/>
    <w:rsid w:val="2F894460"/>
    <w:rsid w:val="2F905F9A"/>
    <w:rsid w:val="2F9A2FE0"/>
    <w:rsid w:val="2FA66DCB"/>
    <w:rsid w:val="2FAF1763"/>
    <w:rsid w:val="2FB6281B"/>
    <w:rsid w:val="2FBD33AA"/>
    <w:rsid w:val="2FCF7BD0"/>
    <w:rsid w:val="2FE10987"/>
    <w:rsid w:val="2FEF5C9D"/>
    <w:rsid w:val="2FFC1D59"/>
    <w:rsid w:val="300A5FA6"/>
    <w:rsid w:val="302C2E7D"/>
    <w:rsid w:val="302D7428"/>
    <w:rsid w:val="30317714"/>
    <w:rsid w:val="30331B18"/>
    <w:rsid w:val="30383DC8"/>
    <w:rsid w:val="304B643B"/>
    <w:rsid w:val="30616F90"/>
    <w:rsid w:val="3067426F"/>
    <w:rsid w:val="30736B99"/>
    <w:rsid w:val="307636C0"/>
    <w:rsid w:val="3078785B"/>
    <w:rsid w:val="307C201E"/>
    <w:rsid w:val="308465C8"/>
    <w:rsid w:val="30995E55"/>
    <w:rsid w:val="30A46938"/>
    <w:rsid w:val="30C34A07"/>
    <w:rsid w:val="30CC0271"/>
    <w:rsid w:val="30DA2B7B"/>
    <w:rsid w:val="30EF6BCD"/>
    <w:rsid w:val="30FE0403"/>
    <w:rsid w:val="310B425D"/>
    <w:rsid w:val="311656BC"/>
    <w:rsid w:val="311E1911"/>
    <w:rsid w:val="312B7547"/>
    <w:rsid w:val="312F39FB"/>
    <w:rsid w:val="313127E5"/>
    <w:rsid w:val="3133319A"/>
    <w:rsid w:val="313F0745"/>
    <w:rsid w:val="31614F93"/>
    <w:rsid w:val="31615691"/>
    <w:rsid w:val="31696406"/>
    <w:rsid w:val="316E2F94"/>
    <w:rsid w:val="316F1034"/>
    <w:rsid w:val="316F4622"/>
    <w:rsid w:val="317E0A53"/>
    <w:rsid w:val="318322A4"/>
    <w:rsid w:val="31B4439A"/>
    <w:rsid w:val="31C43DAD"/>
    <w:rsid w:val="31C5081F"/>
    <w:rsid w:val="31E800AC"/>
    <w:rsid w:val="31EF4A99"/>
    <w:rsid w:val="31F40056"/>
    <w:rsid w:val="31F554A8"/>
    <w:rsid w:val="32022A61"/>
    <w:rsid w:val="320740A8"/>
    <w:rsid w:val="320F34C8"/>
    <w:rsid w:val="3213596A"/>
    <w:rsid w:val="321808C8"/>
    <w:rsid w:val="321D17E7"/>
    <w:rsid w:val="322250C6"/>
    <w:rsid w:val="3226147E"/>
    <w:rsid w:val="32342C37"/>
    <w:rsid w:val="32352821"/>
    <w:rsid w:val="32361E03"/>
    <w:rsid w:val="323F43EF"/>
    <w:rsid w:val="32421EBD"/>
    <w:rsid w:val="324F6087"/>
    <w:rsid w:val="3254043E"/>
    <w:rsid w:val="325B337C"/>
    <w:rsid w:val="325E0E0B"/>
    <w:rsid w:val="325E717A"/>
    <w:rsid w:val="326D2D74"/>
    <w:rsid w:val="329665C7"/>
    <w:rsid w:val="32992167"/>
    <w:rsid w:val="32C1086D"/>
    <w:rsid w:val="32ED05F0"/>
    <w:rsid w:val="33054CF4"/>
    <w:rsid w:val="33236BAF"/>
    <w:rsid w:val="33382DC2"/>
    <w:rsid w:val="33620CF8"/>
    <w:rsid w:val="33772B98"/>
    <w:rsid w:val="33916089"/>
    <w:rsid w:val="339B7097"/>
    <w:rsid w:val="33B226E8"/>
    <w:rsid w:val="33B54CF1"/>
    <w:rsid w:val="33C05DDD"/>
    <w:rsid w:val="33C36B88"/>
    <w:rsid w:val="33C87A09"/>
    <w:rsid w:val="33CA29F9"/>
    <w:rsid w:val="33D71898"/>
    <w:rsid w:val="33E95412"/>
    <w:rsid w:val="33F84443"/>
    <w:rsid w:val="340E00BE"/>
    <w:rsid w:val="34266909"/>
    <w:rsid w:val="342C54F0"/>
    <w:rsid w:val="34386527"/>
    <w:rsid w:val="343B32CE"/>
    <w:rsid w:val="34467365"/>
    <w:rsid w:val="345155F6"/>
    <w:rsid w:val="34550E84"/>
    <w:rsid w:val="34597E64"/>
    <w:rsid w:val="3490016D"/>
    <w:rsid w:val="34925308"/>
    <w:rsid w:val="349730FB"/>
    <w:rsid w:val="34A82583"/>
    <w:rsid w:val="34AD6156"/>
    <w:rsid w:val="34AE011D"/>
    <w:rsid w:val="34BB42F6"/>
    <w:rsid w:val="34EC03CA"/>
    <w:rsid w:val="34EF37A8"/>
    <w:rsid w:val="350018B2"/>
    <w:rsid w:val="35016A01"/>
    <w:rsid w:val="351A6630"/>
    <w:rsid w:val="351C7907"/>
    <w:rsid w:val="3529391A"/>
    <w:rsid w:val="35297257"/>
    <w:rsid w:val="353A2A41"/>
    <w:rsid w:val="353E5E68"/>
    <w:rsid w:val="3542161F"/>
    <w:rsid w:val="35422082"/>
    <w:rsid w:val="354F14FD"/>
    <w:rsid w:val="354F1592"/>
    <w:rsid w:val="35607857"/>
    <w:rsid w:val="35634238"/>
    <w:rsid w:val="35734284"/>
    <w:rsid w:val="35753657"/>
    <w:rsid w:val="35764AB7"/>
    <w:rsid w:val="35A65B28"/>
    <w:rsid w:val="35BF67E5"/>
    <w:rsid w:val="35C24A9A"/>
    <w:rsid w:val="35C42EEA"/>
    <w:rsid w:val="35C74907"/>
    <w:rsid w:val="35D50B9D"/>
    <w:rsid w:val="35DB4C68"/>
    <w:rsid w:val="35DC1210"/>
    <w:rsid w:val="35EF29CF"/>
    <w:rsid w:val="36045B33"/>
    <w:rsid w:val="362A1EF9"/>
    <w:rsid w:val="36382D67"/>
    <w:rsid w:val="363953F9"/>
    <w:rsid w:val="36604909"/>
    <w:rsid w:val="367F31DB"/>
    <w:rsid w:val="36830C35"/>
    <w:rsid w:val="368E2F5E"/>
    <w:rsid w:val="369A40A7"/>
    <w:rsid w:val="36A4237E"/>
    <w:rsid w:val="36A63D04"/>
    <w:rsid w:val="36AF6AFE"/>
    <w:rsid w:val="36BF09B9"/>
    <w:rsid w:val="36C507D2"/>
    <w:rsid w:val="36D84EEE"/>
    <w:rsid w:val="36EB4718"/>
    <w:rsid w:val="37010417"/>
    <w:rsid w:val="3709445E"/>
    <w:rsid w:val="37107EAE"/>
    <w:rsid w:val="37156BC9"/>
    <w:rsid w:val="37200923"/>
    <w:rsid w:val="37346D30"/>
    <w:rsid w:val="374E1098"/>
    <w:rsid w:val="376A313E"/>
    <w:rsid w:val="3771508C"/>
    <w:rsid w:val="377D11C0"/>
    <w:rsid w:val="378B0037"/>
    <w:rsid w:val="378E7AEF"/>
    <w:rsid w:val="379337C8"/>
    <w:rsid w:val="37B41876"/>
    <w:rsid w:val="37C5317C"/>
    <w:rsid w:val="37C563A8"/>
    <w:rsid w:val="37D253D5"/>
    <w:rsid w:val="37F73C28"/>
    <w:rsid w:val="37FD1712"/>
    <w:rsid w:val="37FD63B9"/>
    <w:rsid w:val="38114913"/>
    <w:rsid w:val="38210F83"/>
    <w:rsid w:val="38432489"/>
    <w:rsid w:val="38626C48"/>
    <w:rsid w:val="386555B4"/>
    <w:rsid w:val="38666EE1"/>
    <w:rsid w:val="3870649F"/>
    <w:rsid w:val="387E576C"/>
    <w:rsid w:val="3885539C"/>
    <w:rsid w:val="3887584F"/>
    <w:rsid w:val="389600D6"/>
    <w:rsid w:val="38981261"/>
    <w:rsid w:val="38A411E0"/>
    <w:rsid w:val="38C60F14"/>
    <w:rsid w:val="38D54DC4"/>
    <w:rsid w:val="38DE1292"/>
    <w:rsid w:val="390834CD"/>
    <w:rsid w:val="391C4F97"/>
    <w:rsid w:val="39336439"/>
    <w:rsid w:val="393568CC"/>
    <w:rsid w:val="39622CDA"/>
    <w:rsid w:val="39631C54"/>
    <w:rsid w:val="39B177BE"/>
    <w:rsid w:val="39BB19A5"/>
    <w:rsid w:val="39C53B8C"/>
    <w:rsid w:val="39D5245F"/>
    <w:rsid w:val="39DF4418"/>
    <w:rsid w:val="39F138EC"/>
    <w:rsid w:val="39F63EA1"/>
    <w:rsid w:val="39FE7722"/>
    <w:rsid w:val="3A0C17F2"/>
    <w:rsid w:val="3A12442F"/>
    <w:rsid w:val="3A251997"/>
    <w:rsid w:val="3A4C07DF"/>
    <w:rsid w:val="3A660C00"/>
    <w:rsid w:val="3A754624"/>
    <w:rsid w:val="3A827441"/>
    <w:rsid w:val="3A850EC8"/>
    <w:rsid w:val="3A8C1BF6"/>
    <w:rsid w:val="3A8C2297"/>
    <w:rsid w:val="3A8D5226"/>
    <w:rsid w:val="3A965040"/>
    <w:rsid w:val="3AB427C9"/>
    <w:rsid w:val="3AC450D9"/>
    <w:rsid w:val="3AD311DF"/>
    <w:rsid w:val="3AF33BDC"/>
    <w:rsid w:val="3AF64B29"/>
    <w:rsid w:val="3B0B0879"/>
    <w:rsid w:val="3B0F4C2F"/>
    <w:rsid w:val="3B191E9E"/>
    <w:rsid w:val="3B191FF9"/>
    <w:rsid w:val="3B1E15B7"/>
    <w:rsid w:val="3B1E1B96"/>
    <w:rsid w:val="3B274B26"/>
    <w:rsid w:val="3B3119A1"/>
    <w:rsid w:val="3B374F7E"/>
    <w:rsid w:val="3B385475"/>
    <w:rsid w:val="3B421E27"/>
    <w:rsid w:val="3B432326"/>
    <w:rsid w:val="3B44718A"/>
    <w:rsid w:val="3B647267"/>
    <w:rsid w:val="3B655AAB"/>
    <w:rsid w:val="3B80237D"/>
    <w:rsid w:val="3B8826F3"/>
    <w:rsid w:val="3B885FA4"/>
    <w:rsid w:val="3B916533"/>
    <w:rsid w:val="3B936383"/>
    <w:rsid w:val="3B995321"/>
    <w:rsid w:val="3BCA6ED6"/>
    <w:rsid w:val="3BCF1A22"/>
    <w:rsid w:val="3BD30FAD"/>
    <w:rsid w:val="3BD940DA"/>
    <w:rsid w:val="3BE62AE4"/>
    <w:rsid w:val="3BEA5867"/>
    <w:rsid w:val="3BF05DAE"/>
    <w:rsid w:val="3C0E5C63"/>
    <w:rsid w:val="3C132906"/>
    <w:rsid w:val="3C141232"/>
    <w:rsid w:val="3C2C7715"/>
    <w:rsid w:val="3C3D30FE"/>
    <w:rsid w:val="3C5E1EDB"/>
    <w:rsid w:val="3C606893"/>
    <w:rsid w:val="3C612750"/>
    <w:rsid w:val="3C6757FF"/>
    <w:rsid w:val="3C8955F2"/>
    <w:rsid w:val="3C9056E6"/>
    <w:rsid w:val="3C9A6D17"/>
    <w:rsid w:val="3CA5415A"/>
    <w:rsid w:val="3CB53C62"/>
    <w:rsid w:val="3CBB3471"/>
    <w:rsid w:val="3CBC33CF"/>
    <w:rsid w:val="3CCD7EF5"/>
    <w:rsid w:val="3CD65FD0"/>
    <w:rsid w:val="3CEE30A8"/>
    <w:rsid w:val="3CF4775F"/>
    <w:rsid w:val="3D0C0A3A"/>
    <w:rsid w:val="3D0E7A1D"/>
    <w:rsid w:val="3D133770"/>
    <w:rsid w:val="3D20259F"/>
    <w:rsid w:val="3D207BF6"/>
    <w:rsid w:val="3D2F046D"/>
    <w:rsid w:val="3D360098"/>
    <w:rsid w:val="3D376379"/>
    <w:rsid w:val="3D3E5F4C"/>
    <w:rsid w:val="3D4D0964"/>
    <w:rsid w:val="3D660FF2"/>
    <w:rsid w:val="3D6809A9"/>
    <w:rsid w:val="3D697CF1"/>
    <w:rsid w:val="3D7274AE"/>
    <w:rsid w:val="3D86312A"/>
    <w:rsid w:val="3DA553EB"/>
    <w:rsid w:val="3DA84EF3"/>
    <w:rsid w:val="3DBA119B"/>
    <w:rsid w:val="3DC333D6"/>
    <w:rsid w:val="3DC66193"/>
    <w:rsid w:val="3DD82D02"/>
    <w:rsid w:val="3DE36249"/>
    <w:rsid w:val="3DE37306"/>
    <w:rsid w:val="3DE73901"/>
    <w:rsid w:val="3DF02A80"/>
    <w:rsid w:val="3DF4531C"/>
    <w:rsid w:val="3E02579D"/>
    <w:rsid w:val="3E217729"/>
    <w:rsid w:val="3E282408"/>
    <w:rsid w:val="3E381DE8"/>
    <w:rsid w:val="3E4953ED"/>
    <w:rsid w:val="3E81070D"/>
    <w:rsid w:val="3E826F6C"/>
    <w:rsid w:val="3E946A02"/>
    <w:rsid w:val="3E955F9A"/>
    <w:rsid w:val="3E9561B2"/>
    <w:rsid w:val="3EA73BD7"/>
    <w:rsid w:val="3EA83BCF"/>
    <w:rsid w:val="3EB24414"/>
    <w:rsid w:val="3EBA139B"/>
    <w:rsid w:val="3EE53886"/>
    <w:rsid w:val="3EF11D7C"/>
    <w:rsid w:val="3EFA79A1"/>
    <w:rsid w:val="3EFB7A4F"/>
    <w:rsid w:val="3F03785A"/>
    <w:rsid w:val="3F05034E"/>
    <w:rsid w:val="3F064091"/>
    <w:rsid w:val="3F2A73B9"/>
    <w:rsid w:val="3F344620"/>
    <w:rsid w:val="3F484DCF"/>
    <w:rsid w:val="3F4F373E"/>
    <w:rsid w:val="3F5127CF"/>
    <w:rsid w:val="3F685F8A"/>
    <w:rsid w:val="3F6A1D94"/>
    <w:rsid w:val="3F762CC8"/>
    <w:rsid w:val="3F8818C2"/>
    <w:rsid w:val="3F963197"/>
    <w:rsid w:val="3FCE54C1"/>
    <w:rsid w:val="3FCE7F87"/>
    <w:rsid w:val="3FD61F9B"/>
    <w:rsid w:val="3FDB1B34"/>
    <w:rsid w:val="3FE41675"/>
    <w:rsid w:val="3FEB0829"/>
    <w:rsid w:val="402E37B1"/>
    <w:rsid w:val="403E5FE4"/>
    <w:rsid w:val="404844BF"/>
    <w:rsid w:val="404E1D8E"/>
    <w:rsid w:val="4054420F"/>
    <w:rsid w:val="405B441C"/>
    <w:rsid w:val="40641431"/>
    <w:rsid w:val="406E49F7"/>
    <w:rsid w:val="407E1D82"/>
    <w:rsid w:val="40864A45"/>
    <w:rsid w:val="40870463"/>
    <w:rsid w:val="40A11B62"/>
    <w:rsid w:val="40B32F61"/>
    <w:rsid w:val="40DD65FC"/>
    <w:rsid w:val="40EB76D4"/>
    <w:rsid w:val="40F65D5D"/>
    <w:rsid w:val="40F73205"/>
    <w:rsid w:val="40F849C7"/>
    <w:rsid w:val="41014156"/>
    <w:rsid w:val="410876A2"/>
    <w:rsid w:val="41223BE8"/>
    <w:rsid w:val="412C5B37"/>
    <w:rsid w:val="412D0014"/>
    <w:rsid w:val="412E4C7F"/>
    <w:rsid w:val="41444ABD"/>
    <w:rsid w:val="41456331"/>
    <w:rsid w:val="414A6C45"/>
    <w:rsid w:val="414A79A8"/>
    <w:rsid w:val="414F4C40"/>
    <w:rsid w:val="41746FA7"/>
    <w:rsid w:val="417A41AA"/>
    <w:rsid w:val="41995CE7"/>
    <w:rsid w:val="419B12EE"/>
    <w:rsid w:val="41A40187"/>
    <w:rsid w:val="41B50FA2"/>
    <w:rsid w:val="41C83138"/>
    <w:rsid w:val="41CC44D2"/>
    <w:rsid w:val="41D0471B"/>
    <w:rsid w:val="41D863EE"/>
    <w:rsid w:val="41EF1B20"/>
    <w:rsid w:val="420C649C"/>
    <w:rsid w:val="42150EFF"/>
    <w:rsid w:val="423C539D"/>
    <w:rsid w:val="4243063A"/>
    <w:rsid w:val="424675AB"/>
    <w:rsid w:val="42534E2F"/>
    <w:rsid w:val="42574BEA"/>
    <w:rsid w:val="425E660F"/>
    <w:rsid w:val="42830482"/>
    <w:rsid w:val="42A50A45"/>
    <w:rsid w:val="42B15B0D"/>
    <w:rsid w:val="42B17DBF"/>
    <w:rsid w:val="42B36E09"/>
    <w:rsid w:val="42C336BA"/>
    <w:rsid w:val="42CD3428"/>
    <w:rsid w:val="42E136AC"/>
    <w:rsid w:val="431B1FB4"/>
    <w:rsid w:val="4345143A"/>
    <w:rsid w:val="435512E9"/>
    <w:rsid w:val="43597A55"/>
    <w:rsid w:val="435F7C37"/>
    <w:rsid w:val="43671BEF"/>
    <w:rsid w:val="43787630"/>
    <w:rsid w:val="43805E07"/>
    <w:rsid w:val="43892E9A"/>
    <w:rsid w:val="438A28CF"/>
    <w:rsid w:val="43976403"/>
    <w:rsid w:val="43B13EA8"/>
    <w:rsid w:val="43C1604C"/>
    <w:rsid w:val="43CC21DD"/>
    <w:rsid w:val="43D27B13"/>
    <w:rsid w:val="43E3316F"/>
    <w:rsid w:val="43E34D2B"/>
    <w:rsid w:val="43E64655"/>
    <w:rsid w:val="43F02E1F"/>
    <w:rsid w:val="43F26F93"/>
    <w:rsid w:val="43F95CCB"/>
    <w:rsid w:val="44063823"/>
    <w:rsid w:val="440F1C8C"/>
    <w:rsid w:val="44116086"/>
    <w:rsid w:val="44190296"/>
    <w:rsid w:val="441931FA"/>
    <w:rsid w:val="4429305A"/>
    <w:rsid w:val="442E35D5"/>
    <w:rsid w:val="44412B90"/>
    <w:rsid w:val="444E0C83"/>
    <w:rsid w:val="44510C6F"/>
    <w:rsid w:val="44514E55"/>
    <w:rsid w:val="44673F42"/>
    <w:rsid w:val="44780FD8"/>
    <w:rsid w:val="44825313"/>
    <w:rsid w:val="449338E1"/>
    <w:rsid w:val="449E0263"/>
    <w:rsid w:val="44A551D8"/>
    <w:rsid w:val="44B10E6D"/>
    <w:rsid w:val="44C43D1D"/>
    <w:rsid w:val="44C45548"/>
    <w:rsid w:val="44C546BA"/>
    <w:rsid w:val="44E47101"/>
    <w:rsid w:val="44EF0A3B"/>
    <w:rsid w:val="450E3EE3"/>
    <w:rsid w:val="451A3E3B"/>
    <w:rsid w:val="451E2865"/>
    <w:rsid w:val="453759A4"/>
    <w:rsid w:val="454410E5"/>
    <w:rsid w:val="454B1417"/>
    <w:rsid w:val="454E0377"/>
    <w:rsid w:val="455A7376"/>
    <w:rsid w:val="4568594A"/>
    <w:rsid w:val="456C7CFF"/>
    <w:rsid w:val="45807091"/>
    <w:rsid w:val="45931377"/>
    <w:rsid w:val="45960F2B"/>
    <w:rsid w:val="459F4215"/>
    <w:rsid w:val="45BD3779"/>
    <w:rsid w:val="45C313C6"/>
    <w:rsid w:val="45DF2FF2"/>
    <w:rsid w:val="45E57E63"/>
    <w:rsid w:val="46285FB9"/>
    <w:rsid w:val="462C4169"/>
    <w:rsid w:val="46391366"/>
    <w:rsid w:val="463E05AC"/>
    <w:rsid w:val="4641307B"/>
    <w:rsid w:val="46475ED6"/>
    <w:rsid w:val="464A73D4"/>
    <w:rsid w:val="466B3889"/>
    <w:rsid w:val="468031B0"/>
    <w:rsid w:val="468C3A74"/>
    <w:rsid w:val="46902F02"/>
    <w:rsid w:val="469E683E"/>
    <w:rsid w:val="46A31B07"/>
    <w:rsid w:val="46B66BF7"/>
    <w:rsid w:val="46BE1699"/>
    <w:rsid w:val="46CC7DB4"/>
    <w:rsid w:val="46E16BF5"/>
    <w:rsid w:val="46E609CF"/>
    <w:rsid w:val="470A4F43"/>
    <w:rsid w:val="470B29E1"/>
    <w:rsid w:val="47125FE7"/>
    <w:rsid w:val="471A7416"/>
    <w:rsid w:val="472262E4"/>
    <w:rsid w:val="47301C52"/>
    <w:rsid w:val="47303B2D"/>
    <w:rsid w:val="474747FF"/>
    <w:rsid w:val="475632E3"/>
    <w:rsid w:val="475723EA"/>
    <w:rsid w:val="4764152B"/>
    <w:rsid w:val="47652F79"/>
    <w:rsid w:val="47710F29"/>
    <w:rsid w:val="47737A6F"/>
    <w:rsid w:val="477910CF"/>
    <w:rsid w:val="47925833"/>
    <w:rsid w:val="479676D9"/>
    <w:rsid w:val="47BD1304"/>
    <w:rsid w:val="47C63C03"/>
    <w:rsid w:val="47C64BD8"/>
    <w:rsid w:val="47C67FBD"/>
    <w:rsid w:val="47CD0C87"/>
    <w:rsid w:val="47FE3F2B"/>
    <w:rsid w:val="480C26CA"/>
    <w:rsid w:val="480F6688"/>
    <w:rsid w:val="481E64CC"/>
    <w:rsid w:val="482C3EBF"/>
    <w:rsid w:val="483B6DB4"/>
    <w:rsid w:val="485058E6"/>
    <w:rsid w:val="48591D36"/>
    <w:rsid w:val="4859285B"/>
    <w:rsid w:val="48784B0A"/>
    <w:rsid w:val="488D1AA5"/>
    <w:rsid w:val="48A826FA"/>
    <w:rsid w:val="48CE657F"/>
    <w:rsid w:val="48EE587A"/>
    <w:rsid w:val="48F76E2E"/>
    <w:rsid w:val="48FB7D62"/>
    <w:rsid w:val="49050DEB"/>
    <w:rsid w:val="4911682E"/>
    <w:rsid w:val="491264B9"/>
    <w:rsid w:val="49156CA9"/>
    <w:rsid w:val="491E5C7E"/>
    <w:rsid w:val="49206672"/>
    <w:rsid w:val="492B795E"/>
    <w:rsid w:val="49302C55"/>
    <w:rsid w:val="49343FC8"/>
    <w:rsid w:val="493447C1"/>
    <w:rsid w:val="49443508"/>
    <w:rsid w:val="494D2F51"/>
    <w:rsid w:val="495E3CEB"/>
    <w:rsid w:val="496C2A23"/>
    <w:rsid w:val="497629BB"/>
    <w:rsid w:val="49791F9F"/>
    <w:rsid w:val="497E2966"/>
    <w:rsid w:val="497F084F"/>
    <w:rsid w:val="49857A23"/>
    <w:rsid w:val="49980E94"/>
    <w:rsid w:val="49B616A7"/>
    <w:rsid w:val="49BD5DE3"/>
    <w:rsid w:val="49C02175"/>
    <w:rsid w:val="49CC40D2"/>
    <w:rsid w:val="49DB4ECC"/>
    <w:rsid w:val="49F42431"/>
    <w:rsid w:val="49FC4EF2"/>
    <w:rsid w:val="4A101CA4"/>
    <w:rsid w:val="4A105DA5"/>
    <w:rsid w:val="4A106F62"/>
    <w:rsid w:val="4A135453"/>
    <w:rsid w:val="4A144831"/>
    <w:rsid w:val="4A283DF9"/>
    <w:rsid w:val="4A2F7299"/>
    <w:rsid w:val="4A3A377A"/>
    <w:rsid w:val="4A530032"/>
    <w:rsid w:val="4A5568B3"/>
    <w:rsid w:val="4A692C84"/>
    <w:rsid w:val="4A6D0D80"/>
    <w:rsid w:val="4A985F30"/>
    <w:rsid w:val="4AA86B75"/>
    <w:rsid w:val="4AE372D9"/>
    <w:rsid w:val="4AF51102"/>
    <w:rsid w:val="4B1F451A"/>
    <w:rsid w:val="4B2E7C1C"/>
    <w:rsid w:val="4B33684F"/>
    <w:rsid w:val="4B5405D3"/>
    <w:rsid w:val="4B617F6B"/>
    <w:rsid w:val="4B7342AE"/>
    <w:rsid w:val="4B7E0A90"/>
    <w:rsid w:val="4BB05301"/>
    <w:rsid w:val="4BC64349"/>
    <w:rsid w:val="4BCD3094"/>
    <w:rsid w:val="4BD51B2A"/>
    <w:rsid w:val="4BD63583"/>
    <w:rsid w:val="4BE56F98"/>
    <w:rsid w:val="4BFB1FA4"/>
    <w:rsid w:val="4C001A04"/>
    <w:rsid w:val="4C1341C2"/>
    <w:rsid w:val="4C247629"/>
    <w:rsid w:val="4C3E0566"/>
    <w:rsid w:val="4C524305"/>
    <w:rsid w:val="4C544A7A"/>
    <w:rsid w:val="4C634134"/>
    <w:rsid w:val="4C820264"/>
    <w:rsid w:val="4C92481A"/>
    <w:rsid w:val="4C947C88"/>
    <w:rsid w:val="4C962BFE"/>
    <w:rsid w:val="4CA87FD7"/>
    <w:rsid w:val="4CB93C83"/>
    <w:rsid w:val="4CBF66E9"/>
    <w:rsid w:val="4CC139D6"/>
    <w:rsid w:val="4CD7529E"/>
    <w:rsid w:val="4CE2183B"/>
    <w:rsid w:val="4CE973D7"/>
    <w:rsid w:val="4CEB7BD6"/>
    <w:rsid w:val="4CEE70B3"/>
    <w:rsid w:val="4CF52634"/>
    <w:rsid w:val="4CFF09E1"/>
    <w:rsid w:val="4D01667A"/>
    <w:rsid w:val="4D021A27"/>
    <w:rsid w:val="4D051423"/>
    <w:rsid w:val="4D097393"/>
    <w:rsid w:val="4D0E0661"/>
    <w:rsid w:val="4D2E5C7C"/>
    <w:rsid w:val="4D3A1FB5"/>
    <w:rsid w:val="4D3F6D90"/>
    <w:rsid w:val="4D471E37"/>
    <w:rsid w:val="4D4A5919"/>
    <w:rsid w:val="4D6417EC"/>
    <w:rsid w:val="4D6C2220"/>
    <w:rsid w:val="4D775099"/>
    <w:rsid w:val="4D7A31C3"/>
    <w:rsid w:val="4D89380C"/>
    <w:rsid w:val="4D9F78AC"/>
    <w:rsid w:val="4DA60620"/>
    <w:rsid w:val="4DAC359B"/>
    <w:rsid w:val="4DC55016"/>
    <w:rsid w:val="4DC652DE"/>
    <w:rsid w:val="4DC757CC"/>
    <w:rsid w:val="4DCD48CB"/>
    <w:rsid w:val="4DCE3A17"/>
    <w:rsid w:val="4DDF6419"/>
    <w:rsid w:val="4DE933BC"/>
    <w:rsid w:val="4E0A17C8"/>
    <w:rsid w:val="4E0B1188"/>
    <w:rsid w:val="4E114FF9"/>
    <w:rsid w:val="4E3C59E2"/>
    <w:rsid w:val="4E402294"/>
    <w:rsid w:val="4E52609C"/>
    <w:rsid w:val="4E653753"/>
    <w:rsid w:val="4E7E2FDB"/>
    <w:rsid w:val="4E7E5AEE"/>
    <w:rsid w:val="4E813DB3"/>
    <w:rsid w:val="4E82017F"/>
    <w:rsid w:val="4E90275C"/>
    <w:rsid w:val="4E9F6974"/>
    <w:rsid w:val="4EB72D26"/>
    <w:rsid w:val="4EBB1E14"/>
    <w:rsid w:val="4EBB3140"/>
    <w:rsid w:val="4EBF1BEC"/>
    <w:rsid w:val="4ED6441E"/>
    <w:rsid w:val="4EDA59D6"/>
    <w:rsid w:val="4EE07D55"/>
    <w:rsid w:val="4EE9515B"/>
    <w:rsid w:val="4EEA2FE3"/>
    <w:rsid w:val="4EEB1EB1"/>
    <w:rsid w:val="4EFD0864"/>
    <w:rsid w:val="4F01142E"/>
    <w:rsid w:val="4F16110F"/>
    <w:rsid w:val="4F1A4209"/>
    <w:rsid w:val="4F30407B"/>
    <w:rsid w:val="4F345FED"/>
    <w:rsid w:val="4F4776C7"/>
    <w:rsid w:val="4F5E0689"/>
    <w:rsid w:val="4F5E684F"/>
    <w:rsid w:val="4F6C3FFC"/>
    <w:rsid w:val="4F7830DA"/>
    <w:rsid w:val="4F8E6190"/>
    <w:rsid w:val="4F9F28B4"/>
    <w:rsid w:val="4FA13518"/>
    <w:rsid w:val="4FA64C4B"/>
    <w:rsid w:val="4FA871BC"/>
    <w:rsid w:val="4FB809FA"/>
    <w:rsid w:val="4FC33130"/>
    <w:rsid w:val="4FCE3EE9"/>
    <w:rsid w:val="4FD91F9C"/>
    <w:rsid w:val="500E7DD7"/>
    <w:rsid w:val="500F4E81"/>
    <w:rsid w:val="50103224"/>
    <w:rsid w:val="50110C51"/>
    <w:rsid w:val="502D0FD0"/>
    <w:rsid w:val="503A5EA1"/>
    <w:rsid w:val="503E1E86"/>
    <w:rsid w:val="504537D5"/>
    <w:rsid w:val="50474B4B"/>
    <w:rsid w:val="505B66A8"/>
    <w:rsid w:val="506023A2"/>
    <w:rsid w:val="506F3298"/>
    <w:rsid w:val="50732566"/>
    <w:rsid w:val="50737F88"/>
    <w:rsid w:val="50824E95"/>
    <w:rsid w:val="508E16F8"/>
    <w:rsid w:val="508F526C"/>
    <w:rsid w:val="509131D3"/>
    <w:rsid w:val="509809C5"/>
    <w:rsid w:val="50B633E8"/>
    <w:rsid w:val="50BD7727"/>
    <w:rsid w:val="50CF6263"/>
    <w:rsid w:val="50DA014D"/>
    <w:rsid w:val="50DF535C"/>
    <w:rsid w:val="50F63058"/>
    <w:rsid w:val="50FD0D6A"/>
    <w:rsid w:val="51077749"/>
    <w:rsid w:val="51086075"/>
    <w:rsid w:val="510C3E9A"/>
    <w:rsid w:val="5115171D"/>
    <w:rsid w:val="5123467C"/>
    <w:rsid w:val="5127789B"/>
    <w:rsid w:val="51387953"/>
    <w:rsid w:val="513C7253"/>
    <w:rsid w:val="514964FB"/>
    <w:rsid w:val="514A3AA4"/>
    <w:rsid w:val="51510778"/>
    <w:rsid w:val="515C6578"/>
    <w:rsid w:val="51675C77"/>
    <w:rsid w:val="516A572D"/>
    <w:rsid w:val="51717DE6"/>
    <w:rsid w:val="51813467"/>
    <w:rsid w:val="5189354A"/>
    <w:rsid w:val="518B643F"/>
    <w:rsid w:val="519417C2"/>
    <w:rsid w:val="5199184B"/>
    <w:rsid w:val="51C05501"/>
    <w:rsid w:val="51EE6B6D"/>
    <w:rsid w:val="51F03193"/>
    <w:rsid w:val="51F0370F"/>
    <w:rsid w:val="51F03DA8"/>
    <w:rsid w:val="51FA5BF2"/>
    <w:rsid w:val="52087F52"/>
    <w:rsid w:val="521D0688"/>
    <w:rsid w:val="523652AF"/>
    <w:rsid w:val="52381DD5"/>
    <w:rsid w:val="52521515"/>
    <w:rsid w:val="52643AFF"/>
    <w:rsid w:val="52697528"/>
    <w:rsid w:val="526A2A93"/>
    <w:rsid w:val="527132DF"/>
    <w:rsid w:val="52952322"/>
    <w:rsid w:val="5298074E"/>
    <w:rsid w:val="52A918D2"/>
    <w:rsid w:val="52AC77BD"/>
    <w:rsid w:val="52B0061C"/>
    <w:rsid w:val="52B72F2C"/>
    <w:rsid w:val="52C929CA"/>
    <w:rsid w:val="52D3028F"/>
    <w:rsid w:val="52D51F86"/>
    <w:rsid w:val="52EE6514"/>
    <w:rsid w:val="52EF7B1D"/>
    <w:rsid w:val="53145940"/>
    <w:rsid w:val="53257A64"/>
    <w:rsid w:val="53272EB7"/>
    <w:rsid w:val="5327371E"/>
    <w:rsid w:val="533049D8"/>
    <w:rsid w:val="53304E21"/>
    <w:rsid w:val="53334A48"/>
    <w:rsid w:val="53381012"/>
    <w:rsid w:val="534742EE"/>
    <w:rsid w:val="534E46C4"/>
    <w:rsid w:val="535918FA"/>
    <w:rsid w:val="535D606F"/>
    <w:rsid w:val="537E0193"/>
    <w:rsid w:val="537F3909"/>
    <w:rsid w:val="53853D18"/>
    <w:rsid w:val="53887AD1"/>
    <w:rsid w:val="53A013D5"/>
    <w:rsid w:val="53C24823"/>
    <w:rsid w:val="53C70004"/>
    <w:rsid w:val="53D829D9"/>
    <w:rsid w:val="53E02890"/>
    <w:rsid w:val="53F5677C"/>
    <w:rsid w:val="53FB4BFE"/>
    <w:rsid w:val="54120258"/>
    <w:rsid w:val="541D1F85"/>
    <w:rsid w:val="54274A39"/>
    <w:rsid w:val="542C4BD4"/>
    <w:rsid w:val="54300F87"/>
    <w:rsid w:val="54307162"/>
    <w:rsid w:val="54391219"/>
    <w:rsid w:val="545D18DF"/>
    <w:rsid w:val="54614722"/>
    <w:rsid w:val="547B7A48"/>
    <w:rsid w:val="54890DFE"/>
    <w:rsid w:val="549E7C56"/>
    <w:rsid w:val="54A265D1"/>
    <w:rsid w:val="54A63098"/>
    <w:rsid w:val="54AC1F64"/>
    <w:rsid w:val="54BB7EE1"/>
    <w:rsid w:val="550B1E12"/>
    <w:rsid w:val="550F42B5"/>
    <w:rsid w:val="552A41DC"/>
    <w:rsid w:val="553C04C8"/>
    <w:rsid w:val="553E0B76"/>
    <w:rsid w:val="554B12D2"/>
    <w:rsid w:val="554F065E"/>
    <w:rsid w:val="5563065A"/>
    <w:rsid w:val="55715C9F"/>
    <w:rsid w:val="55780C9E"/>
    <w:rsid w:val="558104D8"/>
    <w:rsid w:val="558141BB"/>
    <w:rsid w:val="55BC3F7C"/>
    <w:rsid w:val="55BF1754"/>
    <w:rsid w:val="55CE2491"/>
    <w:rsid w:val="55DF63F2"/>
    <w:rsid w:val="55EC2DC2"/>
    <w:rsid w:val="55F15FA1"/>
    <w:rsid w:val="55FC6B00"/>
    <w:rsid w:val="55FF3195"/>
    <w:rsid w:val="55FF4EC1"/>
    <w:rsid w:val="56052641"/>
    <w:rsid w:val="563E5749"/>
    <w:rsid w:val="565B28FA"/>
    <w:rsid w:val="56856E12"/>
    <w:rsid w:val="56955B08"/>
    <w:rsid w:val="5698718B"/>
    <w:rsid w:val="56A06BCD"/>
    <w:rsid w:val="56AA0DEB"/>
    <w:rsid w:val="56AF56F2"/>
    <w:rsid w:val="56BA1244"/>
    <w:rsid w:val="56C074D5"/>
    <w:rsid w:val="56C13933"/>
    <w:rsid w:val="56C2057C"/>
    <w:rsid w:val="56CE526A"/>
    <w:rsid w:val="56CE666D"/>
    <w:rsid w:val="56D148D5"/>
    <w:rsid w:val="56DC03C5"/>
    <w:rsid w:val="5700425A"/>
    <w:rsid w:val="57231549"/>
    <w:rsid w:val="572C5F5B"/>
    <w:rsid w:val="57351294"/>
    <w:rsid w:val="57361D03"/>
    <w:rsid w:val="574542B8"/>
    <w:rsid w:val="57526C5D"/>
    <w:rsid w:val="575C2DC2"/>
    <w:rsid w:val="5766386E"/>
    <w:rsid w:val="578E1FD6"/>
    <w:rsid w:val="57972DA2"/>
    <w:rsid w:val="57986160"/>
    <w:rsid w:val="57A33912"/>
    <w:rsid w:val="57AF5F4B"/>
    <w:rsid w:val="57B442B6"/>
    <w:rsid w:val="57B51DD3"/>
    <w:rsid w:val="57BC509B"/>
    <w:rsid w:val="57D83E10"/>
    <w:rsid w:val="57D87F78"/>
    <w:rsid w:val="57DD28B4"/>
    <w:rsid w:val="57E97DCB"/>
    <w:rsid w:val="58086526"/>
    <w:rsid w:val="5813033D"/>
    <w:rsid w:val="581969B8"/>
    <w:rsid w:val="581D0082"/>
    <w:rsid w:val="582E1CE6"/>
    <w:rsid w:val="582E2A4D"/>
    <w:rsid w:val="58390F4F"/>
    <w:rsid w:val="58584CAD"/>
    <w:rsid w:val="58621AE2"/>
    <w:rsid w:val="586C1237"/>
    <w:rsid w:val="5871218F"/>
    <w:rsid w:val="587428E3"/>
    <w:rsid w:val="587D515F"/>
    <w:rsid w:val="58970993"/>
    <w:rsid w:val="589F42E9"/>
    <w:rsid w:val="58A4773F"/>
    <w:rsid w:val="58B07BF1"/>
    <w:rsid w:val="58BE35B3"/>
    <w:rsid w:val="58C078B2"/>
    <w:rsid w:val="58DC7839"/>
    <w:rsid w:val="58E53191"/>
    <w:rsid w:val="58F85491"/>
    <w:rsid w:val="59071224"/>
    <w:rsid w:val="59106A9F"/>
    <w:rsid w:val="59154DDB"/>
    <w:rsid w:val="59216CC0"/>
    <w:rsid w:val="592579AD"/>
    <w:rsid w:val="59372DB8"/>
    <w:rsid w:val="594A78E9"/>
    <w:rsid w:val="59527937"/>
    <w:rsid w:val="596156F2"/>
    <w:rsid w:val="59657B9E"/>
    <w:rsid w:val="596B1334"/>
    <w:rsid w:val="596F044C"/>
    <w:rsid w:val="598B31E8"/>
    <w:rsid w:val="598C7F5D"/>
    <w:rsid w:val="599576CD"/>
    <w:rsid w:val="59B50E67"/>
    <w:rsid w:val="59BF6BB8"/>
    <w:rsid w:val="59CC79E1"/>
    <w:rsid w:val="59E73167"/>
    <w:rsid w:val="59ED1C93"/>
    <w:rsid w:val="59EF6B6F"/>
    <w:rsid w:val="59FD4806"/>
    <w:rsid w:val="5A03009A"/>
    <w:rsid w:val="5A072F12"/>
    <w:rsid w:val="5A1D528A"/>
    <w:rsid w:val="5A2E560A"/>
    <w:rsid w:val="5A326E61"/>
    <w:rsid w:val="5A367002"/>
    <w:rsid w:val="5A3751DE"/>
    <w:rsid w:val="5A3E25F5"/>
    <w:rsid w:val="5A485884"/>
    <w:rsid w:val="5A554DF9"/>
    <w:rsid w:val="5A557759"/>
    <w:rsid w:val="5A566C04"/>
    <w:rsid w:val="5A5C5ECC"/>
    <w:rsid w:val="5A604CAB"/>
    <w:rsid w:val="5A644108"/>
    <w:rsid w:val="5A664F19"/>
    <w:rsid w:val="5A78262C"/>
    <w:rsid w:val="5AA02F0A"/>
    <w:rsid w:val="5ABB17A3"/>
    <w:rsid w:val="5AC90DCD"/>
    <w:rsid w:val="5ACE4595"/>
    <w:rsid w:val="5ADF1DEB"/>
    <w:rsid w:val="5AE414FC"/>
    <w:rsid w:val="5AFE499B"/>
    <w:rsid w:val="5B0C1F26"/>
    <w:rsid w:val="5B1203C7"/>
    <w:rsid w:val="5B137EB7"/>
    <w:rsid w:val="5B405245"/>
    <w:rsid w:val="5B61247F"/>
    <w:rsid w:val="5B775F09"/>
    <w:rsid w:val="5B972F52"/>
    <w:rsid w:val="5BA567E0"/>
    <w:rsid w:val="5BBE6CA4"/>
    <w:rsid w:val="5BBF0A74"/>
    <w:rsid w:val="5BC23B87"/>
    <w:rsid w:val="5BCF3E05"/>
    <w:rsid w:val="5C1702CD"/>
    <w:rsid w:val="5C250C50"/>
    <w:rsid w:val="5C2634F1"/>
    <w:rsid w:val="5C332244"/>
    <w:rsid w:val="5C39767F"/>
    <w:rsid w:val="5C3D0FE3"/>
    <w:rsid w:val="5C650502"/>
    <w:rsid w:val="5C790BC5"/>
    <w:rsid w:val="5C7B02F6"/>
    <w:rsid w:val="5C9914B8"/>
    <w:rsid w:val="5CAA1051"/>
    <w:rsid w:val="5CBE62CB"/>
    <w:rsid w:val="5CDE5E89"/>
    <w:rsid w:val="5CDF2E42"/>
    <w:rsid w:val="5CED0783"/>
    <w:rsid w:val="5CF63EA3"/>
    <w:rsid w:val="5CF71724"/>
    <w:rsid w:val="5CF926A0"/>
    <w:rsid w:val="5CFF4A50"/>
    <w:rsid w:val="5D1C584A"/>
    <w:rsid w:val="5D4120CB"/>
    <w:rsid w:val="5D4263AD"/>
    <w:rsid w:val="5D5C5716"/>
    <w:rsid w:val="5D7128A4"/>
    <w:rsid w:val="5D74205E"/>
    <w:rsid w:val="5D774C05"/>
    <w:rsid w:val="5D7C3C41"/>
    <w:rsid w:val="5D8F5D8E"/>
    <w:rsid w:val="5D91339B"/>
    <w:rsid w:val="5D981E45"/>
    <w:rsid w:val="5DB64AAB"/>
    <w:rsid w:val="5DB725E1"/>
    <w:rsid w:val="5DC60467"/>
    <w:rsid w:val="5DDB6CD6"/>
    <w:rsid w:val="5DDE4028"/>
    <w:rsid w:val="5DE41518"/>
    <w:rsid w:val="5DEE6868"/>
    <w:rsid w:val="5DEF6FA8"/>
    <w:rsid w:val="5DFC29D7"/>
    <w:rsid w:val="5E0604AF"/>
    <w:rsid w:val="5E2A3CC9"/>
    <w:rsid w:val="5E3116E4"/>
    <w:rsid w:val="5E4252AA"/>
    <w:rsid w:val="5E4C6944"/>
    <w:rsid w:val="5E724473"/>
    <w:rsid w:val="5E8372FD"/>
    <w:rsid w:val="5E967515"/>
    <w:rsid w:val="5EA509F1"/>
    <w:rsid w:val="5EA778C3"/>
    <w:rsid w:val="5EAB380E"/>
    <w:rsid w:val="5EB6769C"/>
    <w:rsid w:val="5EBD215E"/>
    <w:rsid w:val="5EBF1341"/>
    <w:rsid w:val="5EC969EE"/>
    <w:rsid w:val="5ED2390C"/>
    <w:rsid w:val="5EDC6B50"/>
    <w:rsid w:val="5EE270FC"/>
    <w:rsid w:val="5EFB68FD"/>
    <w:rsid w:val="5F0A33C6"/>
    <w:rsid w:val="5F0E50AD"/>
    <w:rsid w:val="5F243F08"/>
    <w:rsid w:val="5F373EF0"/>
    <w:rsid w:val="5F3A56A0"/>
    <w:rsid w:val="5F51419C"/>
    <w:rsid w:val="5F700385"/>
    <w:rsid w:val="5F8C2F91"/>
    <w:rsid w:val="5F903222"/>
    <w:rsid w:val="5F93077F"/>
    <w:rsid w:val="5FA54E49"/>
    <w:rsid w:val="5FAC69CB"/>
    <w:rsid w:val="5FB456AB"/>
    <w:rsid w:val="5FB7374D"/>
    <w:rsid w:val="5FBC2921"/>
    <w:rsid w:val="5FD2578C"/>
    <w:rsid w:val="5FF1063A"/>
    <w:rsid w:val="5FFE2FE8"/>
    <w:rsid w:val="601873CD"/>
    <w:rsid w:val="60192ECB"/>
    <w:rsid w:val="602411D3"/>
    <w:rsid w:val="60243E22"/>
    <w:rsid w:val="60263074"/>
    <w:rsid w:val="603A250A"/>
    <w:rsid w:val="603F5C77"/>
    <w:rsid w:val="6041745B"/>
    <w:rsid w:val="60444071"/>
    <w:rsid w:val="60594B9A"/>
    <w:rsid w:val="605D101B"/>
    <w:rsid w:val="606B3DDE"/>
    <w:rsid w:val="60770546"/>
    <w:rsid w:val="607E0535"/>
    <w:rsid w:val="6085088A"/>
    <w:rsid w:val="608778B6"/>
    <w:rsid w:val="60A60CEE"/>
    <w:rsid w:val="60B34C1D"/>
    <w:rsid w:val="60B80463"/>
    <w:rsid w:val="60BC19E2"/>
    <w:rsid w:val="60C85458"/>
    <w:rsid w:val="60D46ED9"/>
    <w:rsid w:val="60EF16F9"/>
    <w:rsid w:val="60F424BF"/>
    <w:rsid w:val="60F74CAA"/>
    <w:rsid w:val="60FA6EB1"/>
    <w:rsid w:val="60FF0F02"/>
    <w:rsid w:val="610A7FB0"/>
    <w:rsid w:val="610C4AF7"/>
    <w:rsid w:val="61123E8C"/>
    <w:rsid w:val="611B0393"/>
    <w:rsid w:val="611D092D"/>
    <w:rsid w:val="612130E7"/>
    <w:rsid w:val="612C1431"/>
    <w:rsid w:val="612E086E"/>
    <w:rsid w:val="612F6C17"/>
    <w:rsid w:val="613F5E83"/>
    <w:rsid w:val="61413752"/>
    <w:rsid w:val="61426A38"/>
    <w:rsid w:val="615E5BFE"/>
    <w:rsid w:val="6162096D"/>
    <w:rsid w:val="61743D08"/>
    <w:rsid w:val="61757866"/>
    <w:rsid w:val="618539C7"/>
    <w:rsid w:val="61AE3E54"/>
    <w:rsid w:val="61BC7C60"/>
    <w:rsid w:val="61D66E62"/>
    <w:rsid w:val="6208266D"/>
    <w:rsid w:val="62131828"/>
    <w:rsid w:val="6216307C"/>
    <w:rsid w:val="62200874"/>
    <w:rsid w:val="62243C92"/>
    <w:rsid w:val="62267E7B"/>
    <w:rsid w:val="62283E25"/>
    <w:rsid w:val="62354946"/>
    <w:rsid w:val="6236438F"/>
    <w:rsid w:val="62405A9C"/>
    <w:rsid w:val="625E363F"/>
    <w:rsid w:val="62621ABC"/>
    <w:rsid w:val="62726F47"/>
    <w:rsid w:val="62783A5A"/>
    <w:rsid w:val="629063D9"/>
    <w:rsid w:val="62996A76"/>
    <w:rsid w:val="62A85104"/>
    <w:rsid w:val="62AB1846"/>
    <w:rsid w:val="62F07586"/>
    <w:rsid w:val="62F6223D"/>
    <w:rsid w:val="63063BB8"/>
    <w:rsid w:val="630644BB"/>
    <w:rsid w:val="630D30D8"/>
    <w:rsid w:val="63144199"/>
    <w:rsid w:val="63165876"/>
    <w:rsid w:val="63214BF3"/>
    <w:rsid w:val="63217BD1"/>
    <w:rsid w:val="6330796A"/>
    <w:rsid w:val="633E6FD1"/>
    <w:rsid w:val="633F0AF4"/>
    <w:rsid w:val="63487D75"/>
    <w:rsid w:val="63495BC1"/>
    <w:rsid w:val="6355299A"/>
    <w:rsid w:val="636B32A7"/>
    <w:rsid w:val="63711A5B"/>
    <w:rsid w:val="637C4399"/>
    <w:rsid w:val="63AB4C15"/>
    <w:rsid w:val="63BB1E61"/>
    <w:rsid w:val="63C04103"/>
    <w:rsid w:val="63C16289"/>
    <w:rsid w:val="63D251F4"/>
    <w:rsid w:val="63D73744"/>
    <w:rsid w:val="63D77DAC"/>
    <w:rsid w:val="63E91405"/>
    <w:rsid w:val="63EB0F88"/>
    <w:rsid w:val="63EB5986"/>
    <w:rsid w:val="64032C45"/>
    <w:rsid w:val="640F5D56"/>
    <w:rsid w:val="641420D7"/>
    <w:rsid w:val="64234A30"/>
    <w:rsid w:val="64296E58"/>
    <w:rsid w:val="642C1CCB"/>
    <w:rsid w:val="642E7C9C"/>
    <w:rsid w:val="64330A04"/>
    <w:rsid w:val="64394612"/>
    <w:rsid w:val="643B2E62"/>
    <w:rsid w:val="643B5E4A"/>
    <w:rsid w:val="64484A60"/>
    <w:rsid w:val="644A09E9"/>
    <w:rsid w:val="645526AF"/>
    <w:rsid w:val="64597C54"/>
    <w:rsid w:val="646112A5"/>
    <w:rsid w:val="6464342C"/>
    <w:rsid w:val="646D49D4"/>
    <w:rsid w:val="646F3B90"/>
    <w:rsid w:val="647428DB"/>
    <w:rsid w:val="647567C3"/>
    <w:rsid w:val="64992C68"/>
    <w:rsid w:val="64AC2F08"/>
    <w:rsid w:val="64C85668"/>
    <w:rsid w:val="64CD2DFE"/>
    <w:rsid w:val="64DA03F1"/>
    <w:rsid w:val="64DA7F84"/>
    <w:rsid w:val="64E65869"/>
    <w:rsid w:val="64EF2D41"/>
    <w:rsid w:val="64FD2033"/>
    <w:rsid w:val="650A43DA"/>
    <w:rsid w:val="650C56D2"/>
    <w:rsid w:val="651A52A6"/>
    <w:rsid w:val="652146B3"/>
    <w:rsid w:val="65452BDC"/>
    <w:rsid w:val="654F51BB"/>
    <w:rsid w:val="65585BC1"/>
    <w:rsid w:val="65610F5A"/>
    <w:rsid w:val="657423EE"/>
    <w:rsid w:val="657C1BFB"/>
    <w:rsid w:val="65B61DEF"/>
    <w:rsid w:val="65D3662E"/>
    <w:rsid w:val="65D85783"/>
    <w:rsid w:val="65ED716B"/>
    <w:rsid w:val="65F81CA5"/>
    <w:rsid w:val="66053D3B"/>
    <w:rsid w:val="660F58E0"/>
    <w:rsid w:val="66100DFA"/>
    <w:rsid w:val="66240B2A"/>
    <w:rsid w:val="665954BC"/>
    <w:rsid w:val="665F60FD"/>
    <w:rsid w:val="66650177"/>
    <w:rsid w:val="66715664"/>
    <w:rsid w:val="6672584F"/>
    <w:rsid w:val="667543D3"/>
    <w:rsid w:val="66857C33"/>
    <w:rsid w:val="66861F2D"/>
    <w:rsid w:val="668734C3"/>
    <w:rsid w:val="668A11F0"/>
    <w:rsid w:val="669D26DE"/>
    <w:rsid w:val="66BE303F"/>
    <w:rsid w:val="66C35AAF"/>
    <w:rsid w:val="66EB7FF4"/>
    <w:rsid w:val="66ED0929"/>
    <w:rsid w:val="67041086"/>
    <w:rsid w:val="671634A4"/>
    <w:rsid w:val="67190C46"/>
    <w:rsid w:val="67221EC2"/>
    <w:rsid w:val="672B07F3"/>
    <w:rsid w:val="672C1DB0"/>
    <w:rsid w:val="6757019B"/>
    <w:rsid w:val="675D569D"/>
    <w:rsid w:val="67622E70"/>
    <w:rsid w:val="676E4DA3"/>
    <w:rsid w:val="67820224"/>
    <w:rsid w:val="678B0FA7"/>
    <w:rsid w:val="679057CB"/>
    <w:rsid w:val="67993AC6"/>
    <w:rsid w:val="67A61DC6"/>
    <w:rsid w:val="67B61CEA"/>
    <w:rsid w:val="67BC6E04"/>
    <w:rsid w:val="67BE5BE6"/>
    <w:rsid w:val="67C43F9F"/>
    <w:rsid w:val="67E95BA4"/>
    <w:rsid w:val="67F508D9"/>
    <w:rsid w:val="67FF048B"/>
    <w:rsid w:val="68004BFC"/>
    <w:rsid w:val="680E58AE"/>
    <w:rsid w:val="6821063A"/>
    <w:rsid w:val="68241AC0"/>
    <w:rsid w:val="682A1ABE"/>
    <w:rsid w:val="683347FB"/>
    <w:rsid w:val="68553D37"/>
    <w:rsid w:val="685B27B5"/>
    <w:rsid w:val="686F7DB3"/>
    <w:rsid w:val="6891551C"/>
    <w:rsid w:val="689B1921"/>
    <w:rsid w:val="689C0C83"/>
    <w:rsid w:val="68A03591"/>
    <w:rsid w:val="68B55766"/>
    <w:rsid w:val="68D15AD2"/>
    <w:rsid w:val="68E85A05"/>
    <w:rsid w:val="68F2495E"/>
    <w:rsid w:val="68F72177"/>
    <w:rsid w:val="68FA5F25"/>
    <w:rsid w:val="69005336"/>
    <w:rsid w:val="69032B6B"/>
    <w:rsid w:val="6916746C"/>
    <w:rsid w:val="691B013B"/>
    <w:rsid w:val="69234BCC"/>
    <w:rsid w:val="692767C0"/>
    <w:rsid w:val="692B4C72"/>
    <w:rsid w:val="692F74DA"/>
    <w:rsid w:val="693C38BA"/>
    <w:rsid w:val="695C0779"/>
    <w:rsid w:val="695F68F3"/>
    <w:rsid w:val="696D26DD"/>
    <w:rsid w:val="699041ED"/>
    <w:rsid w:val="69986730"/>
    <w:rsid w:val="69A62B90"/>
    <w:rsid w:val="69A72E68"/>
    <w:rsid w:val="69B7165E"/>
    <w:rsid w:val="69C7309A"/>
    <w:rsid w:val="69CC62C5"/>
    <w:rsid w:val="69CD585E"/>
    <w:rsid w:val="69D0781E"/>
    <w:rsid w:val="69E27919"/>
    <w:rsid w:val="69E758F4"/>
    <w:rsid w:val="69FB7826"/>
    <w:rsid w:val="6A0279CE"/>
    <w:rsid w:val="6A0826C9"/>
    <w:rsid w:val="6A09215A"/>
    <w:rsid w:val="6A26227A"/>
    <w:rsid w:val="6A3F2B7F"/>
    <w:rsid w:val="6A4C12FD"/>
    <w:rsid w:val="6A5C43AC"/>
    <w:rsid w:val="6A5E6B92"/>
    <w:rsid w:val="6A6133EB"/>
    <w:rsid w:val="6A761C76"/>
    <w:rsid w:val="6A7F65C7"/>
    <w:rsid w:val="6A820F58"/>
    <w:rsid w:val="6A8304A9"/>
    <w:rsid w:val="6A88015F"/>
    <w:rsid w:val="6A9016A9"/>
    <w:rsid w:val="6A93424C"/>
    <w:rsid w:val="6AA206DF"/>
    <w:rsid w:val="6AAF23B6"/>
    <w:rsid w:val="6AD349EC"/>
    <w:rsid w:val="6AE12D99"/>
    <w:rsid w:val="6AE378A8"/>
    <w:rsid w:val="6AE51A58"/>
    <w:rsid w:val="6AE82E44"/>
    <w:rsid w:val="6AE971FE"/>
    <w:rsid w:val="6AFD1F7A"/>
    <w:rsid w:val="6B0529C2"/>
    <w:rsid w:val="6B092EAC"/>
    <w:rsid w:val="6B181A4A"/>
    <w:rsid w:val="6B1B7AAA"/>
    <w:rsid w:val="6B23506E"/>
    <w:rsid w:val="6B326A9D"/>
    <w:rsid w:val="6B546EA6"/>
    <w:rsid w:val="6B5501DA"/>
    <w:rsid w:val="6B7A0DFE"/>
    <w:rsid w:val="6B801EE1"/>
    <w:rsid w:val="6B823747"/>
    <w:rsid w:val="6B8D60F7"/>
    <w:rsid w:val="6B8F2FA0"/>
    <w:rsid w:val="6B907347"/>
    <w:rsid w:val="6B9333B5"/>
    <w:rsid w:val="6B976C33"/>
    <w:rsid w:val="6B9A2455"/>
    <w:rsid w:val="6B9B601D"/>
    <w:rsid w:val="6BA01140"/>
    <w:rsid w:val="6BA54F9D"/>
    <w:rsid w:val="6BA73B92"/>
    <w:rsid w:val="6BB62736"/>
    <w:rsid w:val="6BC645E3"/>
    <w:rsid w:val="6BC64A88"/>
    <w:rsid w:val="6BF1695D"/>
    <w:rsid w:val="6C0B689E"/>
    <w:rsid w:val="6C263EF7"/>
    <w:rsid w:val="6C2665EA"/>
    <w:rsid w:val="6C2E2D9D"/>
    <w:rsid w:val="6C3E3820"/>
    <w:rsid w:val="6C512E26"/>
    <w:rsid w:val="6C5778E3"/>
    <w:rsid w:val="6C6B7EA5"/>
    <w:rsid w:val="6C6F59CB"/>
    <w:rsid w:val="6C712EE4"/>
    <w:rsid w:val="6C7C50F6"/>
    <w:rsid w:val="6C84644B"/>
    <w:rsid w:val="6C872799"/>
    <w:rsid w:val="6C900637"/>
    <w:rsid w:val="6CB24EBA"/>
    <w:rsid w:val="6CCC0689"/>
    <w:rsid w:val="6CCC44CE"/>
    <w:rsid w:val="6CD53B16"/>
    <w:rsid w:val="6CF312E2"/>
    <w:rsid w:val="6D0A12D1"/>
    <w:rsid w:val="6D0D340F"/>
    <w:rsid w:val="6D2C1403"/>
    <w:rsid w:val="6D2F74EA"/>
    <w:rsid w:val="6D352E02"/>
    <w:rsid w:val="6D482FEB"/>
    <w:rsid w:val="6D5737A7"/>
    <w:rsid w:val="6D5B64A9"/>
    <w:rsid w:val="6D650E7C"/>
    <w:rsid w:val="6D6D07C9"/>
    <w:rsid w:val="6D791F82"/>
    <w:rsid w:val="6D8635F9"/>
    <w:rsid w:val="6D9B6F83"/>
    <w:rsid w:val="6DA45D4B"/>
    <w:rsid w:val="6DAF6F54"/>
    <w:rsid w:val="6DB0498B"/>
    <w:rsid w:val="6DC275EA"/>
    <w:rsid w:val="6DCE44A1"/>
    <w:rsid w:val="6DD477EA"/>
    <w:rsid w:val="6DDB2EB5"/>
    <w:rsid w:val="6DE4225A"/>
    <w:rsid w:val="6E18322B"/>
    <w:rsid w:val="6E1934B8"/>
    <w:rsid w:val="6E2E1466"/>
    <w:rsid w:val="6E305292"/>
    <w:rsid w:val="6E6320D5"/>
    <w:rsid w:val="6E727911"/>
    <w:rsid w:val="6E753CB3"/>
    <w:rsid w:val="6E8A617B"/>
    <w:rsid w:val="6E946D95"/>
    <w:rsid w:val="6EB542C6"/>
    <w:rsid w:val="6EB94BA3"/>
    <w:rsid w:val="6EC93A08"/>
    <w:rsid w:val="6ECD5CF4"/>
    <w:rsid w:val="6ED06AFB"/>
    <w:rsid w:val="6EDC1DEF"/>
    <w:rsid w:val="6EE70F44"/>
    <w:rsid w:val="6EF70B20"/>
    <w:rsid w:val="6F1D4AB8"/>
    <w:rsid w:val="6F2409A2"/>
    <w:rsid w:val="6F3A2AFE"/>
    <w:rsid w:val="6F3E3E3A"/>
    <w:rsid w:val="6F490E35"/>
    <w:rsid w:val="6F4B6468"/>
    <w:rsid w:val="6F4D6995"/>
    <w:rsid w:val="6F543687"/>
    <w:rsid w:val="6F5C5BA9"/>
    <w:rsid w:val="6F5E5779"/>
    <w:rsid w:val="6F681A7E"/>
    <w:rsid w:val="6F720184"/>
    <w:rsid w:val="6F8F7FF3"/>
    <w:rsid w:val="6F906565"/>
    <w:rsid w:val="6FA40305"/>
    <w:rsid w:val="6FAA438C"/>
    <w:rsid w:val="6FB67043"/>
    <w:rsid w:val="6FB9400A"/>
    <w:rsid w:val="6FD90FCE"/>
    <w:rsid w:val="6FE4753E"/>
    <w:rsid w:val="6FE57E66"/>
    <w:rsid w:val="70061129"/>
    <w:rsid w:val="7023326E"/>
    <w:rsid w:val="702C5338"/>
    <w:rsid w:val="7030263F"/>
    <w:rsid w:val="703F2826"/>
    <w:rsid w:val="70546C18"/>
    <w:rsid w:val="70602F42"/>
    <w:rsid w:val="709902CC"/>
    <w:rsid w:val="70AB40B7"/>
    <w:rsid w:val="70B0281C"/>
    <w:rsid w:val="70C40C12"/>
    <w:rsid w:val="70C97A28"/>
    <w:rsid w:val="70CD22D0"/>
    <w:rsid w:val="70D96C0B"/>
    <w:rsid w:val="71065DDE"/>
    <w:rsid w:val="710D43F3"/>
    <w:rsid w:val="711C76A0"/>
    <w:rsid w:val="712E4386"/>
    <w:rsid w:val="712E50BB"/>
    <w:rsid w:val="713316EB"/>
    <w:rsid w:val="714012EC"/>
    <w:rsid w:val="71497745"/>
    <w:rsid w:val="714B0C72"/>
    <w:rsid w:val="715D66BF"/>
    <w:rsid w:val="7168384B"/>
    <w:rsid w:val="71692F0B"/>
    <w:rsid w:val="716E5656"/>
    <w:rsid w:val="7172280B"/>
    <w:rsid w:val="717434F4"/>
    <w:rsid w:val="71764C49"/>
    <w:rsid w:val="719105FF"/>
    <w:rsid w:val="71A03A3E"/>
    <w:rsid w:val="71A84F80"/>
    <w:rsid w:val="71AD0EB9"/>
    <w:rsid w:val="71AE796D"/>
    <w:rsid w:val="71B15DFA"/>
    <w:rsid w:val="71B5609B"/>
    <w:rsid w:val="71BB1CB0"/>
    <w:rsid w:val="71C42D5F"/>
    <w:rsid w:val="71C728EC"/>
    <w:rsid w:val="71C74A19"/>
    <w:rsid w:val="71C92755"/>
    <w:rsid w:val="71D72443"/>
    <w:rsid w:val="71DF10BD"/>
    <w:rsid w:val="71E13C5E"/>
    <w:rsid w:val="71F76900"/>
    <w:rsid w:val="7200750B"/>
    <w:rsid w:val="72011EAD"/>
    <w:rsid w:val="7215158B"/>
    <w:rsid w:val="721E1CA7"/>
    <w:rsid w:val="721F3CCD"/>
    <w:rsid w:val="722A2F37"/>
    <w:rsid w:val="722D3DCC"/>
    <w:rsid w:val="722E6C9F"/>
    <w:rsid w:val="723112E2"/>
    <w:rsid w:val="72331F17"/>
    <w:rsid w:val="72382263"/>
    <w:rsid w:val="72384F64"/>
    <w:rsid w:val="72394CDF"/>
    <w:rsid w:val="723D0E8D"/>
    <w:rsid w:val="724617CF"/>
    <w:rsid w:val="7251579C"/>
    <w:rsid w:val="72575FC0"/>
    <w:rsid w:val="726D68D7"/>
    <w:rsid w:val="728007C0"/>
    <w:rsid w:val="729B335C"/>
    <w:rsid w:val="729D5BEB"/>
    <w:rsid w:val="72A43F66"/>
    <w:rsid w:val="72A458D7"/>
    <w:rsid w:val="72BB07CE"/>
    <w:rsid w:val="72BC0798"/>
    <w:rsid w:val="72C61A0E"/>
    <w:rsid w:val="72E32351"/>
    <w:rsid w:val="72FA6E7B"/>
    <w:rsid w:val="730E15CD"/>
    <w:rsid w:val="73110991"/>
    <w:rsid w:val="73111BDD"/>
    <w:rsid w:val="73162030"/>
    <w:rsid w:val="73174141"/>
    <w:rsid w:val="7325752B"/>
    <w:rsid w:val="73421A23"/>
    <w:rsid w:val="73582D06"/>
    <w:rsid w:val="7388140B"/>
    <w:rsid w:val="73893016"/>
    <w:rsid w:val="73AB03D7"/>
    <w:rsid w:val="73BC1A88"/>
    <w:rsid w:val="73D471E3"/>
    <w:rsid w:val="73E02311"/>
    <w:rsid w:val="73F623F9"/>
    <w:rsid w:val="740005C9"/>
    <w:rsid w:val="74035E90"/>
    <w:rsid w:val="74156AF6"/>
    <w:rsid w:val="741D2E8B"/>
    <w:rsid w:val="742B42A9"/>
    <w:rsid w:val="743D4602"/>
    <w:rsid w:val="743F117C"/>
    <w:rsid w:val="744676C1"/>
    <w:rsid w:val="74543212"/>
    <w:rsid w:val="74557BCA"/>
    <w:rsid w:val="74575767"/>
    <w:rsid w:val="74734D48"/>
    <w:rsid w:val="74840E7C"/>
    <w:rsid w:val="74842BF8"/>
    <w:rsid w:val="748E65FE"/>
    <w:rsid w:val="74A03302"/>
    <w:rsid w:val="74A21BD1"/>
    <w:rsid w:val="74A60D6B"/>
    <w:rsid w:val="74BB046E"/>
    <w:rsid w:val="74C974CE"/>
    <w:rsid w:val="74D23C44"/>
    <w:rsid w:val="74F07512"/>
    <w:rsid w:val="74F6632E"/>
    <w:rsid w:val="750D646B"/>
    <w:rsid w:val="750E2482"/>
    <w:rsid w:val="750F0DF5"/>
    <w:rsid w:val="75374793"/>
    <w:rsid w:val="754A5374"/>
    <w:rsid w:val="755C1417"/>
    <w:rsid w:val="75757B3C"/>
    <w:rsid w:val="757C63C6"/>
    <w:rsid w:val="7581073E"/>
    <w:rsid w:val="758A737F"/>
    <w:rsid w:val="75975609"/>
    <w:rsid w:val="759770CB"/>
    <w:rsid w:val="75991C1A"/>
    <w:rsid w:val="75A14214"/>
    <w:rsid w:val="75D9739F"/>
    <w:rsid w:val="75DB12A8"/>
    <w:rsid w:val="75E43415"/>
    <w:rsid w:val="76091A03"/>
    <w:rsid w:val="760D62FF"/>
    <w:rsid w:val="761C1C5D"/>
    <w:rsid w:val="761C6E55"/>
    <w:rsid w:val="763D7C1D"/>
    <w:rsid w:val="76443D2D"/>
    <w:rsid w:val="764A32CE"/>
    <w:rsid w:val="765E3E2A"/>
    <w:rsid w:val="765E4D89"/>
    <w:rsid w:val="766B1D7C"/>
    <w:rsid w:val="768E5A3F"/>
    <w:rsid w:val="769512A8"/>
    <w:rsid w:val="769F702E"/>
    <w:rsid w:val="76A00377"/>
    <w:rsid w:val="76B95A6F"/>
    <w:rsid w:val="76C00489"/>
    <w:rsid w:val="76C22BC6"/>
    <w:rsid w:val="76C60B1B"/>
    <w:rsid w:val="76D16C4B"/>
    <w:rsid w:val="76D404DC"/>
    <w:rsid w:val="76E24DD1"/>
    <w:rsid w:val="76E9794A"/>
    <w:rsid w:val="76FA5FE0"/>
    <w:rsid w:val="77073F6D"/>
    <w:rsid w:val="771F3B49"/>
    <w:rsid w:val="774B64DE"/>
    <w:rsid w:val="774E5E6B"/>
    <w:rsid w:val="774E7E3C"/>
    <w:rsid w:val="77565376"/>
    <w:rsid w:val="775D2713"/>
    <w:rsid w:val="77650853"/>
    <w:rsid w:val="776A3DA3"/>
    <w:rsid w:val="7776728E"/>
    <w:rsid w:val="77871CE3"/>
    <w:rsid w:val="7799379B"/>
    <w:rsid w:val="779F3AC0"/>
    <w:rsid w:val="77B94888"/>
    <w:rsid w:val="77C15F85"/>
    <w:rsid w:val="77C22121"/>
    <w:rsid w:val="77E1504B"/>
    <w:rsid w:val="77E531E0"/>
    <w:rsid w:val="77E867EA"/>
    <w:rsid w:val="77EB06C6"/>
    <w:rsid w:val="77F119B6"/>
    <w:rsid w:val="77F80A01"/>
    <w:rsid w:val="77FC5A6C"/>
    <w:rsid w:val="780A60B5"/>
    <w:rsid w:val="7813126F"/>
    <w:rsid w:val="78151B0A"/>
    <w:rsid w:val="78231F18"/>
    <w:rsid w:val="78281A63"/>
    <w:rsid w:val="782E5C3A"/>
    <w:rsid w:val="783A6A35"/>
    <w:rsid w:val="7849700E"/>
    <w:rsid w:val="784D3AF3"/>
    <w:rsid w:val="78512557"/>
    <w:rsid w:val="78530C1C"/>
    <w:rsid w:val="785F0C95"/>
    <w:rsid w:val="786C6182"/>
    <w:rsid w:val="786F737B"/>
    <w:rsid w:val="787A0AF1"/>
    <w:rsid w:val="787A3FFD"/>
    <w:rsid w:val="788009AC"/>
    <w:rsid w:val="78825C64"/>
    <w:rsid w:val="7896116A"/>
    <w:rsid w:val="78B869BD"/>
    <w:rsid w:val="78BF0B7C"/>
    <w:rsid w:val="78C1793F"/>
    <w:rsid w:val="78C7519A"/>
    <w:rsid w:val="78D87FE6"/>
    <w:rsid w:val="78ED1CAE"/>
    <w:rsid w:val="78F814BA"/>
    <w:rsid w:val="78FA3925"/>
    <w:rsid w:val="790B1CE7"/>
    <w:rsid w:val="790B3F5B"/>
    <w:rsid w:val="790B7E30"/>
    <w:rsid w:val="79120949"/>
    <w:rsid w:val="79176695"/>
    <w:rsid w:val="791A5A03"/>
    <w:rsid w:val="794D0644"/>
    <w:rsid w:val="79513BF2"/>
    <w:rsid w:val="795B2899"/>
    <w:rsid w:val="796450AB"/>
    <w:rsid w:val="7995131B"/>
    <w:rsid w:val="79A22925"/>
    <w:rsid w:val="79A25218"/>
    <w:rsid w:val="79BD1115"/>
    <w:rsid w:val="79BE6EBF"/>
    <w:rsid w:val="79C45B4A"/>
    <w:rsid w:val="79CD44BD"/>
    <w:rsid w:val="79DA1428"/>
    <w:rsid w:val="79F734FD"/>
    <w:rsid w:val="79F77597"/>
    <w:rsid w:val="79FF5FB9"/>
    <w:rsid w:val="7A0468A5"/>
    <w:rsid w:val="7A1E6873"/>
    <w:rsid w:val="7A2C079B"/>
    <w:rsid w:val="7A2F5864"/>
    <w:rsid w:val="7A3E45E6"/>
    <w:rsid w:val="7A420A25"/>
    <w:rsid w:val="7A4E51BE"/>
    <w:rsid w:val="7A7A3F3B"/>
    <w:rsid w:val="7A7E6175"/>
    <w:rsid w:val="7A866F24"/>
    <w:rsid w:val="7A931334"/>
    <w:rsid w:val="7A983EEB"/>
    <w:rsid w:val="7ABB2CAB"/>
    <w:rsid w:val="7ACE331D"/>
    <w:rsid w:val="7ADE6784"/>
    <w:rsid w:val="7B0537C3"/>
    <w:rsid w:val="7B196C4C"/>
    <w:rsid w:val="7B310F16"/>
    <w:rsid w:val="7B393376"/>
    <w:rsid w:val="7B594FF2"/>
    <w:rsid w:val="7B5A4ED4"/>
    <w:rsid w:val="7B5A73A1"/>
    <w:rsid w:val="7B654FEA"/>
    <w:rsid w:val="7B6E2289"/>
    <w:rsid w:val="7B7D2DEA"/>
    <w:rsid w:val="7B837402"/>
    <w:rsid w:val="7B8C5267"/>
    <w:rsid w:val="7B8E6C66"/>
    <w:rsid w:val="7B8F25DF"/>
    <w:rsid w:val="7B9B65DC"/>
    <w:rsid w:val="7B9E1553"/>
    <w:rsid w:val="7BA72545"/>
    <w:rsid w:val="7BA7747E"/>
    <w:rsid w:val="7BBC2DAE"/>
    <w:rsid w:val="7BE375EE"/>
    <w:rsid w:val="7BE6291F"/>
    <w:rsid w:val="7BF738DC"/>
    <w:rsid w:val="7C0D3677"/>
    <w:rsid w:val="7C161F55"/>
    <w:rsid w:val="7C1A7142"/>
    <w:rsid w:val="7C1F0C9E"/>
    <w:rsid w:val="7C2802CA"/>
    <w:rsid w:val="7C2E0D0A"/>
    <w:rsid w:val="7C427891"/>
    <w:rsid w:val="7C4505EB"/>
    <w:rsid w:val="7C6E0BAB"/>
    <w:rsid w:val="7C711686"/>
    <w:rsid w:val="7C7249DA"/>
    <w:rsid w:val="7C8266DE"/>
    <w:rsid w:val="7C9A0624"/>
    <w:rsid w:val="7CA35FF5"/>
    <w:rsid w:val="7CA6029F"/>
    <w:rsid w:val="7CAE37D1"/>
    <w:rsid w:val="7CB83873"/>
    <w:rsid w:val="7CC6351F"/>
    <w:rsid w:val="7CC913D0"/>
    <w:rsid w:val="7CCD7A78"/>
    <w:rsid w:val="7CDA4902"/>
    <w:rsid w:val="7CDD3AC7"/>
    <w:rsid w:val="7CDE30E7"/>
    <w:rsid w:val="7CDF111D"/>
    <w:rsid w:val="7CF03127"/>
    <w:rsid w:val="7CF4572C"/>
    <w:rsid w:val="7D0B1FE0"/>
    <w:rsid w:val="7D1056C2"/>
    <w:rsid w:val="7D12312B"/>
    <w:rsid w:val="7D5116E6"/>
    <w:rsid w:val="7D512049"/>
    <w:rsid w:val="7D633CDA"/>
    <w:rsid w:val="7D6D6670"/>
    <w:rsid w:val="7D6E4BE1"/>
    <w:rsid w:val="7D76251A"/>
    <w:rsid w:val="7D7A5D6C"/>
    <w:rsid w:val="7D87797E"/>
    <w:rsid w:val="7DA01648"/>
    <w:rsid w:val="7DB47BF4"/>
    <w:rsid w:val="7DB75715"/>
    <w:rsid w:val="7DC94E81"/>
    <w:rsid w:val="7DD218F8"/>
    <w:rsid w:val="7DD3489F"/>
    <w:rsid w:val="7E0B41A0"/>
    <w:rsid w:val="7E303A17"/>
    <w:rsid w:val="7E341BA0"/>
    <w:rsid w:val="7E385FE4"/>
    <w:rsid w:val="7E41719A"/>
    <w:rsid w:val="7E511DCA"/>
    <w:rsid w:val="7E5F6A40"/>
    <w:rsid w:val="7E661D6C"/>
    <w:rsid w:val="7E68516F"/>
    <w:rsid w:val="7E6B2E2E"/>
    <w:rsid w:val="7E775C36"/>
    <w:rsid w:val="7E7E44EE"/>
    <w:rsid w:val="7E820419"/>
    <w:rsid w:val="7E854308"/>
    <w:rsid w:val="7EAA5207"/>
    <w:rsid w:val="7EC16F4F"/>
    <w:rsid w:val="7EC94123"/>
    <w:rsid w:val="7ED3483A"/>
    <w:rsid w:val="7EDB5192"/>
    <w:rsid w:val="7EDF1237"/>
    <w:rsid w:val="7EF66695"/>
    <w:rsid w:val="7F093D76"/>
    <w:rsid w:val="7F115D3D"/>
    <w:rsid w:val="7F49724B"/>
    <w:rsid w:val="7F5D1D4D"/>
    <w:rsid w:val="7F6110BD"/>
    <w:rsid w:val="7F624FF2"/>
    <w:rsid w:val="7F645D25"/>
    <w:rsid w:val="7F6B033A"/>
    <w:rsid w:val="7F830F83"/>
    <w:rsid w:val="7F835D30"/>
    <w:rsid w:val="7F9D61FD"/>
    <w:rsid w:val="7FA11F32"/>
    <w:rsid w:val="7FB7FCFB"/>
    <w:rsid w:val="7FB94A32"/>
    <w:rsid w:val="7FBC5675"/>
    <w:rsid w:val="7FC845AE"/>
    <w:rsid w:val="7FDF53AC"/>
    <w:rsid w:val="7FE13ECE"/>
    <w:rsid w:val="7FE6789F"/>
    <w:rsid w:val="7FE73CE6"/>
    <w:rsid w:val="7FF350A7"/>
    <w:rsid w:val="7FF65F0F"/>
    <w:rsid w:val="7FFD240C"/>
    <w:rsid w:val="FBFFD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6" w:lineRule="auto"/>
      <w:textAlignment w:val="center"/>
      <w:outlineLvl w:val="0"/>
    </w:pPr>
    <w:rPr>
      <w:bCs/>
      <w:kern w:val="44"/>
      <w:sz w:val="44"/>
      <w:szCs w:val="44"/>
    </w:rPr>
  </w:style>
  <w:style w:type="paragraph" w:styleId="3">
    <w:name w:val="heading 2"/>
    <w:basedOn w:val="1"/>
    <w:next w:val="1"/>
    <w:link w:val="40"/>
    <w:qFormat/>
    <w:uiPriority w:val="0"/>
    <w:pPr>
      <w:keepNext/>
      <w:keepLines/>
      <w:spacing w:before="260" w:after="260" w:line="415" w:lineRule="auto"/>
      <w:outlineLvl w:val="1"/>
    </w:pPr>
    <w:rPr>
      <w:rFonts w:ascii="Arial" w:hAnsi="Arial"/>
      <w:b/>
      <w:bCs/>
      <w:sz w:val="32"/>
      <w:szCs w:val="32"/>
    </w:rPr>
  </w:style>
  <w:style w:type="paragraph" w:styleId="4">
    <w:name w:val="heading 3"/>
    <w:basedOn w:val="1"/>
    <w:next w:val="1"/>
    <w:qFormat/>
    <w:uiPriority w:val="0"/>
    <w:pPr>
      <w:keepNext/>
      <w:keepLines/>
      <w:spacing w:before="260" w:after="260" w:line="413" w:lineRule="auto"/>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qFormat/>
    <w:uiPriority w:val="9"/>
    <w:pPr>
      <w:keepNext/>
      <w:keepLines/>
      <w:spacing w:before="280" w:after="290" w:line="376" w:lineRule="auto"/>
      <w:outlineLvl w:val="4"/>
    </w:pPr>
    <w:rPr>
      <w:b/>
      <w:bCs/>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List Number"/>
    <w:basedOn w:val="1"/>
    <w:qFormat/>
    <w:uiPriority w:val="0"/>
    <w:pPr>
      <w:widowControl/>
      <w:numPr>
        <w:ilvl w:val="0"/>
        <w:numId w:val="1"/>
      </w:numPr>
      <w:tabs>
        <w:tab w:val="left" w:pos="454"/>
        <w:tab w:val="left" w:pos="720"/>
        <w:tab w:val="clear" w:pos="900"/>
      </w:tabs>
      <w:spacing w:afterLines="50"/>
      <w:ind w:left="454" w:hanging="284"/>
      <w:jc w:val="left"/>
    </w:pPr>
    <w:rPr>
      <w:kern w:val="0"/>
      <w:sz w:val="24"/>
      <w:szCs w:val="20"/>
    </w:rPr>
  </w:style>
  <w:style w:type="paragraph" w:styleId="8">
    <w:name w:val="Normal Indent"/>
    <w:basedOn w:val="1"/>
    <w:next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semiHidden/>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next w:val="13"/>
    <w:qFormat/>
    <w:uiPriority w:val="0"/>
    <w:pPr>
      <w:spacing w:after="120"/>
    </w:pPr>
  </w:style>
  <w:style w:type="paragraph" w:styleId="13">
    <w:name w:val="Body Text First Indent"/>
    <w:basedOn w:val="12"/>
    <w:qFormat/>
    <w:uiPriority w:val="0"/>
    <w:pPr>
      <w:autoSpaceDE w:val="0"/>
      <w:autoSpaceDN w:val="0"/>
      <w:adjustRightInd w:val="0"/>
      <w:spacing w:line="360" w:lineRule="auto"/>
      <w:ind w:firstLine="420"/>
    </w:pPr>
    <w:rPr>
      <w:rFonts w:ascii="宋体"/>
      <w:szCs w:val="20"/>
      <w:lang w:val="zh-CN"/>
    </w:rPr>
  </w:style>
  <w:style w:type="paragraph" w:styleId="14">
    <w:name w:val="Body Text Indent"/>
    <w:basedOn w:val="1"/>
    <w:next w:val="1"/>
    <w:qFormat/>
    <w:uiPriority w:val="0"/>
    <w:pPr>
      <w:spacing w:after="120"/>
      <w:ind w:left="420" w:leftChars="200"/>
    </w:pPr>
  </w:style>
  <w:style w:type="paragraph" w:styleId="15">
    <w:name w:val="List 2"/>
    <w:basedOn w:val="1"/>
    <w:qFormat/>
    <w:uiPriority w:val="0"/>
    <w:pPr>
      <w:ind w:left="100" w:leftChars="200" w:hanging="200" w:hangingChars="200"/>
    </w:pPr>
  </w:style>
  <w:style w:type="paragraph" w:styleId="16">
    <w:name w:val="index 4"/>
    <w:basedOn w:val="1"/>
    <w:next w:val="1"/>
    <w:unhideWhenUsed/>
    <w:qFormat/>
    <w:uiPriority w:val="99"/>
    <w:pPr>
      <w:ind w:left="600" w:leftChars="600"/>
    </w:pPr>
  </w:style>
  <w:style w:type="paragraph" w:styleId="17">
    <w:name w:val="Plain Text"/>
    <w:basedOn w:val="1"/>
    <w:link w:val="45"/>
    <w:qFormat/>
    <w:uiPriority w:val="0"/>
    <w:pPr>
      <w:spacing w:beforeLines="50" w:afterLines="50" w:line="400" w:lineRule="exact"/>
    </w:pPr>
    <w:rPr>
      <w:rFonts w:ascii="宋体" w:hAnsi="Courier New"/>
      <w:sz w:val="24"/>
    </w:rPr>
  </w:style>
  <w:style w:type="paragraph" w:styleId="18">
    <w:name w:val="Date"/>
    <w:basedOn w:val="1"/>
    <w:next w:val="1"/>
    <w:link w:val="46"/>
    <w:qFormat/>
    <w:uiPriority w:val="0"/>
    <w:pPr>
      <w:ind w:left="2500" w:leftChars="2500"/>
    </w:pPr>
    <w:rPr>
      <w:rFonts w:eastAsia="楷体_GB2312"/>
      <w:sz w:val="32"/>
      <w:szCs w:val="20"/>
    </w:rPr>
  </w:style>
  <w:style w:type="paragraph" w:styleId="19">
    <w:name w:val="Body Text Indent 2"/>
    <w:basedOn w:val="1"/>
    <w:qFormat/>
    <w:uiPriority w:val="0"/>
    <w:pPr>
      <w:snapToGrid w:val="0"/>
      <w:ind w:firstLine="542" w:firstLineChars="225"/>
    </w:pPr>
    <w:rPr>
      <w:rFonts w:ascii="仿宋_GB2312" w:hAnsi="宋体" w:cs="Arial"/>
      <w:b/>
      <w:bCs/>
      <w:color w:val="000000"/>
      <w:sz w:val="24"/>
    </w:rPr>
  </w:style>
  <w:style w:type="paragraph" w:styleId="20">
    <w:name w:val="Balloon Text"/>
    <w:basedOn w:val="1"/>
    <w:link w:val="47"/>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Subtitle"/>
    <w:basedOn w:val="1"/>
    <w:next w:val="1"/>
    <w:qFormat/>
    <w:uiPriority w:val="11"/>
    <w:pPr>
      <w:spacing w:afterLines="50"/>
      <w:jc w:val="center"/>
    </w:pPr>
    <w:rPr>
      <w:rFonts w:eastAsia="Times New Roman"/>
      <w:sz w:val="18"/>
      <w:szCs w:val="18"/>
    </w:rPr>
  </w:style>
  <w:style w:type="paragraph" w:styleId="25">
    <w:name w:val="List"/>
    <w:basedOn w:val="1"/>
    <w:qFormat/>
    <w:uiPriority w:val="0"/>
    <w:pPr>
      <w:ind w:left="200" w:hanging="200" w:hangingChars="200"/>
    </w:pPr>
  </w:style>
  <w:style w:type="paragraph" w:styleId="26">
    <w:name w:val="toc 6"/>
    <w:basedOn w:val="1"/>
    <w:next w:val="1"/>
    <w:qFormat/>
    <w:uiPriority w:val="0"/>
    <w:pPr>
      <w:ind w:left="1050"/>
      <w:jc w:val="left"/>
    </w:pPr>
    <w:rPr>
      <w:rFonts w:ascii="仿宋_GB2312" w:eastAsia="仿宋_GB2312"/>
      <w:sz w:val="18"/>
      <w:szCs w:val="18"/>
    </w:rPr>
  </w:style>
  <w:style w:type="paragraph" w:styleId="27">
    <w:name w:val="Body Text Indent 3"/>
    <w:basedOn w:val="1"/>
    <w:qFormat/>
    <w:uiPriority w:val="0"/>
    <w:pPr>
      <w:spacing w:after="120"/>
      <w:ind w:left="420" w:leftChars="200"/>
    </w:pPr>
    <w:rPr>
      <w:sz w:val="16"/>
      <w:szCs w:val="16"/>
    </w:rPr>
  </w:style>
  <w:style w:type="paragraph" w:styleId="28">
    <w:name w:val="Body Text 2"/>
    <w:basedOn w:val="1"/>
    <w:qFormat/>
    <w:uiPriority w:val="0"/>
    <w:pPr>
      <w:spacing w:after="120" w:line="480" w:lineRule="auto"/>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0"/>
    <w:pPr>
      <w:widowControl/>
      <w:spacing w:before="100" w:beforeAutospacing="1" w:after="100" w:afterAutospacing="1" w:line="300" w:lineRule="atLeast"/>
      <w:jc w:val="left"/>
    </w:pPr>
    <w:rPr>
      <w:rFonts w:ascii="宋体" w:hAnsi="宋体"/>
      <w:color w:val="000000"/>
      <w:kern w:val="0"/>
      <w:sz w:val="18"/>
    </w:rPr>
  </w:style>
  <w:style w:type="paragraph" w:styleId="31">
    <w:name w:val="annotation subject"/>
    <w:basedOn w:val="10"/>
    <w:next w:val="10"/>
    <w:semiHidden/>
    <w:qFormat/>
    <w:uiPriority w:val="0"/>
    <w:rPr>
      <w:b/>
      <w:bCs/>
    </w:rPr>
  </w:style>
  <w:style w:type="paragraph" w:styleId="32">
    <w:name w:val="Body Text First Indent 2"/>
    <w:basedOn w:val="14"/>
    <w:unhideWhenUsed/>
    <w:qFormat/>
    <w:uiPriority w:val="99"/>
    <w:pPr>
      <w:ind w:firstLine="420" w:firstLineChars="200"/>
    </w:pPr>
    <w:rPr>
      <w:rFonts w:ascii="Calibri" w:hAnsi="Calibri"/>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qFormat/>
    <w:uiPriority w:val="0"/>
  </w:style>
  <w:style w:type="character" w:styleId="38">
    <w:name w:val="Hyperlink"/>
    <w:qFormat/>
    <w:uiPriority w:val="0"/>
    <w:rPr>
      <w:color w:val="0000FF"/>
      <w:u w:val="single"/>
    </w:rPr>
  </w:style>
  <w:style w:type="character" w:styleId="39">
    <w:name w:val="annotation reference"/>
    <w:semiHidden/>
    <w:qFormat/>
    <w:uiPriority w:val="0"/>
    <w:rPr>
      <w:sz w:val="21"/>
      <w:szCs w:val="21"/>
    </w:rPr>
  </w:style>
  <w:style w:type="character" w:customStyle="1" w:styleId="40">
    <w:name w:val="标题 2 字符"/>
    <w:link w:val="3"/>
    <w:qFormat/>
    <w:uiPriority w:val="9"/>
    <w:rPr>
      <w:rFonts w:ascii="Arial" w:hAnsi="Arial" w:eastAsia="黑体"/>
      <w:b/>
      <w:bCs/>
      <w:sz w:val="32"/>
      <w:szCs w:val="32"/>
    </w:rPr>
  </w:style>
  <w:style w:type="character" w:customStyle="1" w:styleId="41">
    <w:name w:val="标题 1 字符"/>
    <w:link w:val="2"/>
    <w:qFormat/>
    <w:uiPriority w:val="0"/>
    <w:rPr>
      <w:rFonts w:eastAsia="宋体"/>
      <w:bCs/>
      <w:kern w:val="44"/>
      <w:sz w:val="44"/>
      <w:szCs w:val="44"/>
    </w:rPr>
  </w:style>
  <w:style w:type="paragraph" w:customStyle="1" w:styleId="42">
    <w:name w:val="正文2"/>
    <w:basedOn w:val="1"/>
    <w:link w:val="49"/>
    <w:qFormat/>
    <w:uiPriority w:val="0"/>
    <w:pPr>
      <w:spacing w:before="156" w:line="360" w:lineRule="auto"/>
      <w:ind w:firstLine="510" w:firstLineChars="200"/>
    </w:pPr>
    <w:rPr>
      <w:sz w:val="24"/>
      <w:szCs w:val="20"/>
    </w:rPr>
  </w:style>
  <w:style w:type="paragraph" w:customStyle="1" w:styleId="43">
    <w:name w:val="一级条标题"/>
    <w:basedOn w:val="1"/>
    <w:next w:val="1"/>
    <w:qFormat/>
    <w:uiPriority w:val="0"/>
    <w:pPr>
      <w:widowControl/>
      <w:numPr>
        <w:ilvl w:val="2"/>
        <w:numId w:val="2"/>
      </w:numPr>
      <w:jc w:val="left"/>
      <w:outlineLvl w:val="2"/>
    </w:pPr>
    <w:rPr>
      <w:rFonts w:ascii="黑体" w:eastAsia="黑体"/>
      <w:kern w:val="0"/>
      <w:szCs w:val="20"/>
    </w:rPr>
  </w:style>
  <w:style w:type="paragraph" w:customStyle="1" w:styleId="44">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45">
    <w:name w:val="纯文本 字符"/>
    <w:link w:val="17"/>
    <w:qFormat/>
    <w:uiPriority w:val="0"/>
    <w:rPr>
      <w:rFonts w:ascii="宋体" w:hAnsi="Courier New" w:eastAsia="宋体"/>
      <w:kern w:val="2"/>
      <w:sz w:val="24"/>
      <w:szCs w:val="24"/>
      <w:lang w:val="en-US" w:eastAsia="zh-CN" w:bidi="ar-SA"/>
    </w:rPr>
  </w:style>
  <w:style w:type="character" w:customStyle="1" w:styleId="46">
    <w:name w:val="日期 字符"/>
    <w:link w:val="18"/>
    <w:qFormat/>
    <w:uiPriority w:val="0"/>
    <w:rPr>
      <w:rFonts w:eastAsia="楷体_GB2312"/>
      <w:kern w:val="2"/>
      <w:sz w:val="32"/>
      <w:lang w:val="en-US" w:eastAsia="zh-CN" w:bidi="ar-SA"/>
    </w:rPr>
  </w:style>
  <w:style w:type="character" w:customStyle="1" w:styleId="47">
    <w:name w:val="批注框文本 字符"/>
    <w:link w:val="20"/>
    <w:qFormat/>
    <w:uiPriority w:val="0"/>
    <w:rPr>
      <w:kern w:val="2"/>
      <w:sz w:val="18"/>
      <w:szCs w:val="18"/>
    </w:rPr>
  </w:style>
  <w:style w:type="paragraph" w:customStyle="1" w:styleId="48">
    <w:name w:val="表格文字"/>
    <w:basedOn w:val="17"/>
    <w:next w:val="12"/>
    <w:qFormat/>
    <w:uiPriority w:val="0"/>
    <w:rPr>
      <w:rFonts w:ascii="Arial" w:hAnsi="Arial"/>
      <w:szCs w:val="21"/>
    </w:rPr>
  </w:style>
  <w:style w:type="character" w:customStyle="1" w:styleId="49">
    <w:name w:val="正文2 Char"/>
    <w:link w:val="42"/>
    <w:qFormat/>
    <w:uiPriority w:val="0"/>
    <w:rPr>
      <w:rFonts w:eastAsia="宋体"/>
      <w:kern w:val="2"/>
      <w:sz w:val="24"/>
      <w:lang w:val="en-US" w:eastAsia="zh-CN" w:bidi="ar-SA"/>
    </w:rPr>
  </w:style>
  <w:style w:type="character" w:customStyle="1" w:styleId="50">
    <w:name w:val="10f0000001"/>
    <w:qFormat/>
    <w:uiPriority w:val="0"/>
    <w:rPr>
      <w:b/>
      <w:bCs/>
      <w:spacing w:val="320"/>
      <w:sz w:val="20"/>
      <w:szCs w:val="20"/>
    </w:rPr>
  </w:style>
  <w:style w:type="character" w:customStyle="1" w:styleId="51">
    <w:name w:val="标题 1 Char Char"/>
    <w:qFormat/>
    <w:uiPriority w:val="0"/>
    <w:rPr>
      <w:rFonts w:eastAsia="宋体"/>
      <w:b/>
      <w:spacing w:val="-2"/>
      <w:sz w:val="24"/>
      <w:lang w:val="en-US" w:eastAsia="zh-CN"/>
    </w:rPr>
  </w:style>
  <w:style w:type="character" w:customStyle="1" w:styleId="52">
    <w:name w:val="p141"/>
    <w:qFormat/>
    <w:uiPriority w:val="0"/>
    <w:rPr>
      <w:sz w:val="21"/>
      <w:szCs w:val="21"/>
    </w:rPr>
  </w:style>
  <w:style w:type="character" w:customStyle="1" w:styleId="53">
    <w:name w:val="Char Char4"/>
    <w:qFormat/>
    <w:uiPriority w:val="0"/>
    <w:rPr>
      <w:rFonts w:ascii="宋体" w:hAnsi="Courier New" w:eastAsia="宋体"/>
      <w:sz w:val="21"/>
      <w:lang w:val="en-US" w:eastAsia="zh-CN"/>
    </w:rPr>
  </w:style>
  <w:style w:type="paragraph" w:customStyle="1" w:styleId="54">
    <w:name w:val="IBM 正文"/>
    <w:basedOn w:val="1"/>
    <w:qFormat/>
    <w:uiPriority w:val="0"/>
    <w:pPr>
      <w:spacing w:line="360" w:lineRule="atLeast"/>
    </w:pPr>
    <w:rPr>
      <w:sz w:val="24"/>
    </w:rPr>
  </w:style>
  <w:style w:type="paragraph" w:customStyle="1" w:styleId="55">
    <w:name w:val="_Style 50"/>
    <w:unhideWhenUsed/>
    <w:qFormat/>
    <w:uiPriority w:val="99"/>
    <w:rPr>
      <w:rFonts w:ascii="Times New Roman" w:hAnsi="Times New Roman" w:eastAsia="宋体" w:cs="Times New Roman"/>
      <w:kern w:val="2"/>
      <w:sz w:val="21"/>
      <w:szCs w:val="24"/>
      <w:lang w:val="en-US" w:eastAsia="zh-CN" w:bidi="ar-SA"/>
    </w:rPr>
  </w:style>
  <w:style w:type="paragraph" w:customStyle="1" w:styleId="56">
    <w:name w:val="Default"/>
    <w:next w:val="57"/>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7">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58">
    <w:name w:val="列表段落1"/>
    <w:basedOn w:val="1"/>
    <w:qFormat/>
    <w:uiPriority w:val="34"/>
    <w:pPr>
      <w:ind w:firstLine="420" w:firstLineChars="200"/>
    </w:pPr>
  </w:style>
  <w:style w:type="paragraph" w:customStyle="1" w:styleId="59">
    <w:name w:val="样式 标题 3 +"/>
    <w:basedOn w:val="4"/>
    <w:qFormat/>
    <w:uiPriority w:val="0"/>
    <w:pPr>
      <w:numPr>
        <w:ilvl w:val="2"/>
        <w:numId w:val="3"/>
      </w:numPr>
    </w:pPr>
    <w:rPr>
      <w:kern w:val="0"/>
    </w:rPr>
  </w:style>
  <w:style w:type="paragraph" w:customStyle="1" w:styleId="60">
    <w:name w:val="无间隔1"/>
    <w:qFormat/>
    <w:uiPriority w:val="0"/>
    <w:rPr>
      <w:rFonts w:ascii="Times New Roman" w:hAnsi="Times New Roman" w:eastAsia="宋体" w:cs="Times New Roman"/>
      <w:sz w:val="22"/>
      <w:szCs w:val="22"/>
      <w:lang w:val="en-US" w:eastAsia="en-US" w:bidi="ar-SA"/>
    </w:rPr>
  </w:style>
  <w:style w:type="paragraph" w:customStyle="1" w:styleId="61">
    <w:name w:val="KS表格"/>
    <w:basedOn w:val="1"/>
    <w:qFormat/>
    <w:uiPriority w:val="0"/>
    <w:pPr>
      <w:spacing w:line="300" w:lineRule="auto"/>
    </w:pPr>
    <w:rPr>
      <w:kern w:val="0"/>
      <w:sz w:val="20"/>
      <w:szCs w:val="20"/>
    </w:rPr>
  </w:style>
  <w:style w:type="paragraph" w:customStyle="1" w:styleId="62">
    <w:name w:val="样式1"/>
    <w:basedOn w:val="1"/>
    <w:semiHidden/>
    <w:qFormat/>
    <w:uiPriority w:val="99"/>
    <w:pPr>
      <w:numPr>
        <w:ilvl w:val="0"/>
        <w:numId w:val="4"/>
      </w:numPr>
      <w:tabs>
        <w:tab w:val="left" w:pos="709"/>
      </w:tabs>
      <w:adjustRightInd w:val="0"/>
    </w:pPr>
    <w:rPr>
      <w:rFonts w:ascii="宋体" w:hAnsi="宋体"/>
      <w:kern w:val="0"/>
      <w:szCs w:val="21"/>
    </w:rPr>
  </w:style>
  <w:style w:type="paragraph" w:customStyle="1" w:styleId="63">
    <w:name w:val="_Style 3"/>
    <w:qFormat/>
    <w:uiPriority w:val="0"/>
    <w:pPr>
      <w:widowControl w:val="0"/>
      <w:jc w:val="both"/>
    </w:pPr>
    <w:rPr>
      <w:rFonts w:ascii="Times New Roman" w:hAnsi="Times New Roman" w:eastAsia="Arial" w:cs="Times New Roman"/>
      <w:kern w:val="2"/>
      <w:sz w:val="21"/>
      <w:szCs w:val="22"/>
      <w:lang w:val="en-US" w:eastAsia="zh-CN" w:bidi="ar-SA"/>
    </w:rPr>
  </w:style>
  <w:style w:type="paragraph" w:customStyle="1" w:styleId="6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5">
    <w:name w:val="标题 41"/>
    <w:basedOn w:val="1"/>
    <w:qFormat/>
    <w:uiPriority w:val="0"/>
    <w:pPr>
      <w:autoSpaceDE w:val="0"/>
      <w:autoSpaceDN w:val="0"/>
      <w:adjustRightInd w:val="0"/>
      <w:ind w:left="400"/>
      <w:jc w:val="left"/>
      <w:outlineLvl w:val="3"/>
    </w:pPr>
    <w:rPr>
      <w:rFonts w:cs="宋体"/>
      <w:b/>
      <w:bCs/>
      <w:kern w:val="0"/>
      <w:sz w:val="24"/>
    </w:rPr>
  </w:style>
  <w:style w:type="paragraph" w:customStyle="1" w:styleId="66">
    <w:name w:val="列出段落1"/>
    <w:basedOn w:val="1"/>
    <w:qFormat/>
    <w:uiPriority w:val="99"/>
    <w:pPr>
      <w:ind w:firstLine="420" w:firstLineChars="200"/>
    </w:pPr>
    <w:rPr>
      <w:rFonts w:ascii="Calibri" w:hAnsi="Calibri"/>
      <w:sz w:val="24"/>
    </w:rPr>
  </w:style>
  <w:style w:type="paragraph" w:customStyle="1" w:styleId="67">
    <w:name w:val="样式 标题 5 + 右侧:  -0.18 字符"/>
    <w:basedOn w:val="1"/>
    <w:qFormat/>
    <w:uiPriority w:val="0"/>
    <w:pPr>
      <w:numPr>
        <w:ilvl w:val="4"/>
        <w:numId w:val="5"/>
      </w:numPr>
    </w:pPr>
  </w:style>
  <w:style w:type="paragraph" w:customStyle="1" w:styleId="68">
    <w:name w:val="正文文本缩进 21"/>
    <w:basedOn w:val="1"/>
    <w:qFormat/>
    <w:uiPriority w:val="0"/>
    <w:pPr>
      <w:spacing w:after="120" w:line="480" w:lineRule="auto"/>
      <w:ind w:left="420" w:leftChars="200"/>
    </w:pPr>
    <w:rPr>
      <w:szCs w:val="20"/>
    </w:rPr>
  </w:style>
  <w:style w:type="paragraph" w:customStyle="1" w:styleId="69">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70">
    <w:name w:val="_Style 2"/>
    <w:basedOn w:val="1"/>
    <w:qFormat/>
    <w:uiPriority w:val="0"/>
    <w:pPr>
      <w:tabs>
        <w:tab w:val="left" w:pos="1008"/>
      </w:tabs>
      <w:ind w:left="1008" w:hanging="1008"/>
    </w:pPr>
  </w:style>
  <w:style w:type="paragraph" w:customStyle="1" w:styleId="71">
    <w:name w:val="Char Char Char Char Char Char"/>
    <w:basedOn w:val="1"/>
    <w:qFormat/>
    <w:uiPriority w:val="0"/>
    <w:pPr>
      <w:ind w:firstLine="200" w:firstLineChars="200"/>
    </w:pPr>
    <w:rPr>
      <w:rFonts w:ascii="Tahoma" w:hAnsi="Tahoma"/>
      <w:sz w:val="24"/>
      <w:szCs w:val="20"/>
    </w:rPr>
  </w:style>
  <w:style w:type="paragraph" w:customStyle="1" w:styleId="72">
    <w:name w:val="_Style 48"/>
    <w:basedOn w:val="8"/>
    <w:qFormat/>
    <w:uiPriority w:val="0"/>
    <w:pPr>
      <w:widowControl/>
      <w:spacing w:after="156" w:afterLines="50" w:line="360" w:lineRule="auto"/>
      <w:ind w:firstLine="480" w:firstLineChars="200"/>
      <w:jc w:val="left"/>
    </w:pPr>
  </w:style>
  <w:style w:type="paragraph" w:customStyle="1" w:styleId="73">
    <w:name w:val="样式3"/>
    <w:basedOn w:val="17"/>
    <w:qFormat/>
    <w:uiPriority w:val="99"/>
    <w:pPr>
      <w:spacing w:line="240" w:lineRule="atLeast"/>
      <w:outlineLvl w:val="0"/>
    </w:pPr>
    <w:rPr>
      <w:rFonts w:ascii="Calibri" w:hAnsi="Calibri"/>
      <w:sz w:val="28"/>
      <w:szCs w:val="20"/>
    </w:rPr>
  </w:style>
  <w:style w:type="paragraph" w:customStyle="1" w:styleId="74">
    <w:name w:val="正文段"/>
    <w:basedOn w:val="1"/>
    <w:qFormat/>
    <w:uiPriority w:val="0"/>
    <w:pPr>
      <w:widowControl/>
      <w:snapToGrid w:val="0"/>
      <w:spacing w:afterLines="50"/>
      <w:ind w:firstLine="200" w:firstLineChars="200"/>
    </w:pPr>
    <w:rPr>
      <w:kern w:val="0"/>
      <w:sz w:val="24"/>
      <w:szCs w:val="20"/>
    </w:rPr>
  </w:style>
  <w:style w:type="paragraph" w:customStyle="1" w:styleId="7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76">
    <w:name w:val="纯文本1"/>
    <w:basedOn w:val="69"/>
    <w:qFormat/>
    <w:uiPriority w:val="0"/>
    <w:pPr>
      <w:widowControl/>
      <w:jc w:val="left"/>
    </w:pPr>
    <w:rPr>
      <w:rFonts w:ascii="宋体" w:hAnsi="Courier New"/>
    </w:rPr>
  </w:style>
  <w:style w:type="paragraph" w:customStyle="1" w:styleId="77">
    <w:name w:val="默认段落字体 Para Char Char Char Char Char Char Char Char Char1 Char Char Char Char"/>
    <w:basedOn w:val="1"/>
    <w:qFormat/>
    <w:uiPriority w:val="0"/>
    <w:rPr>
      <w:rFonts w:ascii="Tahoma" w:hAnsi="Tahoma"/>
      <w:sz w:val="24"/>
      <w:szCs w:val="20"/>
    </w:rPr>
  </w:style>
  <w:style w:type="paragraph" w:customStyle="1" w:styleId="78">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无间隔2"/>
    <w:qFormat/>
    <w:uiPriority w:val="0"/>
    <w:rPr>
      <w:rFonts w:ascii="Times New Roman" w:hAnsi="Times New Roman" w:eastAsia="宋体" w:cs="Times New Roman"/>
      <w:sz w:val="22"/>
      <w:szCs w:val="22"/>
      <w:lang w:val="en-US" w:eastAsia="en-US" w:bidi="ar-SA"/>
    </w:rPr>
  </w:style>
  <w:style w:type="paragraph" w:customStyle="1" w:styleId="80">
    <w:name w:val="列出段落11"/>
    <w:basedOn w:val="1"/>
    <w:qFormat/>
    <w:uiPriority w:val="34"/>
    <w:pPr>
      <w:ind w:firstLine="420" w:firstLineChars="200"/>
    </w:pPr>
    <w:rPr>
      <w:rFonts w:ascii="等线" w:hAnsi="等线"/>
      <w:sz w:val="24"/>
      <w:szCs w:val="22"/>
    </w:rPr>
  </w:style>
  <w:style w:type="paragraph" w:customStyle="1" w:styleId="81">
    <w:name w:val="标准小三"/>
    <w:basedOn w:val="1"/>
    <w:qFormat/>
    <w:uiPriority w:val="0"/>
    <w:pPr>
      <w:spacing w:line="700" w:lineRule="exact"/>
      <w:ind w:firstLine="200" w:firstLineChars="200"/>
    </w:pPr>
    <w:rPr>
      <w:rFonts w:ascii="仿宋_GB2312" w:hAnsi="Arial" w:eastAsia="仿宋_GB2312"/>
      <w:snapToGrid w:val="0"/>
      <w:color w:val="000000"/>
      <w:kern w:val="0"/>
      <w:sz w:val="30"/>
      <w:szCs w:val="32"/>
    </w:rPr>
  </w:style>
  <w:style w:type="paragraph" w:customStyle="1" w:styleId="82">
    <w:name w:val="Table Paragraph"/>
    <w:basedOn w:val="1"/>
    <w:qFormat/>
    <w:uiPriority w:val="0"/>
    <w:pPr>
      <w:autoSpaceDE w:val="0"/>
      <w:autoSpaceDN w:val="0"/>
      <w:adjustRightInd w:val="0"/>
      <w:jc w:val="left"/>
    </w:pPr>
    <w:rPr>
      <w:rFonts w:cs="宋体"/>
      <w:kern w:val="0"/>
      <w:sz w:val="24"/>
    </w:rPr>
  </w:style>
  <w:style w:type="paragraph" w:styleId="83">
    <w:name w:val="List Paragraph"/>
    <w:basedOn w:val="1"/>
    <w:qFormat/>
    <w:uiPriority w:val="34"/>
    <w:pPr>
      <w:ind w:firstLine="420" w:firstLineChars="200"/>
    </w:pPr>
    <w:rPr>
      <w:rFonts w:ascii="Calibri" w:hAnsi="Calibri"/>
      <w:szCs w:val="22"/>
    </w:rPr>
  </w:style>
  <w:style w:type="paragraph" w:customStyle="1" w:styleId="84">
    <w:name w:val="Bullets"/>
    <w:basedOn w:val="1"/>
    <w:qFormat/>
    <w:uiPriority w:val="0"/>
    <w:pPr>
      <w:widowControl/>
      <w:adjustRightInd w:val="0"/>
      <w:snapToGrid w:val="0"/>
      <w:spacing w:before="60" w:after="60"/>
    </w:pPr>
    <w:rPr>
      <w:rFonts w:ascii="Calibri" w:hAnsi="Calibri"/>
      <w:kern w:val="0"/>
      <w:sz w:val="24"/>
      <w:szCs w:val="22"/>
      <w:lang w:val="en-GB"/>
    </w:rPr>
  </w:style>
  <w:style w:type="paragraph" w:customStyle="1" w:styleId="85">
    <w:name w:val="Char Char Char Char Char Char Char Char Char Char"/>
    <w:basedOn w:val="1"/>
    <w:qFormat/>
    <w:uiPriority w:val="0"/>
    <w:rPr>
      <w:rFonts w:ascii="Tahoma" w:hAnsi="Tahoma"/>
      <w:sz w:val="24"/>
      <w:szCs w:val="20"/>
    </w:rPr>
  </w:style>
  <w:style w:type="paragraph" w:customStyle="1" w:styleId="86">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87">
    <w:name w:val="[Normal]"/>
    <w:qFormat/>
    <w:uiPriority w:val="0"/>
    <w:rPr>
      <w:rFonts w:ascii="宋体" w:hAnsi="宋体" w:eastAsia="宋体" w:cs="Times New Roman"/>
      <w:sz w:val="24"/>
      <w:szCs w:val="22"/>
      <w:lang w:val="zh-CN" w:eastAsia="zh-CN" w:bidi="ar-SA"/>
    </w:rPr>
  </w:style>
  <w:style w:type="paragraph" w:customStyle="1" w:styleId="88">
    <w:name w:val="正文空2格  1."/>
    <w:basedOn w:val="1"/>
    <w:qFormat/>
    <w:uiPriority w:val="0"/>
    <w:pPr>
      <w:ind w:firstLine="480" w:firstLineChars="200"/>
    </w:pPr>
    <w:rPr>
      <w:rFonts w:cs="宋体"/>
      <w:sz w:val="28"/>
      <w:szCs w:val="20"/>
    </w:rPr>
  </w:style>
  <w:style w:type="paragraph" w:customStyle="1" w:styleId="89">
    <w:name w:val="List Paragraph1"/>
    <w:basedOn w:val="1"/>
    <w:qFormat/>
    <w:uiPriority w:val="0"/>
    <w:pPr>
      <w:ind w:firstLine="420" w:firstLineChars="200"/>
    </w:pPr>
  </w:style>
  <w:style w:type="paragraph" w:customStyle="1" w:styleId="9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 w:cs="Times New Roman"/>
      <w:szCs w:val="28"/>
      <w:lang w:val="en-US" w:eastAsia="zh-CN" w:bidi="ar-SA"/>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92">
    <w:name w:val="正文文本1"/>
    <w:qFormat/>
    <w:uiPriority w:val="0"/>
    <w:pPr>
      <w:widowControl w:val="0"/>
      <w:spacing w:after="1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9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4">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95">
    <w:name w:val="纯文本_0_0"/>
    <w:basedOn w:val="96"/>
    <w:qFormat/>
    <w:uiPriority w:val="0"/>
    <w:rPr>
      <w:rFonts w:ascii="宋体" w:hAnsi="Courier New"/>
      <w:szCs w:val="21"/>
    </w:rPr>
  </w:style>
  <w:style w:type="paragraph" w:customStyle="1" w:styleId="96">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66</Pages>
  <Words>33871</Words>
  <Characters>35301</Characters>
  <Lines>241</Lines>
  <Paragraphs>67</Paragraphs>
  <TotalTime>6</TotalTime>
  <ScaleCrop>false</ScaleCrop>
  <LinksUpToDate>false</LinksUpToDate>
  <CharactersWithSpaces>38128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2023-07-07T00:13:00Z</dcterms:created>
  <dc:creator>微软用户</dc:creator>
  <cp:lastModifiedBy>Y。</cp:lastModifiedBy>
  <cp:lastPrinted>2023-07-04T18:29:00Z</cp:lastPrinted>
  <dcterms:modified xsi:type="dcterms:W3CDTF">2026-05-11T01:32:44Z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530FE9A9003E488BB5C42B2F17B8945A_13</vt:lpwstr>
  </property>
  <property fmtid="{D5CDD505-2E9C-101B-9397-08002B2CF9AE}" pid="4" name="KSOTemplateDocerSaveRecord">
    <vt:lpwstr>eyJoZGlkIjoiYTJmNWNlYTBkZTY3NTNkNmJhZDMzYjk3YmM3OGI3ODMiLCJ1c2VySWQiOiI5MDg4NTI0NjAifQ==</vt:lpwstr>
  </property>
</Properties>
</file>