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KSS(GK)2026-017</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喀什市人民医院医疗服务能力提升项目-病床采购项目</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喀什市人民医院</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hint="eastAsia" w:ascii="Calibri" w:hAnsi="Calibri" w:eastAsia="宋体"/>
                <w:lang w:val="en-US" w:eastAsia="zh-CN"/>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r>
              <w:rPr>
                <w:rFonts w:hint="eastAsia" w:ascii="Calibri" w:hAnsi="Calibri" w:eastAsia="宋体"/>
                <w:lang w:val="en-US" w:eastAsia="zh-CN"/>
              </w:rPr>
              <w:t xml:space="preserve"> </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0EFDCF0C">
      <w:pPr>
        <w:shd w:val="clear"/>
        <w:spacing w:line="360" w:lineRule="auto"/>
        <w:jc w:val="center"/>
        <w:outlineLvl w:val="1"/>
        <w:rPr>
          <w:rFonts w:hint="eastAsia" w:ascii="仿宋" w:hAnsi="仿宋" w:eastAsia="仿宋" w:cs="仿宋"/>
          <w:color w:val="000000" w:themeColor="text1"/>
          <w:highlight w:val="none"/>
          <w:lang w:eastAsia="zh-CN"/>
          <w14:textFill>
            <w14:solidFill>
              <w14:schemeClr w14:val="tx1"/>
            </w14:solidFill>
          </w14:textFill>
        </w:rPr>
      </w:pPr>
      <w:bookmarkStart w:id="0" w:name="_Toc3069"/>
      <w:r>
        <w:rPr>
          <w:rFonts w:hint="eastAsia" w:ascii="仿宋" w:hAnsi="仿宋" w:eastAsia="仿宋" w:cs="仿宋"/>
          <w:b/>
          <w:bCs/>
          <w:color w:val="000000" w:themeColor="text1"/>
          <w:sz w:val="24"/>
          <w:szCs w:val="24"/>
          <w:highlight w:val="none"/>
          <w14:textFill>
            <w14:solidFill>
              <w14:schemeClr w14:val="tx1"/>
            </w14:solidFill>
          </w14:textFill>
        </w:rPr>
        <w:t>综合评分表</w:t>
      </w:r>
      <w:bookmarkEnd w:id="0"/>
      <w:bookmarkStart w:id="69" w:name="_GoBack"/>
      <w:bookmarkEnd w:id="69"/>
    </w:p>
    <w:tbl>
      <w:tblPr>
        <w:tblStyle w:val="22"/>
        <w:tblpPr w:leftFromText="180" w:rightFromText="180" w:vertAnchor="text" w:horzAnchor="page" w:tblpXSpec="center" w:tblpY="349"/>
        <w:tblOverlap w:val="never"/>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91"/>
        <w:gridCol w:w="5333"/>
        <w:gridCol w:w="911"/>
      </w:tblGrid>
      <w:tr w14:paraId="6813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08" w:type="pct"/>
            <w:noWrap w:val="0"/>
            <w:vAlign w:val="center"/>
          </w:tcPr>
          <w:p w14:paraId="0A673D5A">
            <w:pPr>
              <w:keepNext w:val="0"/>
              <w:keepLines w:val="0"/>
              <w:pageBreakBefore w:val="0"/>
              <w:widowControl w:val="0"/>
              <w:shd w:val="clear"/>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类型</w:t>
            </w:r>
          </w:p>
        </w:tc>
        <w:tc>
          <w:tcPr>
            <w:tcW w:w="719" w:type="pct"/>
            <w:noWrap w:val="0"/>
            <w:vAlign w:val="center"/>
          </w:tcPr>
          <w:p w14:paraId="2478DA85">
            <w:pPr>
              <w:keepNext w:val="0"/>
              <w:keepLines w:val="0"/>
              <w:pageBreakBefore w:val="0"/>
              <w:widowControl w:val="0"/>
              <w:shd w:val="clear"/>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color w:val="000000" w:themeColor="text1"/>
                <w:sz w:val="21"/>
                <w:szCs w:val="21"/>
                <w:highlight w:val="none"/>
                <w:lang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评分点</w:t>
            </w:r>
          </w:p>
        </w:tc>
        <w:tc>
          <w:tcPr>
            <w:tcW w:w="3221" w:type="pct"/>
            <w:noWrap w:val="0"/>
            <w:vAlign w:val="center"/>
          </w:tcPr>
          <w:p w14:paraId="73124039">
            <w:pPr>
              <w:keepNext w:val="0"/>
              <w:keepLines w:val="0"/>
              <w:pageBreakBefore w:val="0"/>
              <w:widowControl w:val="0"/>
              <w:shd w:val="clear"/>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评分标准</w:t>
            </w:r>
          </w:p>
          <w:p w14:paraId="498A6D2A">
            <w:pPr>
              <w:keepNext w:val="0"/>
              <w:keepLines w:val="0"/>
              <w:pageBreakBefore w:val="0"/>
              <w:widowControl w:val="0"/>
              <w:shd w:val="clear"/>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0分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商务：</w:t>
            </w:r>
            <w:r>
              <w:rPr>
                <w:rFonts w:hint="eastAsia" w:ascii="仿宋" w:hAnsi="仿宋" w:eastAsia="仿宋" w:cs="仿宋"/>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color w:val="000000" w:themeColor="text1"/>
                <w:sz w:val="21"/>
                <w:szCs w:val="21"/>
                <w:highlight w:val="none"/>
                <w14:textFill>
                  <w14:solidFill>
                    <w14:schemeClr w14:val="tx1"/>
                  </w14:solidFill>
                </w14:textFill>
              </w:rPr>
              <w:t xml:space="preserve">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技术：</w:t>
            </w:r>
            <w:r>
              <w:rPr>
                <w:rFonts w:hint="eastAsia" w:ascii="仿宋" w:hAnsi="仿宋" w:eastAsia="仿宋" w:cs="仿宋"/>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color w:val="000000" w:themeColor="text1"/>
                <w:sz w:val="21"/>
                <w:szCs w:val="21"/>
                <w:highlight w:val="none"/>
                <w14:textFill>
                  <w14:solidFill>
                    <w14:schemeClr w14:val="tx1"/>
                  </w14:solidFill>
                </w14:textFill>
              </w:rPr>
              <w:t xml:space="preserve">分              </w:t>
            </w:r>
          </w:p>
        </w:tc>
        <w:tc>
          <w:tcPr>
            <w:tcW w:w="550" w:type="pct"/>
            <w:noWrap w:val="0"/>
            <w:vAlign w:val="center"/>
          </w:tcPr>
          <w:p w14:paraId="4005854C">
            <w:pPr>
              <w:keepNext w:val="0"/>
              <w:keepLines w:val="0"/>
              <w:pageBreakBefore w:val="0"/>
              <w:widowControl w:val="0"/>
              <w:shd w:val="clear"/>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分值</w:t>
            </w:r>
          </w:p>
        </w:tc>
      </w:tr>
      <w:tr w14:paraId="26F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4" w:hRule="atLeast"/>
          <w:jc w:val="center"/>
        </w:trPr>
        <w:tc>
          <w:tcPr>
            <w:tcW w:w="508" w:type="pct"/>
            <w:noWrap w:val="0"/>
            <w:vAlign w:val="center"/>
          </w:tcPr>
          <w:p w14:paraId="3A095C04">
            <w:pPr>
              <w:pStyle w:val="63"/>
              <w:shd w:val="clear"/>
              <w:spacing w:line="360" w:lineRule="auto"/>
              <w:jc w:val="center"/>
              <w:rPr>
                <w:rFonts w:hint="eastAsia" w:ascii="仿宋" w:hAnsi="仿宋" w:eastAsia="仿宋" w:cs="仿宋"/>
                <w:i w:val="0"/>
                <w:iCs w:val="0"/>
                <w:color w:val="000000" w:themeColor="text1"/>
                <w:sz w:val="21"/>
                <w:szCs w:val="21"/>
                <w:highlight w:val="none"/>
                <w:lang w:eastAsia="en-US"/>
                <w14:textFill>
                  <w14:solidFill>
                    <w14:schemeClr w14:val="tx1"/>
                  </w14:solidFill>
                </w14:textFill>
              </w:rPr>
            </w:pPr>
            <w:r>
              <w:rPr>
                <w:rFonts w:hint="eastAsia" w:ascii="仿宋" w:hAnsi="仿宋" w:eastAsia="仿宋" w:cs="仿宋"/>
                <w:i w:val="0"/>
                <w:iCs w:val="0"/>
                <w:color w:val="000000" w:themeColor="text1"/>
                <w:sz w:val="21"/>
                <w:szCs w:val="21"/>
                <w:highlight w:val="none"/>
                <w:lang w:eastAsia="en-US"/>
                <w14:textFill>
                  <w14:solidFill>
                    <w14:schemeClr w14:val="tx1"/>
                  </w14:solidFill>
                </w14:textFill>
              </w:rPr>
              <w:t>价格评审</w:t>
            </w:r>
          </w:p>
          <w:p w14:paraId="68065E1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719" w:type="pct"/>
            <w:noWrap w:val="0"/>
            <w:vAlign w:val="center"/>
          </w:tcPr>
          <w:p w14:paraId="49D1F39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投标报价</w:t>
            </w:r>
          </w:p>
        </w:tc>
        <w:tc>
          <w:tcPr>
            <w:tcW w:w="3221" w:type="pct"/>
            <w:noWrap w:val="0"/>
            <w:vAlign w:val="center"/>
          </w:tcPr>
          <w:p w14:paraId="41863026">
            <w:pPr>
              <w:snapToGrid w:val="0"/>
              <w:ind w:left="0" w:leftChars="0" w:right="0" w:rightChars="0" w:firstLine="0" w:firstLineChars="0"/>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各供应商的价格得分的计算公式： 采用低价优先法计算 ， 即满足 招标文件要求且投标价格最低的投标报价为评标基准价 ，其价格 分为满分 。其他供应商的价格分统一按照下列公式计算： 投标报 价得分=(评标基准价／投标报价)×价格权值× 100 计算分数时  四舍五入取小数点后两位,分数最高不超过 30 分。（注： 根据《政 府采购促进中小企业发展管理办法》 （财库﹝ 2020 )46 号） 、《关  于进一步加大政府采购支持中小企业力度的通知》 （财库〔2022〕</w:t>
            </w:r>
          </w:p>
          <w:p w14:paraId="7A1ECA74">
            <w:pPr>
              <w:keepNext w:val="0"/>
              <w:keepLines w:val="0"/>
              <w:widowControl/>
              <w:suppressLineNumbers w:val="0"/>
              <w:jc w:val="lef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z w:val="20"/>
                <w:szCs w:val="20"/>
              </w:rPr>
              <w:t>19 号） 的规定，对小型和微型企业给予 10%的价格扣除，用扣除 后的价格参与评标，提供相关证明资料， 否则无效 。残疾人福利 性单位属于小型、微型企业的，不重复享受政策 。）</w:t>
            </w:r>
          </w:p>
        </w:tc>
        <w:tc>
          <w:tcPr>
            <w:tcW w:w="550" w:type="pct"/>
            <w:noWrap w:val="0"/>
            <w:vAlign w:val="center"/>
          </w:tcPr>
          <w:p w14:paraId="066A5B5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30分</w:t>
            </w:r>
          </w:p>
        </w:tc>
      </w:tr>
      <w:tr w14:paraId="62E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08" w:type="pct"/>
            <w:vMerge w:val="restart"/>
            <w:noWrap w:val="0"/>
            <w:vAlign w:val="center"/>
          </w:tcPr>
          <w:p w14:paraId="0A47A75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商务评分标准</w:t>
            </w:r>
          </w:p>
        </w:tc>
        <w:tc>
          <w:tcPr>
            <w:tcW w:w="719" w:type="pct"/>
            <w:noWrap w:val="0"/>
            <w:vAlign w:val="center"/>
          </w:tcPr>
          <w:p w14:paraId="7731671D">
            <w:pPr>
              <w:pStyle w:val="72"/>
              <w:keepNext w:val="0"/>
              <w:keepLines w:val="0"/>
              <w:pageBreakBefore w:val="0"/>
              <w:shd w:val="clear"/>
              <w:kinsoku/>
              <w:wordWrap/>
              <w:overflowPunct/>
              <w:topLinePunct w:val="0"/>
              <w:bidi w:val="0"/>
              <w:spacing w:afterAutospacing="0" w:line="360" w:lineRule="auto"/>
              <w:ind w:left="0"/>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类似项目业绩</w:t>
            </w:r>
          </w:p>
          <w:p w14:paraId="5395757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3221" w:type="pct"/>
            <w:noWrap w:val="0"/>
            <w:vAlign w:val="center"/>
          </w:tcPr>
          <w:p w14:paraId="141C8C6F">
            <w:pPr>
              <w:shd w:val="clear"/>
              <w:spacing w:line="360" w:lineRule="auto"/>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投标人提供2023年5月起至投标截止日类似业绩，的得2分，满分6分。（注:业绩证明材料须提供合同原件扫描件（或协议书）加盖投标单位公章,以合同签订时间为准。未按要求提供证明材料的不得分）</w:t>
            </w:r>
          </w:p>
        </w:tc>
        <w:tc>
          <w:tcPr>
            <w:tcW w:w="550" w:type="pct"/>
            <w:noWrap w:val="0"/>
            <w:vAlign w:val="center"/>
          </w:tcPr>
          <w:p w14:paraId="646082B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tc>
      </w:tr>
      <w:tr w14:paraId="590B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08" w:type="pct"/>
            <w:vMerge w:val="continue"/>
            <w:tcBorders/>
            <w:noWrap w:val="0"/>
            <w:vAlign w:val="center"/>
          </w:tcPr>
          <w:p w14:paraId="43371AF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719" w:type="pct"/>
            <w:noWrap w:val="0"/>
            <w:vAlign w:val="center"/>
          </w:tcPr>
          <w:p w14:paraId="0FB068F4">
            <w:pPr>
              <w:shd w:val="clear"/>
              <w:spacing w:line="360" w:lineRule="auto"/>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供货方案</w:t>
            </w:r>
          </w:p>
        </w:tc>
        <w:tc>
          <w:tcPr>
            <w:tcW w:w="3221" w:type="pct"/>
            <w:noWrap w:val="0"/>
            <w:vAlign w:val="center"/>
          </w:tcPr>
          <w:p w14:paraId="73E3B8BA">
            <w:pPr>
              <w:shd w:val="clear"/>
              <w:spacing w:line="360" w:lineRule="auto"/>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auto"/>
                <w:szCs w:val="21"/>
                <w:highlight w:val="none"/>
                <w:lang w:val="en-US" w:eastAsia="zh-CN"/>
              </w:rPr>
              <w:t>提供针对本项目的供货方案，包括：①供货计划及供货渠道；②供货流程安排及供货时间安排；③验收方案。每有一项内容得5分，每小项内容存在一处缺陷的扣1分，扣完为止。（缺陷是指：与本项目采购标的无关、方案内容前后不一致、前后逻辑错误、涉及的相关规范及标准错误、地点区域错误、内容缺失、只有简单描述无实质性内容、方案不合理不科学）</w:t>
            </w:r>
          </w:p>
        </w:tc>
        <w:tc>
          <w:tcPr>
            <w:tcW w:w="550" w:type="pct"/>
            <w:noWrap w:val="0"/>
            <w:vAlign w:val="center"/>
          </w:tcPr>
          <w:p w14:paraId="761EA4FD">
            <w:pPr>
              <w:shd w:val="clear"/>
              <w:spacing w:line="360" w:lineRule="auto"/>
              <w:jc w:val="cente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15分</w:t>
            </w:r>
          </w:p>
        </w:tc>
      </w:tr>
      <w:tr w14:paraId="0E6D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08" w:type="pct"/>
            <w:vMerge w:val="continue"/>
            <w:tcBorders/>
            <w:noWrap w:val="0"/>
            <w:vAlign w:val="center"/>
          </w:tcPr>
          <w:p w14:paraId="7536089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719" w:type="pct"/>
            <w:noWrap w:val="0"/>
            <w:vAlign w:val="center"/>
          </w:tcPr>
          <w:p w14:paraId="322E8A9A">
            <w:pPr>
              <w:shd w:val="clear"/>
              <w:spacing w:line="360" w:lineRule="auto"/>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项目实施方案</w:t>
            </w:r>
          </w:p>
        </w:tc>
        <w:tc>
          <w:tcPr>
            <w:tcW w:w="3221" w:type="pct"/>
            <w:noWrap w:val="0"/>
            <w:vAlign w:val="center"/>
          </w:tcPr>
          <w:p w14:paraId="6BB1569C">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35F95FE6">
            <w:pPr>
              <w:shd w:val="clea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分（扣完为止）。</w:t>
            </w:r>
            <w:r>
              <w:rPr>
                <w:rFonts w:hint="eastAsia" w:ascii="仿宋" w:hAnsi="仿宋" w:eastAsia="仿宋" w:cs="仿宋"/>
                <w:color w:val="auto"/>
                <w:kern w:val="0"/>
                <w:szCs w:val="21"/>
                <w:highlight w:val="none"/>
              </w:rPr>
              <w:t>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550" w:type="pct"/>
            <w:noWrap w:val="0"/>
            <w:vAlign w:val="center"/>
          </w:tcPr>
          <w:p w14:paraId="18C2E951">
            <w:pPr>
              <w:pStyle w:val="63"/>
              <w:shd w:val="clear"/>
              <w:spacing w:before="74" w:line="360" w:lineRule="auto"/>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lang w:val="en-US" w:eastAsia="zh-CN" w:bidi="ar-SA"/>
                <w14:textFill>
                  <w14:solidFill>
                    <w14:schemeClr w14:val="tx1"/>
                  </w14:solidFill>
                </w14:textFill>
              </w:rPr>
              <w:t>12分</w:t>
            </w:r>
          </w:p>
        </w:tc>
      </w:tr>
      <w:tr w14:paraId="5162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08" w:type="pct"/>
            <w:noWrap w:val="0"/>
            <w:vAlign w:val="center"/>
          </w:tcPr>
          <w:p w14:paraId="7C1ADC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719" w:type="pct"/>
            <w:noWrap w:val="0"/>
            <w:vAlign w:val="center"/>
          </w:tcPr>
          <w:p w14:paraId="6208B966">
            <w:pPr>
              <w:shd w:val="clear"/>
              <w:spacing w:line="360" w:lineRule="auto"/>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售后服务</w:t>
            </w:r>
          </w:p>
        </w:tc>
        <w:tc>
          <w:tcPr>
            <w:tcW w:w="3221" w:type="pct"/>
            <w:noWrap w:val="0"/>
            <w:vAlign w:val="center"/>
          </w:tcPr>
          <w:p w14:paraId="29154CD8">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②</w:t>
            </w:r>
            <w:r>
              <w:rPr>
                <w:rFonts w:hint="eastAsia" w:ascii="仿宋" w:hAnsi="仿宋" w:eastAsia="仿宋" w:cs="仿宋"/>
                <w:color w:val="auto"/>
                <w:szCs w:val="21"/>
                <w:highlight w:val="none"/>
                <w:lang w:val="en-US" w:eastAsia="zh-CN"/>
              </w:rPr>
              <w:t>备品备件，</w:t>
            </w:r>
            <w:r>
              <w:rPr>
                <w:rFonts w:hint="eastAsia" w:ascii="仿宋" w:hAnsi="仿宋" w:eastAsia="仿宋" w:cs="仿宋"/>
                <w:color w:val="auto"/>
                <w:szCs w:val="21"/>
                <w:highlight w:val="none"/>
              </w:rPr>
              <w:t>③</w:t>
            </w:r>
            <w:r>
              <w:rPr>
                <w:rFonts w:hint="eastAsia" w:ascii="仿宋" w:hAnsi="仿宋" w:eastAsia="仿宋" w:cs="仿宋"/>
                <w:color w:val="auto"/>
                <w:kern w:val="0"/>
                <w:szCs w:val="21"/>
                <w:highlight w:val="none"/>
              </w:rPr>
              <w:t>故障维修处理</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49CA9963">
            <w:pPr>
              <w:shd w:val="clea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分（扣完为止）。</w:t>
            </w:r>
            <w:r>
              <w:rPr>
                <w:rFonts w:hint="eastAsia" w:ascii="仿宋" w:hAnsi="仿宋" w:eastAsia="仿宋" w:cs="仿宋"/>
                <w:color w:val="auto"/>
                <w:kern w:val="0"/>
                <w:szCs w:val="21"/>
                <w:highlight w:val="none"/>
              </w:rPr>
              <w:t>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550" w:type="pct"/>
            <w:noWrap w:val="0"/>
            <w:vAlign w:val="center"/>
          </w:tcPr>
          <w:p w14:paraId="56883A73">
            <w:pPr>
              <w:keepNext w:val="0"/>
              <w:keepLines w:val="0"/>
              <w:widowControl/>
              <w:suppressLineNumbers w:val="0"/>
              <w:shd w:val="clear"/>
              <w:spacing w:line="360" w:lineRule="auto"/>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sz w:val="21"/>
                <w:szCs w:val="21"/>
                <w:highlight w:val="none"/>
                <w:lang w:val="en-US" w:eastAsia="zh-CN"/>
                <w14:textFill>
                  <w14:solidFill>
                    <w14:schemeClr w14:val="tx1"/>
                  </w14:solidFill>
                </w14:textFill>
              </w:rPr>
              <w:t>12分</w:t>
            </w:r>
          </w:p>
        </w:tc>
      </w:tr>
      <w:tr w14:paraId="0ED4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508" w:type="pct"/>
            <w:noWrap w:val="0"/>
            <w:vAlign w:val="center"/>
          </w:tcPr>
          <w:p w14:paraId="73BBA5A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37AB41FD">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技术评分标准</w:t>
            </w:r>
          </w:p>
        </w:tc>
        <w:tc>
          <w:tcPr>
            <w:tcW w:w="719" w:type="pct"/>
            <w:noWrap w:val="0"/>
            <w:vAlign w:val="center"/>
          </w:tcPr>
          <w:p w14:paraId="47BC3FB7">
            <w:pPr>
              <w:shd w:val="clear"/>
              <w:spacing w:line="360" w:lineRule="auto"/>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对招标文件技术参数要求的响应程度</w:t>
            </w:r>
          </w:p>
        </w:tc>
        <w:tc>
          <w:tcPr>
            <w:tcW w:w="3221" w:type="pct"/>
            <w:noWrap w:val="0"/>
            <w:vAlign w:val="center"/>
          </w:tcPr>
          <w:p w14:paraId="51D08837">
            <w:pPr>
              <w:shd w:val="clear"/>
              <w:spacing w:line="360" w:lineRule="auto"/>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技术参数：供应商须对照采购需求中技术要求内容逐条在《技术条款偏离表》中列明响应内容及是否偏离等情况，要求提供相关证明资料，须在“投标规格”栏说明证明资料在《投标文件》的具体位置或页码，未按照要求提供，视同负偏离：标注 “▲” 的条款，每出现 1 项负偏离扣 2 分，扣至本项分值 16 分扣完为止；其余参数指标，每有 1 项不满足或负偏离扣 0.5 分，扣至本项分值 9 分扣完为止。</w:t>
            </w:r>
          </w:p>
          <w:p w14:paraId="5EC6DE6D">
            <w:pPr>
              <w:shd w:val="clear"/>
              <w:spacing w:line="360" w:lineRule="auto"/>
              <w:jc w:val="left"/>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注：</w:t>
            </w:r>
            <w:r>
              <w:rPr>
                <w:rFonts w:hint="eastAsia" w:ascii="仿宋" w:hAnsi="仿宋" w:eastAsia="仿宋" w:cs="仿宋"/>
                <w:color w:val="000000" w:themeColor="text1"/>
                <w:kern w:val="0"/>
                <w:szCs w:val="21"/>
                <w:highlight w:val="none"/>
                <w14:textFill>
                  <w14:solidFill>
                    <w14:schemeClr w14:val="tx1"/>
                  </w14:solidFill>
                </w14:textFill>
              </w:rPr>
              <w:t>1.投标人须对本采购文件技术要求进行点对点应答，必须根据本采购文件的要求,结合所投产品的实际参数值，进行逐条逐项答复、说明和解释</w:t>
            </w:r>
            <w:r>
              <w:rPr>
                <w:rFonts w:hint="eastAsia" w:ascii="仿宋" w:hAnsi="仿宋" w:eastAsia="仿宋" w:cs="仿宋"/>
                <w:color w:val="000000" w:themeColor="text1"/>
                <w:kern w:val="0"/>
                <w:szCs w:val="21"/>
                <w:highlight w:val="none"/>
                <w:lang w:eastAsia="zh-CN"/>
                <w14:textFill>
                  <w14:solidFill>
                    <w14:schemeClr w14:val="tx1"/>
                  </w14:solidFill>
                </w14:textFill>
              </w:rPr>
              <w:t>；</w:t>
            </w:r>
          </w:p>
          <w:p w14:paraId="4D8647BB">
            <w:pPr>
              <w:shd w:val="clear"/>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投标单位</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需提供所投产品的技术支持文件包括但不限于产品检测报告、产品彩页、产品合格证明、产品说明书等内容全部提供且清晰可辨。（投标响应内容与提供的技术支持资料不一致的，视为负偏离。）</w:t>
            </w:r>
          </w:p>
        </w:tc>
        <w:tc>
          <w:tcPr>
            <w:tcW w:w="550" w:type="pct"/>
            <w:noWrap w:val="0"/>
            <w:vAlign w:val="center"/>
          </w:tcPr>
          <w:p w14:paraId="53B3B7B7">
            <w:pPr>
              <w:numPr>
                <w:ilvl w:val="0"/>
                <w:numId w:val="0"/>
              </w:numPr>
              <w:shd w:val="clear"/>
              <w:spacing w:line="360" w:lineRule="auto"/>
              <w:ind w:left="0" w:leftChars="0" w:firstLine="0" w:firstLineChars="0"/>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25分</w:t>
            </w:r>
          </w:p>
        </w:tc>
      </w:tr>
    </w:tbl>
    <w:p w14:paraId="5E3393CA"/>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会计事务所出具的2024-2025年度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5EE2BBE6">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Arial" w:hAnsi="Arial" w:eastAsia="宋体"/>
          <w:b/>
          <w:sz w:val="32"/>
          <w:szCs w:val="32"/>
        </w:rPr>
      </w:pPr>
      <w:r>
        <w:rPr>
          <w:rFonts w:hint="eastAsia" w:eastAsia="宋体"/>
          <w:b/>
          <w:highlight w:val="green"/>
          <w:lang w:val="en-US" w:eastAsia="zh-CN"/>
        </w:rPr>
        <w:t>7</w:t>
      </w:r>
      <w:r>
        <w:rPr>
          <w:rFonts w:hint="eastAsia"/>
          <w:b/>
          <w:highlight w:val="green"/>
        </w:rPr>
        <w:t>）</w:t>
      </w:r>
      <w:r>
        <w:rPr>
          <w:rFonts w:hint="eastAsia" w:ascii="宋体" w:hAnsi="宋体" w:eastAsia="宋体" w:cs="宋体"/>
          <w:b/>
          <w:highlight w:val="green"/>
          <w:lang w:eastAsia="zh-CN"/>
        </w:rPr>
        <w:t>本项目为专门面向小微企业采购项目</w:t>
      </w:r>
      <w:r>
        <w:rPr>
          <w:rFonts w:hint="eastAsia" w:ascii="宋体" w:hAnsi="宋体" w:eastAsia="宋体" w:cs="宋体"/>
          <w:b/>
          <w:highlight w:val="green"/>
        </w:rPr>
        <w:t>，</w:t>
      </w:r>
      <w:r>
        <w:rPr>
          <w:rFonts w:hint="eastAsia" w:ascii="宋体" w:hAnsi="宋体" w:eastAsia="宋体" w:cs="宋体"/>
          <w:b/>
          <w:highlight w:val="green"/>
          <w:lang w:eastAsia="zh-CN"/>
        </w:rPr>
        <w:t>供应商必须出具相应声明函。【</w:t>
      </w:r>
      <w:r>
        <w:rPr>
          <w:rFonts w:hint="eastAsia" w:ascii="宋体" w:hAnsi="宋体" w:eastAsia="宋体" w:cs="宋体"/>
          <w:b/>
          <w:color w:val="FF0000"/>
          <w:highlight w:val="green"/>
        </w:rPr>
        <w:t>供应商要求</w:t>
      </w:r>
      <w:r>
        <w:rPr>
          <w:rFonts w:hint="eastAsia" w:ascii="宋体" w:hAnsi="宋体" w:eastAsia="宋体" w:cs="宋体"/>
          <w:b/>
          <w:color w:val="FF0000"/>
          <w:highlight w:val="green"/>
          <w:lang w:eastAsia="zh-CN"/>
        </w:rPr>
        <w:t>及声明函要求</w:t>
      </w:r>
      <w:r>
        <w:rPr>
          <w:rFonts w:hint="eastAsia" w:ascii="宋体" w:hAnsi="宋体" w:eastAsia="宋体" w:cs="宋体"/>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ascii="宋体" w:hAnsi="宋体" w:eastAsia="宋体" w:cs="宋体"/>
          <w:b/>
          <w:color w:val="FF0000"/>
          <w:highlight w:val="green"/>
          <w:lang w:eastAsia="zh-CN"/>
        </w:rPr>
        <w:t>。</w:t>
      </w:r>
      <w:r>
        <w:rPr>
          <w:rFonts w:hint="eastAsia" w:ascii="宋体" w:hAnsi="宋体" w:eastAsia="宋体" w:cs="宋体"/>
          <w:b/>
          <w:highlight w:val="green"/>
          <w:lang w:eastAsia="zh-CN"/>
        </w:rPr>
        <w:t>】</w:t>
      </w:r>
    </w:p>
    <w:p w14:paraId="72110C6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p>
    <w:p w14:paraId="22E49C3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仿宋" w:hAnsi="仿宋" w:eastAsia="仿宋" w:cs="仿宋"/>
          <w:b/>
          <w:bCs/>
          <w:color w:val="000000" w:themeColor="text1"/>
          <w:kern w:val="0"/>
          <w:sz w:val="24"/>
          <w:szCs w:val="24"/>
          <w:highlight w:val="yellow"/>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yellow"/>
          <w:lang w:val="en-US" w:eastAsia="zh-CN"/>
          <w14:textFill>
            <w14:solidFill>
              <w14:schemeClr w14:val="tx1"/>
            </w14:solidFill>
          </w14:textFill>
        </w:rPr>
        <w:t xml:space="preserve">8）特定资质： </w:t>
      </w:r>
    </w:p>
    <w:p w14:paraId="1B5FE17D">
      <w:pPr>
        <w:pStyle w:val="65"/>
        <w:widowControl/>
        <w:shd w:val="clear"/>
        <w:spacing w:line="360" w:lineRule="auto"/>
        <w:ind w:firstLine="480" w:firstLineChars="200"/>
        <w:jc w:val="left"/>
        <w:rPr>
          <w:rFonts w:hint="eastAsia" w:ascii="仿宋" w:hAnsi="仿宋" w:eastAsia="仿宋" w:cs="仿宋"/>
          <w:b/>
          <w:bCs/>
          <w:color w:val="000000" w:themeColor="text1"/>
          <w:sz w:val="24"/>
          <w:szCs w:val="24"/>
          <w:highlight w:val="yellow"/>
          <w:lang w:val="en-US" w:eastAsia="zh-CN"/>
          <w14:textFill>
            <w14:solidFill>
              <w14:schemeClr w14:val="tx1"/>
            </w14:solidFill>
          </w14:textFill>
        </w:rPr>
      </w:pP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现行有效的《医疗器械监督管理条例》（国务院令第739号）及相关配套规章：</w:t>
      </w:r>
    </w:p>
    <w:p w14:paraId="2631F542">
      <w:pPr>
        <w:pStyle w:val="65"/>
        <w:widowControl/>
        <w:shd w:val="clear"/>
        <w:spacing w:line="360" w:lineRule="auto"/>
        <w:ind w:firstLine="480" w:firstLineChars="200"/>
        <w:jc w:val="left"/>
        <w:rPr>
          <w:rFonts w:hint="eastAsia" w:ascii="仿宋" w:hAnsi="仿宋" w:eastAsia="仿宋" w:cs="仿宋"/>
          <w:b/>
          <w:bCs/>
          <w:color w:val="000000" w:themeColor="text1"/>
          <w:sz w:val="24"/>
          <w:szCs w:val="24"/>
          <w:highlight w:val="yellow"/>
          <w:lang w:val="en-US" w:eastAsia="zh-CN"/>
          <w14:textFill>
            <w14:solidFill>
              <w14:schemeClr w14:val="tx1"/>
            </w14:solidFill>
          </w14:textFill>
        </w:rPr>
      </w:pP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（1）投标人为所投产品制造商的，投标产品属于一类医疗器械的须提供《第一类医疗器械生产备案凭证》，所投产品属于二类、三类医疗器械须提供《医疗器械生产许可证》；</w:t>
      </w:r>
    </w:p>
    <w:p w14:paraId="19A2747A">
      <w:pPr>
        <w:pStyle w:val="65"/>
        <w:widowControl/>
        <w:shd w:val="clear"/>
        <w:spacing w:line="360" w:lineRule="auto"/>
        <w:ind w:firstLine="480" w:firstLineChars="200"/>
        <w:jc w:val="left"/>
        <w:rPr>
          <w:rFonts w:hint="eastAsia" w:ascii="仿宋" w:hAnsi="仿宋" w:eastAsia="仿宋" w:cs="仿宋"/>
          <w:b/>
          <w:bCs/>
          <w:color w:val="000000" w:themeColor="text1"/>
          <w:sz w:val="24"/>
          <w:szCs w:val="24"/>
          <w:highlight w:val="yellow"/>
          <w:lang w:val="en-US" w:eastAsia="zh-CN"/>
          <w14:textFill>
            <w14:solidFill>
              <w14:schemeClr w14:val="tx1"/>
            </w14:solidFill>
          </w14:textFill>
        </w:rPr>
      </w:pP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2）投标人为所投产品的经销商或代理商且所投产品属于二类医疗器械须提供《医疗器械经营许可证》及《第二类医疗器械经营备案凭证》，所投产品属于三类医疗器械须提供《医疗器械经营许可证》及《医疗器械注册证》，同时还须提供所投产品制造商的《医疗器械生产许可证》。注：以上所有证件必须在有效期内。</w:t>
      </w:r>
    </w:p>
    <w:p w14:paraId="2F64BBC9">
      <w:pPr>
        <w:snapToGrid w:val="0"/>
        <w:spacing w:line="300" w:lineRule="exact"/>
        <w:ind w:firstLine="480" w:firstLineChars="200"/>
        <w:rPr>
          <w:rFonts w:ascii="Arial" w:hAnsi="Arial" w:eastAsia="宋体"/>
        </w:rPr>
      </w:pPr>
      <w:r>
        <w:rPr>
          <w:rFonts w:ascii="Arial" w:hAnsi="Arial" w:eastAsia="宋体"/>
        </w:rPr>
        <w:br w:type="page"/>
      </w:r>
    </w:p>
    <w:p w14:paraId="0727A6E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KSS(GK)2026-017</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喀什市人民医院医疗服务能力提升项目-病床采购项目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bCs/>
                <w:lang w:eastAsia="zh-CN"/>
              </w:rPr>
              <w:t>1560000（壹佰伍拾陆万元整）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eastAsia" w:ascii="宋体" w:hAnsi="宋体" w:eastAsia="宋体"/>
                <w:bCs/>
                <w:lang w:val="en-US" w:eastAsia="zh-CN"/>
              </w:rPr>
            </w:pPr>
            <w:r>
              <w:rPr>
                <w:rFonts w:hint="eastAsia" w:ascii="宋体" w:hAnsi="宋体" w:eastAsia="宋体" w:cs="宋体"/>
                <w:i w:val="0"/>
                <w:iCs w:val="0"/>
                <w:caps w:val="0"/>
                <w:color w:val="000000"/>
                <w:spacing w:val="0"/>
                <w:sz w:val="24"/>
                <w:szCs w:val="24"/>
                <w:shd w:val="clear" w:color="auto" w:fill="FFFFFF"/>
                <w:lang w:eastAsia="zh-CN"/>
              </w:rPr>
              <w:t>工业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26</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15</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16</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4"/>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喀什市人民医院</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喀什市人民医院</w:t>
      </w:r>
    </w:p>
    <w:p w14:paraId="0CA5D1A9">
      <w:pPr>
        <w:spacing w:line="560" w:lineRule="exact"/>
        <w:ind w:firstLine="560" w:firstLineChars="200"/>
        <w:outlineLvl w:val="2"/>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联系方式：韩国栋，18199596746</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47437A00">
      <w:pPr>
        <w:spacing w:line="560" w:lineRule="exact"/>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韩国栋，18199596746</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喀什市人民医院</w:t>
      </w:r>
      <w:r>
        <w:rPr>
          <w:rFonts w:hint="eastAsia" w:ascii="宋体" w:hAnsi="宋体" w:eastAsia="宋体"/>
          <w:b/>
          <w:bCs/>
          <w:szCs w:val="21"/>
        </w:rPr>
        <w:t>，质疑咨询电话：</w:t>
      </w:r>
      <w:r>
        <w:rPr>
          <w:rFonts w:hint="eastAsia" w:ascii="宋体" w:hAnsi="宋体" w:eastAsia="宋体" w:cs="Times New Roman"/>
          <w:b/>
          <w:bCs/>
          <w:szCs w:val="21"/>
          <w:lang w:eastAsia="zh-CN"/>
        </w:rPr>
        <w:t>韩国栋，18199596746</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18D62C9C">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2" w:name="_Toc101074876"/>
      <w:bookmarkStart w:id="3" w:name="_Toc73517639"/>
      <w:bookmarkStart w:id="4" w:name="_Toc73521547"/>
      <w:bookmarkStart w:id="5" w:name="_Toc73518117"/>
      <w:bookmarkStart w:id="6" w:name="_Toc100052364"/>
      <w:bookmarkStart w:id="7" w:name="_Toc73521635"/>
      <w:bookmarkStart w:id="8" w:name="_Toc60631620"/>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喀什市人民医院</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中小微企业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KSS(GK)2026-017</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喀什市人民医院医疗服务能力提升项目-病床采购项目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bCs/>
                <w:color w:val="auto"/>
                <w:lang w:eastAsia="zh-CN"/>
              </w:rPr>
              <w:t>1560000（壹佰伍拾陆万元整）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eastAsia" w:ascii="宋体" w:hAnsi="宋体" w:eastAsia="宋体"/>
                <w:bCs/>
                <w:color w:val="auto"/>
                <w:lang w:eastAsia="zh-CN"/>
              </w:rPr>
            </w:pPr>
            <w:r>
              <w:rPr>
                <w:rFonts w:hint="eastAsia" w:ascii="宋体" w:hAnsi="宋体" w:eastAsia="宋体" w:cs="宋体"/>
                <w:i w:val="0"/>
                <w:iCs w:val="0"/>
                <w:caps w:val="0"/>
                <w:color w:val="auto"/>
                <w:spacing w:val="0"/>
                <w:sz w:val="24"/>
                <w:szCs w:val="24"/>
                <w:shd w:val="clear" w:color="auto" w:fill="FFFFFF"/>
                <w:lang w:eastAsia="zh-CN"/>
              </w:rPr>
              <w:t>工业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1560000（壹佰伍拾陆万元整）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rPr>
      </w:pPr>
      <w:r>
        <w:rPr>
          <w:rFonts w:hint="eastAsia" w:ascii="Arial" w:hAnsi="Arial" w:eastAsia="宋体"/>
          <w:b/>
          <w:sz w:val="32"/>
          <w:szCs w:val="32"/>
        </w:rPr>
        <w:t>★严格执行《中华人民共和国产品质量法》《强制性产品认证管规定》《强制性产品认证目录》等相关法规制度及有关要求。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5"/>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3C7465D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36E022C8">
      <w:pPr>
        <w:rPr>
          <w:rFonts w:hint="eastAsia" w:ascii="宋体" w:hAnsi="宋体"/>
          <w:b/>
          <w:color w:val="FF0000"/>
          <w:sz w:val="32"/>
          <w:szCs w:val="32"/>
          <w:lang w:val="en-US" w:eastAsia="zh-CN"/>
        </w:rPr>
      </w:pPr>
      <w:r>
        <w:rPr>
          <w:rFonts w:hint="eastAsia" w:ascii="宋体" w:hAnsi="宋体"/>
          <w:b/>
          <w:color w:val="FF0000"/>
          <w:sz w:val="32"/>
          <w:szCs w:val="32"/>
        </w:rPr>
        <w:t>本项目核心产品为：</w:t>
      </w:r>
      <w:r>
        <w:rPr>
          <w:rFonts w:hint="eastAsia" w:ascii="宋体" w:hAnsi="宋体"/>
          <w:b/>
          <w:color w:val="FF0000"/>
          <w:sz w:val="32"/>
          <w:szCs w:val="32"/>
          <w:lang w:val="en-US" w:eastAsia="zh-CN"/>
        </w:rPr>
        <w:t>多功能病床（带轮）</w:t>
      </w:r>
    </w:p>
    <w:tbl>
      <w:tblPr>
        <w:tblStyle w:val="22"/>
        <w:tblW w:w="13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715"/>
        <w:gridCol w:w="3277"/>
        <w:gridCol w:w="5912"/>
      </w:tblGrid>
      <w:tr w14:paraId="094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E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医疗设备名称</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0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23D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多功能病床（带轮）</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3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14:paraId="0EA5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医用床头柜</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768E7B5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b/>
          <w:bCs/>
          <w:sz w:val="28"/>
          <w:szCs w:val="28"/>
          <w:lang w:val="en-US" w:eastAsia="zh-CN"/>
        </w:rPr>
      </w:pPr>
    </w:p>
    <w:p w14:paraId="6C15FA0F">
      <w:pPr>
        <w:keepNext w:val="0"/>
        <w:keepLines w:val="0"/>
        <w:pageBreakBefore w:val="0"/>
        <w:widowControl w:val="0"/>
        <w:kinsoku/>
        <w:wordWrap/>
        <w:overflowPunct/>
        <w:topLinePunct w:val="0"/>
        <w:autoSpaceDE/>
        <w:autoSpaceDN/>
        <w:bidi w:val="0"/>
        <w:adjustRightInd w:val="0"/>
        <w:snapToGrid w:val="0"/>
        <w:spacing w:line="346" w:lineRule="exact"/>
        <w:jc w:val="center"/>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多功能病床（带轮）参数</w:t>
      </w:r>
    </w:p>
    <w:p w14:paraId="6ABD871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一、基本参数</w:t>
      </w:r>
    </w:p>
    <w:p w14:paraId="6A6F7A5F">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1、规格：长≥2190㎜，宽≤980㎜，高≥470㎜（±10mm）；床面尺寸: ≥1920×850mm（±30mm）</w:t>
      </w:r>
    </w:p>
    <w:p w14:paraId="7AA6A00D">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2、背部最大折起角度：≥72°±2°，腿部最大折起角度：≥45°±2°；</w:t>
      </w:r>
    </w:p>
    <w:p w14:paraId="28475E9B">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3、安全载荷：静载0—400㎏，动载0-205㎏；</w:t>
      </w:r>
    </w:p>
    <w:p w14:paraId="7A327443">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4、六个点滴架插孔，六个可移动式引流袋挂钩（兼具点滴架收藏功能）；</w:t>
      </w:r>
    </w:p>
    <w:p w14:paraId="36BB14D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5、一支插式不锈钢点滴架；</w:t>
      </w:r>
    </w:p>
    <w:p w14:paraId="4160E857">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6、床下杂物篓一个；</w:t>
      </w:r>
    </w:p>
    <w:p w14:paraId="3F269A5A">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7、配ABS可伸缩式餐桌板一块；</w:t>
      </w:r>
    </w:p>
    <w:p w14:paraId="079597F2">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二、工艺要求</w:t>
      </w:r>
    </w:p>
    <w:p w14:paraId="334B7863">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1、金属切割工艺：采用激光切割机对金属下料切割，精度高，表面平整光滑；</w:t>
      </w:r>
    </w:p>
    <w:p w14:paraId="1656AEC7">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2、焊接工艺；</w:t>
      </w:r>
    </w:p>
    <w:p w14:paraId="1EE62463">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3、金属表面处理：金属表面处理采用多层涂层工艺：（提供白皮书或证明文件）</w:t>
      </w:r>
    </w:p>
    <w:p w14:paraId="70ABEAA5">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4、床面板加工工艺：一次模压成型，表面光洁，四角圆润，无焊点；</w:t>
      </w:r>
    </w:p>
    <w:p w14:paraId="45D8F42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三、床架：</w:t>
      </w:r>
    </w:p>
    <w:p w14:paraId="15082A67">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1、床框采用冷轧钢管，≥长30×宽60mm，厚度≥2mm；</w:t>
      </w:r>
    </w:p>
    <w:p w14:paraId="3542553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2、四周圆润光滑易清洁，不易藏污纳垢；</w:t>
      </w:r>
    </w:p>
    <w:p w14:paraId="388BE0CF">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3、床腿采用≥长50×宽50mm冷轧钢管，厚度≥2mm；</w:t>
      </w:r>
    </w:p>
    <w:p w14:paraId="6EED41AF">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床架四支支撑腿间，前后、左右方向均设置封闭式横向加固横梁，形成稳定的矩形受力框架，增强床体整体刚性与抗冲击性能，杜绝使用过程中床架晃动、扭曲变形，结构安全可靠，符合诊疗床承重及使用安全规范。（床框钢管规格提供材质证明文件）</w:t>
      </w:r>
    </w:p>
    <w:p w14:paraId="218A55FA">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四、床面板：</w:t>
      </w:r>
    </w:p>
    <w:p w14:paraId="60412591">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1、采用冷轧钢板，模压成型，板材厚度≥2㎜ ；所有床板均带有模压凹槽，凹槽深度≥4.5mm；每块床板四角为模压完整一体,不得有拼接漏孔现象（提供床板四角实物图片），防止藏污纳垢及割手现象。（提供床板规格证明材料）</w:t>
      </w:r>
    </w:p>
    <w:p w14:paraId="0477DB6A">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背部增焊多条加强型钢管框架，钢管壁厚≥1.2mm；背部床板升起至30°时，在其最顶端（最着力位置）要承受≥80kg的载荷半小时后，背部床板不会产生永久变形或断裂。背部床板焊有加强钢管，尺寸分别为:≥23mm×23mm，厚度≥1.0mm,≥15mm×30mm，厚度≥1.5mm；</w:t>
      </w:r>
    </w:p>
    <w:p w14:paraId="789DC543">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背部床板活动关节双支撑卸力结构，(须提供产品实物结构图及作用加以说明),背部床板与床框之间，采用由上支撑轴（连接于背部床板上）、下支撑轴（连接于床框上）、曲柄连杆组成的“双支撑卸力结构”；上支撑轴采用直径≥25mm、厚度≥2.0mm的钢管,长度≥400mm；下支撑轴采用直径≥32mm、厚度≥2.5mm的钢管,长度≥430mm；上曲柄连杆采用厚度≥2mm的钢板模压成型，尺寸（长宽高）≥175mm×43mm×16mm；下曲柄连杆采用厚度≥2mm的钢板模压成型，尺寸（长宽高）≥178mm×52mm×30mmmm。</w:t>
      </w:r>
    </w:p>
    <w:p w14:paraId="38B94EE4">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4、尾部中央配有防滑筋，可防止床垫在床板升起时床垫下滑。</w:t>
      </w:r>
    </w:p>
    <w:p w14:paraId="62A7D726">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五、床头床尾板：</w:t>
      </w:r>
    </w:p>
    <w:p w14:paraId="448CFDB5">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1、纯正ABS材料整体注塑成型，表面光滑无味、耐冲击，强度高；</w:t>
      </w:r>
    </w:p>
    <w:p w14:paraId="28546040">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2、流线型床头尾板，床头板高床尾板低 ,高低相差≥4cm ，底部厚度≥7cm；内置钢管固定结构，牢固结实；</w:t>
      </w:r>
    </w:p>
    <w:p w14:paraId="59777345">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3、床头、床尾与床体连接采用插拔式结构，装卸方便，带锁定保险；</w:t>
      </w:r>
    </w:p>
    <w:p w14:paraId="2BBD9E63">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4、床尾外侧配有机板病历插卡；</w:t>
      </w:r>
    </w:p>
    <w:p w14:paraId="6BAB49B2">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▲5、床头尾板可与简易骨科牵引架互换，实现一床多用。</w:t>
      </w:r>
    </w:p>
    <w:p w14:paraId="25DB33E1">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六、护栏：</w:t>
      </w:r>
    </w:p>
    <w:p w14:paraId="5C4AE60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1、折叠侧伏式安全护栏一对，每只六支强化铝合金立柱；</w:t>
      </w:r>
    </w:p>
    <w:p w14:paraId="3535E688">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2、易清洁护栏，底座倒置，护栏长期使用不松垮歪斜、不藏污纳垢；</w:t>
      </w:r>
    </w:p>
    <w:p w14:paraId="16553288">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▲3、护栏铝合金型材，长≥1400mm，距床垫高≥250mm，折叠后低于床垫≥2cm，护栏设有防夹手胶垫，折叠时可防夹手；</w:t>
      </w:r>
    </w:p>
    <w:p w14:paraId="706E5072">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▲4、立柱基座：3cm钢板冲压成型,焊接强化处理,外套塑料套与基座结合；</w:t>
      </w:r>
    </w:p>
    <w:p w14:paraId="0C7F1D16">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▲5、护栏设有折叠托架；</w:t>
      </w:r>
    </w:p>
    <w:p w14:paraId="01E5A74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▲6、手握式开关，开关材质为金属材质，开关处防夹手设计。提供相关证明文件。</w:t>
      </w:r>
    </w:p>
    <w:p w14:paraId="72B49128">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七、脚轮：采用直径125mm脚轮，单独刹车，轮面采用TPR耐磨材料，专业品质，静音耐磨，稳固牢靠；内置全封闭自润滑轴承，防水、防异物卷入，永不生锈；</w:t>
      </w:r>
    </w:p>
    <w:p w14:paraId="052020F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八、摇杆系统：</w:t>
      </w:r>
    </w:p>
    <w:p w14:paraId="14725568">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1、手摇把: ABS材料注塑成型可推拉折叠设计，摇手内置钢芯，手指凹痕防滑设计，手感舒适，摇手开关为专业耐磨材料；</w:t>
      </w:r>
    </w:p>
    <w:p w14:paraId="4716AE48">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2、摇手与丝杠间传动部件采用六角钢配不锈钢导管，连接部位采用高强度增韧尼龙与波纤材料含件注塑而成（万向节）。</w:t>
      </w:r>
    </w:p>
    <w:p w14:paraId="0289DE8F">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3、回旋体：合金材料；</w:t>
      </w:r>
    </w:p>
    <w:p w14:paraId="56361701">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4、采用精雕螺母，静音，耐磨，寿命长；</w:t>
      </w:r>
    </w:p>
    <w:p w14:paraId="5E351B8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5、有双向极限保护功能；</w:t>
      </w:r>
    </w:p>
    <w:p w14:paraId="280CA1E1">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6、外套塑料防尘罩；</w:t>
      </w:r>
    </w:p>
    <w:p w14:paraId="04D97BEC">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九、</w:t>
      </w:r>
      <w:r>
        <w:rPr>
          <w:rFonts w:hint="eastAsia" w:ascii="宋体" w:hAnsi="宋体" w:eastAsia="宋体" w:cs="宋体"/>
          <w:b w:val="0"/>
          <w:bCs w:val="0"/>
          <w:sz w:val="28"/>
          <w:szCs w:val="28"/>
          <w:highlight w:val="none"/>
          <w:lang w:eastAsia="zh-CN"/>
        </w:rPr>
        <w:t>床下杂物篓</w:t>
      </w:r>
    </w:p>
    <w:p w14:paraId="2335E117">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eastAsia="zh-CN"/>
        </w:rPr>
        <w:t>床体下方配置一体式杂物收纳置物框，采用高强度防腐防锈工程塑料材质，结构稳固不易变形，镂空通透设计，便于清洁打理、不易积尘积水。</w:t>
      </w:r>
    </w:p>
    <w:p w14:paraId="4B1EF45D">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eastAsia="zh-CN"/>
        </w:rPr>
        <w:t>置物框与床架一体化集成安装，承重性能良好，可规范存放病房杂物、陪护用品、床单元附属物品；拆装便捷，边缘圆润无毛刺，不磕碰医护及患者，整体美观整洁，符合院内院感消毒卫生要求，与病床整体配套供货。</w:t>
      </w:r>
    </w:p>
    <w:p w14:paraId="0213004B">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十</w:t>
      </w:r>
      <w:r>
        <w:rPr>
          <w:rFonts w:hint="eastAsia" w:ascii="宋体" w:hAnsi="宋体" w:eastAsia="宋体" w:cs="宋体"/>
          <w:b w:val="0"/>
          <w:bCs w:val="0"/>
          <w:sz w:val="28"/>
          <w:szCs w:val="28"/>
          <w:highlight w:val="none"/>
          <w:lang w:eastAsia="zh-CN"/>
        </w:rPr>
        <w:t>、餐桌板：ABS工程塑料注塑而成，铝合金伸缩骨架，挂钩采用嵌入式与拉丁固定方式强化固定，</w:t>
      </w:r>
      <w:r>
        <w:rPr>
          <w:rFonts w:hint="eastAsia" w:ascii="宋体" w:hAnsi="宋体" w:eastAsia="宋体" w:cs="宋体"/>
          <w:b w:val="0"/>
          <w:bCs w:val="0"/>
          <w:sz w:val="28"/>
          <w:szCs w:val="28"/>
          <w:highlight w:val="none"/>
          <w:lang w:val="en-US" w:eastAsia="zh-CN"/>
        </w:rPr>
        <w:t>挂钩采用铝合金材质，</w:t>
      </w:r>
      <w:r>
        <w:rPr>
          <w:rFonts w:hint="eastAsia" w:ascii="宋体" w:hAnsi="宋体" w:eastAsia="宋体" w:cs="宋体"/>
          <w:b w:val="0"/>
          <w:bCs w:val="0"/>
          <w:sz w:val="28"/>
          <w:szCs w:val="28"/>
          <w:highlight w:val="none"/>
          <w:lang w:eastAsia="zh-CN"/>
        </w:rPr>
        <w:t>不易断裂松脱，可悬挂收藏于床</w:t>
      </w:r>
      <w:r>
        <w:rPr>
          <w:rFonts w:hint="eastAsia" w:ascii="宋体" w:hAnsi="宋体" w:eastAsia="宋体" w:cs="宋体"/>
          <w:b w:val="0"/>
          <w:bCs w:val="0"/>
          <w:sz w:val="28"/>
          <w:szCs w:val="28"/>
          <w:highlight w:val="none"/>
          <w:lang w:val="en-US" w:eastAsia="zh-CN"/>
        </w:rPr>
        <w:t>尾</w:t>
      </w:r>
      <w:r>
        <w:rPr>
          <w:rFonts w:hint="eastAsia" w:ascii="宋体" w:hAnsi="宋体" w:eastAsia="宋体" w:cs="宋体"/>
          <w:b w:val="0"/>
          <w:bCs w:val="0"/>
          <w:sz w:val="28"/>
          <w:szCs w:val="28"/>
          <w:highlight w:val="none"/>
          <w:lang w:eastAsia="zh-CN"/>
        </w:rPr>
        <w:t>尾板。</w:t>
      </w:r>
    </w:p>
    <w:p w14:paraId="68EACB9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十</w:t>
      </w:r>
      <w:r>
        <w:rPr>
          <w:rFonts w:hint="eastAsia" w:ascii="宋体" w:hAnsi="宋体" w:eastAsia="宋体" w:cs="宋体"/>
          <w:b w:val="0"/>
          <w:bCs w:val="0"/>
          <w:sz w:val="28"/>
          <w:szCs w:val="28"/>
          <w:highlight w:val="none"/>
          <w:lang w:val="en-US" w:eastAsia="zh-CN"/>
        </w:rPr>
        <w:t>一</w:t>
      </w:r>
      <w:r>
        <w:rPr>
          <w:rFonts w:hint="eastAsia" w:ascii="宋体" w:hAnsi="宋体" w:eastAsia="宋体" w:cs="宋体"/>
          <w:b w:val="0"/>
          <w:bCs w:val="0"/>
          <w:sz w:val="28"/>
          <w:szCs w:val="28"/>
          <w:highlight w:val="none"/>
          <w:lang w:eastAsia="zh-CN"/>
        </w:rPr>
        <w:t>、点滴架：优质不锈钢,φ≥19mm，伸缩式设计，四爪头挂钩，配金属插座，不用可收藏于床下引流挂钩。</w:t>
      </w:r>
    </w:p>
    <w:p w14:paraId="532BBF31">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十</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lang w:eastAsia="zh-CN"/>
        </w:rPr>
        <w:t>、床垫</w:t>
      </w:r>
    </w:p>
    <w:p w14:paraId="5143CABC">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1、三折床垫，四角圆角设计，配合床板，不易磨损，长宽与床相配。</w:t>
      </w:r>
    </w:p>
    <w:p w14:paraId="287CD89C">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▲2、海绵加椰棕内胆，医用防水耐磨布外套，隐藏式拉链，厚度≥80mm，海绵≥60mm，环保椰棕，不生虫，上下表面粘附一层纤维丝绒，不掉渣，厚度≥20mm，海绵密度≥28°，久用不塌陷；（提供证明文件）</w:t>
      </w:r>
    </w:p>
    <w:p w14:paraId="17335A36">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十三、</w:t>
      </w:r>
      <w:r>
        <w:rPr>
          <w:rFonts w:hint="eastAsia" w:ascii="宋体" w:hAnsi="宋体" w:eastAsia="宋体" w:cs="宋体"/>
          <w:b w:val="0"/>
          <w:bCs w:val="0"/>
          <w:sz w:val="28"/>
          <w:szCs w:val="28"/>
          <w:highlight w:val="none"/>
          <w:lang w:eastAsia="zh-CN"/>
        </w:rPr>
        <w:t>整</w:t>
      </w:r>
      <w:r>
        <w:rPr>
          <w:rFonts w:hint="eastAsia" w:ascii="宋体" w:hAnsi="宋体" w:eastAsia="宋体" w:cs="宋体"/>
          <w:b w:val="0"/>
          <w:bCs w:val="0"/>
          <w:sz w:val="28"/>
          <w:szCs w:val="28"/>
          <w:highlight w:val="none"/>
          <w:lang w:val="en-US" w:eastAsia="zh-CN"/>
        </w:rPr>
        <w:t>套</w:t>
      </w:r>
      <w:r>
        <w:rPr>
          <w:rFonts w:hint="eastAsia" w:ascii="宋体" w:hAnsi="宋体" w:eastAsia="宋体" w:cs="宋体"/>
          <w:b w:val="0"/>
          <w:bCs w:val="0"/>
          <w:sz w:val="28"/>
          <w:szCs w:val="28"/>
          <w:highlight w:val="none"/>
          <w:lang w:eastAsia="zh-CN"/>
        </w:rPr>
        <w:t>质保</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eastAsia="zh-CN"/>
        </w:rPr>
        <w:t>年（包含零配件、</w:t>
      </w:r>
      <w:r>
        <w:rPr>
          <w:rFonts w:hint="eastAsia" w:ascii="宋体" w:hAnsi="宋体" w:eastAsia="宋体" w:cs="宋体"/>
          <w:b w:val="0"/>
          <w:bCs w:val="0"/>
          <w:sz w:val="28"/>
          <w:szCs w:val="28"/>
          <w:highlight w:val="none"/>
          <w:lang w:val="en-US" w:eastAsia="zh-CN"/>
        </w:rPr>
        <w:t>易损件</w:t>
      </w:r>
      <w:r>
        <w:rPr>
          <w:rFonts w:hint="eastAsia" w:ascii="宋体" w:hAnsi="宋体" w:eastAsia="宋体" w:cs="宋体"/>
          <w:b w:val="0"/>
          <w:bCs w:val="0"/>
          <w:sz w:val="28"/>
          <w:szCs w:val="28"/>
          <w:highlight w:val="none"/>
          <w:lang w:eastAsia="zh-CN"/>
        </w:rPr>
        <w:t>）。</w:t>
      </w:r>
    </w:p>
    <w:p w14:paraId="48ED68D4">
      <w:pPr>
        <w:keepNext w:val="0"/>
        <w:keepLines w:val="0"/>
        <w:pageBreakBefore w:val="0"/>
        <w:widowControl w:val="0"/>
        <w:kinsoku/>
        <w:wordWrap/>
        <w:overflowPunct/>
        <w:topLinePunct w:val="0"/>
        <w:autoSpaceDE/>
        <w:autoSpaceDN/>
        <w:bidi w:val="0"/>
        <w:adjustRightInd w:val="0"/>
        <w:snapToGrid w:val="0"/>
        <w:spacing w:line="376" w:lineRule="exact"/>
        <w:jc w:val="both"/>
        <w:textAlignment w:val="auto"/>
        <w:rPr>
          <w:rFonts w:hint="eastAsia" w:ascii="宋体" w:hAnsi="宋体" w:eastAsia="宋体" w:cs="宋体"/>
          <w:b w:val="0"/>
          <w:bCs w:val="0"/>
          <w:sz w:val="28"/>
          <w:szCs w:val="28"/>
          <w:highlight w:val="none"/>
          <w:lang w:val="en-US" w:eastAsia="zh-CN"/>
        </w:rPr>
      </w:pPr>
    </w:p>
    <w:p w14:paraId="68FAADCC">
      <w:pPr>
        <w:keepNext w:val="0"/>
        <w:keepLines w:val="0"/>
        <w:pageBreakBefore w:val="0"/>
        <w:widowControl w:val="0"/>
        <w:kinsoku/>
        <w:wordWrap/>
        <w:overflowPunct/>
        <w:topLinePunct w:val="0"/>
        <w:autoSpaceDE/>
        <w:autoSpaceDN/>
        <w:bidi w:val="0"/>
        <w:adjustRightInd w:val="0"/>
        <w:snapToGrid w:val="0"/>
        <w:spacing w:line="376" w:lineRule="exact"/>
        <w:jc w:val="both"/>
        <w:textAlignment w:val="auto"/>
        <w:rPr>
          <w:rFonts w:hint="eastAsia" w:ascii="宋体" w:hAnsi="宋体" w:eastAsia="宋体" w:cs="宋体"/>
          <w:b w:val="0"/>
          <w:bCs w:val="0"/>
          <w:sz w:val="28"/>
          <w:szCs w:val="28"/>
          <w:highlight w:val="none"/>
          <w:lang w:val="en-US" w:eastAsia="zh-CN"/>
        </w:rPr>
      </w:pPr>
    </w:p>
    <w:p w14:paraId="688DBE61">
      <w:pPr>
        <w:keepNext w:val="0"/>
        <w:keepLines w:val="0"/>
        <w:pageBreakBefore w:val="0"/>
        <w:widowControl w:val="0"/>
        <w:kinsoku/>
        <w:wordWrap/>
        <w:overflowPunct/>
        <w:topLinePunct w:val="0"/>
        <w:autoSpaceDE/>
        <w:autoSpaceDN/>
        <w:bidi w:val="0"/>
        <w:adjustRightInd w:val="0"/>
        <w:snapToGrid w:val="0"/>
        <w:spacing w:line="376" w:lineRule="exact"/>
        <w:jc w:val="both"/>
        <w:textAlignment w:val="auto"/>
        <w:rPr>
          <w:rFonts w:hint="eastAsia" w:ascii="宋体" w:hAnsi="宋体" w:eastAsia="宋体" w:cs="宋体"/>
          <w:b w:val="0"/>
          <w:bCs w:val="0"/>
          <w:sz w:val="28"/>
          <w:szCs w:val="28"/>
          <w:highlight w:val="none"/>
          <w:lang w:val="en-US" w:eastAsia="zh-CN"/>
        </w:rPr>
      </w:pPr>
    </w:p>
    <w:p w14:paraId="7C38B6A2">
      <w:pPr>
        <w:keepNext w:val="0"/>
        <w:keepLines w:val="0"/>
        <w:pageBreakBefore w:val="0"/>
        <w:widowControl w:val="0"/>
        <w:kinsoku/>
        <w:wordWrap/>
        <w:overflowPunct/>
        <w:topLinePunct w:val="0"/>
        <w:autoSpaceDE/>
        <w:autoSpaceDN/>
        <w:bidi w:val="0"/>
        <w:adjustRightInd w:val="0"/>
        <w:snapToGrid w:val="0"/>
        <w:spacing w:line="376" w:lineRule="exact"/>
        <w:jc w:val="both"/>
        <w:textAlignment w:val="auto"/>
        <w:rPr>
          <w:rFonts w:hint="eastAsia" w:ascii="宋体" w:hAnsi="宋体" w:eastAsia="宋体" w:cs="宋体"/>
          <w:b w:val="0"/>
          <w:bCs w:val="0"/>
          <w:sz w:val="28"/>
          <w:szCs w:val="28"/>
          <w:highlight w:val="none"/>
          <w:lang w:val="en-US" w:eastAsia="zh-CN"/>
        </w:rPr>
      </w:pPr>
    </w:p>
    <w:p w14:paraId="11859099">
      <w:pPr>
        <w:keepNext w:val="0"/>
        <w:keepLines w:val="0"/>
        <w:pageBreakBefore w:val="0"/>
        <w:widowControl w:val="0"/>
        <w:kinsoku/>
        <w:wordWrap/>
        <w:overflowPunct/>
        <w:topLinePunct w:val="0"/>
        <w:autoSpaceDE/>
        <w:autoSpaceDN/>
        <w:bidi w:val="0"/>
        <w:adjustRightInd w:val="0"/>
        <w:snapToGrid w:val="0"/>
        <w:spacing w:line="346" w:lineRule="exact"/>
        <w:jc w:val="center"/>
        <w:textAlignment w:val="auto"/>
        <w:rPr>
          <w:rFonts w:hint="eastAsia" w:ascii="宋体" w:hAnsi="宋体" w:eastAsia="宋体" w:cs="宋体"/>
          <w:b w:val="0"/>
          <w:bCs w:val="0"/>
          <w:sz w:val="28"/>
          <w:szCs w:val="28"/>
          <w:highlight w:val="none"/>
          <w:lang w:val="en-US" w:eastAsia="zh-CN"/>
        </w:rPr>
      </w:pPr>
    </w:p>
    <w:p w14:paraId="1BDD643D">
      <w:pPr>
        <w:keepNext w:val="0"/>
        <w:keepLines w:val="0"/>
        <w:pageBreakBefore w:val="0"/>
        <w:widowControl w:val="0"/>
        <w:kinsoku/>
        <w:wordWrap/>
        <w:overflowPunct/>
        <w:topLinePunct w:val="0"/>
        <w:autoSpaceDE/>
        <w:autoSpaceDN/>
        <w:bidi w:val="0"/>
        <w:adjustRightInd w:val="0"/>
        <w:snapToGrid w:val="0"/>
        <w:spacing w:line="346" w:lineRule="exact"/>
        <w:jc w:val="center"/>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医用床头柜参数</w:t>
      </w:r>
    </w:p>
    <w:p w14:paraId="69C311D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1、规格：480mm×480mm×760mm（±10mm）。</w:t>
      </w:r>
    </w:p>
    <w:p w14:paraId="309187B5">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2、采用ABS全新纯正工程塑料，蓝色。</w:t>
      </w:r>
    </w:p>
    <w:p w14:paraId="61525826">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3、加厚板材。</w:t>
      </w:r>
    </w:p>
    <w:p w14:paraId="6B92D1AD">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4、功能：隐藏式毛巾架、隐藏式杂物挂钩、餐桌板（托物板）、抽屉、储物柜等。</w:t>
      </w:r>
    </w:p>
    <w:p w14:paraId="6181E1A9">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5、储物柜内中间隔板可调节高度。</w:t>
      </w:r>
    </w:p>
    <w:p w14:paraId="09D1CB4E">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6、弧线型柜门设计。</w:t>
      </w:r>
    </w:p>
    <w:p w14:paraId="09ED60A0">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7、整体ABS注塑成型，防潮防水，易清洁，可冲洗。</w:t>
      </w:r>
    </w:p>
    <w:p w14:paraId="38B014F2">
      <w:pPr>
        <w:keepNext w:val="0"/>
        <w:keepLines w:val="0"/>
        <w:pageBreakBefore w:val="0"/>
        <w:widowControl w:val="0"/>
        <w:kinsoku/>
        <w:wordWrap/>
        <w:overflowPunct/>
        <w:topLinePunct w:val="0"/>
        <w:autoSpaceDE/>
        <w:autoSpaceDN/>
        <w:bidi w:val="0"/>
        <w:adjustRightInd w:val="0"/>
        <w:snapToGrid w:val="0"/>
        <w:spacing w:line="346" w:lineRule="exact"/>
        <w:jc w:val="left"/>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8、分上下两层。</w:t>
      </w:r>
    </w:p>
    <w:p w14:paraId="5353D3A0">
      <w:pPr>
        <w:keepNext w:val="0"/>
        <w:keepLines w:val="0"/>
        <w:pageBreakBefore w:val="0"/>
        <w:widowControl w:val="0"/>
        <w:kinsoku/>
        <w:wordWrap/>
        <w:overflowPunct/>
        <w:topLinePunct w:val="0"/>
        <w:autoSpaceDE/>
        <w:autoSpaceDN/>
        <w:bidi w:val="0"/>
        <w:adjustRightInd w:val="0"/>
        <w:snapToGrid w:val="0"/>
        <w:spacing w:line="376" w:lineRule="exact"/>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9、</w:t>
      </w:r>
      <w:r>
        <w:rPr>
          <w:rFonts w:hint="eastAsia" w:ascii="宋体" w:hAnsi="宋体" w:eastAsia="宋体" w:cs="宋体"/>
          <w:b w:val="0"/>
          <w:bCs w:val="0"/>
          <w:sz w:val="28"/>
          <w:szCs w:val="28"/>
          <w:highlight w:val="none"/>
          <w:lang w:eastAsia="zh-CN"/>
        </w:rPr>
        <w:t>整</w:t>
      </w:r>
      <w:r>
        <w:rPr>
          <w:rFonts w:hint="eastAsia" w:ascii="宋体" w:hAnsi="宋体" w:eastAsia="宋体" w:cs="宋体"/>
          <w:b w:val="0"/>
          <w:bCs w:val="0"/>
          <w:sz w:val="28"/>
          <w:szCs w:val="28"/>
          <w:highlight w:val="none"/>
          <w:lang w:val="en-US" w:eastAsia="zh-CN"/>
        </w:rPr>
        <w:t>套</w:t>
      </w:r>
      <w:r>
        <w:rPr>
          <w:rFonts w:hint="eastAsia" w:ascii="宋体" w:hAnsi="宋体" w:eastAsia="宋体" w:cs="宋体"/>
          <w:b w:val="0"/>
          <w:bCs w:val="0"/>
          <w:sz w:val="28"/>
          <w:szCs w:val="28"/>
          <w:highlight w:val="none"/>
          <w:lang w:eastAsia="zh-CN"/>
        </w:rPr>
        <w:t>质保</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eastAsia="zh-CN"/>
        </w:rPr>
        <w:t>年（包含零配件、</w:t>
      </w:r>
      <w:r>
        <w:rPr>
          <w:rFonts w:hint="eastAsia" w:ascii="宋体" w:hAnsi="宋体" w:eastAsia="宋体" w:cs="宋体"/>
          <w:b w:val="0"/>
          <w:bCs w:val="0"/>
          <w:sz w:val="28"/>
          <w:szCs w:val="28"/>
          <w:highlight w:val="none"/>
          <w:lang w:val="en-US" w:eastAsia="zh-CN"/>
        </w:rPr>
        <w:t>易损件</w:t>
      </w:r>
      <w:r>
        <w:rPr>
          <w:rFonts w:hint="eastAsia" w:ascii="宋体" w:hAnsi="宋体" w:eastAsia="宋体" w:cs="宋体"/>
          <w:b w:val="0"/>
          <w:bCs w:val="0"/>
          <w:sz w:val="28"/>
          <w:szCs w:val="28"/>
          <w:highlight w:val="none"/>
          <w:lang w:eastAsia="zh-CN"/>
        </w:rPr>
        <w:t>）。</w:t>
      </w:r>
    </w:p>
    <w:p w14:paraId="05D8F875"/>
    <w:p w14:paraId="51ADDC4F"/>
    <w:p w14:paraId="721A5C7B">
      <w:pPr>
        <w:rPr>
          <w:rFonts w:hint="eastAsia"/>
        </w:rPr>
      </w:pPr>
      <w:r>
        <w:rPr>
          <w:rFonts w:hint="eastAsia" w:eastAsia="宋体"/>
          <w:b/>
          <w:bCs/>
          <w:sz w:val="32"/>
          <w:szCs w:val="32"/>
          <w:lang w:val="en-US" w:eastAsia="zh-CN"/>
        </w:rPr>
        <w:t>备注：</w:t>
      </w:r>
      <w:r>
        <w:rPr>
          <w:rFonts w:hint="eastAsia" w:ascii="宋体" w:hAnsi="宋体" w:eastAsia="宋体"/>
          <w:b/>
          <w:bCs/>
          <w:color w:val="FF0000"/>
          <w:sz w:val="32"/>
          <w:szCs w:val="24"/>
        </w:rPr>
        <w:t>带★号条款为不可偏离条款，投标人必须完全响应满足，否则将导致投标无效。</w:t>
      </w:r>
    </w:p>
    <w:p w14:paraId="30DF1CEC">
      <w:pPr>
        <w:rPr>
          <w:rFonts w:hint="eastAsia"/>
        </w:rPr>
      </w:pPr>
    </w:p>
    <w:p w14:paraId="50446145">
      <w:pPr>
        <w:rPr>
          <w:rFonts w:hint="eastAsia"/>
          <w:color w:val="FF0000"/>
        </w:rPr>
      </w:pPr>
    </w:p>
    <w:p w14:paraId="7C2D66A8">
      <w:pPr>
        <w:rPr>
          <w:color w:val="FF0000"/>
        </w:rPr>
      </w:pPr>
      <w:r>
        <w:rPr>
          <w:rFonts w:hint="eastAsia"/>
          <w:color w:val="FF0000"/>
        </w:rPr>
        <w:t>备注：</w:t>
      </w:r>
    </w:p>
    <w:p w14:paraId="0821AAFC">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即所谓进口产品是指制造过程均在国外，如果产品在国内组装，其中的零部件（包括核心部件）是进口产品，则应当视为非进口产品。</w:t>
      </w:r>
    </w:p>
    <w:p w14:paraId="1224E67D">
      <w:pPr>
        <w:ind w:firstLine="480" w:firstLineChars="200"/>
        <w:rPr>
          <w:color w:val="FF0000"/>
        </w:rPr>
      </w:pPr>
      <w:r>
        <w:rPr>
          <w:rFonts w:hint="eastAsia"/>
          <w:color w:val="FF0000"/>
        </w:rPr>
        <w:t>2、如注明有单价控制金额的产品，投标人对该产品的报价不得超过控制金额，否则将作投标无效处理。</w:t>
      </w:r>
    </w:p>
    <w:p w14:paraId="76606533">
      <w:pPr>
        <w:rPr>
          <w:rFonts w:hint="eastAsia"/>
        </w:rPr>
      </w:pPr>
    </w:p>
    <w:p w14:paraId="52410395">
      <w:pPr>
        <w:rPr>
          <w:rFonts w:hint="eastAsia"/>
        </w:rPr>
      </w:pPr>
    </w:p>
    <w:p w14:paraId="4BBB0395">
      <w:pPr>
        <w:rPr>
          <w:rFonts w:hint="eastAsia"/>
        </w:rPr>
      </w:pPr>
    </w:p>
    <w:p w14:paraId="1B43C9B4">
      <w:pPr>
        <w:rPr>
          <w:rFonts w:hint="eastAsia"/>
        </w:rPr>
      </w:pPr>
    </w:p>
    <w:p w14:paraId="2BBB6731">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237"/>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2CD160A6">
            <w:pPr>
              <w:spacing w:after="60" w:afterLines="25" w:line="360" w:lineRule="exact"/>
              <w:jc w:val="center"/>
              <w:rPr>
                <w:rFonts w:hint="default" w:ascii="宋体" w:hAnsi="宋体" w:eastAsia="微软雅黑" w:cs="宋体"/>
                <w:color w:val="auto"/>
                <w:sz w:val="22"/>
                <w:szCs w:val="21"/>
                <w:lang w:val="en-US" w:eastAsia="zh-CN"/>
              </w:rPr>
            </w:pPr>
            <w:r>
              <w:rPr>
                <w:color w:val="auto"/>
                <w:spacing w:val="-3"/>
                <w:sz w:val="22"/>
                <w:szCs w:val="22"/>
              </w:rPr>
              <w:t>本项目要求</w:t>
            </w:r>
            <w:r>
              <w:rPr>
                <w:rFonts w:hint="eastAsia" w:eastAsia="宋体"/>
                <w:color w:val="auto"/>
                <w:spacing w:val="-3"/>
                <w:sz w:val="22"/>
                <w:szCs w:val="22"/>
                <w:lang w:eastAsia="zh-CN"/>
              </w:rPr>
              <w:t>甲方通知后</w:t>
            </w:r>
            <w:r>
              <w:rPr>
                <w:rFonts w:hint="eastAsia"/>
                <w:color w:val="auto"/>
                <w:spacing w:val="-3"/>
                <w:sz w:val="22"/>
                <w:szCs w:val="22"/>
                <w:lang w:val="en-US" w:eastAsia="zh-CN"/>
              </w:rPr>
              <w:t xml:space="preserve"> 45 </w:t>
            </w:r>
            <w:r>
              <w:rPr>
                <w:color w:val="auto"/>
                <w:spacing w:val="-3"/>
                <w:sz w:val="22"/>
                <w:szCs w:val="22"/>
              </w:rPr>
              <w:t>日内完成供货及安装调试完毕</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s="仿宋_GB2312"/>
                <w:color w:val="auto"/>
                <w:sz w:val="22"/>
                <w:szCs w:val="28"/>
                <w:lang w:eastAsia="zh-CN"/>
              </w:rPr>
              <w:t>合同签订后，支付合同总价款的30%；设备到货安装调试完毕，支付合同总价款的40%，设备终验正常后，甲方支付合同总价款的30%。(具体以签订合同为准)</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喀什市人民医院</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6B142738">
            <w:pPr>
              <w:spacing w:after="60" w:afterLines="25" w:line="360" w:lineRule="exact"/>
              <w:jc w:val="center"/>
              <w:rPr>
                <w:rFonts w:hint="eastAsia" w:ascii="宋体" w:hAnsi="宋体" w:eastAsia="宋体" w:cs="仿宋_GB2312"/>
                <w:bCs/>
                <w:sz w:val="22"/>
                <w:szCs w:val="28"/>
                <w:lang w:val="en-US" w:eastAsia="zh-CN"/>
              </w:rPr>
            </w:pPr>
            <w:r>
              <w:rPr>
                <w:rFonts w:hint="eastAsia" w:ascii="宋体" w:hAnsi="宋体" w:eastAsia="宋体" w:cs="仿宋_GB2312"/>
                <w:bCs/>
                <w:sz w:val="22"/>
                <w:szCs w:val="28"/>
                <w:lang w:eastAsia="zh-CN"/>
              </w:rPr>
              <w:t>整</w:t>
            </w:r>
            <w:r>
              <w:rPr>
                <w:rFonts w:hint="eastAsia" w:ascii="宋体" w:hAnsi="宋体" w:eastAsia="宋体" w:cs="仿宋_GB2312"/>
                <w:bCs/>
                <w:sz w:val="22"/>
                <w:szCs w:val="28"/>
                <w:lang w:val="en-US" w:eastAsia="zh-CN"/>
              </w:rPr>
              <w:t>套</w:t>
            </w:r>
            <w:r>
              <w:rPr>
                <w:rFonts w:hint="eastAsia" w:ascii="宋体" w:hAnsi="宋体" w:eastAsia="宋体" w:cs="仿宋_GB2312"/>
                <w:bCs/>
                <w:sz w:val="22"/>
                <w:szCs w:val="28"/>
                <w:lang w:eastAsia="zh-CN"/>
              </w:rPr>
              <w:t>质保</w:t>
            </w:r>
            <w:r>
              <w:rPr>
                <w:rFonts w:hint="eastAsia" w:ascii="宋体" w:hAnsi="宋体" w:eastAsia="宋体" w:cs="仿宋_GB2312"/>
                <w:bCs/>
                <w:sz w:val="22"/>
                <w:szCs w:val="28"/>
                <w:lang w:val="en-US" w:eastAsia="zh-CN"/>
              </w:rPr>
              <w:t>3</w:t>
            </w:r>
            <w:r>
              <w:rPr>
                <w:rFonts w:hint="eastAsia" w:ascii="宋体" w:hAnsi="宋体" w:eastAsia="宋体" w:cs="仿宋_GB2312"/>
                <w:bCs/>
                <w:sz w:val="22"/>
                <w:szCs w:val="28"/>
                <w:lang w:eastAsia="zh-CN"/>
              </w:rPr>
              <w:t>年（包含零配件、</w:t>
            </w:r>
            <w:r>
              <w:rPr>
                <w:rFonts w:hint="eastAsia" w:ascii="宋体" w:hAnsi="宋体" w:eastAsia="宋体" w:cs="仿宋_GB2312"/>
                <w:bCs/>
                <w:sz w:val="22"/>
                <w:szCs w:val="28"/>
                <w:lang w:val="en-US" w:eastAsia="zh-CN"/>
              </w:rPr>
              <w:t>易损件</w:t>
            </w:r>
            <w:r>
              <w:rPr>
                <w:rFonts w:hint="eastAsia" w:ascii="宋体" w:hAnsi="宋体" w:eastAsia="宋体" w:cs="仿宋_GB2312"/>
                <w:bCs/>
                <w:sz w:val="22"/>
                <w:szCs w:val="28"/>
                <w:lang w:eastAsia="zh-CN"/>
              </w:rPr>
              <w:t>）</w:t>
            </w:r>
          </w:p>
          <w:p w14:paraId="4356581D">
            <w:pPr>
              <w:spacing w:after="60" w:afterLines="25" w:line="360" w:lineRule="exact"/>
              <w:ind w:left="-86" w:leftChars="-36"/>
              <w:jc w:val="center"/>
              <w:rPr>
                <w:rFonts w:hint="eastAsia" w:ascii="宋体" w:hAnsi="宋体" w:eastAsia="宋体" w:cs="Arial"/>
                <w:sz w:val="22"/>
                <w:szCs w:val="21"/>
                <w:lang w:eastAsia="zh-CN"/>
              </w:rPr>
            </w:pPr>
          </w:p>
        </w:tc>
      </w:tr>
    </w:tbl>
    <w:p w14:paraId="3E94B277">
      <w:pPr>
        <w:pStyle w:val="11"/>
        <w:tabs>
          <w:tab w:val="left" w:pos="5580"/>
        </w:tabs>
        <w:spacing w:line="240" w:lineRule="atLeast"/>
        <w:rPr>
          <w:rFonts w:hint="eastAsia" w:ascii="仿宋_GB2312" w:hAnsi="宋体" w:eastAsia="仿宋_GB2312"/>
          <w:b/>
          <w:bCs w:val="0"/>
          <w:sz w:val="36"/>
          <w:szCs w:val="36"/>
          <w:lang w:eastAsia="zh-CN"/>
        </w:rPr>
      </w:pPr>
    </w:p>
    <w:p w14:paraId="37316201">
      <w:pPr>
        <w:pStyle w:val="11"/>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6"/>
        </w:numPr>
        <w:snapToGrid w:val="0"/>
        <w:spacing w:after="60" w:afterLines="25"/>
        <w:rPr>
          <w:rFonts w:ascii="宋体" w:hAnsi="宋体" w:eastAsia="宋体"/>
          <w:color w:val="FF0000"/>
          <w:sz w:val="30"/>
          <w:szCs w:val="30"/>
        </w:rPr>
      </w:pPr>
      <w:bookmarkStart w:id="10" w:name="_Hlk72062521"/>
      <w:r>
        <w:rPr>
          <w:rFonts w:hint="eastAsia" w:ascii="宋体" w:hAnsi="宋体" w:eastAsia="宋体"/>
          <w:color w:val="FF0000"/>
          <w:sz w:val="30"/>
          <w:szCs w:val="30"/>
        </w:rPr>
        <w:t>政府采购投标及履约承诺函</w:t>
      </w:r>
      <w:bookmarkEnd w:id="10"/>
      <w:r>
        <w:rPr>
          <w:rFonts w:hint="eastAsia" w:ascii="宋体" w:hAnsi="宋体" w:eastAsia="宋体"/>
          <w:color w:val="FF0000"/>
          <w:sz w:val="30"/>
          <w:szCs w:val="30"/>
        </w:rPr>
        <w:t>；</w:t>
      </w:r>
    </w:p>
    <w:p w14:paraId="2182964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会计事务所出具的2024-2025年度财务审计报告书扫描件或影印件；（新办企业（营业执照所标注的成立日期距本项目开标日期一年内为新办企业）提供银行资信证明扫描件或影印件）；</w:t>
      </w:r>
    </w:p>
    <w:p w14:paraId="104BF93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6"/>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8E08294">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喀什市人民医院</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9"/>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2024-2025年</w:t>
      </w:r>
      <w:r>
        <w:rPr>
          <w:rFonts w:hint="eastAsia" w:ascii="仿宋_GB2312" w:eastAsia="仿宋_GB2312"/>
          <w:color w:val="FF0000"/>
          <w:sz w:val="24"/>
        </w:rPr>
        <w:t>度经会计师事务所出具的审计报告复印件扫描件或影印件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9"/>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9"/>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9"/>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9"/>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9"/>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9"/>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9"/>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9"/>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9"/>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9"/>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9"/>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9"/>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7"/>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9"/>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9"/>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9"/>
        <w:ind w:left="0" w:leftChars="0" w:firstLine="0" w:firstLineChars="0"/>
        <w:rPr>
          <w:rFonts w:hint="default" w:eastAsia="宋体"/>
          <w:lang w:val="en-US" w:eastAsia="zh-CN"/>
        </w:rPr>
      </w:pPr>
    </w:p>
    <w:p w14:paraId="35F784CF"/>
    <w:p w14:paraId="0AAD9B51">
      <w:pPr>
        <w:pStyle w:val="9"/>
      </w:pPr>
    </w:p>
    <w:p w14:paraId="354815C4"/>
    <w:p w14:paraId="77155B85">
      <w:pPr>
        <w:pStyle w:val="9"/>
      </w:pPr>
    </w:p>
    <w:p w14:paraId="4EC901E9"/>
    <w:p w14:paraId="57D29355">
      <w:pPr>
        <w:pStyle w:val="9"/>
      </w:pPr>
    </w:p>
    <w:p w14:paraId="08D5314F"/>
    <w:p w14:paraId="19A0A26F">
      <w:pPr>
        <w:pStyle w:val="9"/>
      </w:pPr>
    </w:p>
    <w:p w14:paraId="63D2B89B"/>
    <w:p w14:paraId="5F808404">
      <w:pPr>
        <w:pStyle w:val="9"/>
      </w:pPr>
    </w:p>
    <w:p w14:paraId="3857CCDA"/>
    <w:p w14:paraId="37477291">
      <w:pPr>
        <w:pStyle w:val="9"/>
      </w:pPr>
    </w:p>
    <w:p w14:paraId="3856A6F6"/>
    <w:p w14:paraId="57FE70DC">
      <w:pPr>
        <w:pStyle w:val="9"/>
      </w:pPr>
    </w:p>
    <w:p w14:paraId="2DFD3204"/>
    <w:p w14:paraId="2F9F4DF9">
      <w:pPr>
        <w:pStyle w:val="9"/>
      </w:pPr>
    </w:p>
    <w:p w14:paraId="5DA7F2E2"/>
    <w:p w14:paraId="3E60B458">
      <w:pPr>
        <w:pStyle w:val="9"/>
      </w:pPr>
    </w:p>
    <w:p w14:paraId="7F6C199C"/>
    <w:p w14:paraId="3A6B9FFB">
      <w:pPr>
        <w:pStyle w:val="9"/>
      </w:pPr>
    </w:p>
    <w:p w14:paraId="6F602532"/>
    <w:p w14:paraId="0B140AE2">
      <w:pPr>
        <w:pStyle w:val="9"/>
        <w:ind w:left="0" w:leftChars="0" w:firstLine="0" w:firstLineChars="0"/>
      </w:pPr>
    </w:p>
    <w:p w14:paraId="4B566D5C"/>
    <w:p w14:paraId="39BC2025">
      <w:pPr>
        <w:pStyle w:val="9"/>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喀什市人民医院</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KSS(GK)2026-017</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喀什市人民医院医疗服务能力提升项目-病床采购项目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8"/>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9"/>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9"/>
        <w:rPr>
          <w:rFonts w:hint="eastAsia"/>
          <w:lang w:val="en-US" w:eastAsia="zh-CN"/>
        </w:rPr>
      </w:pPr>
    </w:p>
    <w:p w14:paraId="37DBA2FC">
      <w:pPr>
        <w:rPr>
          <w:rFonts w:hint="eastAsia"/>
          <w:lang w:val="en-US" w:eastAsia="zh-CN"/>
        </w:rPr>
      </w:pPr>
    </w:p>
    <w:p w14:paraId="121AE704">
      <w:pPr>
        <w:pStyle w:val="9"/>
        <w:rPr>
          <w:rFonts w:hint="eastAsia"/>
          <w:lang w:val="en-US" w:eastAsia="zh-CN"/>
        </w:rPr>
      </w:pPr>
    </w:p>
    <w:p w14:paraId="3B6C22CC">
      <w:pPr>
        <w:rPr>
          <w:rFonts w:hint="eastAsia"/>
          <w:lang w:val="en-US" w:eastAsia="zh-CN"/>
        </w:rPr>
      </w:pPr>
    </w:p>
    <w:p w14:paraId="149D1592">
      <w:pPr>
        <w:pStyle w:val="9"/>
        <w:rPr>
          <w:rFonts w:hint="eastAsia"/>
          <w:lang w:val="en-US" w:eastAsia="zh-CN"/>
        </w:rPr>
      </w:pPr>
    </w:p>
    <w:p w14:paraId="61B5BB5D">
      <w:pPr>
        <w:rPr>
          <w:rFonts w:hint="eastAsia"/>
          <w:lang w:val="en-US" w:eastAsia="zh-CN"/>
        </w:rPr>
      </w:pPr>
    </w:p>
    <w:p w14:paraId="6E405ACC">
      <w:pPr>
        <w:pStyle w:val="9"/>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9"/>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587CE87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9"/>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1F4D5088">
      <w:pPr>
        <w:rPr>
          <w:rFonts w:hint="eastAsia" w:ascii="宋体" w:hAnsi="宋体" w:eastAsia="宋体" w:cs="Times New Roman"/>
          <w:b w:val="0"/>
          <w:bCs w:val="0"/>
          <w:sz w:val="21"/>
          <w:szCs w:val="20"/>
          <w:lang w:val="en-US" w:eastAsia="zh-CN"/>
        </w:rPr>
      </w:pPr>
    </w:p>
    <w:p w14:paraId="2CF095CF">
      <w:pPr>
        <w:rPr>
          <w:rFonts w:hint="eastAsia" w:ascii="宋体" w:hAnsi="宋体" w:eastAsia="宋体" w:cs="Times New Roman"/>
          <w:b w:val="0"/>
          <w:bCs w:val="0"/>
          <w:sz w:val="21"/>
          <w:szCs w:val="20"/>
          <w:lang w:val="en-US" w:eastAsia="zh-CN"/>
        </w:rPr>
      </w:pP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9"/>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5"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5"/>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1"/>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喀什市人民医院</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0"/>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51A8AEE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523E3B4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2B033CCF">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0F5ED652">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5AE79815">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5"/>
    <w:p w14:paraId="37598FE6">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6D39F2AC">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3CE05043">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2A28A035">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6291C86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0"/>
    <w:p w14:paraId="5BEA7532">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4837BF2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4" w:name="_Toc73517673"/>
      <w:bookmarkStart w:id="35" w:name="_Toc100052400"/>
      <w:bookmarkStart w:id="36" w:name="_Toc73521669"/>
      <w:bookmarkStart w:id="37" w:name="_Toc73521581"/>
      <w:bookmarkStart w:id="38" w:name="_Toc73518151"/>
      <w:r>
        <w:rPr>
          <w:rFonts w:hint="eastAsia" w:ascii="黑体" w:hAnsi="宋体" w:eastAsia="黑体"/>
        </w:rPr>
        <w:t>34．错误的修正</w:t>
      </w:r>
      <w:bookmarkEnd w:id="34"/>
      <w:bookmarkEnd w:id="35"/>
      <w:bookmarkEnd w:id="36"/>
      <w:bookmarkEnd w:id="37"/>
      <w:bookmarkEnd w:id="38"/>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2F8874E2">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5F20F436">
      <w:pPr>
        <w:rPr>
          <w:rFonts w:ascii="黑体" w:hAnsi="宋体" w:eastAsia="黑体"/>
        </w:rPr>
      </w:pPr>
      <w:bookmarkStart w:id="46" w:name="_Toc73517679"/>
      <w:bookmarkStart w:id="47" w:name="_Toc100052408"/>
      <w:bookmarkStart w:id="48" w:name="_Toc73521674"/>
      <w:bookmarkStart w:id="49" w:name="_Toc73521586"/>
      <w:bookmarkStart w:id="50" w:name="_Toc73518157"/>
      <w:bookmarkStart w:id="51" w:name="_Hlk72439088"/>
      <w:r>
        <w:rPr>
          <w:rFonts w:hint="eastAsia" w:ascii="黑体" w:hAnsi="宋体" w:eastAsia="黑体"/>
        </w:rPr>
        <w:t>43．合同授予标准</w:t>
      </w:r>
      <w:bookmarkEnd w:id="46"/>
      <w:bookmarkEnd w:id="47"/>
      <w:bookmarkEnd w:id="48"/>
      <w:bookmarkEnd w:id="49"/>
      <w:bookmarkEnd w:id="50"/>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2" w:name="_Toc100052409"/>
      <w:bookmarkStart w:id="53" w:name="_Toc73518158"/>
      <w:bookmarkStart w:id="54" w:name="_Toc73521587"/>
      <w:bookmarkStart w:id="55" w:name="_Toc73517680"/>
      <w:bookmarkStart w:id="56" w:name="_Toc73521675"/>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7" w:name="_Toc73518160"/>
      <w:bookmarkStart w:id="58" w:name="_Toc73521589"/>
      <w:bookmarkStart w:id="59" w:name="_Toc73517682"/>
      <w:bookmarkStart w:id="60" w:name="_Toc73521677"/>
      <w:bookmarkStart w:id="61" w:name="_Toc100052410"/>
      <w:r>
        <w:rPr>
          <w:rFonts w:hint="eastAsia" w:ascii="黑体" w:hAnsi="宋体" w:eastAsia="黑体"/>
        </w:rPr>
        <w:t>45．合同的签订</w:t>
      </w:r>
      <w:bookmarkEnd w:id="57"/>
      <w:bookmarkEnd w:id="58"/>
      <w:bookmarkEnd w:id="59"/>
      <w:bookmarkEnd w:id="60"/>
      <w:bookmarkEnd w:id="61"/>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2" w:name="_Toc73518161"/>
      <w:bookmarkStart w:id="63" w:name="_Toc73521678"/>
      <w:bookmarkStart w:id="64" w:name="_Toc100052411"/>
      <w:bookmarkStart w:id="65" w:name="_Toc73517683"/>
      <w:bookmarkStart w:id="66" w:name="_Toc73521590"/>
      <w:r>
        <w:rPr>
          <w:rFonts w:hint="eastAsia" w:ascii="黑体" w:hAnsi="宋体" w:eastAsia="黑体"/>
        </w:rPr>
        <w:t>46．履约担保</w:t>
      </w:r>
      <w:bookmarkEnd w:id="62"/>
      <w:bookmarkEnd w:id="63"/>
      <w:bookmarkEnd w:id="64"/>
      <w:bookmarkEnd w:id="65"/>
      <w:bookmarkEnd w:id="66"/>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7DD5EE27">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7"/>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51720">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851720">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5"/>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951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4951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66EBB">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766EBB">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4"/>
      <w:rPr>
        <w:rStyle w:val="25"/>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5BE71">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25BE71">
                    <w:pPr>
                      <w:pStyle w:val="14"/>
                    </w:pPr>
                    <w:r>
                      <w:fldChar w:fldCharType="begin"/>
                    </w:r>
                    <w:r>
                      <w:instrText xml:space="preserve"> PAGE  \* MERGEFORMAT </w:instrText>
                    </w:r>
                    <w:r>
                      <w:fldChar w:fldCharType="separate"/>
                    </w:r>
                    <w:r>
                      <w:t>15</w:t>
                    </w:r>
                    <w:r>
                      <w:fldChar w:fldCharType="end"/>
                    </w:r>
                  </w:p>
                </w:txbxContent>
              </v:textbox>
            </v:shape>
          </w:pict>
        </mc:Fallback>
      </mc:AlternateContent>
    </w:r>
  </w:p>
  <w:p w14:paraId="7E2219E1">
    <w:pPr>
      <w:pStyle w:val="14"/>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F8EDB">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4F8EDB">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F767A">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0F767A">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C80C5B"/>
    <w:multiLevelType w:val="singleLevel"/>
    <w:tmpl w:val="0BC80C5B"/>
    <w:lvl w:ilvl="0" w:tentative="0">
      <w:start w:val="4"/>
      <w:numFmt w:val="chineseCounting"/>
      <w:suff w:val="nothing"/>
      <w:lvlText w:val="%1、"/>
      <w:lvlJc w:val="left"/>
      <w:rPr>
        <w:rFonts w:hint="eastAsia"/>
      </w:rPr>
    </w:lvl>
  </w:abstractNum>
  <w:abstractNum w:abstractNumId="8">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F162E50"/>
    <w:multiLevelType w:val="singleLevel"/>
    <w:tmpl w:val="7F162E50"/>
    <w:lvl w:ilvl="0" w:tentative="0">
      <w:start w:val="1"/>
      <w:numFmt w:val="decimal"/>
      <w:suff w:val="nothing"/>
      <w:lvlText w:val="%1、"/>
      <w:lvlJc w:val="left"/>
    </w:lvl>
  </w:abstractNum>
  <w:num w:numId="1">
    <w:abstractNumId w:val="9"/>
  </w:num>
  <w:num w:numId="2">
    <w:abstractNumId w:val="8"/>
  </w:num>
  <w:num w:numId="3">
    <w:abstractNumId w:val="10"/>
  </w:num>
  <w:num w:numId="4">
    <w:abstractNumId w:val="7"/>
  </w:num>
  <w:num w:numId="5">
    <w:abstractNumId w:val="0"/>
  </w:num>
  <w:num w:numId="6">
    <w:abstractNumId w:val="2"/>
  </w:num>
  <w:num w:numId="7">
    <w:abstractNumId w:val="1"/>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B50F6D"/>
    <w:rsid w:val="00B63402"/>
    <w:rsid w:val="00C75AB3"/>
    <w:rsid w:val="00EA5A33"/>
    <w:rsid w:val="01AB547D"/>
    <w:rsid w:val="01D50540"/>
    <w:rsid w:val="01F675D4"/>
    <w:rsid w:val="02194A67"/>
    <w:rsid w:val="0231567C"/>
    <w:rsid w:val="028616E1"/>
    <w:rsid w:val="030750A8"/>
    <w:rsid w:val="038251E4"/>
    <w:rsid w:val="041167A0"/>
    <w:rsid w:val="042C6499"/>
    <w:rsid w:val="04A15E29"/>
    <w:rsid w:val="04AE174B"/>
    <w:rsid w:val="04CB5735"/>
    <w:rsid w:val="051B4E0A"/>
    <w:rsid w:val="05305D13"/>
    <w:rsid w:val="062F16E4"/>
    <w:rsid w:val="064E24D1"/>
    <w:rsid w:val="06552769"/>
    <w:rsid w:val="06577474"/>
    <w:rsid w:val="06657B59"/>
    <w:rsid w:val="06670810"/>
    <w:rsid w:val="06796EB7"/>
    <w:rsid w:val="06B4789B"/>
    <w:rsid w:val="06BA6EDF"/>
    <w:rsid w:val="07172AC5"/>
    <w:rsid w:val="07686190"/>
    <w:rsid w:val="07E22A0A"/>
    <w:rsid w:val="08801AC4"/>
    <w:rsid w:val="0889017A"/>
    <w:rsid w:val="08E71259"/>
    <w:rsid w:val="09CC2792"/>
    <w:rsid w:val="09F71624"/>
    <w:rsid w:val="0A21662D"/>
    <w:rsid w:val="0A480D66"/>
    <w:rsid w:val="0A742C74"/>
    <w:rsid w:val="0A7B4003"/>
    <w:rsid w:val="0AA875CD"/>
    <w:rsid w:val="0ABC6AE6"/>
    <w:rsid w:val="0AEF3F7D"/>
    <w:rsid w:val="0B767419"/>
    <w:rsid w:val="0B800F13"/>
    <w:rsid w:val="0BD71626"/>
    <w:rsid w:val="0BD8443A"/>
    <w:rsid w:val="0C675E86"/>
    <w:rsid w:val="0D1F0DE7"/>
    <w:rsid w:val="0D3A744A"/>
    <w:rsid w:val="0D730174"/>
    <w:rsid w:val="0DF57054"/>
    <w:rsid w:val="0E0433B0"/>
    <w:rsid w:val="0E511189"/>
    <w:rsid w:val="0E9A1C5B"/>
    <w:rsid w:val="0ED9579C"/>
    <w:rsid w:val="0EEB43BB"/>
    <w:rsid w:val="0F097229"/>
    <w:rsid w:val="0F1038DB"/>
    <w:rsid w:val="0F255064"/>
    <w:rsid w:val="0F7619B8"/>
    <w:rsid w:val="0F824086"/>
    <w:rsid w:val="0FD33EF7"/>
    <w:rsid w:val="10425CC2"/>
    <w:rsid w:val="10666311"/>
    <w:rsid w:val="1192589F"/>
    <w:rsid w:val="119C4A9A"/>
    <w:rsid w:val="12545C6B"/>
    <w:rsid w:val="12A213A1"/>
    <w:rsid w:val="12C54025"/>
    <w:rsid w:val="13452E04"/>
    <w:rsid w:val="13965AC9"/>
    <w:rsid w:val="139B589E"/>
    <w:rsid w:val="1459306E"/>
    <w:rsid w:val="157561D4"/>
    <w:rsid w:val="15D44A2E"/>
    <w:rsid w:val="161336C9"/>
    <w:rsid w:val="16C77479"/>
    <w:rsid w:val="16CE79D0"/>
    <w:rsid w:val="17010D01"/>
    <w:rsid w:val="170C3143"/>
    <w:rsid w:val="17342A38"/>
    <w:rsid w:val="17AA1C54"/>
    <w:rsid w:val="17C92988"/>
    <w:rsid w:val="17CA22F9"/>
    <w:rsid w:val="18AB0BAE"/>
    <w:rsid w:val="18EB58CD"/>
    <w:rsid w:val="190D5B50"/>
    <w:rsid w:val="19494D99"/>
    <w:rsid w:val="19594CC1"/>
    <w:rsid w:val="19F46573"/>
    <w:rsid w:val="1A731EBA"/>
    <w:rsid w:val="1A740C56"/>
    <w:rsid w:val="1AEE53F8"/>
    <w:rsid w:val="1B0A5CD0"/>
    <w:rsid w:val="1B14178B"/>
    <w:rsid w:val="1BB03ACD"/>
    <w:rsid w:val="1BBF1083"/>
    <w:rsid w:val="1BC6570B"/>
    <w:rsid w:val="1BE13527"/>
    <w:rsid w:val="1C413FB1"/>
    <w:rsid w:val="1CF5533A"/>
    <w:rsid w:val="1DAD787E"/>
    <w:rsid w:val="1EA26DA7"/>
    <w:rsid w:val="1EC23EB8"/>
    <w:rsid w:val="1F126F1D"/>
    <w:rsid w:val="1F1360AF"/>
    <w:rsid w:val="1F8D54FC"/>
    <w:rsid w:val="1FD7365B"/>
    <w:rsid w:val="20513484"/>
    <w:rsid w:val="20596F74"/>
    <w:rsid w:val="206B25D7"/>
    <w:rsid w:val="206C659D"/>
    <w:rsid w:val="2091203E"/>
    <w:rsid w:val="218965AC"/>
    <w:rsid w:val="21C4062D"/>
    <w:rsid w:val="21E611DE"/>
    <w:rsid w:val="22230DB0"/>
    <w:rsid w:val="224220C0"/>
    <w:rsid w:val="22E605A9"/>
    <w:rsid w:val="236170B0"/>
    <w:rsid w:val="24885A51"/>
    <w:rsid w:val="24F700FC"/>
    <w:rsid w:val="251C47E8"/>
    <w:rsid w:val="256646C4"/>
    <w:rsid w:val="258E40CB"/>
    <w:rsid w:val="25AF0B4D"/>
    <w:rsid w:val="267A507C"/>
    <w:rsid w:val="27072823"/>
    <w:rsid w:val="278A541F"/>
    <w:rsid w:val="288F1671"/>
    <w:rsid w:val="28E16CE0"/>
    <w:rsid w:val="296C066D"/>
    <w:rsid w:val="2A4F66B0"/>
    <w:rsid w:val="2A5155A0"/>
    <w:rsid w:val="2A546D3D"/>
    <w:rsid w:val="2AF754D0"/>
    <w:rsid w:val="2B580109"/>
    <w:rsid w:val="2B5C1E1D"/>
    <w:rsid w:val="2B803D16"/>
    <w:rsid w:val="2BA0389E"/>
    <w:rsid w:val="2C366F69"/>
    <w:rsid w:val="2C816A44"/>
    <w:rsid w:val="2CA5054F"/>
    <w:rsid w:val="2CE70D80"/>
    <w:rsid w:val="2D03704E"/>
    <w:rsid w:val="2D453650"/>
    <w:rsid w:val="2D847558"/>
    <w:rsid w:val="2DB373C0"/>
    <w:rsid w:val="2E232C4C"/>
    <w:rsid w:val="2E6F5D78"/>
    <w:rsid w:val="2EFA653D"/>
    <w:rsid w:val="2F54082D"/>
    <w:rsid w:val="2F7317A8"/>
    <w:rsid w:val="2FE65DF5"/>
    <w:rsid w:val="308B7B00"/>
    <w:rsid w:val="309D762D"/>
    <w:rsid w:val="30B47074"/>
    <w:rsid w:val="30C932CB"/>
    <w:rsid w:val="311C3541"/>
    <w:rsid w:val="3137687A"/>
    <w:rsid w:val="318F2D13"/>
    <w:rsid w:val="31DA45E6"/>
    <w:rsid w:val="32265D43"/>
    <w:rsid w:val="323B7187"/>
    <w:rsid w:val="323C629C"/>
    <w:rsid w:val="329D2800"/>
    <w:rsid w:val="32B46436"/>
    <w:rsid w:val="32BB162B"/>
    <w:rsid w:val="32C060FB"/>
    <w:rsid w:val="333B6030"/>
    <w:rsid w:val="33524AF4"/>
    <w:rsid w:val="3366283E"/>
    <w:rsid w:val="337C7542"/>
    <w:rsid w:val="340207C6"/>
    <w:rsid w:val="346A078E"/>
    <w:rsid w:val="34D1734B"/>
    <w:rsid w:val="35143E54"/>
    <w:rsid w:val="358E30D3"/>
    <w:rsid w:val="35CE6E2D"/>
    <w:rsid w:val="3679310B"/>
    <w:rsid w:val="36A73E8D"/>
    <w:rsid w:val="36F77460"/>
    <w:rsid w:val="37204E24"/>
    <w:rsid w:val="372A1525"/>
    <w:rsid w:val="37555957"/>
    <w:rsid w:val="37631054"/>
    <w:rsid w:val="376F52BC"/>
    <w:rsid w:val="37BF70C0"/>
    <w:rsid w:val="380A3DCB"/>
    <w:rsid w:val="38AF3FBD"/>
    <w:rsid w:val="38DA1714"/>
    <w:rsid w:val="394B30B6"/>
    <w:rsid w:val="39B63196"/>
    <w:rsid w:val="3A1E4A11"/>
    <w:rsid w:val="3A902CFD"/>
    <w:rsid w:val="3B01799A"/>
    <w:rsid w:val="3B225C51"/>
    <w:rsid w:val="3B747AD5"/>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3FF35A91"/>
    <w:rsid w:val="400E3852"/>
    <w:rsid w:val="403C7B9C"/>
    <w:rsid w:val="40831298"/>
    <w:rsid w:val="40A317DF"/>
    <w:rsid w:val="40FD78DA"/>
    <w:rsid w:val="41BB1716"/>
    <w:rsid w:val="41C7263B"/>
    <w:rsid w:val="4222708E"/>
    <w:rsid w:val="429750D7"/>
    <w:rsid w:val="42A76C14"/>
    <w:rsid w:val="42DD05ED"/>
    <w:rsid w:val="42F25C9A"/>
    <w:rsid w:val="43951802"/>
    <w:rsid w:val="43FF0431"/>
    <w:rsid w:val="441F4958"/>
    <w:rsid w:val="4422077D"/>
    <w:rsid w:val="444074AE"/>
    <w:rsid w:val="444E403F"/>
    <w:rsid w:val="44851B7E"/>
    <w:rsid w:val="459310B3"/>
    <w:rsid w:val="47167024"/>
    <w:rsid w:val="471B616A"/>
    <w:rsid w:val="473A2514"/>
    <w:rsid w:val="47696A47"/>
    <w:rsid w:val="48041F58"/>
    <w:rsid w:val="4824604A"/>
    <w:rsid w:val="485B6C46"/>
    <w:rsid w:val="49A12900"/>
    <w:rsid w:val="49A322FA"/>
    <w:rsid w:val="4A29520E"/>
    <w:rsid w:val="4A955931"/>
    <w:rsid w:val="4AD868A6"/>
    <w:rsid w:val="4B2D0A8B"/>
    <w:rsid w:val="4B8E7058"/>
    <w:rsid w:val="4BBC74C6"/>
    <w:rsid w:val="4BEC2AF5"/>
    <w:rsid w:val="4CE77A4B"/>
    <w:rsid w:val="4D2C2FDF"/>
    <w:rsid w:val="4D6B7D2D"/>
    <w:rsid w:val="4DE2279A"/>
    <w:rsid w:val="4DF43159"/>
    <w:rsid w:val="4EB42E91"/>
    <w:rsid w:val="4ED24C7F"/>
    <w:rsid w:val="4F19287C"/>
    <w:rsid w:val="4F501050"/>
    <w:rsid w:val="5043767F"/>
    <w:rsid w:val="50666AAF"/>
    <w:rsid w:val="50AF3219"/>
    <w:rsid w:val="50E73FD8"/>
    <w:rsid w:val="50EB470D"/>
    <w:rsid w:val="51680854"/>
    <w:rsid w:val="51B44C64"/>
    <w:rsid w:val="51CB2747"/>
    <w:rsid w:val="51F0678B"/>
    <w:rsid w:val="52222C20"/>
    <w:rsid w:val="524719CE"/>
    <w:rsid w:val="524A7C1A"/>
    <w:rsid w:val="526410AB"/>
    <w:rsid w:val="52EA38FE"/>
    <w:rsid w:val="53367546"/>
    <w:rsid w:val="534F0AA1"/>
    <w:rsid w:val="5398672A"/>
    <w:rsid w:val="53C421A6"/>
    <w:rsid w:val="546B5413"/>
    <w:rsid w:val="55A933BA"/>
    <w:rsid w:val="55CE48BA"/>
    <w:rsid w:val="565B127B"/>
    <w:rsid w:val="56606BE9"/>
    <w:rsid w:val="56A70E94"/>
    <w:rsid w:val="56AC329E"/>
    <w:rsid w:val="56EB5A6D"/>
    <w:rsid w:val="57B8283C"/>
    <w:rsid w:val="589C4418"/>
    <w:rsid w:val="599E5466"/>
    <w:rsid w:val="59C818E0"/>
    <w:rsid w:val="59D2767F"/>
    <w:rsid w:val="5A7159CB"/>
    <w:rsid w:val="5A971213"/>
    <w:rsid w:val="5B005FB6"/>
    <w:rsid w:val="5B2B24A8"/>
    <w:rsid w:val="5B466A7D"/>
    <w:rsid w:val="5B4E180B"/>
    <w:rsid w:val="5B533795"/>
    <w:rsid w:val="5BF12E4A"/>
    <w:rsid w:val="5C317BC6"/>
    <w:rsid w:val="5C5A72CB"/>
    <w:rsid w:val="5C707BAC"/>
    <w:rsid w:val="5C7C3148"/>
    <w:rsid w:val="5C911386"/>
    <w:rsid w:val="5DE1267B"/>
    <w:rsid w:val="5E283577"/>
    <w:rsid w:val="5E62468B"/>
    <w:rsid w:val="5E722706"/>
    <w:rsid w:val="5EFE6F1B"/>
    <w:rsid w:val="5F021772"/>
    <w:rsid w:val="5F545379"/>
    <w:rsid w:val="5F6D4019"/>
    <w:rsid w:val="5F794E6B"/>
    <w:rsid w:val="601C7A90"/>
    <w:rsid w:val="6043490F"/>
    <w:rsid w:val="604E7BD7"/>
    <w:rsid w:val="607E12CC"/>
    <w:rsid w:val="60E91546"/>
    <w:rsid w:val="610B0018"/>
    <w:rsid w:val="61B633CA"/>
    <w:rsid w:val="61C72196"/>
    <w:rsid w:val="62003A97"/>
    <w:rsid w:val="62210B08"/>
    <w:rsid w:val="62C30BFA"/>
    <w:rsid w:val="634940F0"/>
    <w:rsid w:val="63BE0BF0"/>
    <w:rsid w:val="643D1580"/>
    <w:rsid w:val="643E619F"/>
    <w:rsid w:val="64763454"/>
    <w:rsid w:val="64CB7ABA"/>
    <w:rsid w:val="64CD0C92"/>
    <w:rsid w:val="65173D2C"/>
    <w:rsid w:val="652B4692"/>
    <w:rsid w:val="653B3E1C"/>
    <w:rsid w:val="657A2A1F"/>
    <w:rsid w:val="6594282D"/>
    <w:rsid w:val="659922CD"/>
    <w:rsid w:val="661440FC"/>
    <w:rsid w:val="6615747B"/>
    <w:rsid w:val="665B07E2"/>
    <w:rsid w:val="66A46A20"/>
    <w:rsid w:val="66B36555"/>
    <w:rsid w:val="66EA4DB3"/>
    <w:rsid w:val="67283F04"/>
    <w:rsid w:val="673F14F0"/>
    <w:rsid w:val="677A03A2"/>
    <w:rsid w:val="677F7E04"/>
    <w:rsid w:val="68653FE4"/>
    <w:rsid w:val="68A76B92"/>
    <w:rsid w:val="68DC1286"/>
    <w:rsid w:val="69512A12"/>
    <w:rsid w:val="69A725C4"/>
    <w:rsid w:val="69EA352F"/>
    <w:rsid w:val="6A032432"/>
    <w:rsid w:val="6A0C7756"/>
    <w:rsid w:val="6AA16C7F"/>
    <w:rsid w:val="6AC231BE"/>
    <w:rsid w:val="6BBE2579"/>
    <w:rsid w:val="6BC717C7"/>
    <w:rsid w:val="6BF33AEB"/>
    <w:rsid w:val="6BF502A5"/>
    <w:rsid w:val="6C700663"/>
    <w:rsid w:val="6CB536B0"/>
    <w:rsid w:val="6DE327E9"/>
    <w:rsid w:val="6E197A1C"/>
    <w:rsid w:val="6E1E6425"/>
    <w:rsid w:val="6E3556C0"/>
    <w:rsid w:val="6F421E56"/>
    <w:rsid w:val="6F55274A"/>
    <w:rsid w:val="6F794DBC"/>
    <w:rsid w:val="7014409C"/>
    <w:rsid w:val="705F4544"/>
    <w:rsid w:val="70633668"/>
    <w:rsid w:val="706C7AA2"/>
    <w:rsid w:val="707873B4"/>
    <w:rsid w:val="708B1138"/>
    <w:rsid w:val="709E5C3E"/>
    <w:rsid w:val="71161403"/>
    <w:rsid w:val="718F4CCE"/>
    <w:rsid w:val="71994AE3"/>
    <w:rsid w:val="719C5A56"/>
    <w:rsid w:val="720058CD"/>
    <w:rsid w:val="720A7EAD"/>
    <w:rsid w:val="72476B05"/>
    <w:rsid w:val="725F6D22"/>
    <w:rsid w:val="72AA7CFF"/>
    <w:rsid w:val="72F928CD"/>
    <w:rsid w:val="73A40BF2"/>
    <w:rsid w:val="74421070"/>
    <w:rsid w:val="74455F31"/>
    <w:rsid w:val="7464773E"/>
    <w:rsid w:val="74770050"/>
    <w:rsid w:val="74A65F0A"/>
    <w:rsid w:val="74EE29CE"/>
    <w:rsid w:val="74F51ED1"/>
    <w:rsid w:val="74FC1BE5"/>
    <w:rsid w:val="75100F84"/>
    <w:rsid w:val="752776A3"/>
    <w:rsid w:val="75836A21"/>
    <w:rsid w:val="762C4BB0"/>
    <w:rsid w:val="76B87EA5"/>
    <w:rsid w:val="76E22EC3"/>
    <w:rsid w:val="773A3E9D"/>
    <w:rsid w:val="779C18C8"/>
    <w:rsid w:val="781669EC"/>
    <w:rsid w:val="78503C95"/>
    <w:rsid w:val="78544995"/>
    <w:rsid w:val="78970267"/>
    <w:rsid w:val="78C60CFB"/>
    <w:rsid w:val="79594B4C"/>
    <w:rsid w:val="796B7607"/>
    <w:rsid w:val="79C37914"/>
    <w:rsid w:val="79D35B29"/>
    <w:rsid w:val="7A0B3302"/>
    <w:rsid w:val="7A551BD0"/>
    <w:rsid w:val="7A994C92"/>
    <w:rsid w:val="7AB63144"/>
    <w:rsid w:val="7AC54225"/>
    <w:rsid w:val="7C7F13BB"/>
    <w:rsid w:val="7CBF6D37"/>
    <w:rsid w:val="7DAC456F"/>
    <w:rsid w:val="7DD131BD"/>
    <w:rsid w:val="7E0D502B"/>
    <w:rsid w:val="7E24403B"/>
    <w:rsid w:val="7E511B88"/>
    <w:rsid w:val="7E7C4C45"/>
    <w:rsid w:val="7F51093F"/>
    <w:rsid w:val="7FA5342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2"/>
    <w:qFormat/>
    <w:uiPriority w:val="0"/>
    <w:rPr>
      <w:b/>
      <w:kern w:val="44"/>
      <w:sz w:val="44"/>
    </w:rPr>
  </w:style>
  <w:style w:type="character" w:customStyle="1" w:styleId="35">
    <w:name w:val="标题 2 Char"/>
    <w:link w:val="3"/>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62</Pages>
  <Words>2235</Words>
  <Characters>2319</Characters>
  <Lines>1</Lines>
  <Paragraphs>1</Paragraphs>
  <TotalTime>40</TotalTime>
  <ScaleCrop>false</ScaleCrop>
  <LinksUpToDate>false</LinksUpToDate>
  <CharactersWithSpaces>2423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2026-05-25T11:54:12Z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0010C64C70784C76AA657475F061A336_13</vt:lpwstr>
  </property>
  <property fmtid="{D5CDD505-2E9C-101B-9397-08002B2CF9AE}" pid="4" name="KSOTemplateDocerSaveRecord">
    <vt:lpwstr>eyJoZGlkIjoiYWQzZDJkMTcwMGI3ODk5Y2RkZTJmNjEzOTc4ZDYzNmQiLCJ1c2VySWQiOiIxNzEyMTM0Njk0In0=</vt:lpwstr>
  </property>
</Properties>
</file>