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6723C">
      <w:pPr>
        <w:jc w:val="both"/>
        <w:rPr>
          <w:rFonts w:cs="仿宋" w:asciiTheme="minorEastAsia" w:hAnsiTheme="minorEastAsia" w:eastAsiaTheme="minorEastAsia"/>
          <w:b/>
          <w:bCs/>
          <w:color w:val="000000" w:themeColor="text1"/>
          <w:sz w:val="32"/>
          <w:szCs w:val="32"/>
          <w14:textFill>
            <w14:solidFill>
              <w14:schemeClr w14:val="tx1"/>
            </w14:solidFill>
          </w14:textFill>
        </w:rPr>
        <w:sectPr>
          <w:headerReference r:id="rId3" w:type="default"/>
          <w:footerReference r:id="rId4" w:type="default"/>
          <w:pgSz w:w="11900" w:h="16840"/>
          <w:pgMar w:top="1440" w:right="1080" w:bottom="1440" w:left="1080" w:header="274" w:footer="283" w:gutter="0"/>
          <w:cols w:space="708" w:num="1"/>
        </w:sectPr>
      </w:pPr>
      <w:r>
        <w:drawing>
          <wp:inline distT="0" distB="0" distL="114300" distR="114300">
            <wp:extent cx="6180455" cy="8806815"/>
            <wp:effectExtent l="0" t="0" r="10795" b="1333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11"/>
                    <a:stretch>
                      <a:fillRect/>
                    </a:stretch>
                  </pic:blipFill>
                  <pic:spPr>
                    <a:xfrm>
                      <a:off x="0" y="0"/>
                      <a:ext cx="6180455" cy="8806815"/>
                    </a:xfrm>
                    <a:prstGeom prst="rect">
                      <a:avLst/>
                    </a:prstGeom>
                    <a:noFill/>
                    <a:ln>
                      <a:noFill/>
                    </a:ln>
                  </pic:spPr>
                </pic:pic>
              </a:graphicData>
            </a:graphic>
          </wp:inline>
        </w:drawing>
      </w:r>
      <w:r>
        <w:drawing>
          <wp:inline distT="0" distB="0" distL="114300" distR="114300">
            <wp:extent cx="5726430" cy="8958580"/>
            <wp:effectExtent l="0" t="0" r="7620" b="1397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12"/>
                    <a:stretch>
                      <a:fillRect/>
                    </a:stretch>
                  </pic:blipFill>
                  <pic:spPr>
                    <a:xfrm>
                      <a:off x="0" y="0"/>
                      <a:ext cx="5726430" cy="8958580"/>
                    </a:xfrm>
                    <a:prstGeom prst="rect">
                      <a:avLst/>
                    </a:prstGeom>
                    <a:noFill/>
                    <a:ln>
                      <a:noFill/>
                    </a:ln>
                  </pic:spPr>
                </pic:pic>
              </a:graphicData>
            </a:graphic>
          </wp:inline>
        </w:drawing>
      </w:r>
    </w:p>
    <w:p w14:paraId="7CE7C083">
      <w:pPr>
        <w:jc w:val="center"/>
        <w:rPr>
          <w:rFonts w:cs="仿宋" w:asciiTheme="minorEastAsia" w:hAnsiTheme="minorEastAsia" w:eastAsiaTheme="minorEastAsia"/>
          <w:b/>
          <w:bCs/>
          <w:color w:val="000000" w:themeColor="text1"/>
          <w:sz w:val="28"/>
          <w:szCs w:val="28"/>
          <w14:textFill>
            <w14:solidFill>
              <w14:schemeClr w14:val="tx1"/>
            </w14:solidFill>
          </w14:textFill>
        </w:rPr>
        <w:sectPr>
          <w:pgSz w:w="11900" w:h="16840"/>
          <w:pgMar w:top="1440" w:right="1080" w:bottom="1440" w:left="1080" w:header="274" w:footer="283" w:gutter="0"/>
          <w:cols w:space="708" w:num="1"/>
        </w:sectPr>
      </w:pPr>
      <w:r>
        <w:drawing>
          <wp:inline distT="0" distB="0" distL="114300" distR="114300">
            <wp:extent cx="5721350" cy="8397240"/>
            <wp:effectExtent l="0" t="0" r="12700" b="381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5721350" cy="8397240"/>
                    </a:xfrm>
                    <a:prstGeom prst="rect">
                      <a:avLst/>
                    </a:prstGeom>
                    <a:noFill/>
                    <a:ln>
                      <a:noFill/>
                    </a:ln>
                  </pic:spPr>
                </pic:pic>
              </a:graphicData>
            </a:graphic>
          </wp:inline>
        </w:drawing>
      </w:r>
    </w:p>
    <w:p w14:paraId="3B9FE9A5">
      <w:pPr>
        <w:widowControl/>
        <w:jc w:val="left"/>
        <w:rPr>
          <w:rFonts w:cs="宋体" w:asciiTheme="minorEastAsia" w:hAnsiTheme="minorEastAsia" w:eastAsiaTheme="minorEastAsia"/>
          <w:b/>
          <w:sz w:val="40"/>
          <w:szCs w:val="40"/>
        </w:rPr>
      </w:pPr>
    </w:p>
    <w:p w14:paraId="27AB731B">
      <w:pPr>
        <w:pStyle w:val="16"/>
        <w:wordWrap w:val="0"/>
        <w:spacing w:line="360" w:lineRule="auto"/>
        <w:ind w:firstLine="0"/>
        <w:jc w:val="center"/>
        <w:rPr>
          <w:rFonts w:cs="宋体" w:asciiTheme="minorEastAsia" w:hAnsiTheme="minorEastAsia" w:eastAsiaTheme="minorEastAsia"/>
          <w:bCs/>
          <w:sz w:val="40"/>
          <w:szCs w:val="40"/>
        </w:rPr>
      </w:pPr>
      <w:r>
        <w:rPr>
          <w:rFonts w:hint="eastAsia" w:cs="宋体" w:asciiTheme="minorEastAsia" w:hAnsiTheme="minorEastAsia" w:eastAsiaTheme="minorEastAsia"/>
          <w:b/>
          <w:sz w:val="40"/>
          <w:szCs w:val="40"/>
        </w:rPr>
        <w:t>目  录</w:t>
      </w:r>
    </w:p>
    <w:p w14:paraId="51F3B919">
      <w:pPr>
        <w:pStyle w:val="25"/>
        <w:tabs>
          <w:tab w:val="right" w:leader="dot" w:pos="9740"/>
        </w:tabs>
        <w:wordWrap w:val="0"/>
        <w:spacing w:line="360" w:lineRule="auto"/>
        <w:rPr>
          <w:rFonts w:cs="宋体" w:asciiTheme="minorEastAsia" w:hAnsiTheme="minorEastAsia" w:eastAsiaTheme="minorEastAsia"/>
          <w:b/>
          <w:bCs/>
          <w:sz w:val="32"/>
          <w:szCs w:val="32"/>
        </w:rPr>
      </w:pPr>
      <w:bookmarkStart w:id="0" w:name="_Toc35393797"/>
      <w:bookmarkStart w:id="1" w:name="_Toc28359011"/>
    </w:p>
    <w:p w14:paraId="2D98F469">
      <w:pPr>
        <w:pStyle w:val="25"/>
        <w:tabs>
          <w:tab w:val="right" w:leader="dot" w:pos="9730"/>
        </w:tabs>
        <w:adjustRightInd w:val="0"/>
        <w:snapToGrid w:val="0"/>
        <w:spacing w:line="480" w:lineRule="auto"/>
        <w:rPr>
          <w:rFonts w:asciiTheme="minorEastAsia" w:hAnsiTheme="minorEastAsia" w:eastAsiaTheme="minorEastAsia" w:cstheme="minorBidi"/>
          <w:sz w:val="28"/>
          <w:szCs w:val="28"/>
        </w:rPr>
      </w:pPr>
      <w:r>
        <w:rPr>
          <w:rFonts w:cs="宋体" w:asciiTheme="minorEastAsia" w:hAnsiTheme="minorEastAsia" w:eastAsiaTheme="minorEastAsia"/>
          <w:sz w:val="44"/>
          <w:szCs w:val="44"/>
        </w:rPr>
        <w:fldChar w:fldCharType="begin"/>
      </w:r>
      <w:r>
        <w:rPr>
          <w:rFonts w:cs="宋体" w:asciiTheme="minorEastAsia" w:hAnsiTheme="minorEastAsia" w:eastAsiaTheme="minorEastAsia"/>
          <w:sz w:val="44"/>
          <w:szCs w:val="44"/>
        </w:rPr>
        <w:instrText xml:space="preserve">TOC \o "1-3" \h \u </w:instrText>
      </w:r>
      <w:r>
        <w:rPr>
          <w:rFonts w:cs="宋体" w:asciiTheme="minorEastAsia" w:hAnsiTheme="minorEastAsia" w:eastAsiaTheme="minorEastAsia"/>
          <w:sz w:val="44"/>
          <w:szCs w:val="44"/>
        </w:rPr>
        <w:fldChar w:fldCharType="separate"/>
      </w:r>
      <w:r>
        <w:fldChar w:fldCharType="begin"/>
      </w:r>
      <w:r>
        <w:instrText xml:space="preserve"> HYPERLINK \l "_Toc193796021" </w:instrText>
      </w:r>
      <w:r>
        <w:fldChar w:fldCharType="separate"/>
      </w:r>
      <w:r>
        <w:rPr>
          <w:rStyle w:val="41"/>
          <w:rFonts w:hint="eastAsia" w:cs="宋体" w:asciiTheme="minorEastAsia" w:hAnsiTheme="minorEastAsia" w:eastAsiaTheme="minorEastAsia"/>
          <w:kern w:val="44"/>
          <w:sz w:val="28"/>
          <w:szCs w:val="28"/>
        </w:rPr>
        <w:t>第一章</w:t>
      </w:r>
      <w:r>
        <w:rPr>
          <w:rStyle w:val="41"/>
          <w:rFonts w:cs="宋体" w:asciiTheme="minorEastAsia" w:hAnsiTheme="minorEastAsia" w:eastAsiaTheme="minorEastAsia"/>
          <w:kern w:val="44"/>
          <w:sz w:val="28"/>
          <w:szCs w:val="28"/>
        </w:rPr>
        <w:t xml:space="preserve"> </w:t>
      </w:r>
      <w:r>
        <w:rPr>
          <w:rStyle w:val="41"/>
          <w:rFonts w:hint="eastAsia" w:cs="宋体" w:asciiTheme="minorEastAsia" w:hAnsiTheme="minorEastAsia" w:eastAsiaTheme="minorEastAsia"/>
          <w:kern w:val="44"/>
          <w:sz w:val="28"/>
          <w:szCs w:val="28"/>
        </w:rPr>
        <w:t>竞争性磋商公告</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_Toc193796021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1DAA0FB0">
      <w:pPr>
        <w:pStyle w:val="25"/>
        <w:tabs>
          <w:tab w:val="right" w:leader="dot" w:pos="9730"/>
        </w:tabs>
        <w:adjustRightInd w:val="0"/>
        <w:snapToGrid w:val="0"/>
        <w:spacing w:line="480" w:lineRule="auto"/>
        <w:rPr>
          <w:rFonts w:asciiTheme="minorEastAsia" w:hAnsiTheme="minorEastAsia" w:eastAsiaTheme="minorEastAsia" w:cstheme="minorBidi"/>
          <w:sz w:val="28"/>
          <w:szCs w:val="28"/>
        </w:rPr>
      </w:pPr>
      <w:r>
        <w:fldChar w:fldCharType="begin"/>
      </w:r>
      <w:r>
        <w:instrText xml:space="preserve"> HYPERLINK \l "_Toc193796030" </w:instrText>
      </w:r>
      <w:r>
        <w:fldChar w:fldCharType="separate"/>
      </w:r>
      <w:r>
        <w:rPr>
          <w:rStyle w:val="41"/>
          <w:rFonts w:hint="eastAsia" w:cs="宋体" w:asciiTheme="minorEastAsia" w:hAnsiTheme="minorEastAsia" w:eastAsiaTheme="minorEastAsia"/>
          <w:sz w:val="28"/>
          <w:szCs w:val="28"/>
        </w:rPr>
        <w:t>第二章</w:t>
      </w:r>
      <w:r>
        <w:rPr>
          <w:rStyle w:val="41"/>
          <w:rFonts w:cs="宋体" w:asciiTheme="minorEastAsia" w:hAnsiTheme="minorEastAsia" w:eastAsiaTheme="minorEastAsia"/>
          <w:sz w:val="28"/>
          <w:szCs w:val="28"/>
        </w:rPr>
        <w:t xml:space="preserve">  </w:t>
      </w:r>
      <w:r>
        <w:rPr>
          <w:rStyle w:val="41"/>
          <w:rFonts w:hint="eastAsia" w:cs="宋体" w:asciiTheme="minorEastAsia" w:hAnsiTheme="minorEastAsia" w:eastAsiaTheme="minorEastAsia"/>
          <w:sz w:val="28"/>
          <w:szCs w:val="28"/>
        </w:rPr>
        <w:t>磋商供应商须知</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_Toc193796030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485B98BB">
      <w:pPr>
        <w:pStyle w:val="25"/>
        <w:tabs>
          <w:tab w:val="right" w:leader="dot" w:pos="9730"/>
        </w:tabs>
        <w:adjustRightInd w:val="0"/>
        <w:snapToGrid w:val="0"/>
        <w:spacing w:line="480" w:lineRule="auto"/>
        <w:rPr>
          <w:rFonts w:asciiTheme="minorEastAsia" w:hAnsiTheme="minorEastAsia" w:eastAsiaTheme="minorEastAsia" w:cstheme="minorBidi"/>
          <w:sz w:val="28"/>
          <w:szCs w:val="28"/>
        </w:rPr>
      </w:pPr>
      <w:r>
        <w:fldChar w:fldCharType="begin"/>
      </w:r>
      <w:r>
        <w:instrText xml:space="preserve"> HYPERLINK \l "_Toc193796078" </w:instrText>
      </w:r>
      <w:r>
        <w:fldChar w:fldCharType="separate"/>
      </w:r>
      <w:r>
        <w:rPr>
          <w:rStyle w:val="41"/>
          <w:rFonts w:hint="eastAsia" w:cs="宋体" w:asciiTheme="minorEastAsia" w:hAnsiTheme="minorEastAsia" w:eastAsiaTheme="minorEastAsia"/>
          <w:kern w:val="44"/>
          <w:sz w:val="28"/>
          <w:szCs w:val="28"/>
        </w:rPr>
        <w:t>第三章</w:t>
      </w:r>
      <w:r>
        <w:rPr>
          <w:rStyle w:val="41"/>
          <w:rFonts w:cs="宋体" w:asciiTheme="minorEastAsia" w:hAnsiTheme="minorEastAsia" w:eastAsiaTheme="minorEastAsia"/>
          <w:kern w:val="44"/>
          <w:sz w:val="28"/>
          <w:szCs w:val="28"/>
        </w:rPr>
        <w:t xml:space="preserve">  </w:t>
      </w:r>
      <w:r>
        <w:rPr>
          <w:rStyle w:val="41"/>
          <w:rFonts w:hint="eastAsia" w:cs="宋体" w:asciiTheme="minorEastAsia" w:hAnsiTheme="minorEastAsia" w:eastAsiaTheme="minorEastAsia"/>
          <w:kern w:val="44"/>
          <w:sz w:val="28"/>
          <w:szCs w:val="28"/>
        </w:rPr>
        <w:t>磋商小组、磋商程序、评审方法和授予合同</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_Toc193796078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EA7FFFE">
      <w:pPr>
        <w:pStyle w:val="25"/>
        <w:tabs>
          <w:tab w:val="right" w:leader="dot" w:pos="9730"/>
        </w:tabs>
        <w:adjustRightInd w:val="0"/>
        <w:snapToGrid w:val="0"/>
        <w:spacing w:line="480" w:lineRule="auto"/>
        <w:rPr>
          <w:rFonts w:asciiTheme="minorEastAsia" w:hAnsiTheme="minorEastAsia" w:eastAsiaTheme="minorEastAsia" w:cstheme="minorBidi"/>
          <w:sz w:val="28"/>
          <w:szCs w:val="28"/>
        </w:rPr>
      </w:pPr>
      <w:r>
        <w:fldChar w:fldCharType="begin"/>
      </w:r>
      <w:r>
        <w:instrText xml:space="preserve"> HYPERLINK \l "_Toc193796088" </w:instrText>
      </w:r>
      <w:r>
        <w:fldChar w:fldCharType="separate"/>
      </w:r>
      <w:r>
        <w:rPr>
          <w:rStyle w:val="41"/>
          <w:rFonts w:hint="eastAsia" w:cs="宋体" w:asciiTheme="minorEastAsia" w:hAnsiTheme="minorEastAsia" w:eastAsiaTheme="minorEastAsia"/>
          <w:sz w:val="28"/>
          <w:szCs w:val="28"/>
        </w:rPr>
        <w:t>第四章</w:t>
      </w:r>
      <w:r>
        <w:rPr>
          <w:rStyle w:val="41"/>
          <w:rFonts w:cs="宋体" w:asciiTheme="minorEastAsia" w:hAnsiTheme="minorEastAsia" w:eastAsiaTheme="minorEastAsia"/>
          <w:sz w:val="28"/>
          <w:szCs w:val="28"/>
        </w:rPr>
        <w:t xml:space="preserve"> </w:t>
      </w:r>
      <w:r>
        <w:rPr>
          <w:rStyle w:val="41"/>
          <w:rFonts w:hint="eastAsia" w:cs="宋体" w:asciiTheme="minorEastAsia" w:hAnsiTheme="minorEastAsia" w:eastAsiaTheme="minorEastAsia"/>
          <w:sz w:val="28"/>
          <w:szCs w:val="28"/>
        </w:rPr>
        <w:t>合同基本条款及格式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_Toc193796088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1BC5C0D5">
      <w:pPr>
        <w:pStyle w:val="25"/>
        <w:tabs>
          <w:tab w:val="right" w:leader="dot" w:pos="9730"/>
        </w:tabs>
        <w:adjustRightInd w:val="0"/>
        <w:snapToGrid w:val="0"/>
        <w:spacing w:line="480" w:lineRule="auto"/>
        <w:rPr>
          <w:rFonts w:asciiTheme="minorEastAsia" w:hAnsiTheme="minorEastAsia" w:eastAsiaTheme="minorEastAsia" w:cstheme="minorBidi"/>
          <w:sz w:val="28"/>
          <w:szCs w:val="28"/>
        </w:rPr>
      </w:pPr>
      <w:r>
        <w:fldChar w:fldCharType="begin"/>
      </w:r>
      <w:r>
        <w:instrText xml:space="preserve"> HYPERLINK \l "_Toc193796123" </w:instrText>
      </w:r>
      <w:r>
        <w:fldChar w:fldCharType="separate"/>
      </w:r>
      <w:r>
        <w:rPr>
          <w:rStyle w:val="41"/>
          <w:rFonts w:hint="eastAsia" w:cs="宋体" w:asciiTheme="minorEastAsia" w:hAnsiTheme="minorEastAsia" w:eastAsiaTheme="minorEastAsia"/>
          <w:sz w:val="28"/>
          <w:szCs w:val="28"/>
        </w:rPr>
        <w:t>第五章</w:t>
      </w:r>
      <w:r>
        <w:rPr>
          <w:rStyle w:val="41"/>
          <w:rFonts w:cs="宋体" w:asciiTheme="minorEastAsia" w:hAnsiTheme="minorEastAsia" w:eastAsiaTheme="minorEastAsia"/>
          <w:sz w:val="28"/>
          <w:szCs w:val="28"/>
        </w:rPr>
        <w:t xml:space="preserve"> </w:t>
      </w:r>
      <w:r>
        <w:rPr>
          <w:rStyle w:val="41"/>
          <w:rFonts w:hint="eastAsia" w:cs="宋体" w:asciiTheme="minorEastAsia" w:hAnsiTheme="minorEastAsia" w:eastAsiaTheme="minorEastAsia"/>
          <w:sz w:val="28"/>
          <w:szCs w:val="28"/>
        </w:rPr>
        <w:t>磋商响应文件格式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_Toc193796123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149</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7CD55E60">
      <w:pPr>
        <w:pStyle w:val="25"/>
        <w:tabs>
          <w:tab w:val="right" w:leader="dot" w:pos="9730"/>
        </w:tabs>
        <w:adjustRightInd w:val="0"/>
        <w:snapToGrid w:val="0"/>
        <w:spacing w:line="480" w:lineRule="auto"/>
        <w:rPr>
          <w:rFonts w:asciiTheme="minorHAnsi" w:hAnsiTheme="minorHAnsi" w:eastAsiaTheme="minorEastAsia" w:cstheme="minorBidi"/>
          <w:szCs w:val="22"/>
        </w:rPr>
      </w:pPr>
      <w:r>
        <w:fldChar w:fldCharType="begin"/>
      </w:r>
      <w:r>
        <w:instrText xml:space="preserve"> HYPERLINK \l "_Toc193796129" </w:instrText>
      </w:r>
      <w:r>
        <w:fldChar w:fldCharType="separate"/>
      </w:r>
      <w:r>
        <w:rPr>
          <w:rStyle w:val="41"/>
          <w:rFonts w:hint="eastAsia" w:cs="宋体" w:asciiTheme="minorEastAsia" w:hAnsiTheme="minorEastAsia" w:eastAsiaTheme="minorEastAsia"/>
          <w:sz w:val="28"/>
          <w:szCs w:val="28"/>
        </w:rPr>
        <w:t>第六章</w:t>
      </w:r>
      <w:r>
        <w:rPr>
          <w:rStyle w:val="41"/>
          <w:rFonts w:cs="宋体" w:asciiTheme="minorEastAsia" w:hAnsiTheme="minorEastAsia" w:eastAsiaTheme="minorEastAsia"/>
          <w:sz w:val="28"/>
          <w:szCs w:val="28"/>
        </w:rPr>
        <w:t xml:space="preserve"> </w:t>
      </w:r>
      <w:r>
        <w:rPr>
          <w:rStyle w:val="41"/>
          <w:rFonts w:hint="eastAsia" w:cs="宋体" w:asciiTheme="minorEastAsia" w:hAnsiTheme="minorEastAsia" w:eastAsiaTheme="minorEastAsia"/>
          <w:sz w:val="28"/>
          <w:szCs w:val="28"/>
        </w:rPr>
        <w:t>工程量清单</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_Toc193796129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173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6C4C33DA">
      <w:pPr>
        <w:pStyle w:val="16"/>
        <w:tabs>
          <w:tab w:val="right" w:leader="dot" w:pos="9628"/>
        </w:tabs>
        <w:wordWrap w:val="0"/>
        <w:spacing w:line="480" w:lineRule="auto"/>
        <w:ind w:firstLine="0"/>
        <w:jc w:val="both"/>
        <w:rPr>
          <w:rFonts w:cs="宋体" w:asciiTheme="minorEastAsia" w:hAnsiTheme="minorEastAsia" w:eastAsiaTheme="minorEastAsia"/>
          <w:szCs w:val="48"/>
        </w:rPr>
      </w:pPr>
      <w:r>
        <w:rPr>
          <w:rFonts w:cs="宋体" w:asciiTheme="minorEastAsia" w:hAnsiTheme="minorEastAsia" w:eastAsiaTheme="minorEastAsia"/>
          <w:sz w:val="40"/>
          <w:szCs w:val="44"/>
        </w:rPr>
        <w:fldChar w:fldCharType="end"/>
      </w:r>
    </w:p>
    <w:p w14:paraId="520A77CE">
      <w:pPr>
        <w:pStyle w:val="16"/>
        <w:tabs>
          <w:tab w:val="right" w:leader="dot" w:pos="9628"/>
        </w:tabs>
        <w:wordWrap w:val="0"/>
        <w:spacing w:line="360" w:lineRule="auto"/>
        <w:ind w:firstLine="0"/>
        <w:jc w:val="center"/>
        <w:outlineLvl w:val="0"/>
        <w:rPr>
          <w:rFonts w:cs="宋体" w:asciiTheme="minorEastAsia" w:hAnsiTheme="minorEastAsia" w:eastAsiaTheme="minorEastAsia"/>
          <w:b/>
          <w:kern w:val="44"/>
          <w:sz w:val="36"/>
          <w:szCs w:val="36"/>
        </w:rPr>
        <w:sectPr>
          <w:pgSz w:w="11900" w:h="16840"/>
          <w:pgMar w:top="1440" w:right="1080" w:bottom="1440" w:left="1080" w:header="274" w:footer="283" w:gutter="0"/>
          <w:cols w:space="708" w:num="1"/>
        </w:sectPr>
      </w:pPr>
      <w:bookmarkStart w:id="2" w:name="_Toc19162"/>
      <w:bookmarkStart w:id="3" w:name="_Toc132376711"/>
    </w:p>
    <w:p w14:paraId="7714757B">
      <w:pPr>
        <w:pStyle w:val="16"/>
        <w:tabs>
          <w:tab w:val="right" w:leader="dot" w:pos="9628"/>
        </w:tabs>
        <w:wordWrap w:val="0"/>
        <w:spacing w:line="360" w:lineRule="auto"/>
        <w:ind w:firstLine="0"/>
        <w:jc w:val="center"/>
        <w:outlineLvl w:val="0"/>
        <w:rPr>
          <w:rFonts w:cs="宋体" w:asciiTheme="minorEastAsia" w:hAnsiTheme="minorEastAsia" w:eastAsiaTheme="minorEastAsia"/>
          <w:b/>
          <w:kern w:val="44"/>
          <w:sz w:val="36"/>
          <w:szCs w:val="36"/>
        </w:rPr>
      </w:pPr>
      <w:bookmarkStart w:id="4" w:name="_Toc25602"/>
      <w:bookmarkStart w:id="5" w:name="_Toc7350"/>
      <w:bookmarkStart w:id="6" w:name="_Toc193796021"/>
      <w:bookmarkStart w:id="7" w:name="_Toc9194"/>
      <w:r>
        <w:rPr>
          <w:rFonts w:hint="eastAsia" w:cs="宋体" w:asciiTheme="minorEastAsia" w:hAnsiTheme="minorEastAsia" w:eastAsiaTheme="minorEastAsia"/>
          <w:b/>
          <w:kern w:val="44"/>
          <w:sz w:val="36"/>
          <w:szCs w:val="36"/>
        </w:rPr>
        <w:t>第一章 竞争性磋商公告</w:t>
      </w:r>
      <w:bookmarkEnd w:id="0"/>
      <w:bookmarkEnd w:id="1"/>
      <w:bookmarkEnd w:id="2"/>
      <w:bookmarkEnd w:id="3"/>
      <w:bookmarkEnd w:id="4"/>
      <w:bookmarkEnd w:id="5"/>
      <w:bookmarkEnd w:id="6"/>
      <w:bookmarkEnd w:id="7"/>
    </w:p>
    <w:p w14:paraId="15836677">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14:paraId="0398ED21">
      <w:pPr>
        <w:pBdr>
          <w:top w:val="single" w:color="auto" w:sz="4" w:space="1"/>
          <w:left w:val="single" w:color="auto" w:sz="4" w:space="4"/>
          <w:bottom w:val="single" w:color="auto" w:sz="4" w:space="1"/>
          <w:right w:val="single" w:color="auto" w:sz="4" w:space="4"/>
        </w:pBdr>
        <w:wordWrap w:val="0"/>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sz w:val="24"/>
          <w:szCs w:val="24"/>
          <w:u w:val="single"/>
        </w:rPr>
        <w:t>西盟县勐梭镇2026年甘蔗地台面整形项目</w:t>
      </w:r>
      <w:r>
        <w:rPr>
          <w:rFonts w:hint="eastAsia" w:asciiTheme="minorEastAsia" w:hAnsiTheme="minorEastAsia" w:eastAsiaTheme="minorEastAsia"/>
          <w:sz w:val="24"/>
          <w:szCs w:val="24"/>
        </w:rPr>
        <w:t>采购的潜在供应商应在</w:t>
      </w:r>
      <w:r>
        <w:rPr>
          <w:rFonts w:hint="eastAsia" w:cs="宋体" w:asciiTheme="minorEastAsia" w:hAnsiTheme="minorEastAsia" w:eastAsiaTheme="minorEastAsia"/>
          <w:sz w:val="24"/>
          <w:szCs w:val="24"/>
          <w:u w:val="single"/>
        </w:rPr>
        <w:t>政采云平台（</w:t>
      </w:r>
      <w:bookmarkStart w:id="8" w:name="OLE_LINK1"/>
      <w:r>
        <w:rPr>
          <w:rFonts w:cs="宋体" w:asciiTheme="minorEastAsia" w:hAnsiTheme="minorEastAsia" w:eastAsiaTheme="minorEastAsia"/>
          <w:sz w:val="24"/>
          <w:szCs w:val="24"/>
          <w:highlight w:val="none"/>
          <w:u w:val="single"/>
        </w:rPr>
        <w:fldChar w:fldCharType="begin"/>
      </w:r>
      <w:r>
        <w:rPr>
          <w:rFonts w:cs="宋体" w:asciiTheme="minorEastAsia" w:hAnsiTheme="minorEastAsia" w:eastAsiaTheme="minorEastAsia"/>
          <w:sz w:val="24"/>
          <w:szCs w:val="24"/>
          <w:highlight w:val="none"/>
          <w:u w:val="single"/>
        </w:rPr>
        <w:instrText xml:space="preserve"> HYPERLINK "</w:instrText>
      </w:r>
      <w:r>
        <w:rPr>
          <w:rFonts w:hint="eastAsia" w:cs="宋体" w:asciiTheme="minorEastAsia" w:hAnsiTheme="minorEastAsia" w:eastAsiaTheme="minorEastAsia"/>
          <w:sz w:val="24"/>
          <w:szCs w:val="24"/>
          <w:highlight w:val="none"/>
          <w:u w:val="single"/>
        </w:rPr>
        <w:instrText xml:space="preserve">https://www.zcygov.cn/）</w:instrText>
      </w:r>
      <w:r>
        <w:rPr>
          <w:rFonts w:hint="eastAsia" w:asciiTheme="minorEastAsia" w:hAnsiTheme="minorEastAsia" w:eastAsiaTheme="minorEastAsia"/>
          <w:sz w:val="24"/>
          <w:szCs w:val="24"/>
          <w:highlight w:val="none"/>
          <w:u w:val="single"/>
        </w:rPr>
        <w:instrText xml:space="preserve">获取采购文件，并于2025年11月</w:instrText>
      </w:r>
      <w:r>
        <w:rPr>
          <w:rFonts w:cs="宋体" w:asciiTheme="minorEastAsia" w:hAnsiTheme="minorEastAsia" w:eastAsiaTheme="minorEastAsia"/>
          <w:sz w:val="24"/>
          <w:szCs w:val="24"/>
          <w:highlight w:val="none"/>
          <w:u w:val="single"/>
        </w:rPr>
        <w:instrText xml:space="preserve">" </w:instrText>
      </w:r>
      <w:r>
        <w:rPr>
          <w:rFonts w:cs="宋体" w:asciiTheme="minorEastAsia" w:hAnsiTheme="minorEastAsia" w:eastAsiaTheme="minorEastAsia"/>
          <w:sz w:val="24"/>
          <w:szCs w:val="24"/>
          <w:highlight w:val="none"/>
          <w:u w:val="single"/>
        </w:rPr>
        <w:fldChar w:fldCharType="separate"/>
      </w:r>
      <w:bookmarkEnd w:id="8"/>
      <w:r>
        <w:rPr>
          <w:rStyle w:val="41"/>
          <w:rFonts w:hint="eastAsia" w:asciiTheme="minorEastAsia" w:hAnsiTheme="minorEastAsia" w:eastAsiaTheme="minorEastAsia"/>
          <w:color w:val="auto"/>
          <w:sz w:val="24"/>
          <w:szCs w:val="24"/>
          <w:highlight w:val="none"/>
        </w:rPr>
        <w:t>https://www.zcygov.cn/</w:t>
      </w:r>
      <w:r>
        <w:rPr>
          <w:rStyle w:val="41"/>
          <w:rFonts w:hint="eastAsia" w:cs="宋体" w:asciiTheme="minorEastAsia" w:hAnsiTheme="minorEastAsia" w:eastAsiaTheme="minorEastAsia"/>
          <w:color w:val="auto"/>
          <w:sz w:val="24"/>
          <w:szCs w:val="24"/>
          <w:highlight w:val="none"/>
        </w:rPr>
        <w:t>）</w:t>
      </w:r>
      <w:r>
        <w:rPr>
          <w:rStyle w:val="41"/>
          <w:rFonts w:hint="eastAsia" w:asciiTheme="minorEastAsia" w:hAnsiTheme="minorEastAsia" w:eastAsiaTheme="minorEastAsia"/>
          <w:color w:val="auto"/>
          <w:sz w:val="24"/>
          <w:szCs w:val="24"/>
          <w:highlight w:val="none"/>
        </w:rPr>
        <w:t>获取采购文件，并于2026年0</w:t>
      </w:r>
      <w:r>
        <w:rPr>
          <w:rStyle w:val="41"/>
          <w:rFonts w:hint="eastAsia" w:asciiTheme="minorEastAsia" w:hAnsiTheme="minorEastAsia" w:eastAsiaTheme="minorEastAsia"/>
          <w:color w:val="auto"/>
          <w:sz w:val="24"/>
          <w:szCs w:val="24"/>
          <w:highlight w:val="none"/>
          <w:lang w:val="en-US" w:eastAsia="zh-CN"/>
        </w:rPr>
        <w:t>5</w:t>
      </w:r>
      <w:r>
        <w:rPr>
          <w:rStyle w:val="41"/>
          <w:rFonts w:hint="eastAsia" w:asciiTheme="minorEastAsia" w:hAnsiTheme="minorEastAsia" w:eastAsiaTheme="minorEastAsia"/>
          <w:color w:val="auto"/>
          <w:sz w:val="24"/>
          <w:szCs w:val="24"/>
          <w:highlight w:val="none"/>
        </w:rPr>
        <w:t>月</w:t>
      </w:r>
      <w:r>
        <w:rPr>
          <w:rFonts w:cs="宋体" w:asciiTheme="minorEastAsia" w:hAnsiTheme="minorEastAsia" w:eastAsiaTheme="minorEastAsia"/>
          <w:sz w:val="24"/>
          <w:szCs w:val="24"/>
          <w:highlight w:val="none"/>
          <w:u w:val="single"/>
        </w:rPr>
        <w:fldChar w:fldCharType="end"/>
      </w:r>
      <w:r>
        <w:rPr>
          <w:rFonts w:hint="eastAsia" w:cs="宋体" w:asciiTheme="minorEastAsia" w:hAnsiTheme="minorEastAsia" w:eastAsiaTheme="minorEastAsia"/>
          <w:sz w:val="24"/>
          <w:szCs w:val="24"/>
          <w:highlight w:val="none"/>
          <w:u w:val="single"/>
          <w:lang w:val="en-US" w:eastAsia="zh-CN"/>
        </w:rPr>
        <w:t>22</w:t>
      </w:r>
      <w:r>
        <w:rPr>
          <w:rFonts w:hint="eastAsia" w:asciiTheme="minorEastAsia" w:hAnsiTheme="minorEastAsia" w:eastAsiaTheme="minorEastAsia"/>
          <w:sz w:val="24"/>
          <w:szCs w:val="24"/>
          <w:highlight w:val="none"/>
          <w:u w:val="single"/>
        </w:rPr>
        <w:t>日</w:t>
      </w:r>
      <w:r>
        <w:rPr>
          <w:rFonts w:hint="eastAsia" w:asciiTheme="minorEastAsia" w:hAnsiTheme="minorEastAsia" w:eastAsiaTheme="minorEastAsia"/>
          <w:sz w:val="24"/>
          <w:szCs w:val="24"/>
          <w:highlight w:val="none"/>
          <w:u w:val="single"/>
          <w:lang w:val="en-US" w:eastAsia="zh-CN"/>
        </w:rPr>
        <w:t>09</w:t>
      </w:r>
      <w:r>
        <w:rPr>
          <w:rFonts w:hint="eastAsia" w:asciiTheme="minorEastAsia" w:hAnsiTheme="minorEastAsia" w:eastAsiaTheme="minorEastAsia"/>
          <w:sz w:val="24"/>
          <w:szCs w:val="24"/>
          <w:highlight w:val="none"/>
          <w:u w:val="single"/>
        </w:rPr>
        <w:t>时00分</w:t>
      </w:r>
      <w:r>
        <w:rPr>
          <w:rFonts w:asciiTheme="minorEastAsia" w:hAnsiTheme="minorEastAsia" w:eastAsiaTheme="minorEastAsia"/>
          <w:sz w:val="24"/>
          <w:szCs w:val="24"/>
          <w:u w:val="single"/>
        </w:rPr>
        <w:t>（北京时间）</w:t>
      </w:r>
      <w:r>
        <w:rPr>
          <w:rFonts w:asciiTheme="minorEastAsia" w:hAnsiTheme="minorEastAsia" w:eastAsiaTheme="minorEastAsia"/>
          <w:sz w:val="24"/>
          <w:szCs w:val="24"/>
        </w:rPr>
        <w:t>前提交响应文件。</w:t>
      </w:r>
    </w:p>
    <w:p w14:paraId="49C9A594">
      <w:pPr>
        <w:pStyle w:val="3"/>
        <w:wordWrap w:val="0"/>
        <w:adjustRightInd w:val="0"/>
        <w:snapToGrid w:val="0"/>
        <w:spacing w:before="0" w:after="0" w:line="360" w:lineRule="auto"/>
        <w:rPr>
          <w:rFonts w:asciiTheme="minorEastAsia" w:hAnsiTheme="minorEastAsia" w:eastAsiaTheme="minorEastAsia"/>
          <w:sz w:val="24"/>
          <w:szCs w:val="24"/>
        </w:rPr>
      </w:pPr>
      <w:bookmarkStart w:id="9" w:name="_Toc28359089"/>
      <w:bookmarkStart w:id="10" w:name="_Toc32372"/>
      <w:bookmarkStart w:id="11" w:name="_Toc21979"/>
      <w:bookmarkStart w:id="12" w:name="_Toc193796022"/>
      <w:bookmarkStart w:id="13" w:name="_Toc18259"/>
      <w:bookmarkStart w:id="14" w:name="_Toc25161"/>
      <w:bookmarkStart w:id="15" w:name="_Toc35393798"/>
      <w:bookmarkStart w:id="16" w:name="_Toc28359012"/>
      <w:bookmarkStart w:id="17" w:name="_Toc22745"/>
      <w:bookmarkStart w:id="18" w:name="_Toc35393629"/>
      <w:bookmarkStart w:id="19" w:name="_Toc6592"/>
      <w:bookmarkStart w:id="20" w:name="_Toc31698"/>
      <w:bookmarkStart w:id="21" w:name="_Toc132376712"/>
      <w:r>
        <w:rPr>
          <w:rFonts w:hint="eastAsia" w:asciiTheme="minorEastAsia" w:hAnsiTheme="minorEastAsia" w:eastAsiaTheme="minorEastAsia"/>
          <w:sz w:val="24"/>
          <w:szCs w:val="24"/>
        </w:rPr>
        <w:t>一、项目基本情况</w:t>
      </w:r>
      <w:bookmarkEnd w:id="9"/>
      <w:bookmarkEnd w:id="10"/>
      <w:bookmarkEnd w:id="11"/>
      <w:bookmarkEnd w:id="12"/>
      <w:bookmarkEnd w:id="13"/>
      <w:bookmarkEnd w:id="14"/>
      <w:bookmarkEnd w:id="15"/>
      <w:bookmarkEnd w:id="16"/>
      <w:bookmarkEnd w:id="17"/>
      <w:bookmarkEnd w:id="18"/>
      <w:bookmarkEnd w:id="19"/>
      <w:bookmarkEnd w:id="20"/>
      <w:bookmarkEnd w:id="21"/>
    </w:p>
    <w:p w14:paraId="7813BD61">
      <w:pPr>
        <w:pStyle w:val="14"/>
        <w:wordWrap w:val="0"/>
        <w:adjustRightInd w:val="0"/>
        <w:snapToGrid w:val="0"/>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项目编号：YNHWPE202604-12</w:t>
      </w:r>
    </w:p>
    <w:p w14:paraId="6731FFBC">
      <w:pPr>
        <w:pStyle w:val="14"/>
        <w:wordWrap w:val="0"/>
        <w:adjustRightInd w:val="0"/>
        <w:snapToGrid w:val="0"/>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rPr>
        <w:t>项目名称：</w:t>
      </w:r>
      <w:bookmarkStart w:id="22" w:name="OLE_LINK29"/>
      <w:r>
        <w:rPr>
          <w:rFonts w:hint="eastAsia" w:asciiTheme="minorEastAsia" w:hAnsiTheme="minorEastAsia" w:eastAsiaTheme="minorEastAsia"/>
          <w:sz w:val="24"/>
          <w:szCs w:val="24"/>
        </w:rPr>
        <w:t>西盟县勐梭镇2026年甘蔗地台面整形项目</w:t>
      </w:r>
    </w:p>
    <w:bookmarkEnd w:id="22"/>
    <w:p w14:paraId="57065E78">
      <w:pPr>
        <w:pStyle w:val="14"/>
        <w:wordWrap w:val="0"/>
        <w:adjustRightInd w:val="0"/>
        <w:snapToGrid w:val="0"/>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采购方式：</w:t>
      </w:r>
      <w:bookmarkStart w:id="23" w:name="OLE_LINK136"/>
      <w:bookmarkStart w:id="24" w:name="OLE_LINK137"/>
      <w:r>
        <w:rPr>
          <w:rFonts w:hint="eastAsia" w:asciiTheme="minorEastAsia" w:hAnsiTheme="minorEastAsia" w:eastAsiaTheme="minorEastAsia"/>
          <w:sz w:val="24"/>
          <w:szCs w:val="24"/>
        </w:rPr>
        <w:t>竞争性磋商</w:t>
      </w:r>
      <w:bookmarkEnd w:id="23"/>
      <w:bookmarkEnd w:id="24"/>
    </w:p>
    <w:p w14:paraId="1C3EB2FA">
      <w:pPr>
        <w:pStyle w:val="14"/>
        <w:wordWrap w:val="0"/>
        <w:adjustRightInd w:val="0"/>
        <w:snapToGrid w:val="0"/>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w:t>
      </w:r>
      <w:r>
        <w:rPr>
          <w:rFonts w:hint="eastAsia" w:asciiTheme="minorEastAsia" w:hAnsiTheme="minorEastAsia" w:eastAsiaTheme="minorEastAsia"/>
          <w:sz w:val="24"/>
          <w:szCs w:val="24"/>
        </w:rPr>
        <w:t>预算金额：</w:t>
      </w:r>
      <w:bookmarkStart w:id="25" w:name="OLE_LINK54"/>
      <w:bookmarkStart w:id="26" w:name="OLE_LINK55"/>
      <w:bookmarkStart w:id="27" w:name="OLE_LINK25"/>
      <w:r>
        <w:rPr>
          <w:rFonts w:hint="eastAsia" w:asciiTheme="minorEastAsia" w:hAnsiTheme="minorEastAsia" w:eastAsiaTheme="minorEastAsia"/>
          <w:sz w:val="24"/>
          <w:szCs w:val="24"/>
        </w:rPr>
        <w:t>¥</w:t>
      </w:r>
      <w:bookmarkStart w:id="28" w:name="OLE_LINK105"/>
      <w:r>
        <w:rPr>
          <w:rFonts w:hint="eastAsia" w:asciiTheme="minorEastAsia" w:hAnsiTheme="minorEastAsia" w:eastAsiaTheme="minorEastAsia"/>
          <w:sz w:val="24"/>
          <w:szCs w:val="24"/>
        </w:rPr>
        <w:t>1999999.99元（人民币壹佰玖拾玖万玖仟玖佰玖拾玖元玖角玖分）</w:t>
      </w:r>
      <w:bookmarkEnd w:id="25"/>
      <w:bookmarkEnd w:id="26"/>
      <w:bookmarkEnd w:id="27"/>
      <w:bookmarkEnd w:id="28"/>
      <w:r>
        <w:rPr>
          <w:rFonts w:hint="eastAsia" w:asciiTheme="minorEastAsia" w:hAnsiTheme="minorEastAsia" w:eastAsiaTheme="minorEastAsia"/>
          <w:sz w:val="24"/>
          <w:szCs w:val="24"/>
        </w:rPr>
        <w:t>。</w:t>
      </w:r>
    </w:p>
    <w:p w14:paraId="3A328922">
      <w:pPr>
        <w:pStyle w:val="14"/>
        <w:wordWrap w:val="0"/>
        <w:adjustRightInd w:val="0"/>
        <w:snapToGrid w:val="0"/>
        <w:spacing w:after="0" w:line="360" w:lineRule="auto"/>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最高限价：</w:t>
      </w:r>
      <w:bookmarkStart w:id="29" w:name="OLE_LINK149"/>
      <w:r>
        <w:rPr>
          <w:rFonts w:hint="eastAsia" w:asciiTheme="minorEastAsia" w:hAnsiTheme="minorEastAsia" w:eastAsiaTheme="minorEastAsia"/>
          <w:sz w:val="24"/>
          <w:szCs w:val="24"/>
        </w:rPr>
        <w:t>¥1999999.99元（人民币壹佰玖拾玖万玖仟玖佰玖拾玖元玖角玖分）</w:t>
      </w:r>
      <w:bookmarkEnd w:id="29"/>
      <w:r>
        <w:rPr>
          <w:rFonts w:hint="eastAsia" w:asciiTheme="minorEastAsia" w:hAnsiTheme="minorEastAsia" w:eastAsiaTheme="minorEastAsia"/>
          <w:sz w:val="24"/>
          <w:szCs w:val="24"/>
        </w:rPr>
        <w:t>。</w:t>
      </w:r>
    </w:p>
    <w:p w14:paraId="5DD55B0B">
      <w:pPr>
        <w:pStyle w:val="14"/>
        <w:wordWrap w:val="0"/>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w:t>
      </w:r>
      <w:bookmarkStart w:id="30" w:name="OLE_LINK104"/>
      <w:bookmarkStart w:id="31" w:name="OLE_LINK51"/>
      <w:bookmarkStart w:id="32" w:name="OLE_LINK37"/>
      <w:bookmarkStart w:id="33" w:name="OLE_LINK35"/>
      <w:r>
        <w:rPr>
          <w:rFonts w:hint="eastAsia" w:asciiTheme="minorEastAsia" w:hAnsiTheme="minorEastAsia" w:eastAsiaTheme="minorEastAsia"/>
          <w:sz w:val="24"/>
          <w:szCs w:val="24"/>
        </w:rPr>
        <w:t>建设内容及规模</w:t>
      </w:r>
      <w:bookmarkEnd w:id="30"/>
      <w:bookmarkEnd w:id="31"/>
      <w:r>
        <w:rPr>
          <w:rFonts w:hint="eastAsia" w:asciiTheme="minorEastAsia" w:hAnsiTheme="minorEastAsia" w:eastAsiaTheme="minorEastAsia"/>
          <w:sz w:val="24"/>
          <w:szCs w:val="24"/>
        </w:rPr>
        <w:t>：</w:t>
      </w:r>
      <w:bookmarkStart w:id="34" w:name="OLE_LINK53"/>
      <w:bookmarkStart w:id="35" w:name="OLE_LINK52"/>
      <w:bookmarkStart w:id="36" w:name="OLE_LINK36"/>
      <w:r>
        <w:rPr>
          <w:rFonts w:hint="eastAsia" w:asciiTheme="minorEastAsia" w:hAnsiTheme="minorEastAsia" w:eastAsiaTheme="minorEastAsia"/>
          <w:sz w:val="24"/>
          <w:szCs w:val="24"/>
        </w:rPr>
        <w:t>勐梭镇甘蔗地“台面整形”4000亩，其中：班母村2330亩、王莫村480亩、秧落村340亩、里拉村850亩、主要工程为土地平整，台面整形计划，其余详见工程量清单。</w:t>
      </w:r>
      <w:bookmarkEnd w:id="32"/>
      <w:bookmarkEnd w:id="33"/>
      <w:bookmarkEnd w:id="34"/>
      <w:bookmarkEnd w:id="35"/>
      <w:bookmarkEnd w:id="36"/>
    </w:p>
    <w:p w14:paraId="0712DA2F">
      <w:pPr>
        <w:wordWrap w:val="0"/>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7.建设工期：</w:t>
      </w:r>
      <w:bookmarkStart w:id="37" w:name="OLE_LINK60"/>
      <w:bookmarkStart w:id="38" w:name="OLE_LINK61"/>
      <w:r>
        <w:rPr>
          <w:rFonts w:hint="eastAsia" w:cs="宋体" w:asciiTheme="minorEastAsia" w:hAnsiTheme="minorEastAsia" w:eastAsiaTheme="minorEastAsia"/>
          <w:sz w:val="24"/>
          <w:szCs w:val="24"/>
        </w:rPr>
        <w:t>自合同签订后90日历天完成采购人的要求，具体以采购人通知为准。</w:t>
      </w:r>
      <w:bookmarkEnd w:id="37"/>
      <w:bookmarkEnd w:id="38"/>
    </w:p>
    <w:p w14:paraId="781AC872">
      <w:pPr>
        <w:wordWrap w:val="0"/>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8.本项目不接受联合体。</w:t>
      </w:r>
    </w:p>
    <w:p w14:paraId="0DADACF9">
      <w:pPr>
        <w:pStyle w:val="3"/>
        <w:wordWrap w:val="0"/>
        <w:adjustRightInd w:val="0"/>
        <w:snapToGrid w:val="0"/>
        <w:spacing w:before="0" w:after="0" w:line="360" w:lineRule="auto"/>
        <w:rPr>
          <w:rFonts w:asciiTheme="minorEastAsia" w:hAnsiTheme="minorEastAsia" w:eastAsiaTheme="minorEastAsia"/>
          <w:sz w:val="24"/>
          <w:szCs w:val="24"/>
        </w:rPr>
      </w:pPr>
      <w:bookmarkStart w:id="39" w:name="_Toc35393630"/>
      <w:bookmarkStart w:id="40" w:name="_Toc28359013"/>
      <w:bookmarkStart w:id="41" w:name="_Toc1260"/>
      <w:bookmarkStart w:id="42" w:name="_Toc35393799"/>
      <w:bookmarkStart w:id="43" w:name="_Toc132376713"/>
      <w:bookmarkStart w:id="44" w:name="_Toc18829"/>
      <w:bookmarkStart w:id="45" w:name="_Toc25128"/>
      <w:bookmarkStart w:id="46" w:name="_Toc28775"/>
      <w:bookmarkStart w:id="47" w:name="_Toc7696"/>
      <w:bookmarkStart w:id="48" w:name="_Toc193796023"/>
      <w:bookmarkStart w:id="49" w:name="_Toc9056"/>
      <w:bookmarkStart w:id="50" w:name="_Toc21415"/>
      <w:bookmarkStart w:id="51" w:name="_Toc28359090"/>
      <w:r>
        <w:rPr>
          <w:rFonts w:hint="eastAsia" w:asciiTheme="minorEastAsia" w:hAnsiTheme="minorEastAsia" w:eastAsiaTheme="minorEastAsia"/>
          <w:sz w:val="24"/>
          <w:szCs w:val="24"/>
        </w:rPr>
        <w:t>二、申请人的资格要求：</w:t>
      </w:r>
      <w:bookmarkEnd w:id="39"/>
      <w:bookmarkEnd w:id="40"/>
      <w:bookmarkEnd w:id="41"/>
      <w:bookmarkEnd w:id="42"/>
      <w:bookmarkEnd w:id="43"/>
      <w:bookmarkEnd w:id="44"/>
      <w:bookmarkEnd w:id="45"/>
      <w:bookmarkEnd w:id="46"/>
      <w:bookmarkEnd w:id="47"/>
      <w:bookmarkEnd w:id="48"/>
      <w:bookmarkEnd w:id="49"/>
      <w:bookmarkEnd w:id="50"/>
      <w:bookmarkEnd w:id="51"/>
    </w:p>
    <w:p w14:paraId="0F258D00">
      <w:pPr>
        <w:wordWrap w:val="0"/>
        <w:adjustRightInd w:val="0"/>
        <w:snapToGrid w:val="0"/>
        <w:spacing w:line="360" w:lineRule="auto"/>
        <w:ind w:firstLine="480" w:firstLineChars="200"/>
        <w:rPr>
          <w:rFonts w:cs="宋体" w:asciiTheme="minorEastAsia" w:hAnsiTheme="minorEastAsia" w:eastAsiaTheme="minorEastAsia"/>
          <w:sz w:val="24"/>
          <w:szCs w:val="24"/>
        </w:rPr>
      </w:pPr>
      <w:bookmarkStart w:id="52" w:name="_Toc35393800"/>
      <w:bookmarkStart w:id="53" w:name="_Toc28359091"/>
      <w:bookmarkStart w:id="54" w:name="_Toc35393631"/>
      <w:bookmarkStart w:id="55" w:name="_Toc28359014"/>
      <w:bookmarkStart w:id="56" w:name="_Toc23328"/>
      <w:r>
        <w:rPr>
          <w:rFonts w:hint="eastAsia" w:cs="宋体" w:asciiTheme="minorEastAsia" w:hAnsiTheme="minorEastAsia" w:eastAsiaTheme="minorEastAsia"/>
          <w:sz w:val="24"/>
          <w:szCs w:val="24"/>
        </w:rPr>
        <w:t>1.满足《中华人民共和国政府采购法》第二十二条规定。</w:t>
      </w:r>
    </w:p>
    <w:p w14:paraId="435DD599">
      <w:pPr>
        <w:wordWrap w:val="0"/>
        <w:adjustRightInd w:val="0"/>
        <w:snapToGrid w:val="0"/>
        <w:spacing w:line="360" w:lineRule="auto"/>
        <w:ind w:firstLine="480" w:firstLineChars="200"/>
        <w:rPr>
          <w:rFonts w:cs="宋体" w:asciiTheme="minorEastAsia" w:hAnsiTheme="minorEastAsia" w:eastAsiaTheme="minorEastAsia"/>
          <w:sz w:val="24"/>
          <w:szCs w:val="24"/>
        </w:rPr>
      </w:pPr>
      <w:bookmarkStart w:id="57" w:name="_Toc29933"/>
      <w:bookmarkStart w:id="58" w:name="_Toc6374"/>
      <w:bookmarkStart w:id="59" w:name="_Toc24146"/>
      <w:bookmarkStart w:id="60" w:name="_Toc10178"/>
      <w:r>
        <w:rPr>
          <w:rFonts w:hint="eastAsia" w:cs="宋体" w:asciiTheme="minorEastAsia" w:hAnsiTheme="minorEastAsia" w:eastAsiaTheme="minorEastAsia"/>
          <w:sz w:val="24"/>
          <w:szCs w:val="24"/>
        </w:rPr>
        <w:t>1.1具有独立承担民事责任的能力：提供法人或者其他组织的营业执照等证明文件；</w:t>
      </w:r>
    </w:p>
    <w:p w14:paraId="71A746F6">
      <w:pPr>
        <w:wordWrap w:val="0"/>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具有良好的商业信誉和健全的财务会计制度：2024年度或2025年度经第三方审计机构审计的财务状况报告，包括资产负债表、利润表（损益表）、现金流量表及其附注；（新成立公司不足1年的可提供自成立之日起任意2个月的财务报表包括资产负债表、利润表(损益表)、现金流量表，不足2个月的，需作出说明），或是基本开户银行出具的资信证明（资信证明出具时间应为本项目开始时间后）或是财政部门认可政府采购专业担保机构出具的投标担保函；</w:t>
      </w:r>
    </w:p>
    <w:p w14:paraId="15BB9B83">
      <w:pPr>
        <w:wordWrap w:val="0"/>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1.3具有履行合同所必须的设备和专业技术能力：提供相关证明材料或承诺书；</w:t>
      </w:r>
    </w:p>
    <w:p w14:paraId="6C4A9230">
      <w:pPr>
        <w:wordWrap w:val="0"/>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有依法缴纳税收和社会保障资金的良好记录：①参加政府采购活动前段时间（2025年9月至今）任意3个月依法缴纳税收(税收是指增值税或营业税或企业所得税)的凭据。如参加政府采购活动前段时间上税为零，提供该段时间税收为零的《增值税或营业税或企业所得税受理等税款申报表》或《增值税或营业税或企业所得税等税款网上办税受理通知单》；依法免税的供应商，提供相应的免税文件证明资料；若注册成立不足3个月的，提供相关内容情况说明或证明材料；②提供投标人缴费所属时间在2025年9月至投标截止日期前任意3个月的社会保险费缴款书扫描件或银行电子缴税(费)凭证扫描件或社保管理部门出具的有效的缴款证明扫描件(注:成立未满3个月的投标人提供自成立以来的相关社保缴纳证明或情况说明;依法免缴的，应提供依法免缴的相关证明文件)。</w:t>
      </w:r>
    </w:p>
    <w:p w14:paraId="3666ECBE">
      <w:pPr>
        <w:wordWrap w:val="0"/>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参加本次政府采购活动前三年内，在经营活动中没有重大违法记录，出具“参加本项目磋商前3年内在经营活动中没有重大违法记录的书面声明函”（重大违法记录是指投标人因违法经营受到刑事处罚或者责令停产停业、吊销许可证或者执照、较大数额（较大数额罚款是指200万元以上罚款）；</w:t>
      </w:r>
    </w:p>
    <w:p w14:paraId="6A478B4F">
      <w:pPr>
        <w:wordWrap w:val="0"/>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1.6法律、行政法规规定的其他条件：</w:t>
      </w:r>
    </w:p>
    <w:p w14:paraId="3274F743">
      <w:pPr>
        <w:wordWrap w:val="0"/>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1.6.1供应商未被列入中国执行信息公开网（http://zxgk.court.gov.cn）、信用中国网站（www.creditchina.gov.cn）“失信被执行人”、“重大税收违法失信主体”及中国政府采购网（www.ccgp.gov.cn）“政府采购严重违法失信行为记录名单”（以采购人或采购代理机构网上查询结果为准）；</w:t>
      </w:r>
    </w:p>
    <w:p w14:paraId="52E2D70A">
      <w:pPr>
        <w:wordWrap w:val="0"/>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1.6.2单位负责人为同一人或者存在直接控股、管理关系的不同供应商，不得参加同一合同项下的政府采购活动。</w:t>
      </w:r>
    </w:p>
    <w:p w14:paraId="2AF6673B">
      <w:pPr>
        <w:wordWrap w:val="0"/>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2.落实政府采购政策需满足的资格要求：</w:t>
      </w:r>
    </w:p>
    <w:p w14:paraId="4FB1DAA1">
      <w:pPr>
        <w:wordWrap w:val="0"/>
        <w:adjustRightInd w:val="0"/>
        <w:snapToGrid w:val="0"/>
        <w:spacing w:line="360" w:lineRule="auto"/>
        <w:ind w:firstLine="480" w:firstLineChars="200"/>
        <w:rPr>
          <w:rFonts w:cs="宋体" w:asciiTheme="minorEastAsia" w:hAnsiTheme="minorEastAsia" w:eastAsiaTheme="minorEastAsia"/>
          <w:sz w:val="24"/>
          <w:szCs w:val="24"/>
        </w:rPr>
      </w:pPr>
      <w:bookmarkStart w:id="61" w:name="OLE_LINK135"/>
      <w:r>
        <w:rPr>
          <w:rFonts w:hint="eastAsia" w:cs="宋体" w:asciiTheme="minorEastAsia" w:hAnsiTheme="minorEastAsia" w:eastAsiaTheme="minorEastAsia"/>
          <w:sz w:val="24"/>
          <w:szCs w:val="24"/>
        </w:rPr>
        <w:t>（1）本项目属于</w:t>
      </w:r>
      <w:bookmarkStart w:id="62" w:name="OLE_LINK56"/>
      <w:r>
        <w:rPr>
          <w:rFonts w:hint="eastAsia" w:cs="宋体" w:asciiTheme="minorEastAsia" w:hAnsiTheme="minorEastAsia" w:eastAsiaTheme="minorEastAsia"/>
          <w:sz w:val="24"/>
          <w:szCs w:val="24"/>
        </w:rPr>
        <w:t>专门面向中小企业采</w:t>
      </w:r>
      <w:bookmarkEnd w:id="62"/>
      <w:r>
        <w:rPr>
          <w:rFonts w:hint="eastAsia" w:cs="宋体" w:asciiTheme="minorEastAsia" w:hAnsiTheme="minorEastAsia" w:eastAsiaTheme="minorEastAsia"/>
          <w:sz w:val="24"/>
          <w:szCs w:val="24"/>
        </w:rPr>
        <w:t>购的项目；</w:t>
      </w:r>
    </w:p>
    <w:p w14:paraId="2C21C233">
      <w:pPr>
        <w:wordWrap w:val="0"/>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本项目需要落实的政府采购政策：①小型和微型企业价格评分优惠政策：根据《国家统计局关于印发统计上大中小微型企业划分办法（2017）的通知》（国统字〔2017〕213号）、《财政部关于进一步加大政府采购支持中小企业力度的通知》（财库〔2022〕19号）的规定，对符合条件的小型和微型投标人，在投标报价评分时给予投标报价3%的扣除，用扣除后的价格参与投标报价评分。②监狱企业优惠政策：根据《关于政府采购支持监狱企业发展有关问题的通知》（财库〔2014〕68号）的规定，监狱企业优惠政策，监狱企业参与本项目投标时，提供由省级以上监狱管理局、戒毒管理局（含新疆生产建设兵团）出具的属于监狱企业的证明文件的，视同小型、微型企业享受价格扣除等优惠政策。③残疾人福利性单位优惠政策：根据《关于促进残疾人就业政府采购政策的通知》（财库〔2017〕141号）的规定，残疾人福利性单位优惠政策，残疾人福利性单位参与本项目投标时，提供《残疾人福利性单位声明函》并对声明的真实性负责，视同小型、微型企业享受价格扣除等优惠政策。④《关于印发环境标志产品政府采购品目清单的通知》财库[2019]18号、《关于印发节能产品政府采购品目清单的通知》财库[2019]19号，关于节能、环保产品的规定：政府采购属于节能（环保标志）清单中产品时，在技术、服务等指标同等条件下，应当优先采购节能（环保标志）清单所列的节能（环保标志）产品。</w:t>
      </w:r>
      <w:bookmarkEnd w:id="61"/>
    </w:p>
    <w:bookmarkEnd w:id="57"/>
    <w:bookmarkEnd w:id="58"/>
    <w:bookmarkEnd w:id="59"/>
    <w:bookmarkEnd w:id="60"/>
    <w:p w14:paraId="1FBA7C30">
      <w:pPr>
        <w:tabs>
          <w:tab w:val="left" w:pos="312"/>
        </w:tabs>
        <w:wordWrap w:val="0"/>
        <w:adjustRightInd w:val="0"/>
        <w:snapToGrid w:val="0"/>
        <w:spacing w:line="360" w:lineRule="auto"/>
        <w:ind w:left="482"/>
        <w:rPr>
          <w:rFonts w:asciiTheme="minorEastAsia" w:hAnsiTheme="minorEastAsia" w:eastAsiaTheme="minorEastAsia"/>
          <w:b/>
          <w:bCs/>
          <w:sz w:val="24"/>
          <w:szCs w:val="24"/>
        </w:rPr>
      </w:pPr>
      <w:bookmarkStart w:id="63" w:name="OLE_LINK155"/>
      <w:bookmarkStart w:id="64" w:name="OLE_LINK156"/>
      <w:r>
        <w:rPr>
          <w:rFonts w:asciiTheme="minorEastAsia" w:hAnsiTheme="minorEastAsia" w:eastAsiaTheme="minorEastAsia"/>
          <w:b/>
          <w:bCs/>
          <w:sz w:val="24"/>
          <w:szCs w:val="24"/>
        </w:rPr>
        <w:t>3.</w:t>
      </w:r>
      <w:r>
        <w:rPr>
          <w:rFonts w:hint="eastAsia" w:asciiTheme="minorEastAsia" w:hAnsiTheme="minorEastAsia" w:eastAsiaTheme="minorEastAsia"/>
          <w:b/>
          <w:bCs/>
          <w:sz w:val="24"/>
          <w:szCs w:val="24"/>
        </w:rPr>
        <w:t>本项目的特定资格要求：</w:t>
      </w:r>
    </w:p>
    <w:p w14:paraId="0A88530A">
      <w:pPr>
        <w:tabs>
          <w:tab w:val="left" w:pos="312"/>
        </w:tabs>
        <w:wordWrap w:val="0"/>
        <w:adjustRightInd w:val="0"/>
        <w:snapToGrid w:val="0"/>
        <w:spacing w:line="360" w:lineRule="auto"/>
        <w:ind w:left="482" w:firstLine="480" w:firstLineChars="200"/>
        <w:rPr>
          <w:rFonts w:asciiTheme="minorEastAsia" w:hAnsiTheme="minorEastAsia" w:eastAsiaTheme="minorEastAsia"/>
          <w:sz w:val="24"/>
          <w:szCs w:val="24"/>
        </w:rPr>
      </w:pPr>
      <w:bookmarkStart w:id="65" w:name="OLE_LINK64"/>
      <w:bookmarkStart w:id="66" w:name="OLE_LINK63"/>
      <w:bookmarkStart w:id="67" w:name="OLE_LINK46"/>
      <w:bookmarkStart w:id="68" w:name="OLE_LINK45"/>
      <w:r>
        <w:rPr>
          <w:rFonts w:hint="eastAsia" w:asciiTheme="minorEastAsia" w:hAnsiTheme="minorEastAsia" w:eastAsiaTheme="minorEastAsia"/>
          <w:sz w:val="24"/>
          <w:szCs w:val="24"/>
        </w:rPr>
        <w:t>3.</w:t>
      </w:r>
      <w:bookmarkStart w:id="69" w:name="OLE_LINK102"/>
      <w:bookmarkStart w:id="70" w:name="OLE_LINK100"/>
      <w:r>
        <w:rPr>
          <w:rFonts w:hint="eastAsia" w:asciiTheme="minorEastAsia" w:hAnsiTheme="minorEastAsia" w:eastAsiaTheme="minorEastAsia"/>
          <w:sz w:val="24"/>
          <w:szCs w:val="24"/>
        </w:rPr>
        <w:t>1</w:t>
      </w:r>
      <w:bookmarkStart w:id="71" w:name="OLE_LINK66"/>
      <w:bookmarkStart w:id="72" w:name="OLE_LINK65"/>
      <w:bookmarkStart w:id="73" w:name="OLE_LINK117"/>
      <w:bookmarkStart w:id="74" w:name="OLE_LINK118"/>
      <w:r>
        <w:rPr>
          <w:rFonts w:hint="eastAsia" w:asciiTheme="minorEastAsia" w:hAnsiTheme="minorEastAsia" w:eastAsiaTheme="minorEastAsia"/>
          <w:sz w:val="24"/>
          <w:szCs w:val="24"/>
        </w:rPr>
        <w:t>供应商未被列入中国执行信息公开网（</w:t>
      </w:r>
      <w:bookmarkStart w:id="75" w:name="OLE_LINK3"/>
      <w:bookmarkStart w:id="76" w:name="OLE_LINK2"/>
      <w:bookmarkStart w:id="77" w:name="OLE_LINK26"/>
      <w:r>
        <w:rPr>
          <w:rFonts w:hint="eastAsia" w:asciiTheme="minorEastAsia" w:hAnsiTheme="minorEastAsia" w:eastAsiaTheme="minorEastAsia"/>
          <w:sz w:val="24"/>
          <w:szCs w:val="24"/>
        </w:rPr>
        <w:t>http://zxgk.court.gov.cn</w:t>
      </w:r>
      <w:bookmarkEnd w:id="75"/>
      <w:bookmarkEnd w:id="76"/>
      <w:bookmarkEnd w:id="77"/>
      <w:r>
        <w:rPr>
          <w:rFonts w:hint="eastAsia" w:asciiTheme="minorEastAsia" w:hAnsiTheme="minorEastAsia" w:eastAsiaTheme="minorEastAsia"/>
          <w:sz w:val="24"/>
          <w:szCs w:val="24"/>
        </w:rPr>
        <w:t>）失信被执行人，未被列入“信用中国”网站（</w:t>
      </w:r>
      <w:bookmarkStart w:id="78" w:name="OLE_LINK4"/>
      <w:bookmarkStart w:id="79" w:name="OLE_LINK5"/>
      <w:r>
        <w:rPr>
          <w:rFonts w:hint="eastAsia" w:asciiTheme="minorEastAsia" w:hAnsiTheme="minorEastAsia" w:eastAsiaTheme="minorEastAsia"/>
          <w:sz w:val="24"/>
          <w:szCs w:val="24"/>
        </w:rPr>
        <w:t>https://www.creditchina.gov.cn</w:t>
      </w:r>
      <w:bookmarkEnd w:id="78"/>
      <w:bookmarkEnd w:id="79"/>
      <w:r>
        <w:rPr>
          <w:rFonts w:hint="eastAsia" w:asciiTheme="minorEastAsia" w:hAnsiTheme="minorEastAsia" w:eastAsiaTheme="minorEastAsia"/>
          <w:sz w:val="24"/>
          <w:szCs w:val="24"/>
        </w:rPr>
        <w:t>）重大税收违法失信主体和政府采购严重违法失信行为记录名单，未被列入中国政府采购网（</w:t>
      </w:r>
      <w:bookmarkStart w:id="80" w:name="OLE_LINK6"/>
      <w:r>
        <w:rPr>
          <w:rFonts w:hint="eastAsia" w:asciiTheme="minorEastAsia" w:hAnsiTheme="minorEastAsia" w:eastAsiaTheme="minorEastAsia"/>
          <w:sz w:val="24"/>
          <w:szCs w:val="24"/>
        </w:rPr>
        <w:t>http://www.ccgp.gov.cn</w:t>
      </w:r>
      <w:bookmarkEnd w:id="80"/>
      <w:r>
        <w:rPr>
          <w:rFonts w:hint="eastAsia" w:asciiTheme="minorEastAsia" w:hAnsiTheme="minorEastAsia" w:eastAsiaTheme="minorEastAsia"/>
          <w:sz w:val="24"/>
          <w:szCs w:val="24"/>
        </w:rPr>
        <w:t>）政府采购严重违法失信行为记录名单，未被列入国家企业信用信息公示系统（</w:t>
      </w:r>
      <w:bookmarkStart w:id="81" w:name="OLE_LINK7"/>
      <w:r>
        <w:rPr>
          <w:rFonts w:hint="eastAsia" w:asciiTheme="minorEastAsia" w:hAnsiTheme="minorEastAsia" w:eastAsiaTheme="minorEastAsia"/>
          <w:sz w:val="24"/>
          <w:szCs w:val="24"/>
        </w:rPr>
        <w:t>http://www.gsxt.gov.cn</w:t>
      </w:r>
      <w:bookmarkEnd w:id="81"/>
      <w:r>
        <w:rPr>
          <w:rFonts w:hint="eastAsia" w:asciiTheme="minorEastAsia" w:hAnsiTheme="minorEastAsia" w:eastAsiaTheme="minorEastAsia"/>
          <w:sz w:val="24"/>
          <w:szCs w:val="24"/>
        </w:rPr>
        <w:t>）严重违法失信名单（黑名单）（移出的除外）</w:t>
      </w:r>
      <w:bookmarkEnd w:id="71"/>
      <w:bookmarkEnd w:id="72"/>
      <w:r>
        <w:rPr>
          <w:rFonts w:hint="eastAsia" w:asciiTheme="minorEastAsia" w:hAnsiTheme="minorEastAsia" w:eastAsiaTheme="minorEastAsia"/>
          <w:sz w:val="24"/>
          <w:szCs w:val="24"/>
        </w:rPr>
        <w:t>。</w:t>
      </w:r>
      <w:bookmarkEnd w:id="69"/>
      <w:bookmarkEnd w:id="70"/>
      <w:bookmarkEnd w:id="73"/>
      <w:bookmarkEnd w:id="74"/>
    </w:p>
    <w:bookmarkEnd w:id="65"/>
    <w:bookmarkEnd w:id="66"/>
    <w:p w14:paraId="161D5A91">
      <w:pPr>
        <w:tabs>
          <w:tab w:val="left" w:pos="312"/>
        </w:tabs>
        <w:wordWrap w:val="0"/>
        <w:adjustRightInd w:val="0"/>
        <w:snapToGrid w:val="0"/>
        <w:spacing w:line="360" w:lineRule="auto"/>
        <w:ind w:left="482"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w:t>
      </w:r>
      <w:bookmarkStart w:id="82" w:name="OLE_LINK114"/>
      <w:bookmarkStart w:id="83" w:name="OLE_LINK119"/>
      <w:bookmarkStart w:id="84" w:name="OLE_LINK67"/>
      <w:bookmarkStart w:id="85" w:name="OLE_LINK68"/>
      <w:r>
        <w:rPr>
          <w:rFonts w:hint="eastAsia" w:asciiTheme="minorEastAsia" w:hAnsiTheme="minorEastAsia" w:eastAsiaTheme="minorEastAsia"/>
          <w:sz w:val="24"/>
          <w:szCs w:val="24"/>
        </w:rPr>
        <w:t>供应商未在被禁止参加政府采购活动的处罚期限内</w:t>
      </w:r>
      <w:bookmarkEnd w:id="82"/>
      <w:r>
        <w:rPr>
          <w:rFonts w:hint="eastAsia" w:asciiTheme="minorEastAsia" w:hAnsiTheme="minorEastAsia" w:eastAsiaTheme="minorEastAsia"/>
          <w:sz w:val="24"/>
          <w:szCs w:val="24"/>
        </w:rPr>
        <w:t>。</w:t>
      </w:r>
      <w:bookmarkEnd w:id="83"/>
      <w:bookmarkEnd w:id="84"/>
      <w:bookmarkEnd w:id="85"/>
    </w:p>
    <w:p w14:paraId="3619BD67">
      <w:pPr>
        <w:tabs>
          <w:tab w:val="left" w:pos="312"/>
        </w:tabs>
        <w:wordWrap w:val="0"/>
        <w:adjustRightInd w:val="0"/>
        <w:snapToGrid w:val="0"/>
        <w:spacing w:line="360" w:lineRule="auto"/>
        <w:ind w:left="482"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3.3</w:t>
      </w:r>
      <w:bookmarkStart w:id="86" w:name="OLE_LINK123"/>
      <w:bookmarkStart w:id="87" w:name="OLE_LINK120"/>
      <w:bookmarkStart w:id="88" w:name="OLE_LINK69"/>
      <w:bookmarkStart w:id="89" w:name="OLE_LINK70"/>
      <w:r>
        <w:rPr>
          <w:rFonts w:hint="eastAsia" w:asciiTheme="minorEastAsia" w:hAnsiTheme="minorEastAsia" w:eastAsiaTheme="minorEastAsia"/>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bookmarkEnd w:id="86"/>
      <w:bookmarkEnd w:id="87"/>
    </w:p>
    <w:bookmarkEnd w:id="88"/>
    <w:bookmarkEnd w:id="89"/>
    <w:p w14:paraId="2F43CC0D">
      <w:pPr>
        <w:tabs>
          <w:tab w:val="left" w:pos="312"/>
        </w:tabs>
        <w:wordWrap w:val="0"/>
        <w:adjustRightInd w:val="0"/>
        <w:snapToGrid w:val="0"/>
        <w:spacing w:line="360" w:lineRule="auto"/>
        <w:ind w:left="482"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3.4</w:t>
      </w:r>
      <w:bookmarkStart w:id="90" w:name="OLE_LINK125"/>
      <w:bookmarkStart w:id="91" w:name="OLE_LINK124"/>
      <w:bookmarkStart w:id="92" w:name="OLE_LINK71"/>
      <w:bookmarkStart w:id="93" w:name="OLE_LINK72"/>
      <w:r>
        <w:rPr>
          <w:rFonts w:hint="eastAsia" w:asciiTheme="minorEastAsia" w:hAnsiTheme="minorEastAsia" w:eastAsiaTheme="minorEastAsia"/>
          <w:sz w:val="24"/>
          <w:szCs w:val="24"/>
        </w:rPr>
        <w:t>供应商须具备建筑工程施工总承包叁级以上（含叁级）或具有市政公用工程总承包叁级以上（含叁级）资质，并具有有效的安全生产许可证。</w:t>
      </w:r>
      <w:bookmarkEnd w:id="90"/>
      <w:bookmarkEnd w:id="91"/>
    </w:p>
    <w:bookmarkEnd w:id="92"/>
    <w:bookmarkEnd w:id="93"/>
    <w:p w14:paraId="2D2857EF">
      <w:pPr>
        <w:tabs>
          <w:tab w:val="left" w:pos="312"/>
        </w:tabs>
        <w:wordWrap w:val="0"/>
        <w:adjustRightInd w:val="0"/>
        <w:snapToGrid w:val="0"/>
        <w:spacing w:line="360" w:lineRule="auto"/>
        <w:ind w:left="482" w:firstLine="480" w:firstLineChars="200"/>
        <w:rPr>
          <w:rFonts w:asciiTheme="minorEastAsia" w:hAnsiTheme="minorEastAsia" w:eastAsiaTheme="minorEastAsia"/>
          <w:b/>
          <w:bCs/>
          <w:sz w:val="24"/>
          <w:szCs w:val="24"/>
        </w:rPr>
      </w:pPr>
      <w:r>
        <w:rPr>
          <w:rFonts w:hint="eastAsia" w:asciiTheme="minorEastAsia" w:hAnsiTheme="minorEastAsia" w:eastAsiaTheme="minorEastAsia"/>
          <w:sz w:val="24"/>
          <w:szCs w:val="24"/>
        </w:rPr>
        <w:t>3.5</w:t>
      </w:r>
      <w:bookmarkStart w:id="94" w:name="OLE_LINK23"/>
      <w:bookmarkStart w:id="95" w:name="OLE_LINK24"/>
      <w:bookmarkStart w:id="96" w:name="OLE_LINK127"/>
      <w:bookmarkStart w:id="97" w:name="OLE_LINK126"/>
      <w:bookmarkStart w:id="98" w:name="OLE_LINK73"/>
      <w:r>
        <w:rPr>
          <w:rFonts w:hint="eastAsia" w:asciiTheme="minorEastAsia" w:hAnsiTheme="minorEastAsia" w:eastAsiaTheme="minorEastAsia"/>
          <w:sz w:val="24"/>
          <w:szCs w:val="24"/>
        </w:rPr>
        <w:t>供应商拟派项目经理须具备有效的建筑工程专业二级以上（含二级）或市政工程专业二级以上（含二级）建造师注册证书和安全生产考核合格证书，</w:t>
      </w:r>
      <w:r>
        <w:rPr>
          <w:rFonts w:hint="eastAsia" w:asciiTheme="minorEastAsia" w:hAnsiTheme="minorEastAsia" w:eastAsiaTheme="minorEastAsia"/>
          <w:b/>
          <w:sz w:val="24"/>
          <w:szCs w:val="24"/>
        </w:rPr>
        <w:t>且项目经理一经委派，不得擅自更换，如有供应商擅自更换项目经理，其响应文件视为无效标书</w:t>
      </w:r>
      <w:bookmarkEnd w:id="94"/>
      <w:bookmarkEnd w:id="95"/>
      <w:r>
        <w:rPr>
          <w:rFonts w:hint="eastAsia" w:asciiTheme="minorEastAsia" w:hAnsiTheme="minorEastAsia" w:eastAsiaTheme="minorEastAsia"/>
          <w:b/>
          <w:bCs/>
          <w:sz w:val="24"/>
          <w:szCs w:val="24"/>
        </w:rPr>
        <w:t>。</w:t>
      </w:r>
      <w:bookmarkEnd w:id="96"/>
      <w:bookmarkEnd w:id="97"/>
    </w:p>
    <w:bookmarkEnd w:id="63"/>
    <w:bookmarkEnd w:id="64"/>
    <w:bookmarkEnd w:id="67"/>
    <w:bookmarkEnd w:id="68"/>
    <w:bookmarkEnd w:id="98"/>
    <w:p w14:paraId="14B5CF80">
      <w:pPr>
        <w:pStyle w:val="3"/>
        <w:wordWrap w:val="0"/>
        <w:adjustRightInd w:val="0"/>
        <w:snapToGrid w:val="0"/>
        <w:spacing w:before="0" w:after="0" w:line="360" w:lineRule="auto"/>
        <w:rPr>
          <w:rFonts w:asciiTheme="minorEastAsia" w:hAnsiTheme="minorEastAsia" w:eastAsiaTheme="minorEastAsia"/>
          <w:sz w:val="24"/>
          <w:szCs w:val="24"/>
        </w:rPr>
      </w:pPr>
      <w:bookmarkStart w:id="99" w:name="_Toc20576"/>
      <w:bookmarkStart w:id="100" w:name="_Toc193796024"/>
      <w:bookmarkStart w:id="101" w:name="_Toc29726"/>
      <w:bookmarkStart w:id="102" w:name="_Toc7962"/>
      <w:bookmarkStart w:id="103" w:name="_Toc936"/>
      <w:bookmarkStart w:id="104" w:name="_Toc132376714"/>
      <w:bookmarkStart w:id="105" w:name="_Toc18061"/>
      <w:bookmarkStart w:id="106" w:name="_Toc4150"/>
      <w:r>
        <w:rPr>
          <w:rFonts w:hint="eastAsia" w:asciiTheme="minorEastAsia" w:hAnsiTheme="minorEastAsia" w:eastAsiaTheme="minorEastAsia"/>
          <w:sz w:val="24"/>
          <w:szCs w:val="24"/>
        </w:rPr>
        <w:t>三、获取采购文件</w:t>
      </w:r>
      <w:bookmarkEnd w:id="52"/>
      <w:bookmarkEnd w:id="53"/>
      <w:bookmarkEnd w:id="54"/>
      <w:bookmarkEnd w:id="55"/>
      <w:bookmarkEnd w:id="56"/>
      <w:bookmarkEnd w:id="99"/>
      <w:bookmarkEnd w:id="100"/>
      <w:bookmarkEnd w:id="101"/>
      <w:bookmarkEnd w:id="102"/>
      <w:bookmarkEnd w:id="103"/>
      <w:bookmarkEnd w:id="104"/>
      <w:bookmarkEnd w:id="105"/>
      <w:bookmarkEnd w:id="106"/>
    </w:p>
    <w:p w14:paraId="057B4DC2">
      <w:pPr>
        <w:wordWrap w:val="0"/>
        <w:adjustRightInd w:val="0"/>
        <w:snapToGrid w:val="0"/>
        <w:spacing w:line="360" w:lineRule="auto"/>
        <w:ind w:firstLine="540"/>
        <w:rPr>
          <w:rFonts w:cs="宋体" w:asciiTheme="minorEastAsia" w:hAnsiTheme="minorEastAsia" w:eastAsiaTheme="minorEastAsia"/>
          <w:sz w:val="24"/>
          <w:szCs w:val="24"/>
        </w:rPr>
      </w:pPr>
      <w:bookmarkStart w:id="107" w:name="_Toc35393801"/>
      <w:bookmarkStart w:id="108" w:name="_Toc35393632"/>
      <w:bookmarkStart w:id="109" w:name="_Toc28359015"/>
      <w:bookmarkStart w:id="110" w:name="_Toc28359092"/>
      <w:r>
        <w:rPr>
          <w:rFonts w:hint="eastAsia" w:cs="宋体" w:asciiTheme="minorEastAsia" w:hAnsiTheme="minorEastAsia" w:eastAsiaTheme="minorEastAsia"/>
          <w:sz w:val="24"/>
          <w:szCs w:val="24"/>
          <w:highlight w:val="none"/>
        </w:rPr>
        <w:t>时间：</w:t>
      </w:r>
      <w:bookmarkStart w:id="111" w:name="OLE_LINK141"/>
      <w:bookmarkStart w:id="112" w:name="OLE_LINK140"/>
      <w:r>
        <w:rPr>
          <w:rFonts w:hint="eastAsia" w:cs="宋体" w:asciiTheme="minorEastAsia" w:hAnsiTheme="minorEastAsia" w:eastAsiaTheme="minorEastAsia"/>
          <w:sz w:val="24"/>
          <w:szCs w:val="24"/>
          <w:highlight w:val="none"/>
          <w:u w:val="single"/>
        </w:rPr>
        <w:t>2026年0</w:t>
      </w:r>
      <w:r>
        <w:rPr>
          <w:rFonts w:hint="eastAsia" w:cs="宋体" w:asciiTheme="minorEastAsia" w:hAnsiTheme="minorEastAsia" w:eastAsiaTheme="minorEastAsia"/>
          <w:sz w:val="24"/>
          <w:szCs w:val="24"/>
          <w:highlight w:val="none"/>
          <w:u w:val="single"/>
          <w:lang w:val="en-US" w:eastAsia="zh-CN"/>
        </w:rPr>
        <w:t>5</w:t>
      </w:r>
      <w:r>
        <w:rPr>
          <w:rFonts w:hint="eastAsia" w:cs="宋体" w:asciiTheme="minorEastAsia" w:hAnsiTheme="minorEastAsia" w:eastAsiaTheme="minorEastAsia"/>
          <w:sz w:val="24"/>
          <w:szCs w:val="24"/>
          <w:highlight w:val="none"/>
          <w:u w:val="single"/>
        </w:rPr>
        <w:t>月</w:t>
      </w:r>
      <w:r>
        <w:rPr>
          <w:rFonts w:hint="eastAsia" w:cs="宋体" w:asciiTheme="minorEastAsia" w:hAnsiTheme="minorEastAsia" w:eastAsiaTheme="minorEastAsia"/>
          <w:sz w:val="24"/>
          <w:szCs w:val="24"/>
          <w:highlight w:val="none"/>
          <w:u w:val="single"/>
          <w:lang w:val="en-US" w:eastAsia="zh-CN"/>
        </w:rPr>
        <w:t>11</w:t>
      </w:r>
      <w:r>
        <w:rPr>
          <w:rFonts w:hint="eastAsia" w:cs="宋体" w:asciiTheme="minorEastAsia" w:hAnsiTheme="minorEastAsia" w:eastAsiaTheme="minorEastAsia"/>
          <w:sz w:val="24"/>
          <w:szCs w:val="24"/>
          <w:highlight w:val="none"/>
          <w:u w:val="single"/>
        </w:rPr>
        <w:t>日至2026年0</w:t>
      </w:r>
      <w:r>
        <w:rPr>
          <w:rFonts w:hint="eastAsia" w:cs="宋体" w:asciiTheme="minorEastAsia" w:hAnsiTheme="minorEastAsia" w:eastAsiaTheme="minorEastAsia"/>
          <w:sz w:val="24"/>
          <w:szCs w:val="24"/>
          <w:highlight w:val="none"/>
          <w:u w:val="single"/>
          <w:lang w:val="en-US" w:eastAsia="zh-CN"/>
        </w:rPr>
        <w:t>5</w:t>
      </w:r>
      <w:r>
        <w:rPr>
          <w:rFonts w:hint="eastAsia" w:cs="宋体" w:asciiTheme="minorEastAsia" w:hAnsiTheme="minorEastAsia" w:eastAsiaTheme="minorEastAsia"/>
          <w:sz w:val="24"/>
          <w:szCs w:val="24"/>
          <w:highlight w:val="none"/>
          <w:u w:val="single"/>
        </w:rPr>
        <w:t>月</w:t>
      </w:r>
      <w:r>
        <w:rPr>
          <w:rFonts w:hint="eastAsia" w:cs="宋体" w:asciiTheme="minorEastAsia" w:hAnsiTheme="minorEastAsia" w:eastAsiaTheme="minorEastAsia"/>
          <w:sz w:val="24"/>
          <w:szCs w:val="24"/>
          <w:highlight w:val="none"/>
          <w:u w:val="single"/>
          <w:lang w:val="en-US" w:eastAsia="zh-CN"/>
        </w:rPr>
        <w:t>18</w:t>
      </w:r>
      <w:r>
        <w:rPr>
          <w:rFonts w:hint="eastAsia" w:cs="宋体" w:asciiTheme="minorEastAsia" w:hAnsiTheme="minorEastAsia" w:eastAsiaTheme="minorEastAsia"/>
          <w:sz w:val="24"/>
          <w:szCs w:val="24"/>
          <w:highlight w:val="none"/>
          <w:u w:val="single"/>
        </w:rPr>
        <w:t>日</w:t>
      </w:r>
      <w:bookmarkEnd w:id="111"/>
      <w:bookmarkEnd w:id="112"/>
      <w:r>
        <w:rPr>
          <w:rFonts w:hint="eastAsia" w:cs="宋体" w:asciiTheme="minorEastAsia" w:hAnsiTheme="minorEastAsia" w:eastAsiaTheme="minorEastAsia"/>
          <w:sz w:val="24"/>
          <w:szCs w:val="24"/>
          <w:highlight w:val="none"/>
          <w:u w:val="single"/>
        </w:rPr>
        <w:t>（磋商文件的获取期限自开始之日起不得少于5个工作日）</w:t>
      </w:r>
      <w:r>
        <w:rPr>
          <w:rFonts w:hint="eastAsia" w:cs="宋体" w:asciiTheme="minorEastAsia" w:hAnsiTheme="minorEastAsia" w:eastAsiaTheme="minorEastAsia"/>
          <w:sz w:val="24"/>
          <w:szCs w:val="24"/>
          <w:highlight w:val="none"/>
        </w:rPr>
        <w:t>，</w:t>
      </w:r>
      <w:r>
        <w:rPr>
          <w:rFonts w:hint="eastAsia" w:cs="宋体" w:asciiTheme="minorEastAsia" w:hAnsiTheme="minorEastAsia" w:eastAsiaTheme="minorEastAsia"/>
          <w:sz w:val="24"/>
          <w:szCs w:val="24"/>
        </w:rPr>
        <w:t>每天00:00至23:59（北京时间，法定节假日除外）。</w:t>
      </w:r>
    </w:p>
    <w:p w14:paraId="1A946F46">
      <w:pPr>
        <w:wordWrap w:val="0"/>
        <w:adjustRightInd w:val="0"/>
        <w:snapToGrid w:val="0"/>
        <w:spacing w:line="360" w:lineRule="auto"/>
        <w:ind w:firstLine="480" w:firstLineChars="200"/>
        <w:rPr>
          <w:rFonts w:cs="宋体" w:asciiTheme="minorEastAsia" w:hAnsiTheme="minorEastAsia" w:eastAsiaTheme="minorEastAsia"/>
          <w:sz w:val="24"/>
          <w:szCs w:val="24"/>
        </w:rPr>
      </w:pPr>
      <w:bookmarkStart w:id="113" w:name="_Toc26490"/>
      <w:bookmarkStart w:id="114" w:name="_Toc29083"/>
      <w:r>
        <w:rPr>
          <w:rFonts w:hint="eastAsia" w:cs="宋体" w:asciiTheme="minorEastAsia" w:hAnsiTheme="minorEastAsia" w:eastAsiaTheme="minorEastAsia"/>
          <w:sz w:val="24"/>
          <w:szCs w:val="24"/>
        </w:rPr>
        <w:t>地点：政采云平台（</w:t>
      </w:r>
      <w:bookmarkStart w:id="115" w:name="OLE_LINK8"/>
      <w:r>
        <w:rPr>
          <w:rFonts w:hint="eastAsia" w:cs="宋体" w:asciiTheme="minorEastAsia" w:hAnsiTheme="minorEastAsia" w:eastAsiaTheme="minorEastAsia"/>
          <w:sz w:val="24"/>
          <w:szCs w:val="24"/>
        </w:rPr>
        <w:t>https://www.zcygov.cn/</w:t>
      </w:r>
      <w:bookmarkEnd w:id="115"/>
      <w:r>
        <w:rPr>
          <w:rFonts w:hint="eastAsia" w:cs="宋体" w:asciiTheme="minorEastAsia" w:hAnsiTheme="minorEastAsia" w:eastAsiaTheme="minorEastAsia"/>
          <w:sz w:val="24"/>
          <w:szCs w:val="24"/>
        </w:rPr>
        <w:t>）。</w:t>
      </w:r>
    </w:p>
    <w:p w14:paraId="49917562">
      <w:pPr>
        <w:wordWrap w:val="0"/>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方式：</w:t>
      </w:r>
      <w:bookmarkStart w:id="116" w:name="OLE_LINK74"/>
      <w:bookmarkStart w:id="117" w:name="OLE_LINK75"/>
      <w:bookmarkStart w:id="118" w:name="OLE_LINK59"/>
      <w:bookmarkStart w:id="119" w:name="OLE_LINK30"/>
      <w:bookmarkStart w:id="120" w:name="OLE_LINK31"/>
      <w:r>
        <w:rPr>
          <w:rFonts w:hint="eastAsia" w:cs="宋体" w:asciiTheme="minorEastAsia" w:hAnsiTheme="minorEastAsia" w:eastAsiaTheme="minorEastAsia"/>
          <w:sz w:val="24"/>
          <w:szCs w:val="24"/>
        </w:rPr>
        <w:t>（</w:t>
      </w:r>
      <w:bookmarkStart w:id="121" w:name="OLE_LINK58"/>
      <w:bookmarkStart w:id="122" w:name="OLE_LINK57"/>
      <w:r>
        <w:rPr>
          <w:rFonts w:hint="eastAsia" w:cs="宋体" w:asciiTheme="minorEastAsia" w:hAnsiTheme="minorEastAsia" w:eastAsiaTheme="minorEastAsia"/>
          <w:sz w:val="24"/>
          <w:szCs w:val="24"/>
        </w:rPr>
        <w:t>1）有意参加的供应商，须在政采云平台办理数字证书（CA），CA申领链接：</w:t>
      </w:r>
      <w:bookmarkStart w:id="123" w:name="OLE_LINK10"/>
      <w:bookmarkStart w:id="124" w:name="OLE_LINK9"/>
      <w:r>
        <w:rPr>
          <w:rFonts w:hint="eastAsia" w:cs="宋体" w:asciiTheme="minorEastAsia" w:hAnsiTheme="minorEastAsia" w:eastAsiaTheme="minorEastAsia"/>
          <w:sz w:val="24"/>
          <w:szCs w:val="24"/>
        </w:rPr>
        <w:t>https://middle.zcygov.cn/ca/apply/list?_app_=zcy.sys</w:t>
      </w:r>
      <w:bookmarkEnd w:id="123"/>
      <w:bookmarkEnd w:id="124"/>
      <w:r>
        <w:rPr>
          <w:rFonts w:hint="eastAsia" w:cs="宋体" w:asciiTheme="minorEastAsia" w:hAnsiTheme="minorEastAsia" w:eastAsiaTheme="minorEastAsia"/>
          <w:sz w:val="24"/>
          <w:szCs w:val="24"/>
        </w:rPr>
        <w:t>，并在政采云绑定数字证书（CA）后在网上获取采购文件及其它采购资料，数字证书（CA）详见其办理流程。注：云南本地供应商如之前已在云南CA在线数字证书办理网进行过注册并办理过企业数字证书（CA），直接绑定即可，无需重复办理（2022年1月1日前办理的云南CA需到云南CA办理处进行升级）。外省供应商在政采云平台办理的其他CA可直接使用，无需重复办理。（2）按上述要求获取竞争性磋商文件的供应商视为合法获取了本项目竞争性磋商文件，具备本项目的磋商资格。</w:t>
      </w:r>
      <w:bookmarkEnd w:id="116"/>
      <w:bookmarkEnd w:id="117"/>
    </w:p>
    <w:bookmarkEnd w:id="118"/>
    <w:bookmarkEnd w:id="119"/>
    <w:bookmarkEnd w:id="120"/>
    <w:bookmarkEnd w:id="121"/>
    <w:bookmarkEnd w:id="122"/>
    <w:p w14:paraId="4B9368E6">
      <w:pPr>
        <w:pStyle w:val="3"/>
        <w:wordWrap w:val="0"/>
        <w:adjustRightInd w:val="0"/>
        <w:snapToGrid w:val="0"/>
        <w:spacing w:before="0" w:after="0" w:line="360" w:lineRule="auto"/>
        <w:rPr>
          <w:rFonts w:asciiTheme="minorEastAsia" w:hAnsiTheme="minorEastAsia" w:eastAsiaTheme="minorEastAsia"/>
          <w:sz w:val="24"/>
          <w:szCs w:val="24"/>
        </w:rPr>
      </w:pPr>
      <w:bookmarkStart w:id="125" w:name="_Toc25201"/>
      <w:bookmarkStart w:id="126" w:name="_Toc31753"/>
      <w:bookmarkStart w:id="127" w:name="_Toc22575"/>
      <w:bookmarkStart w:id="128" w:name="_Toc2870"/>
      <w:bookmarkStart w:id="129" w:name="_Toc193796025"/>
      <w:bookmarkStart w:id="130" w:name="_Toc132376715"/>
      <w:bookmarkStart w:id="131" w:name="_Toc27804"/>
      <w:r>
        <w:rPr>
          <w:rFonts w:hint="eastAsia" w:asciiTheme="minorEastAsia" w:hAnsiTheme="minorEastAsia" w:eastAsiaTheme="minorEastAsia"/>
          <w:sz w:val="24"/>
          <w:szCs w:val="24"/>
        </w:rPr>
        <w:t>四、响应文件提交</w:t>
      </w:r>
      <w:bookmarkEnd w:id="107"/>
      <w:bookmarkEnd w:id="108"/>
      <w:bookmarkEnd w:id="109"/>
      <w:bookmarkEnd w:id="110"/>
      <w:bookmarkEnd w:id="113"/>
      <w:bookmarkEnd w:id="114"/>
      <w:bookmarkEnd w:id="125"/>
      <w:bookmarkEnd w:id="126"/>
      <w:bookmarkEnd w:id="127"/>
      <w:bookmarkEnd w:id="128"/>
      <w:bookmarkEnd w:id="129"/>
      <w:bookmarkEnd w:id="130"/>
      <w:bookmarkEnd w:id="131"/>
    </w:p>
    <w:p w14:paraId="56887077">
      <w:pPr>
        <w:wordWrap w:val="0"/>
        <w:adjustRightInd w:val="0"/>
        <w:snapToGrid w:val="0"/>
        <w:spacing w:line="360" w:lineRule="auto"/>
        <w:ind w:firstLine="480" w:firstLineChars="200"/>
        <w:rPr>
          <w:rFonts w:cs="宋体" w:asciiTheme="minorEastAsia" w:hAnsiTheme="minorEastAsia" w:eastAsiaTheme="minorEastAsia"/>
          <w:bCs/>
          <w:sz w:val="24"/>
          <w:szCs w:val="24"/>
          <w:u w:val="single"/>
        </w:rPr>
      </w:pPr>
      <w:bookmarkStart w:id="132" w:name="_Toc35393633"/>
      <w:bookmarkStart w:id="133" w:name="_Toc28359016"/>
      <w:bookmarkStart w:id="134" w:name="_Toc28359093"/>
      <w:bookmarkStart w:id="135" w:name="_Toc35393802"/>
      <w:r>
        <w:rPr>
          <w:rFonts w:hint="eastAsia" w:cs="宋体" w:asciiTheme="minorEastAsia" w:hAnsiTheme="minorEastAsia" w:eastAsiaTheme="minorEastAsia"/>
          <w:sz w:val="24"/>
          <w:szCs w:val="24"/>
          <w:highlight w:val="none"/>
        </w:rPr>
        <w:t>截止时间：</w:t>
      </w:r>
      <w:bookmarkStart w:id="136" w:name="OLE_LINK142"/>
      <w:r>
        <w:rPr>
          <w:rFonts w:hint="eastAsia" w:cs="宋体" w:asciiTheme="minorEastAsia" w:hAnsiTheme="minorEastAsia" w:eastAsiaTheme="minorEastAsia"/>
          <w:sz w:val="24"/>
          <w:szCs w:val="24"/>
          <w:highlight w:val="none"/>
          <w:u w:val="single"/>
        </w:rPr>
        <w:t>2026年0</w:t>
      </w:r>
      <w:r>
        <w:rPr>
          <w:rFonts w:hint="eastAsia" w:cs="宋体" w:asciiTheme="minorEastAsia" w:hAnsiTheme="minorEastAsia" w:eastAsiaTheme="minorEastAsia"/>
          <w:sz w:val="24"/>
          <w:szCs w:val="24"/>
          <w:highlight w:val="none"/>
          <w:u w:val="single"/>
          <w:lang w:val="en-US" w:eastAsia="zh-CN"/>
        </w:rPr>
        <w:t>5</w:t>
      </w:r>
      <w:r>
        <w:rPr>
          <w:rFonts w:hint="eastAsia" w:cs="宋体" w:asciiTheme="minorEastAsia" w:hAnsiTheme="minorEastAsia" w:eastAsiaTheme="minorEastAsia"/>
          <w:sz w:val="24"/>
          <w:szCs w:val="24"/>
          <w:highlight w:val="none"/>
          <w:u w:val="single"/>
        </w:rPr>
        <w:t>月</w:t>
      </w:r>
      <w:r>
        <w:rPr>
          <w:rFonts w:hint="eastAsia" w:cs="宋体" w:asciiTheme="minorEastAsia" w:hAnsiTheme="minorEastAsia" w:eastAsiaTheme="minorEastAsia"/>
          <w:sz w:val="24"/>
          <w:szCs w:val="24"/>
          <w:highlight w:val="none"/>
          <w:u w:val="single"/>
          <w:lang w:val="en-US" w:eastAsia="zh-CN"/>
        </w:rPr>
        <w:t>22</w:t>
      </w:r>
      <w:r>
        <w:rPr>
          <w:rFonts w:hint="eastAsia" w:cs="宋体" w:asciiTheme="minorEastAsia" w:hAnsiTheme="minorEastAsia" w:eastAsiaTheme="minorEastAsia"/>
          <w:sz w:val="24"/>
          <w:szCs w:val="24"/>
          <w:highlight w:val="none"/>
          <w:u w:val="single"/>
        </w:rPr>
        <w:t>日0</w:t>
      </w:r>
      <w:r>
        <w:rPr>
          <w:rFonts w:hint="eastAsia" w:cs="宋体" w:asciiTheme="minorEastAsia" w:hAnsiTheme="minorEastAsia" w:eastAsiaTheme="minorEastAsia"/>
          <w:sz w:val="24"/>
          <w:szCs w:val="24"/>
          <w:highlight w:val="none"/>
          <w:u w:val="single"/>
          <w:lang w:val="en-US" w:eastAsia="zh-CN"/>
        </w:rPr>
        <w:t>9</w:t>
      </w:r>
      <w:r>
        <w:rPr>
          <w:rFonts w:hint="eastAsia" w:cs="宋体" w:asciiTheme="minorEastAsia" w:hAnsiTheme="minorEastAsia" w:eastAsiaTheme="minorEastAsia"/>
          <w:sz w:val="24"/>
          <w:szCs w:val="24"/>
          <w:highlight w:val="none"/>
          <w:u w:val="single"/>
        </w:rPr>
        <w:t>时00分</w:t>
      </w:r>
      <w:bookmarkEnd w:id="136"/>
      <w:r>
        <w:rPr>
          <w:rFonts w:hint="eastAsia" w:cs="宋体" w:asciiTheme="minorEastAsia" w:hAnsiTheme="minorEastAsia" w:eastAsiaTheme="minorEastAsia"/>
          <w:bCs/>
          <w:sz w:val="24"/>
          <w:szCs w:val="24"/>
          <w:highlight w:val="none"/>
        </w:rPr>
        <w:t>（北京时间）（从磋商文件开始发出之日起至</w:t>
      </w:r>
      <w:r>
        <w:rPr>
          <w:rFonts w:hint="eastAsia" w:cs="宋体" w:asciiTheme="minorEastAsia" w:hAnsiTheme="minorEastAsia" w:eastAsiaTheme="minorEastAsia"/>
          <w:bCs/>
          <w:sz w:val="24"/>
          <w:szCs w:val="24"/>
        </w:rPr>
        <w:t>供应商提交首次响应文件截止之日止不得少于10日）。</w:t>
      </w:r>
    </w:p>
    <w:p w14:paraId="5057ECAC">
      <w:pPr>
        <w:wordWrap w:val="0"/>
        <w:adjustRightInd w:val="0"/>
        <w:snapToGrid w:val="0"/>
        <w:spacing w:line="360" w:lineRule="auto"/>
        <w:ind w:firstLine="480" w:firstLineChars="200"/>
        <w:rPr>
          <w:rFonts w:cs="宋体" w:asciiTheme="minorEastAsia" w:hAnsiTheme="minorEastAsia" w:eastAsiaTheme="minorEastAsia"/>
          <w:bCs/>
          <w:sz w:val="24"/>
          <w:szCs w:val="24"/>
          <w:u w:val="single"/>
        </w:rPr>
      </w:pPr>
      <w:r>
        <w:rPr>
          <w:rFonts w:hint="eastAsia" w:cs="宋体" w:asciiTheme="minorEastAsia" w:hAnsiTheme="minorEastAsia" w:eastAsiaTheme="minorEastAsia"/>
          <w:sz w:val="24"/>
          <w:szCs w:val="24"/>
        </w:rPr>
        <w:t>地点：</w:t>
      </w:r>
      <w:r>
        <w:rPr>
          <w:rFonts w:hint="eastAsia" w:cs="宋体" w:asciiTheme="minorEastAsia" w:hAnsiTheme="minorEastAsia" w:eastAsiaTheme="minorEastAsia"/>
          <w:sz w:val="24"/>
          <w:szCs w:val="24"/>
          <w:u w:val="single"/>
        </w:rPr>
        <w:t>政采云平台（https://www.zcygov.cn/）</w:t>
      </w:r>
      <w:r>
        <w:rPr>
          <w:rFonts w:hint="eastAsia" w:cs="宋体" w:asciiTheme="minorEastAsia" w:hAnsiTheme="minorEastAsia" w:eastAsiaTheme="minorEastAsia"/>
          <w:sz w:val="24"/>
          <w:szCs w:val="24"/>
        </w:rPr>
        <w:t>。</w:t>
      </w:r>
    </w:p>
    <w:p w14:paraId="48DFC47B">
      <w:pPr>
        <w:pStyle w:val="3"/>
        <w:wordWrap w:val="0"/>
        <w:adjustRightInd w:val="0"/>
        <w:snapToGrid w:val="0"/>
        <w:spacing w:before="0" w:after="0" w:line="360" w:lineRule="auto"/>
        <w:rPr>
          <w:rFonts w:asciiTheme="minorEastAsia" w:hAnsiTheme="minorEastAsia" w:eastAsiaTheme="minorEastAsia"/>
          <w:sz w:val="24"/>
          <w:szCs w:val="24"/>
        </w:rPr>
      </w:pPr>
      <w:bookmarkStart w:id="137" w:name="_Toc8636"/>
      <w:bookmarkStart w:id="138" w:name="_Toc31637"/>
      <w:bookmarkStart w:id="139" w:name="_Toc193796026"/>
      <w:bookmarkStart w:id="140" w:name="_Toc20641"/>
      <w:bookmarkStart w:id="141" w:name="_Toc132376716"/>
      <w:bookmarkStart w:id="142" w:name="_Toc2972"/>
      <w:bookmarkStart w:id="143" w:name="_Toc7204"/>
      <w:bookmarkStart w:id="144" w:name="_Toc23556"/>
      <w:bookmarkStart w:id="145" w:name="_Toc14972"/>
      <w:r>
        <w:rPr>
          <w:rFonts w:hint="eastAsia" w:asciiTheme="minorEastAsia" w:hAnsiTheme="minorEastAsia" w:eastAsiaTheme="minorEastAsia"/>
          <w:sz w:val="24"/>
          <w:szCs w:val="24"/>
        </w:rPr>
        <w:t>五、开启</w:t>
      </w:r>
      <w:bookmarkEnd w:id="132"/>
      <w:bookmarkEnd w:id="133"/>
      <w:bookmarkEnd w:id="134"/>
      <w:bookmarkEnd w:id="135"/>
      <w:bookmarkEnd w:id="137"/>
      <w:bookmarkEnd w:id="138"/>
      <w:bookmarkEnd w:id="139"/>
      <w:bookmarkEnd w:id="140"/>
      <w:bookmarkEnd w:id="141"/>
      <w:bookmarkEnd w:id="142"/>
      <w:bookmarkEnd w:id="143"/>
      <w:bookmarkEnd w:id="144"/>
      <w:bookmarkEnd w:id="145"/>
    </w:p>
    <w:p w14:paraId="3B8E70AF">
      <w:pPr>
        <w:wordWrap w:val="0"/>
        <w:adjustRightInd w:val="0"/>
        <w:snapToGrid w:val="0"/>
        <w:spacing w:line="360" w:lineRule="auto"/>
        <w:ind w:firstLine="480" w:firstLineChars="200"/>
        <w:rPr>
          <w:rFonts w:cs="宋体" w:asciiTheme="minorEastAsia" w:hAnsiTheme="minorEastAsia" w:eastAsiaTheme="minorEastAsia"/>
          <w:bCs/>
          <w:sz w:val="24"/>
          <w:szCs w:val="24"/>
          <w:highlight w:val="none"/>
          <w:u w:val="single"/>
        </w:rPr>
      </w:pPr>
      <w:bookmarkStart w:id="146" w:name="_Toc35393803"/>
      <w:bookmarkStart w:id="147" w:name="_Toc28359094"/>
      <w:bookmarkStart w:id="148" w:name="_Toc35393634"/>
      <w:bookmarkStart w:id="149" w:name="_Toc28359017"/>
      <w:r>
        <w:rPr>
          <w:rFonts w:hint="eastAsia" w:cs="宋体" w:asciiTheme="minorEastAsia" w:hAnsiTheme="minorEastAsia" w:eastAsiaTheme="minorEastAsia"/>
          <w:sz w:val="24"/>
          <w:szCs w:val="24"/>
          <w:highlight w:val="none"/>
        </w:rPr>
        <w:t>时间：</w:t>
      </w:r>
      <w:r>
        <w:rPr>
          <w:rFonts w:hint="eastAsia" w:cs="宋体" w:asciiTheme="minorEastAsia" w:hAnsiTheme="minorEastAsia" w:eastAsiaTheme="minorEastAsia"/>
          <w:sz w:val="24"/>
          <w:szCs w:val="24"/>
          <w:highlight w:val="none"/>
          <w:u w:val="single"/>
        </w:rPr>
        <w:t>2026年0</w:t>
      </w:r>
      <w:r>
        <w:rPr>
          <w:rFonts w:hint="eastAsia" w:cs="宋体" w:asciiTheme="minorEastAsia" w:hAnsiTheme="minorEastAsia" w:eastAsiaTheme="minorEastAsia"/>
          <w:sz w:val="24"/>
          <w:szCs w:val="24"/>
          <w:highlight w:val="none"/>
          <w:u w:val="single"/>
          <w:lang w:val="en-US" w:eastAsia="zh-CN"/>
        </w:rPr>
        <w:t>5</w:t>
      </w:r>
      <w:r>
        <w:rPr>
          <w:rFonts w:hint="eastAsia" w:cs="宋体" w:asciiTheme="minorEastAsia" w:hAnsiTheme="minorEastAsia" w:eastAsiaTheme="minorEastAsia"/>
          <w:sz w:val="24"/>
          <w:szCs w:val="24"/>
          <w:highlight w:val="none"/>
          <w:u w:val="single"/>
        </w:rPr>
        <w:t>月</w:t>
      </w:r>
      <w:r>
        <w:rPr>
          <w:rFonts w:hint="eastAsia" w:cs="宋体" w:asciiTheme="minorEastAsia" w:hAnsiTheme="minorEastAsia" w:eastAsiaTheme="minorEastAsia"/>
          <w:sz w:val="24"/>
          <w:szCs w:val="24"/>
          <w:highlight w:val="none"/>
          <w:u w:val="single"/>
          <w:lang w:val="en-US" w:eastAsia="zh-CN"/>
        </w:rPr>
        <w:t>22</w:t>
      </w:r>
      <w:r>
        <w:rPr>
          <w:rFonts w:hint="eastAsia" w:cs="宋体" w:asciiTheme="minorEastAsia" w:hAnsiTheme="minorEastAsia" w:eastAsiaTheme="minorEastAsia"/>
          <w:sz w:val="24"/>
          <w:szCs w:val="24"/>
          <w:highlight w:val="none"/>
          <w:u w:val="single"/>
        </w:rPr>
        <w:t>日0</w:t>
      </w:r>
      <w:r>
        <w:rPr>
          <w:rFonts w:hint="eastAsia" w:cs="宋体" w:asciiTheme="minorEastAsia" w:hAnsiTheme="minorEastAsia" w:eastAsiaTheme="minorEastAsia"/>
          <w:sz w:val="24"/>
          <w:szCs w:val="24"/>
          <w:highlight w:val="none"/>
          <w:u w:val="single"/>
          <w:lang w:val="en-US" w:eastAsia="zh-CN"/>
        </w:rPr>
        <w:t>9</w:t>
      </w:r>
      <w:r>
        <w:rPr>
          <w:rFonts w:hint="eastAsia" w:cs="宋体" w:asciiTheme="minorEastAsia" w:hAnsiTheme="minorEastAsia" w:eastAsiaTheme="minorEastAsia"/>
          <w:sz w:val="24"/>
          <w:szCs w:val="24"/>
          <w:highlight w:val="none"/>
          <w:u w:val="single"/>
        </w:rPr>
        <w:t>时00分</w:t>
      </w:r>
      <w:r>
        <w:rPr>
          <w:rFonts w:hint="eastAsia" w:cs="宋体" w:asciiTheme="minorEastAsia" w:hAnsiTheme="minorEastAsia" w:eastAsiaTheme="minorEastAsia"/>
          <w:bCs/>
          <w:sz w:val="24"/>
          <w:szCs w:val="24"/>
          <w:highlight w:val="none"/>
        </w:rPr>
        <w:t>（北京时间）</w:t>
      </w:r>
    </w:p>
    <w:p w14:paraId="189C72E0">
      <w:pPr>
        <w:wordWrap w:val="0"/>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地点：</w:t>
      </w:r>
      <w:bookmarkStart w:id="150" w:name="OLE_LINK144"/>
      <w:bookmarkStart w:id="151" w:name="OLE_LINK143"/>
      <w:r>
        <w:rPr>
          <w:rFonts w:hint="eastAsia" w:asciiTheme="minorEastAsia" w:hAnsiTheme="minorEastAsia" w:eastAsiaTheme="minorEastAsia"/>
          <w:sz w:val="24"/>
          <w:szCs w:val="24"/>
        </w:rPr>
        <w:t>政采云平台（https://www.zcygov.cn/）及</w:t>
      </w:r>
      <w:r>
        <w:rPr>
          <w:rFonts w:hint="eastAsia" w:cs="宋体" w:asciiTheme="minorEastAsia" w:hAnsiTheme="minorEastAsia" w:eastAsiaTheme="minorEastAsia"/>
          <w:sz w:val="24"/>
          <w:szCs w:val="24"/>
        </w:rPr>
        <w:t>云南华伟招标有限公司（云南省普洱市思茅区南屏镇人民东路3号10楼）</w:t>
      </w:r>
      <w:bookmarkEnd w:id="150"/>
      <w:bookmarkEnd w:id="151"/>
      <w:r>
        <w:rPr>
          <w:rFonts w:hint="eastAsia" w:cs="宋体" w:asciiTheme="minorEastAsia" w:hAnsiTheme="minorEastAsia" w:eastAsiaTheme="minorEastAsia"/>
          <w:sz w:val="24"/>
          <w:szCs w:val="24"/>
        </w:rPr>
        <w:t>。</w:t>
      </w:r>
    </w:p>
    <w:p w14:paraId="34C3B307">
      <w:pPr>
        <w:wordWrap w:val="0"/>
        <w:adjustRightInd w:val="0"/>
        <w:snapToGrid w:val="0"/>
        <w:spacing w:line="360" w:lineRule="auto"/>
        <w:ind w:firstLine="500"/>
        <w:rPr>
          <w:rFonts w:asciiTheme="minorEastAsia" w:hAnsiTheme="minorEastAsia" w:eastAsiaTheme="minorEastAsia"/>
          <w:sz w:val="24"/>
          <w:szCs w:val="24"/>
        </w:rPr>
      </w:pPr>
      <w:r>
        <w:rPr>
          <w:rFonts w:hint="eastAsia" w:asciiTheme="minorEastAsia" w:hAnsiTheme="minorEastAsia" w:eastAsiaTheme="minorEastAsia"/>
          <w:bCs/>
          <w:spacing w:val="10"/>
          <w:sz w:val="24"/>
        </w:rPr>
        <w:t>注：磋商供应商登录政采云平台（</w:t>
      </w:r>
      <w:bookmarkStart w:id="152" w:name="OLE_LINK11"/>
      <w:bookmarkStart w:id="153" w:name="OLE_LINK12"/>
      <w:r>
        <w:rPr>
          <w:rFonts w:hint="eastAsia" w:asciiTheme="minorEastAsia" w:hAnsiTheme="minorEastAsia" w:eastAsiaTheme="minorEastAsia"/>
          <w:bCs/>
          <w:spacing w:val="10"/>
          <w:sz w:val="24"/>
        </w:rPr>
        <w:t>https://www.zcygov.cn/</w:t>
      </w:r>
      <w:bookmarkEnd w:id="152"/>
      <w:bookmarkEnd w:id="153"/>
      <w:r>
        <w:rPr>
          <w:rFonts w:hint="eastAsia" w:asciiTheme="minorEastAsia" w:hAnsiTheme="minorEastAsia" w:eastAsiaTheme="minorEastAsia"/>
          <w:bCs/>
          <w:spacing w:val="10"/>
          <w:sz w:val="24"/>
        </w:rPr>
        <w:t>）无需到现场开标，开评标结束前请勿退出系统。</w:t>
      </w:r>
    </w:p>
    <w:p w14:paraId="66A62460">
      <w:pPr>
        <w:pStyle w:val="3"/>
        <w:wordWrap w:val="0"/>
        <w:adjustRightInd w:val="0"/>
        <w:snapToGrid w:val="0"/>
        <w:spacing w:before="0" w:after="0" w:line="360" w:lineRule="auto"/>
        <w:rPr>
          <w:rFonts w:asciiTheme="minorEastAsia" w:hAnsiTheme="minorEastAsia" w:eastAsiaTheme="minorEastAsia"/>
          <w:sz w:val="24"/>
          <w:szCs w:val="24"/>
        </w:rPr>
      </w:pPr>
      <w:bookmarkStart w:id="154" w:name="_Toc193796027"/>
      <w:bookmarkStart w:id="155" w:name="_Toc11345"/>
      <w:bookmarkStart w:id="156" w:name="_Toc7130"/>
      <w:bookmarkStart w:id="157" w:name="_Toc28789"/>
      <w:bookmarkStart w:id="158" w:name="_Toc22103"/>
      <w:bookmarkStart w:id="159" w:name="_Toc29099"/>
      <w:bookmarkStart w:id="160" w:name="_Toc15586"/>
      <w:bookmarkStart w:id="161" w:name="_Toc132376717"/>
      <w:bookmarkStart w:id="162" w:name="_Toc20008"/>
      <w:r>
        <w:rPr>
          <w:rFonts w:hint="eastAsia" w:asciiTheme="minorEastAsia" w:hAnsiTheme="minorEastAsia" w:eastAsiaTheme="minorEastAsia"/>
          <w:sz w:val="24"/>
          <w:szCs w:val="24"/>
        </w:rPr>
        <w:t>六、公告期限</w:t>
      </w:r>
      <w:bookmarkEnd w:id="146"/>
      <w:bookmarkEnd w:id="147"/>
      <w:bookmarkEnd w:id="148"/>
      <w:bookmarkEnd w:id="149"/>
      <w:bookmarkEnd w:id="154"/>
      <w:bookmarkEnd w:id="155"/>
      <w:bookmarkEnd w:id="156"/>
      <w:bookmarkEnd w:id="157"/>
      <w:bookmarkEnd w:id="158"/>
      <w:bookmarkEnd w:id="159"/>
      <w:bookmarkEnd w:id="160"/>
      <w:bookmarkEnd w:id="161"/>
      <w:bookmarkEnd w:id="162"/>
    </w:p>
    <w:p w14:paraId="68182A6C">
      <w:pPr>
        <w:wordWrap w:val="0"/>
        <w:adjustRightInd w:val="0"/>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自本公告发布之日起不少于5个工作日。</w:t>
      </w:r>
    </w:p>
    <w:p w14:paraId="695DD8B5">
      <w:pPr>
        <w:pStyle w:val="3"/>
        <w:wordWrap w:val="0"/>
        <w:adjustRightInd w:val="0"/>
        <w:snapToGrid w:val="0"/>
        <w:spacing w:before="0" w:after="0" w:line="360" w:lineRule="auto"/>
        <w:rPr>
          <w:rFonts w:asciiTheme="minorEastAsia" w:hAnsiTheme="minorEastAsia" w:eastAsiaTheme="minorEastAsia"/>
          <w:sz w:val="24"/>
          <w:szCs w:val="24"/>
        </w:rPr>
      </w:pPr>
      <w:bookmarkStart w:id="163" w:name="_Toc26587"/>
      <w:bookmarkStart w:id="164" w:name="_Toc8429"/>
      <w:bookmarkStart w:id="165" w:name="_Toc16272"/>
      <w:bookmarkStart w:id="166" w:name="_Toc35393635"/>
      <w:bookmarkStart w:id="167" w:name="_Toc193796028"/>
      <w:bookmarkStart w:id="168" w:name="_Toc132376718"/>
      <w:bookmarkStart w:id="169" w:name="_Toc35393804"/>
      <w:bookmarkStart w:id="170" w:name="_Toc31099"/>
      <w:bookmarkStart w:id="171" w:name="_Toc20298"/>
      <w:bookmarkStart w:id="172" w:name="_Toc3123"/>
      <w:bookmarkStart w:id="173" w:name="_Toc20625"/>
      <w:r>
        <w:rPr>
          <w:rFonts w:hint="eastAsia" w:asciiTheme="minorEastAsia" w:hAnsiTheme="minorEastAsia" w:eastAsiaTheme="minorEastAsia"/>
          <w:sz w:val="24"/>
          <w:szCs w:val="24"/>
        </w:rPr>
        <w:t>七、其他补充事宜</w:t>
      </w:r>
      <w:bookmarkEnd w:id="163"/>
      <w:bookmarkEnd w:id="164"/>
      <w:bookmarkEnd w:id="165"/>
      <w:bookmarkEnd w:id="166"/>
      <w:bookmarkEnd w:id="167"/>
      <w:bookmarkEnd w:id="168"/>
      <w:bookmarkEnd w:id="169"/>
      <w:bookmarkEnd w:id="170"/>
      <w:bookmarkEnd w:id="171"/>
      <w:bookmarkEnd w:id="172"/>
      <w:bookmarkEnd w:id="173"/>
    </w:p>
    <w:p w14:paraId="3246B813">
      <w:pPr>
        <w:pStyle w:val="33"/>
        <w:wordWrap w:val="0"/>
        <w:adjustRightInd w:val="0"/>
        <w:snapToGrid w:val="0"/>
        <w:spacing w:before="0" w:beforeLines="0" w:after="0" w:line="360" w:lineRule="auto"/>
        <w:ind w:firstLine="480"/>
        <w:rPr>
          <w:rFonts w:cs="宋体" w:asciiTheme="minorEastAsia" w:hAnsiTheme="minorEastAsia" w:eastAsiaTheme="minorEastAsia"/>
          <w:spacing w:val="0"/>
          <w:kern w:val="0"/>
          <w:sz w:val="24"/>
          <w:szCs w:val="24"/>
        </w:rPr>
      </w:pPr>
      <w:bookmarkStart w:id="174" w:name="OLE_LINK44"/>
      <w:bookmarkStart w:id="175" w:name="OLE_LINK43"/>
      <w:r>
        <w:rPr>
          <w:rFonts w:hint="eastAsia" w:cs="宋体" w:asciiTheme="minorEastAsia" w:hAnsiTheme="minorEastAsia" w:eastAsiaTheme="minorEastAsia"/>
          <w:spacing w:val="0"/>
          <w:kern w:val="0"/>
          <w:sz w:val="24"/>
          <w:szCs w:val="24"/>
        </w:rPr>
        <w:t>1.项目地址：西盟县勐梭镇（采购人指定地点）</w:t>
      </w:r>
    </w:p>
    <w:p w14:paraId="51F991E9">
      <w:pPr>
        <w:pStyle w:val="33"/>
        <w:wordWrap w:val="0"/>
        <w:adjustRightInd w:val="0"/>
        <w:snapToGrid w:val="0"/>
        <w:spacing w:before="0" w:beforeLines="0" w:after="0" w:line="360" w:lineRule="auto"/>
        <w:ind w:firstLine="480"/>
        <w:rPr>
          <w:rFonts w:cs="宋体" w:asciiTheme="minorEastAsia" w:hAnsiTheme="minorEastAsia" w:eastAsiaTheme="minorEastAsia"/>
          <w:spacing w:val="0"/>
          <w:kern w:val="0"/>
          <w:sz w:val="24"/>
          <w:szCs w:val="24"/>
        </w:rPr>
      </w:pPr>
      <w:r>
        <w:rPr>
          <w:rFonts w:hint="eastAsia" w:cs="宋体" w:asciiTheme="minorEastAsia" w:hAnsiTheme="minorEastAsia" w:eastAsiaTheme="minorEastAsia"/>
          <w:spacing w:val="0"/>
          <w:kern w:val="0"/>
          <w:sz w:val="24"/>
          <w:szCs w:val="24"/>
        </w:rPr>
        <w:t>2.质量要求：按国家及相关行业质量验收标准，一次性验收合格。</w:t>
      </w:r>
    </w:p>
    <w:p w14:paraId="22E1439E">
      <w:pPr>
        <w:pStyle w:val="16"/>
        <w:wordWrap w:val="0"/>
        <w:adjustRightInd w:val="0"/>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3.发布公告的媒介</w:t>
      </w:r>
    </w:p>
    <w:p w14:paraId="2E629D9E">
      <w:pPr>
        <w:pStyle w:val="16"/>
        <w:wordWrap w:val="0"/>
        <w:adjustRightInd w:val="0"/>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3.1本公告在云南省政府采购网（</w:t>
      </w:r>
      <w:bookmarkStart w:id="176" w:name="OLE_LINK13"/>
      <w:bookmarkStart w:id="177" w:name="OLE_LINK14"/>
      <w:r>
        <w:rPr>
          <w:rFonts w:hint="eastAsia" w:cs="宋体" w:asciiTheme="minorEastAsia" w:hAnsiTheme="minorEastAsia" w:eastAsiaTheme="minorEastAsia"/>
          <w:kern w:val="0"/>
          <w:sz w:val="24"/>
          <w:szCs w:val="24"/>
        </w:rPr>
        <w:t>http://www.yngp.com</w:t>
      </w:r>
      <w:bookmarkEnd w:id="176"/>
      <w:bookmarkEnd w:id="177"/>
      <w:r>
        <w:rPr>
          <w:rFonts w:hint="eastAsia" w:cs="宋体" w:asciiTheme="minorEastAsia" w:hAnsiTheme="minorEastAsia" w:eastAsiaTheme="minorEastAsia"/>
          <w:kern w:val="0"/>
          <w:sz w:val="24"/>
          <w:szCs w:val="24"/>
        </w:rPr>
        <w:t>）上发布。</w:t>
      </w:r>
    </w:p>
    <w:p w14:paraId="16368A16">
      <w:pPr>
        <w:pStyle w:val="16"/>
        <w:wordWrap w:val="0"/>
        <w:adjustRightInd w:val="0"/>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3.2更多信息请关注云南省政府采购网（http://www.yngp.com）。</w:t>
      </w:r>
    </w:p>
    <w:p w14:paraId="01221B20">
      <w:pPr>
        <w:pStyle w:val="16"/>
        <w:wordWrap w:val="0"/>
        <w:adjustRightInd w:val="0"/>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3.3采购人、采购代理机构对其他网站或媒体转载的公告及公告内容不承担任何责任。</w:t>
      </w:r>
    </w:p>
    <w:p w14:paraId="4B1EB68B">
      <w:pPr>
        <w:pStyle w:val="16"/>
        <w:wordWrap w:val="0"/>
        <w:adjustRightInd w:val="0"/>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4.数字证书（CA）办理相关说明</w:t>
      </w:r>
    </w:p>
    <w:p w14:paraId="44F878C8">
      <w:pPr>
        <w:pStyle w:val="16"/>
        <w:wordWrap w:val="0"/>
        <w:adjustRightInd w:val="0"/>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4.1供应商已在云南省公共资源交易系统（CA办理）（</w:t>
      </w:r>
      <w:bookmarkStart w:id="178" w:name="OLE_LINK16"/>
      <w:bookmarkStart w:id="179" w:name="OLE_LINK15"/>
      <w:r>
        <w:rPr>
          <w:rFonts w:hint="eastAsia" w:cs="宋体" w:asciiTheme="minorEastAsia" w:hAnsiTheme="minorEastAsia" w:eastAsiaTheme="minorEastAsia"/>
          <w:kern w:val="0"/>
          <w:sz w:val="24"/>
          <w:szCs w:val="24"/>
        </w:rPr>
        <w:t>https://ggzy.yn.gov.cn/ynggfwpt-home-web/#/caGuide</w:t>
      </w:r>
      <w:bookmarkEnd w:id="178"/>
      <w:bookmarkEnd w:id="179"/>
      <w:r>
        <w:rPr>
          <w:rFonts w:hint="eastAsia" w:cs="宋体" w:asciiTheme="minorEastAsia" w:hAnsiTheme="minorEastAsia" w:eastAsiaTheme="minorEastAsia"/>
          <w:kern w:val="0"/>
          <w:sz w:val="24"/>
          <w:szCs w:val="24"/>
        </w:rPr>
        <w:t>）办理数字证书（CA）的，可直接在政府采购云平台绑定数字证书（CA），无需重复办理；2023年01月01日前在云南省公共资源交易系统（CA办理）办理的数字证书（CA），需先到云南CA办理处（地址：思茅区石龙路5号，联系电话：</w:t>
      </w:r>
      <w:r>
        <w:rPr>
          <w:rFonts w:cs="宋体" w:asciiTheme="minorEastAsia" w:hAnsiTheme="minorEastAsia" w:eastAsiaTheme="minorEastAsia"/>
          <w:kern w:val="0"/>
          <w:sz w:val="24"/>
          <w:szCs w:val="24"/>
        </w:rPr>
        <w:t>0879-2130135</w:t>
      </w:r>
      <w:r>
        <w:rPr>
          <w:rFonts w:hint="eastAsia" w:cs="宋体" w:asciiTheme="minorEastAsia" w:hAnsiTheme="minorEastAsia" w:eastAsiaTheme="minorEastAsia"/>
          <w:kern w:val="0"/>
          <w:sz w:val="24"/>
          <w:szCs w:val="24"/>
        </w:rPr>
        <w:t>）升级数字证书（CA），升级后的数字证书CA才能在政府采购云平台绑定。数字证书CA在政府采购云平台绑定后，方能获取采购文件和编辑响应文件。</w:t>
      </w:r>
    </w:p>
    <w:p w14:paraId="11B7CAC3">
      <w:pPr>
        <w:pStyle w:val="16"/>
        <w:wordWrap w:val="0"/>
        <w:adjustRightInd w:val="0"/>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4.2供应商未办理企业数字证书（CA）的，可以选择在政府采购云平台注册账号（商家入驻）并登录，登录后进行数字证书（CA）申领及绑定，政采云服务热线95763；也可以选择在云南省公共资源交易系统（CA办理）（</w:t>
      </w:r>
      <w:bookmarkStart w:id="180" w:name="OLE_LINK18"/>
      <w:bookmarkStart w:id="181" w:name="OLE_LINK17"/>
      <w:r>
        <w:rPr>
          <w:rFonts w:hint="eastAsia" w:cs="宋体" w:asciiTheme="minorEastAsia" w:hAnsiTheme="minorEastAsia" w:eastAsiaTheme="minorEastAsia"/>
          <w:kern w:val="0"/>
          <w:sz w:val="24"/>
          <w:szCs w:val="24"/>
        </w:rPr>
        <w:t>https://ggzy.yn.gov.cn/ynggfwpt-home-web/#/caGuide</w:t>
      </w:r>
      <w:bookmarkEnd w:id="180"/>
      <w:bookmarkEnd w:id="181"/>
      <w:r>
        <w:rPr>
          <w:rFonts w:hint="eastAsia" w:cs="宋体" w:asciiTheme="minorEastAsia" w:hAnsiTheme="minorEastAsia" w:eastAsiaTheme="minorEastAsia"/>
          <w:kern w:val="0"/>
          <w:sz w:val="24"/>
          <w:szCs w:val="24"/>
        </w:rPr>
        <w:t>）办理数字证书（CA），并在政府采购云平台绑定数字证书（CA），云南省公共资源交易系统数字证书（CA）办理相关问题咨询电话400-6727-666。</w:t>
      </w:r>
    </w:p>
    <w:p w14:paraId="011F3E10">
      <w:pPr>
        <w:wordWrap w:val="0"/>
        <w:adjustRightInd w:val="0"/>
        <w:snapToGri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lang w:bidi="ar"/>
        </w:rPr>
        <w:t>5.磋商响应文件递交注意事项：</w:t>
      </w:r>
    </w:p>
    <w:p w14:paraId="489BF663">
      <w:pPr>
        <w:wordWrap w:val="0"/>
        <w:adjustRightInd w:val="0"/>
        <w:snapToGri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lang w:bidi="ar"/>
        </w:rPr>
        <w:t>在磋商响应文件递交的截止时间前，需将磋商响应文件递交至</w:t>
      </w:r>
      <w:r>
        <w:rPr>
          <w:rFonts w:hint="eastAsia" w:cs="宋体" w:asciiTheme="minorEastAsia" w:hAnsiTheme="minorEastAsia" w:eastAsiaTheme="minorEastAsia"/>
          <w:sz w:val="24"/>
          <w:szCs w:val="24"/>
          <w:u w:val="single"/>
        </w:rPr>
        <w:t>政采云平台（https://www.zcygov.cn/）</w:t>
      </w:r>
      <w:r>
        <w:rPr>
          <w:rFonts w:hint="eastAsia" w:cs="宋体" w:asciiTheme="minorEastAsia" w:hAnsiTheme="minorEastAsia" w:eastAsiaTheme="minorEastAsia"/>
          <w:bCs/>
          <w:sz w:val="24"/>
          <w:szCs w:val="24"/>
          <w:lang w:bidi="ar"/>
        </w:rPr>
        <w:t>，磋商供应商须在投标截止时间前完成所有电子磋商响应文件的上传，网上确认电子签名，投标截止时间前未完成磋商响应文件传输的，视为撤回磋商响应文件。</w:t>
      </w:r>
    </w:p>
    <w:p w14:paraId="4DEB5FEF">
      <w:pPr>
        <w:wordWrap w:val="0"/>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lang w:bidi="ar"/>
        </w:rPr>
        <w:t>6.开标注意事项：</w:t>
      </w:r>
    </w:p>
    <w:p w14:paraId="60D8134D">
      <w:pPr>
        <w:wordWrap w:val="0"/>
        <w:adjustRightInd w:val="0"/>
        <w:snapToGrid w:val="0"/>
        <w:spacing w:line="360" w:lineRule="auto"/>
        <w:ind w:firstLine="480" w:firstLineChars="200"/>
        <w:jc w:val="left"/>
        <w:rPr>
          <w:rFonts w:cs="宋体" w:asciiTheme="minorEastAsia" w:hAnsiTheme="minorEastAsia" w:eastAsiaTheme="minorEastAsia"/>
          <w:bCs/>
          <w:sz w:val="24"/>
          <w:szCs w:val="36"/>
        </w:rPr>
      </w:pPr>
      <w:r>
        <w:rPr>
          <w:rFonts w:hint="eastAsia" w:cs="宋体" w:asciiTheme="minorEastAsia" w:hAnsiTheme="minorEastAsia" w:eastAsiaTheme="minorEastAsia"/>
          <w:bCs/>
          <w:sz w:val="24"/>
          <w:szCs w:val="36"/>
          <w:lang w:bidi="ar"/>
        </w:rPr>
        <w:t>6.1.1磋商供应商登录</w:t>
      </w:r>
      <w:r>
        <w:rPr>
          <w:rFonts w:hint="eastAsia" w:cs="宋体" w:asciiTheme="minorEastAsia" w:hAnsiTheme="minorEastAsia" w:eastAsiaTheme="minorEastAsia"/>
          <w:sz w:val="24"/>
          <w:szCs w:val="24"/>
        </w:rPr>
        <w:t>政采云平台（https://www.zcygov.cn/），按《供应商操作指南》（</w:t>
      </w:r>
      <w:bookmarkStart w:id="182" w:name="OLE_LINK20"/>
      <w:bookmarkStart w:id="183" w:name="OLE_LINK19"/>
      <w:r>
        <w:rPr>
          <w:rFonts w:cs="宋体" w:asciiTheme="minorEastAsia" w:hAnsiTheme="minorEastAsia" w:eastAsiaTheme="minorEastAsia"/>
          <w:sz w:val="24"/>
          <w:szCs w:val="24"/>
        </w:rPr>
        <w:t>https://edu.zcygov.cn/luban/yunnan-dzjy-gys?utm=a0017.b3687.48.18.4b09ec80cbc911edb8a97356c5970511</w:t>
      </w:r>
      <w:bookmarkEnd w:id="182"/>
      <w:bookmarkEnd w:id="183"/>
      <w:r>
        <w:rPr>
          <w:rFonts w:hint="eastAsia" w:cs="宋体" w:asciiTheme="minorEastAsia" w:hAnsiTheme="minorEastAsia" w:eastAsiaTheme="minorEastAsia"/>
          <w:sz w:val="24"/>
          <w:szCs w:val="24"/>
        </w:rPr>
        <w:t>）</w:t>
      </w:r>
      <w:r>
        <w:rPr>
          <w:rFonts w:hint="eastAsia" w:cs="宋体" w:asciiTheme="minorEastAsia" w:hAnsiTheme="minorEastAsia" w:eastAsiaTheme="minorEastAsia"/>
          <w:bCs/>
          <w:sz w:val="24"/>
          <w:szCs w:val="36"/>
          <w:lang w:bidi="ar"/>
        </w:rPr>
        <w:t>完成远程磋商响应文件解密等相关操作。本项目解密时间为30分钟，若磋商供应商未在规定时间完成磋商响应文件解密，则视为无效投标，不再进入评标阶段。</w:t>
      </w:r>
    </w:p>
    <w:p w14:paraId="4CD47176">
      <w:pPr>
        <w:wordWrap w:val="0"/>
        <w:adjustRightInd w:val="0"/>
        <w:snapToGrid w:val="0"/>
        <w:spacing w:line="360" w:lineRule="auto"/>
        <w:ind w:firstLine="480" w:firstLineChars="200"/>
        <w:jc w:val="left"/>
        <w:rPr>
          <w:rFonts w:cs="宋体" w:asciiTheme="minorEastAsia" w:hAnsiTheme="minorEastAsia" w:eastAsiaTheme="minorEastAsia"/>
          <w:bCs/>
          <w:sz w:val="24"/>
          <w:szCs w:val="36"/>
          <w:lang w:bidi="ar"/>
        </w:rPr>
      </w:pPr>
      <w:r>
        <w:rPr>
          <w:rFonts w:hint="eastAsia" w:cs="宋体" w:asciiTheme="minorEastAsia" w:hAnsiTheme="minorEastAsia" w:eastAsiaTheme="minorEastAsia"/>
          <w:bCs/>
          <w:sz w:val="24"/>
          <w:szCs w:val="36"/>
          <w:lang w:bidi="ar"/>
        </w:rPr>
        <w:t>6.1.2因开标系统、开标现场网络、设备及其他特殊原因，导致不能正常解密磋商响应文件的，经核实和上报相关部门同意后，可再次下达网上解密指令来延长解密时间；</w:t>
      </w:r>
    </w:p>
    <w:p w14:paraId="5C1F0B01">
      <w:pPr>
        <w:wordWrap w:val="0"/>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6.1.3电子响应文件解密后至项目评审结束，供应商需要在具备有摄像头及语音功能且互联网网络状况良好的电脑登录“政采云”平台远程开标大厅参与本次磋商（含二次报价），否则后果自负。</w:t>
      </w:r>
    </w:p>
    <w:p w14:paraId="46B61E76">
      <w:pPr>
        <w:wordWrap w:val="0"/>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7.供应商务必认真阅读本公开招标文件全部内容，公开招标文件如有变更、补充等，将在竞争性磋商公告发布平台发布。</w:t>
      </w:r>
    </w:p>
    <w:bookmarkEnd w:id="174"/>
    <w:bookmarkEnd w:id="175"/>
    <w:p w14:paraId="209BD820">
      <w:pPr>
        <w:pStyle w:val="3"/>
        <w:wordWrap w:val="0"/>
        <w:adjustRightInd w:val="0"/>
        <w:snapToGrid w:val="0"/>
        <w:spacing w:before="0" w:after="0" w:line="360" w:lineRule="auto"/>
        <w:rPr>
          <w:rFonts w:asciiTheme="minorEastAsia" w:hAnsiTheme="minorEastAsia" w:eastAsiaTheme="minorEastAsia"/>
          <w:sz w:val="24"/>
          <w:szCs w:val="24"/>
        </w:rPr>
      </w:pPr>
      <w:bookmarkStart w:id="184" w:name="_Toc7819"/>
      <w:bookmarkStart w:id="185" w:name="_Toc4638"/>
      <w:bookmarkStart w:id="186" w:name="_Toc35393805"/>
      <w:bookmarkStart w:id="187" w:name="_Toc18008"/>
      <w:bookmarkStart w:id="188" w:name="_Toc193796029"/>
      <w:bookmarkStart w:id="189" w:name="_Toc30152"/>
      <w:bookmarkStart w:id="190" w:name="_Toc28359018"/>
      <w:bookmarkStart w:id="191" w:name="_Toc35393636"/>
      <w:bookmarkStart w:id="192" w:name="_Toc132376719"/>
      <w:bookmarkStart w:id="193" w:name="_Toc31002"/>
      <w:bookmarkStart w:id="194" w:name="_Toc23931"/>
      <w:bookmarkStart w:id="195" w:name="_Toc1931"/>
      <w:bookmarkStart w:id="196" w:name="_Toc28359095"/>
      <w:r>
        <w:rPr>
          <w:rFonts w:hint="eastAsia" w:asciiTheme="minorEastAsia" w:hAnsiTheme="minorEastAsia" w:eastAsiaTheme="minorEastAsia"/>
          <w:sz w:val="24"/>
          <w:szCs w:val="24"/>
        </w:rPr>
        <w:t>八、凡对本次采购提出询问，请按以下方式联系。</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0045CE0B">
      <w:pPr>
        <w:wordWrap w:val="0"/>
        <w:adjustRightInd w:val="0"/>
        <w:snapToGrid w:val="0"/>
        <w:spacing w:line="360" w:lineRule="auto"/>
        <w:ind w:firstLine="480" w:firstLineChars="200"/>
        <w:rPr>
          <w:rFonts w:cs="宋体" w:asciiTheme="minorEastAsia" w:hAnsiTheme="minorEastAsia" w:eastAsiaTheme="minorEastAsia"/>
          <w:sz w:val="24"/>
          <w:szCs w:val="24"/>
        </w:rPr>
      </w:pPr>
      <w:bookmarkStart w:id="197" w:name="_Toc35393806"/>
      <w:bookmarkStart w:id="198" w:name="_Toc28359096"/>
      <w:bookmarkStart w:id="199" w:name="_Toc28359019"/>
      <w:bookmarkStart w:id="200" w:name="_Toc35393637"/>
      <w:r>
        <w:rPr>
          <w:rFonts w:hint="eastAsia" w:cs="宋体" w:asciiTheme="minorEastAsia" w:hAnsiTheme="minorEastAsia" w:eastAsiaTheme="minorEastAsia"/>
          <w:sz w:val="24"/>
          <w:szCs w:val="24"/>
        </w:rPr>
        <w:t>1.采购人信息</w:t>
      </w:r>
      <w:bookmarkEnd w:id="197"/>
      <w:bookmarkEnd w:id="198"/>
      <w:bookmarkEnd w:id="199"/>
      <w:bookmarkEnd w:id="200"/>
    </w:p>
    <w:p w14:paraId="56ACDDF6">
      <w:pPr>
        <w:wordWrap w:val="0"/>
        <w:adjustRightInd w:val="0"/>
        <w:snapToGrid w:val="0"/>
        <w:spacing w:line="360" w:lineRule="auto"/>
        <w:ind w:firstLine="480" w:firstLineChars="200"/>
        <w:rPr>
          <w:rFonts w:cs="宋体" w:asciiTheme="minorEastAsia" w:hAnsiTheme="minorEastAsia" w:eastAsiaTheme="minorEastAsia"/>
          <w:sz w:val="24"/>
          <w:szCs w:val="24"/>
        </w:rPr>
      </w:pPr>
      <w:bookmarkStart w:id="201" w:name="OLE_LINK148"/>
      <w:bookmarkStart w:id="202" w:name="OLE_LINK147"/>
      <w:bookmarkStart w:id="203" w:name="_Toc28359097"/>
      <w:bookmarkStart w:id="204" w:name="_Toc28359020"/>
      <w:bookmarkStart w:id="205" w:name="_Toc35393807"/>
      <w:bookmarkStart w:id="206" w:name="_Toc35393638"/>
      <w:r>
        <w:rPr>
          <w:rFonts w:hint="eastAsia" w:cs="宋体" w:asciiTheme="minorEastAsia" w:hAnsiTheme="minorEastAsia" w:eastAsiaTheme="minorEastAsia"/>
          <w:sz w:val="24"/>
          <w:szCs w:val="24"/>
        </w:rPr>
        <w:t>名    称：西盟佤族自治县勐梭镇人民政府</w:t>
      </w:r>
    </w:p>
    <w:p w14:paraId="64C41F40">
      <w:pPr>
        <w:wordWrap w:val="0"/>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    址：勐梭镇人民政府</w:t>
      </w:r>
    </w:p>
    <w:p w14:paraId="29396640">
      <w:pPr>
        <w:wordWrap w:val="0"/>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 系 人：王老师</w:t>
      </w:r>
      <w:bookmarkStart w:id="207" w:name="OLE_LINK27"/>
      <w:bookmarkStart w:id="208" w:name="OLE_LINK28"/>
    </w:p>
    <w:p w14:paraId="0F714CBA">
      <w:pPr>
        <w:wordWrap w:val="0"/>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联系方式：18082792463</w:t>
      </w:r>
      <w:bookmarkEnd w:id="207"/>
      <w:bookmarkEnd w:id="208"/>
    </w:p>
    <w:bookmarkEnd w:id="201"/>
    <w:bookmarkEnd w:id="202"/>
    <w:p w14:paraId="0DDA71B8">
      <w:pPr>
        <w:wordWrap w:val="0"/>
        <w:adjustRightInd w:val="0"/>
        <w:snapToGrid w:val="0"/>
        <w:spacing w:line="360" w:lineRule="auto"/>
        <w:ind w:firstLine="480" w:firstLineChars="200"/>
        <w:rPr>
          <w:rFonts w:cs="宋体" w:asciiTheme="minorEastAsia" w:hAnsiTheme="minorEastAsia" w:eastAsiaTheme="minorEastAsia"/>
          <w:sz w:val="24"/>
          <w:szCs w:val="24"/>
        </w:rPr>
      </w:pPr>
    </w:p>
    <w:p w14:paraId="62DE7A10">
      <w:pPr>
        <w:wordWrap w:val="0"/>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bookmarkStart w:id="209" w:name="OLE_LINK138"/>
      <w:bookmarkStart w:id="210" w:name="OLE_LINK139"/>
      <w:r>
        <w:rPr>
          <w:rFonts w:hint="eastAsia" w:cs="宋体" w:asciiTheme="minorEastAsia" w:hAnsiTheme="minorEastAsia" w:eastAsiaTheme="minorEastAsia"/>
          <w:sz w:val="24"/>
          <w:szCs w:val="24"/>
        </w:rPr>
        <w:t>采购代理机构信息</w:t>
      </w:r>
      <w:bookmarkEnd w:id="203"/>
      <w:bookmarkEnd w:id="204"/>
      <w:bookmarkEnd w:id="205"/>
      <w:bookmarkEnd w:id="206"/>
    </w:p>
    <w:p w14:paraId="2050CB36">
      <w:pPr>
        <w:wordWrap w:val="0"/>
        <w:adjustRightInd w:val="0"/>
        <w:snapToGrid w:val="0"/>
        <w:spacing w:line="360" w:lineRule="auto"/>
        <w:ind w:firstLine="480" w:firstLineChars="200"/>
        <w:rPr>
          <w:rFonts w:cs="宋体" w:asciiTheme="minorEastAsia" w:hAnsiTheme="minorEastAsia" w:eastAsiaTheme="minorEastAsia"/>
          <w:sz w:val="24"/>
          <w:szCs w:val="24"/>
        </w:rPr>
      </w:pPr>
      <w:bookmarkStart w:id="211" w:name="_Toc132376720"/>
      <w:bookmarkStart w:id="212" w:name="_Toc27761"/>
      <w:r>
        <w:rPr>
          <w:rFonts w:hint="eastAsia" w:cs="宋体" w:asciiTheme="minorEastAsia" w:hAnsiTheme="minorEastAsia" w:eastAsiaTheme="minorEastAsia"/>
          <w:sz w:val="24"/>
          <w:szCs w:val="24"/>
        </w:rPr>
        <w:t>名    称：云南华伟招标有限公司</w:t>
      </w:r>
    </w:p>
    <w:p w14:paraId="37F3D5CD">
      <w:pPr>
        <w:wordWrap w:val="0"/>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    址：云南省普洱市思茅区南屏镇人民东路3号8楼801室</w:t>
      </w:r>
    </w:p>
    <w:p w14:paraId="3721763F">
      <w:pPr>
        <w:wordWrap w:val="0"/>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 系 人：</w:t>
      </w:r>
      <w:bookmarkStart w:id="213" w:name="OLE_LINK146"/>
      <w:bookmarkStart w:id="214" w:name="OLE_LINK49"/>
      <w:bookmarkStart w:id="215" w:name="OLE_LINK50"/>
      <w:r>
        <w:rPr>
          <w:rFonts w:hint="eastAsia" w:cs="宋体" w:asciiTheme="minorEastAsia" w:hAnsiTheme="minorEastAsia" w:eastAsiaTheme="minorEastAsia"/>
          <w:sz w:val="24"/>
          <w:szCs w:val="24"/>
        </w:rPr>
        <w:t>虞洁、李星臣、张智梅、殷俊</w:t>
      </w:r>
      <w:bookmarkEnd w:id="213"/>
    </w:p>
    <w:p w14:paraId="708F8D16">
      <w:pPr>
        <w:wordWrap w:val="0"/>
        <w:adjustRightInd w:val="0"/>
        <w:snapToGrid w:val="0"/>
        <w:spacing w:line="360" w:lineRule="auto"/>
        <w:ind w:firstLine="480" w:firstLineChars="200"/>
        <w:rPr>
          <w:rFonts w:cs="宋体" w:asciiTheme="minorEastAsia" w:hAnsiTheme="minorEastAsia" w:eastAsiaTheme="minorEastAsia"/>
          <w:sz w:val="36"/>
          <w:szCs w:val="36"/>
        </w:rPr>
      </w:pPr>
      <w:r>
        <w:rPr>
          <w:rFonts w:hint="eastAsia" w:cs="宋体" w:asciiTheme="minorEastAsia" w:hAnsiTheme="minorEastAsia" w:eastAsiaTheme="minorEastAsia"/>
          <w:sz w:val="24"/>
          <w:szCs w:val="24"/>
        </w:rPr>
        <w:t>联系方式：15096978144</w:t>
      </w:r>
      <w:bookmarkEnd w:id="209"/>
      <w:bookmarkEnd w:id="210"/>
      <w:bookmarkEnd w:id="214"/>
      <w:bookmarkEnd w:id="215"/>
      <w:r>
        <w:rPr>
          <w:rFonts w:hint="eastAsia" w:cs="宋体" w:asciiTheme="minorEastAsia" w:hAnsiTheme="minorEastAsia" w:eastAsiaTheme="minorEastAsia"/>
          <w:sz w:val="36"/>
          <w:szCs w:val="36"/>
        </w:rPr>
        <w:br w:type="page"/>
      </w:r>
    </w:p>
    <w:p w14:paraId="4D20D868">
      <w:pPr>
        <w:pStyle w:val="2"/>
        <w:wordWrap w:val="0"/>
        <w:spacing w:line="360" w:lineRule="auto"/>
        <w:jc w:val="center"/>
        <w:rPr>
          <w:rFonts w:cs="宋体" w:asciiTheme="minorEastAsia" w:hAnsiTheme="minorEastAsia" w:eastAsiaTheme="minorEastAsia"/>
          <w:sz w:val="36"/>
          <w:szCs w:val="36"/>
        </w:rPr>
      </w:pPr>
      <w:bookmarkStart w:id="216" w:name="_Toc25251"/>
      <w:bookmarkStart w:id="217" w:name="_Toc9113"/>
      <w:bookmarkStart w:id="218" w:name="_Toc193796030"/>
      <w:bookmarkStart w:id="219" w:name="_Toc22001"/>
      <w:r>
        <w:rPr>
          <w:rFonts w:hint="eastAsia" w:cs="宋体" w:asciiTheme="minorEastAsia" w:hAnsiTheme="minorEastAsia" w:eastAsiaTheme="minorEastAsia"/>
          <w:sz w:val="36"/>
          <w:szCs w:val="36"/>
        </w:rPr>
        <w:t>第二章  磋商供应商须知</w:t>
      </w:r>
      <w:bookmarkEnd w:id="211"/>
      <w:bookmarkEnd w:id="212"/>
      <w:bookmarkEnd w:id="216"/>
      <w:bookmarkEnd w:id="217"/>
      <w:bookmarkEnd w:id="218"/>
      <w:bookmarkEnd w:id="219"/>
    </w:p>
    <w:p w14:paraId="377C70D6">
      <w:pPr>
        <w:pStyle w:val="3"/>
        <w:wordWrap w:val="0"/>
        <w:spacing w:after="0" w:line="415" w:lineRule="auto"/>
        <w:jc w:val="center"/>
        <w:rPr>
          <w:rFonts w:cs="宋体" w:asciiTheme="minorEastAsia" w:hAnsiTheme="minorEastAsia" w:eastAsiaTheme="minorEastAsia"/>
          <w:sz w:val="28"/>
          <w:szCs w:val="28"/>
        </w:rPr>
      </w:pPr>
      <w:bookmarkStart w:id="220" w:name="_Toc31301"/>
      <w:bookmarkStart w:id="221" w:name="_Toc193796031"/>
      <w:bookmarkStart w:id="222" w:name="_Toc3611"/>
      <w:bookmarkStart w:id="223" w:name="_Toc144"/>
      <w:bookmarkStart w:id="224" w:name="_Toc132376721"/>
      <w:bookmarkStart w:id="225" w:name="_Toc10477"/>
      <w:bookmarkStart w:id="226" w:name="_Toc4443"/>
      <w:bookmarkStart w:id="227" w:name="_Toc20907"/>
      <w:r>
        <w:rPr>
          <w:rFonts w:hint="eastAsia" w:cs="宋体" w:asciiTheme="minorEastAsia" w:hAnsiTheme="minorEastAsia" w:eastAsiaTheme="minorEastAsia"/>
          <w:sz w:val="28"/>
          <w:szCs w:val="28"/>
        </w:rPr>
        <w:t>磋商供应商须知前附表</w:t>
      </w:r>
      <w:bookmarkEnd w:id="220"/>
      <w:bookmarkEnd w:id="221"/>
      <w:bookmarkEnd w:id="222"/>
      <w:bookmarkEnd w:id="223"/>
      <w:bookmarkEnd w:id="224"/>
      <w:bookmarkEnd w:id="225"/>
      <w:bookmarkEnd w:id="226"/>
      <w:bookmarkEnd w:id="227"/>
    </w:p>
    <w:tbl>
      <w:tblPr>
        <w:tblStyle w:val="35"/>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032"/>
        <w:gridCol w:w="1784"/>
        <w:gridCol w:w="6327"/>
      </w:tblGrid>
      <w:tr w14:paraId="59D7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77BF699E">
            <w:pPr>
              <w:wordWrap w:val="0"/>
              <w:adjustRightInd w:val="0"/>
              <w:snapToGrid w:val="0"/>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序号</w:t>
            </w:r>
          </w:p>
        </w:tc>
        <w:tc>
          <w:tcPr>
            <w:tcW w:w="1032" w:type="dxa"/>
            <w:vAlign w:val="center"/>
          </w:tcPr>
          <w:p w14:paraId="4A561D90">
            <w:pPr>
              <w:wordWrap w:val="0"/>
              <w:adjustRightInd w:val="0"/>
              <w:snapToGrid w:val="0"/>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条款号</w:t>
            </w:r>
          </w:p>
        </w:tc>
        <w:tc>
          <w:tcPr>
            <w:tcW w:w="1784" w:type="dxa"/>
            <w:vAlign w:val="center"/>
          </w:tcPr>
          <w:p w14:paraId="6FC1EFBB">
            <w:pPr>
              <w:wordWrap w:val="0"/>
              <w:adjustRightInd w:val="0"/>
              <w:snapToGrid w:val="0"/>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条款内容</w:t>
            </w:r>
          </w:p>
        </w:tc>
        <w:tc>
          <w:tcPr>
            <w:tcW w:w="6327" w:type="dxa"/>
            <w:vAlign w:val="center"/>
          </w:tcPr>
          <w:p w14:paraId="3910C7F6">
            <w:pPr>
              <w:wordWrap w:val="0"/>
              <w:adjustRightInd w:val="0"/>
              <w:snapToGrid w:val="0"/>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编列内容</w:t>
            </w:r>
          </w:p>
        </w:tc>
      </w:tr>
      <w:tr w14:paraId="2B17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14484973">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1032" w:type="dxa"/>
            <w:vAlign w:val="center"/>
          </w:tcPr>
          <w:p w14:paraId="71802B39">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w:t>
            </w:r>
          </w:p>
        </w:tc>
        <w:tc>
          <w:tcPr>
            <w:tcW w:w="1784" w:type="dxa"/>
            <w:vAlign w:val="center"/>
          </w:tcPr>
          <w:p w14:paraId="406F01C5">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项目名称</w:t>
            </w:r>
          </w:p>
        </w:tc>
        <w:tc>
          <w:tcPr>
            <w:tcW w:w="6327" w:type="dxa"/>
            <w:vAlign w:val="center"/>
          </w:tcPr>
          <w:p w14:paraId="7A8D6FAE">
            <w:pPr>
              <w:wordWrap w:val="0"/>
              <w:adjustRightInd w:val="0"/>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西盟县勐梭镇2026年甘蔗地台面整形项目</w:t>
            </w:r>
          </w:p>
        </w:tc>
      </w:tr>
      <w:tr w14:paraId="58B1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455FE010">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1032" w:type="dxa"/>
            <w:vAlign w:val="center"/>
          </w:tcPr>
          <w:p w14:paraId="5134EE5B">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w:t>
            </w:r>
          </w:p>
        </w:tc>
        <w:tc>
          <w:tcPr>
            <w:tcW w:w="1784" w:type="dxa"/>
            <w:vAlign w:val="center"/>
          </w:tcPr>
          <w:p w14:paraId="680D3D53">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项目编号</w:t>
            </w:r>
          </w:p>
        </w:tc>
        <w:tc>
          <w:tcPr>
            <w:tcW w:w="6327" w:type="dxa"/>
            <w:vAlign w:val="center"/>
          </w:tcPr>
          <w:p w14:paraId="4302920A">
            <w:pPr>
              <w:wordWrap w:val="0"/>
              <w:adjustRightInd w:val="0"/>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YNHWPE202604-12</w:t>
            </w:r>
          </w:p>
        </w:tc>
      </w:tr>
      <w:tr w14:paraId="2F17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1391AC24">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1032" w:type="dxa"/>
            <w:vAlign w:val="center"/>
          </w:tcPr>
          <w:p w14:paraId="0F257B9A">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w:t>
            </w:r>
          </w:p>
        </w:tc>
        <w:tc>
          <w:tcPr>
            <w:tcW w:w="1784" w:type="dxa"/>
            <w:vAlign w:val="center"/>
          </w:tcPr>
          <w:p w14:paraId="5DBB9FD5">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w:t>
            </w:r>
          </w:p>
        </w:tc>
        <w:tc>
          <w:tcPr>
            <w:tcW w:w="6327" w:type="dxa"/>
            <w:vAlign w:val="center"/>
          </w:tcPr>
          <w:p w14:paraId="267ACE3A">
            <w:pPr>
              <w:pStyle w:val="16"/>
              <w:wordWrap w:val="0"/>
              <w:adjustRightInd w:val="0"/>
              <w:snapToGrid w:val="0"/>
              <w:ind w:firstLine="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名    称：西盟佤族自治县勐梭镇人民政府</w:t>
            </w:r>
          </w:p>
          <w:p w14:paraId="01A684C7">
            <w:pPr>
              <w:pStyle w:val="16"/>
              <w:wordWrap w:val="0"/>
              <w:adjustRightInd w:val="0"/>
              <w:snapToGrid w:val="0"/>
              <w:ind w:firstLine="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地    址：勐梭镇人民政府</w:t>
            </w:r>
          </w:p>
          <w:p w14:paraId="7F5F53F5">
            <w:pPr>
              <w:pStyle w:val="16"/>
              <w:wordWrap w:val="0"/>
              <w:adjustRightInd w:val="0"/>
              <w:snapToGrid w:val="0"/>
              <w:ind w:firstLine="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联 系 人：王老师</w:t>
            </w:r>
          </w:p>
          <w:p w14:paraId="15E3EEC9">
            <w:pPr>
              <w:pStyle w:val="16"/>
              <w:wordWrap w:val="0"/>
              <w:adjustRightInd w:val="0"/>
              <w:snapToGrid w:val="0"/>
              <w:ind w:firstLine="0"/>
              <w:rPr>
                <w:rFonts w:cs="宋体" w:asciiTheme="minorEastAsia" w:hAnsiTheme="minorEastAsia" w:eastAsiaTheme="minorEastAsia"/>
                <w:bCs/>
                <w:spacing w:val="10"/>
                <w:sz w:val="24"/>
                <w:szCs w:val="24"/>
                <w:u w:val="single"/>
              </w:rPr>
            </w:pPr>
            <w:r>
              <w:rPr>
                <w:rFonts w:hint="eastAsia" w:cs="宋体" w:asciiTheme="minorEastAsia" w:hAnsiTheme="minorEastAsia" w:eastAsiaTheme="minorEastAsia"/>
                <w:bCs/>
                <w:sz w:val="24"/>
                <w:szCs w:val="24"/>
              </w:rPr>
              <w:t>联系方式：18082792463</w:t>
            </w:r>
          </w:p>
        </w:tc>
      </w:tr>
      <w:tr w14:paraId="39C5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6C5EC6A5">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w:t>
            </w:r>
          </w:p>
        </w:tc>
        <w:tc>
          <w:tcPr>
            <w:tcW w:w="1032" w:type="dxa"/>
            <w:vAlign w:val="center"/>
          </w:tcPr>
          <w:p w14:paraId="3D4EAB21">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w:t>
            </w:r>
          </w:p>
        </w:tc>
        <w:tc>
          <w:tcPr>
            <w:tcW w:w="1784" w:type="dxa"/>
            <w:vAlign w:val="center"/>
          </w:tcPr>
          <w:p w14:paraId="1BCDD78C">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采购代理</w:t>
            </w:r>
          </w:p>
        </w:tc>
        <w:tc>
          <w:tcPr>
            <w:tcW w:w="6327" w:type="dxa"/>
            <w:vAlign w:val="center"/>
          </w:tcPr>
          <w:p w14:paraId="24DF9300">
            <w:pPr>
              <w:pStyle w:val="16"/>
              <w:wordWrap w:val="0"/>
              <w:adjustRightInd w:val="0"/>
              <w:snapToGrid w:val="0"/>
              <w:ind w:firstLine="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名    称：云南华伟招标有限公司</w:t>
            </w:r>
          </w:p>
          <w:p w14:paraId="0F36B1E7">
            <w:pPr>
              <w:pStyle w:val="16"/>
              <w:wordWrap w:val="0"/>
              <w:adjustRightInd w:val="0"/>
              <w:snapToGrid w:val="0"/>
              <w:ind w:firstLine="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地    址：云南省普洱市思茅区南屏镇人民东路3号8楼801室</w:t>
            </w:r>
          </w:p>
          <w:p w14:paraId="424C2DEA">
            <w:pPr>
              <w:pStyle w:val="16"/>
              <w:wordWrap w:val="0"/>
              <w:adjustRightInd w:val="0"/>
              <w:snapToGrid w:val="0"/>
              <w:ind w:firstLine="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联 系 人：虞洁、李星臣、张智梅、殷俊</w:t>
            </w:r>
          </w:p>
          <w:p w14:paraId="65BB7009">
            <w:pPr>
              <w:pStyle w:val="16"/>
              <w:wordWrap w:val="0"/>
              <w:adjustRightInd w:val="0"/>
              <w:snapToGrid w:val="0"/>
              <w:ind w:firstLine="0"/>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联系方式：15096978144</w:t>
            </w:r>
          </w:p>
        </w:tc>
      </w:tr>
      <w:tr w14:paraId="699D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04A7DA8C">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w:t>
            </w:r>
          </w:p>
        </w:tc>
        <w:tc>
          <w:tcPr>
            <w:tcW w:w="1032" w:type="dxa"/>
            <w:vAlign w:val="center"/>
          </w:tcPr>
          <w:p w14:paraId="1EDC6999">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1.1.5</w:t>
            </w:r>
          </w:p>
        </w:tc>
        <w:tc>
          <w:tcPr>
            <w:tcW w:w="1784" w:type="dxa"/>
            <w:vAlign w:val="center"/>
          </w:tcPr>
          <w:p w14:paraId="554A5E94">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建设内容及规模</w:t>
            </w:r>
          </w:p>
        </w:tc>
        <w:tc>
          <w:tcPr>
            <w:tcW w:w="6327" w:type="dxa"/>
            <w:vAlign w:val="center"/>
          </w:tcPr>
          <w:p w14:paraId="5952EC67">
            <w:pPr>
              <w:wordWrap w:val="0"/>
              <w:adjustRightInd w:val="0"/>
              <w:snapToGrid w:val="0"/>
              <w:rPr>
                <w:rFonts w:cs="宋体" w:asciiTheme="minorEastAsia" w:hAnsiTheme="minorEastAsia" w:eastAsiaTheme="minorEastAsia"/>
                <w:sz w:val="24"/>
                <w:szCs w:val="24"/>
              </w:rPr>
            </w:pPr>
            <w:r>
              <w:rPr>
                <w:rFonts w:hint="eastAsia" w:asciiTheme="minorEastAsia" w:hAnsiTheme="minorEastAsia" w:eastAsiaTheme="minorEastAsia"/>
                <w:sz w:val="24"/>
                <w:szCs w:val="24"/>
              </w:rPr>
              <w:t>详见“第一章 竞争性磋商公告”。</w:t>
            </w:r>
          </w:p>
        </w:tc>
      </w:tr>
      <w:tr w14:paraId="1812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47FBA4FC">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p>
        </w:tc>
        <w:tc>
          <w:tcPr>
            <w:tcW w:w="1032" w:type="dxa"/>
            <w:vAlign w:val="center"/>
          </w:tcPr>
          <w:p w14:paraId="59E971E2">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1.1.6</w:t>
            </w:r>
          </w:p>
        </w:tc>
        <w:tc>
          <w:tcPr>
            <w:tcW w:w="1784" w:type="dxa"/>
            <w:vAlign w:val="center"/>
          </w:tcPr>
          <w:p w14:paraId="7C167EB3">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建设工期</w:t>
            </w:r>
          </w:p>
        </w:tc>
        <w:tc>
          <w:tcPr>
            <w:tcW w:w="6327" w:type="dxa"/>
            <w:vAlign w:val="center"/>
          </w:tcPr>
          <w:p w14:paraId="3705B51F">
            <w:pPr>
              <w:pStyle w:val="14"/>
              <w:wordWrap w:val="0"/>
              <w:adjustRightInd w:val="0"/>
              <w:snapToGrid w:val="0"/>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自合同签订后90日历天完成采购人的要求，具体以采购人通知为准</w:t>
            </w:r>
          </w:p>
        </w:tc>
      </w:tr>
      <w:tr w14:paraId="0113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53796E3A">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w:t>
            </w:r>
          </w:p>
        </w:tc>
        <w:tc>
          <w:tcPr>
            <w:tcW w:w="1032" w:type="dxa"/>
            <w:vAlign w:val="center"/>
          </w:tcPr>
          <w:p w14:paraId="06EEA8B3">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1.1.7</w:t>
            </w:r>
          </w:p>
        </w:tc>
        <w:tc>
          <w:tcPr>
            <w:tcW w:w="1784" w:type="dxa"/>
            <w:vAlign w:val="center"/>
          </w:tcPr>
          <w:p w14:paraId="787750BA">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项目地点</w:t>
            </w:r>
          </w:p>
        </w:tc>
        <w:tc>
          <w:tcPr>
            <w:tcW w:w="6327" w:type="dxa"/>
            <w:vAlign w:val="center"/>
          </w:tcPr>
          <w:p w14:paraId="2F7FD22A">
            <w:pPr>
              <w:pStyle w:val="14"/>
              <w:wordWrap w:val="0"/>
              <w:adjustRightInd w:val="0"/>
              <w:snapToGrid w:val="0"/>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西盟县勐梭镇（采购人指定地点）</w:t>
            </w:r>
          </w:p>
        </w:tc>
      </w:tr>
      <w:tr w14:paraId="270F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5C9D7086">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w:t>
            </w:r>
          </w:p>
        </w:tc>
        <w:tc>
          <w:tcPr>
            <w:tcW w:w="1032" w:type="dxa"/>
            <w:vAlign w:val="center"/>
          </w:tcPr>
          <w:p w14:paraId="1EDFA8B2">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1.1.8</w:t>
            </w:r>
          </w:p>
        </w:tc>
        <w:tc>
          <w:tcPr>
            <w:tcW w:w="1784" w:type="dxa"/>
            <w:vAlign w:val="center"/>
          </w:tcPr>
          <w:p w14:paraId="087D71D5">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质量要求</w:t>
            </w:r>
          </w:p>
        </w:tc>
        <w:tc>
          <w:tcPr>
            <w:tcW w:w="6327" w:type="dxa"/>
            <w:vAlign w:val="center"/>
          </w:tcPr>
          <w:p w14:paraId="7BF1FE6F">
            <w:pPr>
              <w:pStyle w:val="14"/>
              <w:wordWrap w:val="0"/>
              <w:adjustRightInd w:val="0"/>
              <w:snapToGrid w:val="0"/>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按国家及相关行业质量验收标准，一次性验收合格。</w:t>
            </w:r>
          </w:p>
        </w:tc>
      </w:tr>
      <w:tr w14:paraId="2AF1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0D255F42">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w:t>
            </w:r>
          </w:p>
        </w:tc>
        <w:tc>
          <w:tcPr>
            <w:tcW w:w="1032" w:type="dxa"/>
            <w:vAlign w:val="center"/>
          </w:tcPr>
          <w:p w14:paraId="0A653D72">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1.1.9</w:t>
            </w:r>
          </w:p>
        </w:tc>
        <w:tc>
          <w:tcPr>
            <w:tcW w:w="1784" w:type="dxa"/>
            <w:vAlign w:val="center"/>
          </w:tcPr>
          <w:p w14:paraId="27F945C4">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资格审查方式</w:t>
            </w:r>
          </w:p>
        </w:tc>
        <w:tc>
          <w:tcPr>
            <w:tcW w:w="6327" w:type="dxa"/>
            <w:vAlign w:val="center"/>
          </w:tcPr>
          <w:p w14:paraId="1E62A404">
            <w:pPr>
              <w:wordWrap w:val="0"/>
              <w:adjustRightInd w:val="0"/>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资格后审</w:t>
            </w:r>
          </w:p>
        </w:tc>
      </w:tr>
      <w:tr w14:paraId="4B0C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25E3BD9F">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w:t>
            </w:r>
          </w:p>
        </w:tc>
        <w:tc>
          <w:tcPr>
            <w:tcW w:w="1032" w:type="dxa"/>
            <w:vAlign w:val="center"/>
          </w:tcPr>
          <w:p w14:paraId="3E61A741">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w:t>
            </w:r>
          </w:p>
        </w:tc>
        <w:tc>
          <w:tcPr>
            <w:tcW w:w="1784" w:type="dxa"/>
            <w:vAlign w:val="center"/>
          </w:tcPr>
          <w:p w14:paraId="2EACB962">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采购预算</w:t>
            </w:r>
          </w:p>
        </w:tc>
        <w:tc>
          <w:tcPr>
            <w:tcW w:w="6327" w:type="dxa"/>
            <w:vAlign w:val="center"/>
          </w:tcPr>
          <w:p w14:paraId="78033AB5">
            <w:pPr>
              <w:wordWrap w:val="0"/>
              <w:adjustRightInd w:val="0"/>
              <w:snapToGrid w:val="0"/>
              <w:rPr>
                <w:rFonts w:cs="宋体" w:asciiTheme="minorEastAsia" w:hAnsiTheme="minorEastAsia" w:eastAsiaTheme="minorEastAsia"/>
                <w:sz w:val="24"/>
                <w:szCs w:val="24"/>
              </w:rPr>
            </w:pPr>
            <w:r>
              <w:rPr>
                <w:rFonts w:hint="eastAsia" w:asciiTheme="minorEastAsia" w:hAnsiTheme="minorEastAsia" w:eastAsiaTheme="minorEastAsia"/>
                <w:sz w:val="24"/>
                <w:szCs w:val="24"/>
              </w:rPr>
              <w:t>¥1999999.99元（人民币壹佰玖拾玖万玖仟玖佰玖拾玖元玖角玖分）</w:t>
            </w:r>
          </w:p>
        </w:tc>
      </w:tr>
      <w:tr w14:paraId="24B4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2AC6B067">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w:t>
            </w:r>
          </w:p>
        </w:tc>
        <w:tc>
          <w:tcPr>
            <w:tcW w:w="1032" w:type="dxa"/>
            <w:vAlign w:val="center"/>
          </w:tcPr>
          <w:p w14:paraId="288E3FC6">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w:t>
            </w:r>
          </w:p>
        </w:tc>
        <w:tc>
          <w:tcPr>
            <w:tcW w:w="1784" w:type="dxa"/>
            <w:vAlign w:val="center"/>
          </w:tcPr>
          <w:p w14:paraId="588BB7DC">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最高限价</w:t>
            </w:r>
          </w:p>
        </w:tc>
        <w:tc>
          <w:tcPr>
            <w:tcW w:w="6327" w:type="dxa"/>
            <w:vAlign w:val="center"/>
          </w:tcPr>
          <w:p w14:paraId="3F86FB20">
            <w:pPr>
              <w:wordWrap w:val="0"/>
              <w:adjustRightInd w:val="0"/>
              <w:snapToGrid w:val="0"/>
              <w:rPr>
                <w:rFonts w:cs="宋体" w:asciiTheme="minorEastAsia" w:hAnsiTheme="minorEastAsia" w:eastAsiaTheme="minorEastAsia"/>
                <w:sz w:val="24"/>
                <w:szCs w:val="24"/>
              </w:rPr>
            </w:pPr>
            <w:r>
              <w:rPr>
                <w:rFonts w:hint="eastAsia" w:asciiTheme="minorEastAsia" w:hAnsiTheme="minorEastAsia" w:eastAsiaTheme="minorEastAsia"/>
                <w:sz w:val="24"/>
                <w:szCs w:val="24"/>
              </w:rPr>
              <w:t>¥1999999.99元（人民币壹佰玖拾玖万玖仟玖佰玖拾玖元玖角玖分）</w:t>
            </w:r>
          </w:p>
        </w:tc>
      </w:tr>
      <w:tr w14:paraId="469C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24146A15">
            <w:pPr>
              <w:wordWrap w:val="0"/>
              <w:adjustRightInd w:val="0"/>
              <w:snapToGrid w:val="0"/>
              <w:jc w:val="center"/>
              <w:rPr>
                <w:rFonts w:cs="宋体" w:asciiTheme="minorEastAsia" w:hAnsiTheme="minorEastAsia" w:eastAsiaTheme="minorEastAsia"/>
                <w:sz w:val="24"/>
                <w:szCs w:val="24"/>
              </w:rPr>
            </w:pPr>
            <w:bookmarkStart w:id="228" w:name="_Hlk193964440"/>
            <w:r>
              <w:rPr>
                <w:rFonts w:hint="eastAsia" w:cs="宋体" w:asciiTheme="minorEastAsia" w:hAnsiTheme="minorEastAsia" w:eastAsiaTheme="minorEastAsia"/>
                <w:sz w:val="24"/>
                <w:szCs w:val="24"/>
              </w:rPr>
              <w:t>12</w:t>
            </w:r>
          </w:p>
        </w:tc>
        <w:tc>
          <w:tcPr>
            <w:tcW w:w="1032" w:type="dxa"/>
            <w:vAlign w:val="center"/>
          </w:tcPr>
          <w:p w14:paraId="2527A264">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w:t>
            </w:r>
          </w:p>
        </w:tc>
        <w:tc>
          <w:tcPr>
            <w:tcW w:w="1784" w:type="dxa"/>
            <w:vAlign w:val="center"/>
          </w:tcPr>
          <w:p w14:paraId="1E38B96C">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代理服务费</w:t>
            </w:r>
          </w:p>
        </w:tc>
        <w:tc>
          <w:tcPr>
            <w:tcW w:w="6327" w:type="dxa"/>
            <w:vAlign w:val="center"/>
          </w:tcPr>
          <w:p w14:paraId="16E4837B">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代理服务费由中标人支付，参照《云南省建设工程招标投标行业协会关于印发(云南省建设工程招标代理服务收费参考意见)的通知》云建招协〔2024〕58号文件的标准向中标人收取。</w:t>
            </w:r>
          </w:p>
        </w:tc>
      </w:tr>
      <w:bookmarkEnd w:id="228"/>
      <w:tr w14:paraId="5A58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05C265FC">
            <w:pPr>
              <w:wordWrap w:val="0"/>
              <w:adjustRightInd w:val="0"/>
              <w:snapToGrid w:val="0"/>
              <w:jc w:val="center"/>
              <w:rPr>
                <w:rFonts w:cs="宋体" w:asciiTheme="minorEastAsia" w:hAnsiTheme="minorEastAsia" w:eastAsiaTheme="minorEastAsia"/>
                <w:sz w:val="24"/>
                <w:szCs w:val="24"/>
              </w:rPr>
            </w:pPr>
            <w:bookmarkStart w:id="229" w:name="_Hlk66892588"/>
            <w:r>
              <w:rPr>
                <w:rFonts w:hint="eastAsia" w:cs="宋体" w:asciiTheme="minorEastAsia" w:hAnsiTheme="minorEastAsia" w:eastAsiaTheme="minorEastAsia"/>
                <w:sz w:val="24"/>
                <w:szCs w:val="24"/>
              </w:rPr>
              <w:t>13</w:t>
            </w:r>
          </w:p>
        </w:tc>
        <w:tc>
          <w:tcPr>
            <w:tcW w:w="1032" w:type="dxa"/>
            <w:vAlign w:val="center"/>
          </w:tcPr>
          <w:p w14:paraId="6E6BAFD4">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w:t>
            </w:r>
          </w:p>
        </w:tc>
        <w:tc>
          <w:tcPr>
            <w:tcW w:w="1784" w:type="dxa"/>
            <w:vAlign w:val="center"/>
          </w:tcPr>
          <w:p w14:paraId="518279CD">
            <w:pPr>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磋商供应商的资格要求</w:t>
            </w:r>
          </w:p>
        </w:tc>
        <w:tc>
          <w:tcPr>
            <w:tcW w:w="6327" w:type="dxa"/>
            <w:vAlign w:val="center"/>
          </w:tcPr>
          <w:p w14:paraId="1888B555">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详见“第一章 竞争性磋商公告”</w:t>
            </w:r>
          </w:p>
        </w:tc>
      </w:tr>
      <w:bookmarkEnd w:id="229"/>
      <w:tr w14:paraId="1E32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2F2D20B7">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w:t>
            </w:r>
          </w:p>
        </w:tc>
        <w:tc>
          <w:tcPr>
            <w:tcW w:w="1032" w:type="dxa"/>
            <w:vAlign w:val="center"/>
          </w:tcPr>
          <w:p w14:paraId="3C89585F">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w:t>
            </w:r>
          </w:p>
        </w:tc>
        <w:tc>
          <w:tcPr>
            <w:tcW w:w="1784" w:type="dxa"/>
            <w:vAlign w:val="center"/>
          </w:tcPr>
          <w:p w14:paraId="6FF3A2F2">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是否接受联合体磋商</w:t>
            </w:r>
          </w:p>
        </w:tc>
        <w:tc>
          <w:tcPr>
            <w:tcW w:w="6327" w:type="dxa"/>
            <w:vAlign w:val="center"/>
          </w:tcPr>
          <w:p w14:paraId="6C600A83">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w:t>
            </w:r>
          </w:p>
          <w:p w14:paraId="164B59BE">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■否</w:t>
            </w:r>
          </w:p>
        </w:tc>
      </w:tr>
      <w:tr w14:paraId="0A34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43A2EF18">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w:t>
            </w:r>
          </w:p>
        </w:tc>
        <w:tc>
          <w:tcPr>
            <w:tcW w:w="1032" w:type="dxa"/>
            <w:vAlign w:val="center"/>
          </w:tcPr>
          <w:p w14:paraId="741976FA">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1.8.1</w:t>
            </w:r>
          </w:p>
        </w:tc>
        <w:tc>
          <w:tcPr>
            <w:tcW w:w="1784" w:type="dxa"/>
            <w:vAlign w:val="center"/>
          </w:tcPr>
          <w:p w14:paraId="338938D1">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采购人是否组织现场踏勘</w:t>
            </w:r>
          </w:p>
        </w:tc>
        <w:tc>
          <w:tcPr>
            <w:tcW w:w="6327" w:type="dxa"/>
            <w:vAlign w:val="center"/>
          </w:tcPr>
          <w:p w14:paraId="40E6322F">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628A82A5">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□组织</w:t>
            </w:r>
          </w:p>
          <w:p w14:paraId="70702BBA">
            <w:pPr>
              <w:wordWrap w:val="0"/>
              <w:adjustRightInd w:val="0"/>
              <w:snapToGrid w:val="0"/>
              <w:jc w:val="left"/>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踏勘时间：</w:t>
            </w:r>
          </w:p>
          <w:p w14:paraId="5CD6F937">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踏勘地点：</w:t>
            </w:r>
          </w:p>
          <w:p w14:paraId="37946D94">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联系人：</w:t>
            </w:r>
          </w:p>
          <w:p w14:paraId="09F2558C">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联系电话：</w:t>
            </w:r>
          </w:p>
        </w:tc>
      </w:tr>
      <w:tr w14:paraId="6934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208CCC5A">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w:t>
            </w:r>
          </w:p>
        </w:tc>
        <w:tc>
          <w:tcPr>
            <w:tcW w:w="1032" w:type="dxa"/>
            <w:vAlign w:val="center"/>
          </w:tcPr>
          <w:p w14:paraId="78A15F5B">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1.9.1</w:t>
            </w:r>
          </w:p>
        </w:tc>
        <w:tc>
          <w:tcPr>
            <w:tcW w:w="1784" w:type="dxa"/>
            <w:vAlign w:val="center"/>
          </w:tcPr>
          <w:p w14:paraId="1E4C5065">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采购人是否召开磋商答疑会</w:t>
            </w:r>
          </w:p>
        </w:tc>
        <w:tc>
          <w:tcPr>
            <w:tcW w:w="6327" w:type="dxa"/>
            <w:vAlign w:val="center"/>
          </w:tcPr>
          <w:p w14:paraId="217EF6C9">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■不召开</w:t>
            </w:r>
          </w:p>
          <w:p w14:paraId="4B808C4D">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□召开</w:t>
            </w:r>
          </w:p>
          <w:p w14:paraId="18FFFB0A">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答疑会时间：</w:t>
            </w:r>
          </w:p>
          <w:p w14:paraId="717CCDAE">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答疑会地点：</w:t>
            </w:r>
          </w:p>
          <w:p w14:paraId="264D1069">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提交问题的时间：</w:t>
            </w:r>
            <w:r>
              <w:rPr>
                <w:rFonts w:hint="eastAsia" w:cs="宋体" w:asciiTheme="minorEastAsia" w:hAnsiTheme="minorEastAsia" w:eastAsiaTheme="minorEastAsia"/>
                <w:sz w:val="24"/>
                <w:szCs w:val="24"/>
                <w:u w:val="single"/>
              </w:rPr>
              <w:t>磋商截止时间前5天</w:t>
            </w:r>
          </w:p>
          <w:p w14:paraId="1444A3EE">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提交问题的形式：</w:t>
            </w:r>
            <w:r>
              <w:rPr>
                <w:rFonts w:hint="eastAsia" w:cs="宋体" w:asciiTheme="minorEastAsia" w:hAnsiTheme="minorEastAsia" w:eastAsiaTheme="minorEastAsia"/>
                <w:sz w:val="24"/>
                <w:szCs w:val="24"/>
                <w:u w:val="single"/>
              </w:rPr>
              <w:t>电子文件形式</w:t>
            </w:r>
          </w:p>
        </w:tc>
      </w:tr>
      <w:tr w14:paraId="1097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6480AE6D">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w:t>
            </w:r>
          </w:p>
        </w:tc>
        <w:tc>
          <w:tcPr>
            <w:tcW w:w="1032" w:type="dxa"/>
            <w:vAlign w:val="center"/>
          </w:tcPr>
          <w:p w14:paraId="0FF40971">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1.10.1</w:t>
            </w:r>
          </w:p>
        </w:tc>
        <w:tc>
          <w:tcPr>
            <w:tcW w:w="1784" w:type="dxa"/>
            <w:vAlign w:val="center"/>
          </w:tcPr>
          <w:p w14:paraId="7E828D21">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采购人是否允许分包</w:t>
            </w:r>
          </w:p>
        </w:tc>
        <w:tc>
          <w:tcPr>
            <w:tcW w:w="6327" w:type="dxa"/>
            <w:vAlign w:val="center"/>
          </w:tcPr>
          <w:p w14:paraId="06A426C9">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p w14:paraId="6C6895B1">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□允许：</w:t>
            </w:r>
          </w:p>
          <w:p w14:paraId="1A6C6F1A">
            <w:pPr>
              <w:wordWrap w:val="0"/>
              <w:adjustRightInd w:val="0"/>
              <w:snapToGrid w:val="0"/>
              <w:jc w:val="left"/>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非主体、非关键性工作内容包括：</w:t>
            </w:r>
          </w:p>
        </w:tc>
      </w:tr>
      <w:tr w14:paraId="650F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768692D4">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18</w:t>
            </w:r>
          </w:p>
        </w:tc>
        <w:tc>
          <w:tcPr>
            <w:tcW w:w="1032" w:type="dxa"/>
            <w:vAlign w:val="center"/>
          </w:tcPr>
          <w:p w14:paraId="62C57C79">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1.11.1</w:t>
            </w:r>
          </w:p>
        </w:tc>
        <w:tc>
          <w:tcPr>
            <w:tcW w:w="1784" w:type="dxa"/>
            <w:vAlign w:val="center"/>
          </w:tcPr>
          <w:p w14:paraId="6C2ED0D8">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样品要求</w:t>
            </w:r>
          </w:p>
        </w:tc>
        <w:tc>
          <w:tcPr>
            <w:tcW w:w="6327" w:type="dxa"/>
            <w:vAlign w:val="center"/>
          </w:tcPr>
          <w:p w14:paraId="10D315FA">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是否要求提交样品：</w:t>
            </w:r>
          </w:p>
          <w:p w14:paraId="2B35E3CD">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■不要求</w:t>
            </w:r>
          </w:p>
          <w:p w14:paraId="3032A0F6">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□要求：</w:t>
            </w:r>
          </w:p>
          <w:p w14:paraId="58F8896D">
            <w:pPr>
              <w:pStyle w:val="34"/>
              <w:wordWrap w:val="0"/>
              <w:adjustRightInd w:val="0"/>
              <w:snapToGrid w:val="0"/>
              <w:ind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1.递交样品的截止时间、地点：</w:t>
            </w:r>
          </w:p>
          <w:p w14:paraId="70E1AFF1">
            <w:pPr>
              <w:pStyle w:val="34"/>
              <w:wordWrap w:val="0"/>
              <w:adjustRightInd w:val="0"/>
              <w:snapToGrid w:val="0"/>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截止时间： </w:t>
            </w:r>
          </w:p>
          <w:p w14:paraId="47E7D2D8">
            <w:pPr>
              <w:pStyle w:val="34"/>
              <w:wordWrap w:val="0"/>
              <w:adjustRightInd w:val="0"/>
              <w:snapToGrid w:val="0"/>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地    点： </w:t>
            </w:r>
          </w:p>
          <w:p w14:paraId="4D268526">
            <w:pPr>
              <w:tabs>
                <w:tab w:val="left" w:pos="312"/>
              </w:tabs>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2.样品要求： </w:t>
            </w:r>
          </w:p>
          <w:p w14:paraId="7869AA25">
            <w:pPr>
              <w:tabs>
                <w:tab w:val="left" w:pos="312"/>
              </w:tabs>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3.是否要求随样品提交检测报告：</w:t>
            </w:r>
          </w:p>
          <w:p w14:paraId="5422883E">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■不要求</w:t>
            </w:r>
          </w:p>
          <w:p w14:paraId="298BB549">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□要求：</w:t>
            </w:r>
          </w:p>
          <w:p w14:paraId="781FCDB8">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检测机构要求：</w:t>
            </w:r>
          </w:p>
          <w:p w14:paraId="1D12ECBD">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检测内容要求：</w:t>
            </w:r>
          </w:p>
          <w:p w14:paraId="21CE6C9E">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成交人样品封存</w:t>
            </w:r>
          </w:p>
        </w:tc>
      </w:tr>
      <w:tr w14:paraId="3DB7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0F2A1CAD">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w:t>
            </w:r>
          </w:p>
        </w:tc>
        <w:tc>
          <w:tcPr>
            <w:tcW w:w="1032" w:type="dxa"/>
            <w:vAlign w:val="center"/>
          </w:tcPr>
          <w:p w14:paraId="2B4111AD">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w:t>
            </w:r>
          </w:p>
        </w:tc>
        <w:tc>
          <w:tcPr>
            <w:tcW w:w="1784" w:type="dxa"/>
            <w:vAlign w:val="center"/>
          </w:tcPr>
          <w:p w14:paraId="07208931">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磋商供应商要求对磋商文件的澄清</w:t>
            </w:r>
          </w:p>
        </w:tc>
        <w:tc>
          <w:tcPr>
            <w:tcW w:w="6327" w:type="dxa"/>
            <w:vAlign w:val="center"/>
          </w:tcPr>
          <w:p w14:paraId="43F2DFEB">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时间：提交磋商响应文件截止时间5日前</w:t>
            </w:r>
          </w:p>
          <w:p w14:paraId="10602AD1">
            <w:pPr>
              <w:wordWrap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形式：电子文件形式</w:t>
            </w:r>
          </w:p>
        </w:tc>
      </w:tr>
      <w:tr w14:paraId="1E6D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12A03A66">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20</w:t>
            </w:r>
          </w:p>
        </w:tc>
        <w:tc>
          <w:tcPr>
            <w:tcW w:w="1032" w:type="dxa"/>
            <w:vAlign w:val="center"/>
          </w:tcPr>
          <w:p w14:paraId="12AF3907">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w:t>
            </w:r>
          </w:p>
        </w:tc>
        <w:tc>
          <w:tcPr>
            <w:tcW w:w="1784" w:type="dxa"/>
            <w:vAlign w:val="center"/>
          </w:tcPr>
          <w:p w14:paraId="0C27A5E6">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磋商文件澄清发出形式</w:t>
            </w:r>
          </w:p>
        </w:tc>
        <w:tc>
          <w:tcPr>
            <w:tcW w:w="6327" w:type="dxa"/>
            <w:vAlign w:val="center"/>
          </w:tcPr>
          <w:p w14:paraId="77930631">
            <w:pPr>
              <w:shd w:val="clear" w:color="auto" w:fill="FFFFFF"/>
              <w:wordWrap w:val="0"/>
              <w:adjustRightInd w:val="0"/>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在原竞争性磋商公告发布</w:t>
            </w:r>
            <w:r>
              <w:rPr>
                <w:rFonts w:hint="eastAsia" w:cs="宋体" w:asciiTheme="minorEastAsia" w:hAnsiTheme="minorEastAsia" w:eastAsiaTheme="minorEastAsia"/>
                <w:spacing w:val="-2"/>
                <w:sz w:val="24"/>
                <w:szCs w:val="24"/>
              </w:rPr>
              <w:t>媒介</w:t>
            </w:r>
            <w:r>
              <w:rPr>
                <w:rFonts w:hint="eastAsia" w:cs="宋体" w:asciiTheme="minorEastAsia" w:hAnsiTheme="minorEastAsia" w:eastAsiaTheme="minorEastAsia"/>
                <w:sz w:val="24"/>
                <w:szCs w:val="24"/>
              </w:rPr>
              <w:t>上发布澄清公告</w:t>
            </w:r>
          </w:p>
        </w:tc>
      </w:tr>
      <w:tr w14:paraId="01F6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2C16A72D">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w:t>
            </w:r>
          </w:p>
        </w:tc>
        <w:tc>
          <w:tcPr>
            <w:tcW w:w="1032" w:type="dxa"/>
            <w:vAlign w:val="center"/>
          </w:tcPr>
          <w:p w14:paraId="3AE08B2A">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2.2.3</w:t>
            </w:r>
          </w:p>
        </w:tc>
        <w:tc>
          <w:tcPr>
            <w:tcW w:w="1784" w:type="dxa"/>
            <w:vAlign w:val="center"/>
          </w:tcPr>
          <w:p w14:paraId="01EBC5A2">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磋商供应商确认收到磋商文件澄清</w:t>
            </w:r>
          </w:p>
        </w:tc>
        <w:tc>
          <w:tcPr>
            <w:tcW w:w="6327" w:type="dxa"/>
            <w:vAlign w:val="center"/>
          </w:tcPr>
          <w:p w14:paraId="73935FB2">
            <w:pPr>
              <w:shd w:val="clear" w:color="auto" w:fill="FFFFFF"/>
              <w:wordWrap w:val="0"/>
              <w:adjustRightInd w:val="0"/>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时间：24小时</w:t>
            </w:r>
          </w:p>
          <w:p w14:paraId="28B1D58D">
            <w:pPr>
              <w:shd w:val="clear" w:color="auto" w:fill="FFFFFF"/>
              <w:wordWrap w:val="0"/>
              <w:adjustRightInd w:val="0"/>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形式：电子文件形式</w:t>
            </w:r>
          </w:p>
        </w:tc>
      </w:tr>
      <w:tr w14:paraId="066A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3B0FB7B8">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w:t>
            </w:r>
          </w:p>
        </w:tc>
        <w:tc>
          <w:tcPr>
            <w:tcW w:w="1032" w:type="dxa"/>
            <w:vAlign w:val="center"/>
          </w:tcPr>
          <w:p w14:paraId="644EC24F">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w:t>
            </w:r>
          </w:p>
        </w:tc>
        <w:tc>
          <w:tcPr>
            <w:tcW w:w="1784" w:type="dxa"/>
            <w:vAlign w:val="center"/>
          </w:tcPr>
          <w:p w14:paraId="3216BA2E">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磋商文件修改发出的形式</w:t>
            </w:r>
          </w:p>
        </w:tc>
        <w:tc>
          <w:tcPr>
            <w:tcW w:w="6327" w:type="dxa"/>
            <w:vAlign w:val="center"/>
          </w:tcPr>
          <w:p w14:paraId="0163AA4A">
            <w:pPr>
              <w:shd w:val="clear" w:color="auto" w:fill="FFFFFF"/>
              <w:wordWrap w:val="0"/>
              <w:adjustRightInd w:val="0"/>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在原竞争性磋商公告发布</w:t>
            </w:r>
            <w:r>
              <w:rPr>
                <w:rFonts w:hint="eastAsia" w:cs="宋体" w:asciiTheme="minorEastAsia" w:hAnsiTheme="minorEastAsia" w:eastAsiaTheme="minorEastAsia"/>
                <w:spacing w:val="-2"/>
                <w:sz w:val="24"/>
                <w:szCs w:val="24"/>
              </w:rPr>
              <w:t>媒介</w:t>
            </w:r>
            <w:r>
              <w:rPr>
                <w:rFonts w:hint="eastAsia" w:cs="宋体" w:asciiTheme="minorEastAsia" w:hAnsiTheme="minorEastAsia" w:eastAsiaTheme="minorEastAsia"/>
                <w:sz w:val="24"/>
                <w:szCs w:val="24"/>
              </w:rPr>
              <w:t>上发布澄清公告</w:t>
            </w:r>
          </w:p>
        </w:tc>
      </w:tr>
      <w:tr w14:paraId="2ADC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7549F671">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w:t>
            </w:r>
          </w:p>
        </w:tc>
        <w:tc>
          <w:tcPr>
            <w:tcW w:w="1032" w:type="dxa"/>
            <w:vAlign w:val="center"/>
          </w:tcPr>
          <w:p w14:paraId="475AA018">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2.3.2</w:t>
            </w:r>
          </w:p>
        </w:tc>
        <w:tc>
          <w:tcPr>
            <w:tcW w:w="1784" w:type="dxa"/>
            <w:vAlign w:val="center"/>
          </w:tcPr>
          <w:p w14:paraId="0B560427">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磋商供应商确认收到磋商文件修改</w:t>
            </w:r>
          </w:p>
        </w:tc>
        <w:tc>
          <w:tcPr>
            <w:tcW w:w="6327" w:type="dxa"/>
            <w:vAlign w:val="center"/>
          </w:tcPr>
          <w:p w14:paraId="5E93B2CA">
            <w:pPr>
              <w:shd w:val="clear" w:color="auto" w:fill="FFFFFF"/>
              <w:wordWrap w:val="0"/>
              <w:adjustRightInd w:val="0"/>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时间：24小时</w:t>
            </w:r>
          </w:p>
          <w:p w14:paraId="53CE9134">
            <w:pPr>
              <w:shd w:val="clear" w:color="auto" w:fill="FFFFFF"/>
              <w:wordWrap w:val="0"/>
              <w:adjustRightInd w:val="0"/>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形式：电子文件形式</w:t>
            </w:r>
          </w:p>
        </w:tc>
      </w:tr>
      <w:tr w14:paraId="48B4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2E1556F2">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24</w:t>
            </w:r>
          </w:p>
        </w:tc>
        <w:tc>
          <w:tcPr>
            <w:tcW w:w="1032" w:type="dxa"/>
            <w:vAlign w:val="center"/>
          </w:tcPr>
          <w:p w14:paraId="04259A76">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w:t>
            </w:r>
          </w:p>
        </w:tc>
        <w:tc>
          <w:tcPr>
            <w:tcW w:w="1784" w:type="dxa"/>
            <w:vAlign w:val="center"/>
          </w:tcPr>
          <w:p w14:paraId="4833943C">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构成磋商响应文件的其他材料</w:t>
            </w:r>
          </w:p>
        </w:tc>
        <w:tc>
          <w:tcPr>
            <w:tcW w:w="6327" w:type="dxa"/>
            <w:vAlign w:val="center"/>
          </w:tcPr>
          <w:p w14:paraId="5D2471F0">
            <w:pPr>
              <w:shd w:val="clear" w:color="auto" w:fill="FFFFFF"/>
              <w:wordWrap w:val="0"/>
              <w:adjustRightInd w:val="0"/>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磋商供应商在评审过程中作出的符合法律法规和磋商文件规定的澄清、说明或者补正</w:t>
            </w:r>
          </w:p>
        </w:tc>
      </w:tr>
      <w:tr w14:paraId="7ED7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65B26445">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25</w:t>
            </w:r>
          </w:p>
        </w:tc>
        <w:tc>
          <w:tcPr>
            <w:tcW w:w="1032" w:type="dxa"/>
            <w:vAlign w:val="center"/>
          </w:tcPr>
          <w:p w14:paraId="07DCD96D">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w:t>
            </w:r>
          </w:p>
        </w:tc>
        <w:tc>
          <w:tcPr>
            <w:tcW w:w="1784" w:type="dxa"/>
            <w:vAlign w:val="center"/>
          </w:tcPr>
          <w:p w14:paraId="19D5B80A">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磋商有效期</w:t>
            </w:r>
          </w:p>
        </w:tc>
        <w:tc>
          <w:tcPr>
            <w:tcW w:w="6327" w:type="dxa"/>
            <w:vAlign w:val="center"/>
          </w:tcPr>
          <w:p w14:paraId="22F26858">
            <w:pPr>
              <w:wordWrap w:val="0"/>
              <w:adjustRightInd w:val="0"/>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90日历天（从提交磋商响应文件的截止之日起算）</w:t>
            </w:r>
          </w:p>
        </w:tc>
      </w:tr>
      <w:tr w14:paraId="2410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07261DFA">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26</w:t>
            </w:r>
          </w:p>
        </w:tc>
        <w:tc>
          <w:tcPr>
            <w:tcW w:w="1032" w:type="dxa"/>
            <w:vAlign w:val="center"/>
          </w:tcPr>
          <w:p w14:paraId="28A11A07">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3.4.1</w:t>
            </w:r>
          </w:p>
        </w:tc>
        <w:tc>
          <w:tcPr>
            <w:tcW w:w="1784" w:type="dxa"/>
            <w:vAlign w:val="center"/>
          </w:tcPr>
          <w:p w14:paraId="13E9BE38">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磋商保证金</w:t>
            </w:r>
          </w:p>
        </w:tc>
        <w:tc>
          <w:tcPr>
            <w:tcW w:w="6327" w:type="dxa"/>
            <w:vAlign w:val="center"/>
          </w:tcPr>
          <w:p w14:paraId="00B05C4B">
            <w:pPr>
              <w:wordWrap w:val="0"/>
              <w:autoSpaceDE w:val="0"/>
              <w:autoSpaceDN w:val="0"/>
              <w:adjustRightInd w:val="0"/>
              <w:snapToGrid w:val="0"/>
              <w:jc w:val="left"/>
              <w:rPr>
                <w:rFonts w:ascii="宋体" w:hAnsi="宋体"/>
                <w:sz w:val="24"/>
                <w:szCs w:val="24"/>
                <w:u w:val="single"/>
              </w:rPr>
            </w:pPr>
            <w:r>
              <w:rPr>
                <w:rFonts w:hint="eastAsia" w:ascii="宋体" w:hAnsi="宋体"/>
                <w:sz w:val="24"/>
                <w:szCs w:val="24"/>
              </w:rPr>
              <w:t>□否：本项目无需提供保证金</w:t>
            </w:r>
          </w:p>
          <w:p w14:paraId="2E9F9D6D">
            <w:pPr>
              <w:wordWrap w:val="0"/>
              <w:autoSpaceDE w:val="0"/>
              <w:autoSpaceDN w:val="0"/>
              <w:adjustRightInd w:val="0"/>
              <w:snapToGrid w:val="0"/>
              <w:jc w:val="left"/>
              <w:rPr>
                <w:rFonts w:hint="eastAsia" w:ascii="宋体" w:hAnsi="宋体"/>
                <w:sz w:val="24"/>
                <w:szCs w:val="24"/>
              </w:rPr>
            </w:pPr>
            <w:r>
              <w:rPr>
                <w:rFonts w:hint="eastAsia" w:ascii="宋体" w:hAnsi="宋体"/>
                <w:sz w:val="24"/>
                <w:szCs w:val="24"/>
              </w:rPr>
              <w:t>■是</w:t>
            </w:r>
          </w:p>
          <w:p w14:paraId="219BD4C7">
            <w:pPr>
              <w:wordWrap w:val="0"/>
              <w:autoSpaceDE w:val="0"/>
              <w:autoSpaceDN w:val="0"/>
              <w:adjustRightInd w:val="0"/>
              <w:snapToGrid w:val="0"/>
              <w:jc w:val="left"/>
              <w:rPr>
                <w:rFonts w:hint="eastAsia" w:ascii="宋体" w:hAnsi="宋体"/>
                <w:sz w:val="24"/>
                <w:szCs w:val="24"/>
              </w:rPr>
            </w:pPr>
            <w:r>
              <w:rPr>
                <w:rFonts w:hint="eastAsia" w:ascii="宋体" w:hAnsi="宋体"/>
                <w:sz w:val="24"/>
                <w:szCs w:val="24"/>
              </w:rPr>
              <w:t>磋商保证金按如下要求提交：</w:t>
            </w:r>
          </w:p>
          <w:p w14:paraId="31793F04">
            <w:pPr>
              <w:widowControl/>
              <w:wordWrap w:val="0"/>
              <w:adjustRightInd w:val="0"/>
              <w:snapToGrid w:val="0"/>
              <w:rPr>
                <w:rFonts w:hint="eastAsia" w:ascii="宋体" w:hAnsi="宋体"/>
                <w:sz w:val="24"/>
                <w:szCs w:val="24"/>
              </w:rPr>
            </w:pPr>
            <w:r>
              <w:rPr>
                <w:rFonts w:hint="eastAsia" w:ascii="宋体" w:hAnsi="宋体"/>
                <w:bCs/>
                <w:spacing w:val="10"/>
                <w:sz w:val="24"/>
                <w:szCs w:val="24"/>
              </w:rPr>
              <w:t>磋商保证金：</w:t>
            </w:r>
            <w:r>
              <w:rPr>
                <w:rFonts w:hint="eastAsia" w:ascii="宋体" w:hAnsi="宋体"/>
                <w:bCs/>
                <w:spacing w:val="10"/>
                <w:sz w:val="24"/>
                <w:szCs w:val="24"/>
                <w:u w:val="single"/>
              </w:rPr>
              <w:t>¥20000.00元（大写：人民币贰万元整）</w:t>
            </w:r>
            <w:r>
              <w:rPr>
                <w:rFonts w:hint="eastAsia" w:ascii="宋体" w:hAnsi="宋体"/>
                <w:bCs/>
                <w:spacing w:val="10"/>
                <w:sz w:val="24"/>
                <w:szCs w:val="24"/>
              </w:rPr>
              <w:t>，</w:t>
            </w:r>
            <w:r>
              <w:rPr>
                <w:rFonts w:hint="eastAsia" w:ascii="宋体" w:hAnsi="宋体"/>
                <w:sz w:val="24"/>
                <w:szCs w:val="24"/>
              </w:rPr>
              <w:t>保证金递交截止时间同磋商文件递交截止时间</w:t>
            </w:r>
            <w:r>
              <w:rPr>
                <w:rFonts w:hint="eastAsia" w:ascii="宋体" w:hAnsi="宋体"/>
                <w:bCs/>
                <w:spacing w:val="10"/>
                <w:sz w:val="24"/>
                <w:szCs w:val="24"/>
              </w:rPr>
              <w:t>。</w:t>
            </w:r>
            <w:r>
              <w:rPr>
                <w:rFonts w:hint="eastAsia" w:ascii="宋体" w:hAnsi="宋体"/>
                <w:sz w:val="24"/>
                <w:szCs w:val="24"/>
              </w:rPr>
              <w:t>到账时间以项目专项账户实际到账时间为准，未按时到账的保证金视为未提交。</w:t>
            </w:r>
          </w:p>
          <w:p w14:paraId="0F941944">
            <w:pPr>
              <w:pStyle w:val="13"/>
              <w:wordWrap w:val="0"/>
              <w:adjustRightInd w:val="0"/>
              <w:snapToGrid w:val="0"/>
              <w:rPr>
                <w:rFonts w:hint="eastAsia" w:ascii="宋体" w:hAnsi="宋体" w:cs="仿宋"/>
                <w:sz w:val="24"/>
                <w:szCs w:val="24"/>
              </w:rPr>
            </w:pPr>
            <w:r>
              <w:rPr>
                <w:rFonts w:hint="eastAsia" w:ascii="宋体" w:hAnsi="宋体" w:cs="仿宋"/>
                <w:sz w:val="24"/>
                <w:szCs w:val="24"/>
              </w:rPr>
              <w:t>注：本项目计划投资约</w:t>
            </w:r>
            <w:r>
              <w:rPr>
                <w:rFonts w:hint="eastAsia" w:asciiTheme="minorEastAsia" w:hAnsiTheme="minorEastAsia" w:eastAsiaTheme="minorEastAsia"/>
                <w:sz w:val="24"/>
                <w:szCs w:val="24"/>
              </w:rPr>
              <w:t>1999999.99</w:t>
            </w:r>
            <w:r>
              <w:rPr>
                <w:rFonts w:hint="eastAsia" w:ascii="宋体" w:hAnsi="宋体" w:cs="仿宋"/>
                <w:sz w:val="24"/>
                <w:szCs w:val="24"/>
              </w:rPr>
              <w:t>元，投标保证金不超过项目估算价的2%（约39999.99元）。根据《云南省发展和改革委员会等部门关于鼓励减免政府投资项目投标保证金的通知》（云发改交易管理〔2023〕397号）规定，本项目投标保证金按相关法律、法规的规定减免50%或以上，因此本项目保证金缴纳约20000.00元。</w:t>
            </w:r>
          </w:p>
          <w:p w14:paraId="52EFE434">
            <w:pPr>
              <w:rPr>
                <w:rFonts w:hint="eastAsia"/>
                <w:szCs w:val="21"/>
              </w:rPr>
            </w:pPr>
            <w:r>
              <w:rPr>
                <w:rFonts w:hint="eastAsia" w:ascii="宋体" w:hAnsi="宋体" w:cs="仿宋"/>
                <w:sz w:val="24"/>
                <w:szCs w:val="24"/>
              </w:rPr>
              <w:t>投标保证金的递交方式：网银、电汇、转账支票、汇票、本票、保函、银行保险等非现金形式，且保证金必须在投标文件递交截止时间以前提交至云南华伟招标有限公司。备注栏内必须注明项目编号以及项目名称，若分标段投标的，还须注明所投标标段名称。如未注明项目编号导致保证金与所投项目不符，后果由投标方自负，各供应商严格按规定交纳投标保证金</w:t>
            </w:r>
          </w:p>
          <w:p w14:paraId="4924CB03">
            <w:pPr>
              <w:wordWrap w:val="0"/>
              <w:adjustRightInd w:val="0"/>
              <w:snapToGrid w:val="0"/>
              <w:rPr>
                <w:rFonts w:ascii="宋体" w:hAnsi="宋体"/>
                <w:bCs/>
                <w:spacing w:val="10"/>
                <w:sz w:val="24"/>
                <w:szCs w:val="24"/>
              </w:rPr>
            </w:pPr>
            <w:r>
              <w:rPr>
                <w:rFonts w:hint="eastAsia" w:ascii="宋体" w:hAnsi="宋体"/>
                <w:bCs/>
                <w:spacing w:val="10"/>
                <w:sz w:val="24"/>
                <w:szCs w:val="24"/>
              </w:rPr>
              <w:t>保证金账户信息：</w:t>
            </w:r>
          </w:p>
          <w:p w14:paraId="064B4549">
            <w:pPr>
              <w:pStyle w:val="16"/>
              <w:wordWrap w:val="0"/>
              <w:adjustRightInd w:val="0"/>
              <w:snapToGrid w:val="0"/>
              <w:ind w:firstLine="0"/>
              <w:rPr>
                <w:rFonts w:hint="eastAsia" w:ascii="宋体" w:eastAsia="宋体"/>
                <w:sz w:val="24"/>
                <w:szCs w:val="24"/>
              </w:rPr>
            </w:pPr>
            <w:r>
              <w:rPr>
                <w:rFonts w:hint="eastAsia" w:ascii="宋体" w:eastAsia="宋体"/>
                <w:sz w:val="24"/>
                <w:szCs w:val="24"/>
              </w:rPr>
              <w:t>户名：云南华伟招标有限公司</w:t>
            </w:r>
          </w:p>
          <w:p w14:paraId="4F1FBA0D">
            <w:pPr>
              <w:pStyle w:val="16"/>
              <w:wordWrap w:val="0"/>
              <w:adjustRightInd w:val="0"/>
              <w:snapToGrid w:val="0"/>
              <w:ind w:firstLine="0"/>
              <w:rPr>
                <w:rFonts w:hint="eastAsia" w:ascii="宋体" w:eastAsia="宋体"/>
                <w:sz w:val="24"/>
                <w:szCs w:val="24"/>
              </w:rPr>
            </w:pPr>
            <w:r>
              <w:rPr>
                <w:rFonts w:hint="eastAsia" w:ascii="宋体" w:eastAsia="宋体"/>
                <w:sz w:val="24"/>
                <w:szCs w:val="24"/>
              </w:rPr>
              <w:t>开户行：中国建设银行股份有限公司景洪民航路支行</w:t>
            </w:r>
          </w:p>
          <w:p w14:paraId="78796E40">
            <w:pPr>
              <w:wordWrap w:val="0"/>
              <w:adjustRightInd w:val="0"/>
              <w:snapToGrid w:val="0"/>
              <w:rPr>
                <w:rFonts w:hint="eastAsia" w:ascii="宋体" w:hAnsi="宋体"/>
                <w:sz w:val="24"/>
                <w:szCs w:val="24"/>
              </w:rPr>
            </w:pPr>
            <w:r>
              <w:rPr>
                <w:rFonts w:hint="eastAsia" w:ascii="宋体" w:hAnsi="宋体"/>
                <w:sz w:val="24"/>
                <w:szCs w:val="24"/>
              </w:rPr>
              <w:t>账号：53050169863600000823</w:t>
            </w:r>
          </w:p>
          <w:p w14:paraId="7AA1795B">
            <w:pPr>
              <w:wordWrap w:val="0"/>
              <w:adjustRightInd w:val="0"/>
              <w:snapToGrid w:val="0"/>
              <w:rPr>
                <w:rFonts w:hint="eastAsia" w:ascii="宋体" w:hAnsi="宋体"/>
                <w:b/>
                <w:spacing w:val="10"/>
                <w:sz w:val="24"/>
                <w:szCs w:val="24"/>
              </w:rPr>
            </w:pPr>
            <w:r>
              <w:rPr>
                <w:rFonts w:hint="eastAsia" w:ascii="宋体" w:hAnsi="宋体"/>
                <w:b/>
                <w:spacing w:val="10"/>
                <w:sz w:val="24"/>
                <w:szCs w:val="24"/>
              </w:rPr>
              <w:t>注：</w:t>
            </w:r>
          </w:p>
          <w:p w14:paraId="18CD9FED">
            <w:pPr>
              <w:wordWrap w:val="0"/>
              <w:adjustRightInd w:val="0"/>
              <w:snapToGrid w:val="0"/>
              <w:rPr>
                <w:rFonts w:hint="eastAsia" w:ascii="宋体" w:hAnsi="宋体"/>
                <w:b/>
                <w:spacing w:val="10"/>
                <w:sz w:val="24"/>
                <w:szCs w:val="24"/>
              </w:rPr>
            </w:pPr>
            <w:r>
              <w:rPr>
                <w:rFonts w:hint="eastAsia" w:ascii="宋体" w:hAnsi="宋体"/>
                <w:b/>
                <w:spacing w:val="10"/>
                <w:sz w:val="24"/>
                <w:szCs w:val="24"/>
              </w:rPr>
              <w:t>（1）保证金退还方式：保证金退还时，不退现金。以网上银行的方式将保证金退还至磋商供应商原提交账户，请磋商供应商准确提供公司账户信息。</w:t>
            </w:r>
          </w:p>
          <w:p w14:paraId="411DFFE0">
            <w:pPr>
              <w:wordWrap w:val="0"/>
              <w:adjustRightInd w:val="0"/>
              <w:snapToGrid w:val="0"/>
              <w:rPr>
                <w:rFonts w:cs="宋体" w:asciiTheme="minorEastAsia" w:hAnsiTheme="minorEastAsia" w:eastAsiaTheme="minorEastAsia"/>
                <w:bCs/>
                <w:spacing w:val="10"/>
                <w:sz w:val="24"/>
                <w:szCs w:val="24"/>
              </w:rPr>
            </w:pPr>
            <w:r>
              <w:rPr>
                <w:rFonts w:hint="eastAsia" w:ascii="宋体" w:hAnsi="宋体" w:cs="宋体"/>
                <w:b/>
                <w:spacing w:val="10"/>
                <w:sz w:val="24"/>
                <w:szCs w:val="24"/>
              </w:rPr>
              <w:t>（2）供应商交纳磋商保证金时需备注项目名称及项目编号，交纳后将相关凭证扫描件发送给采购代理机构邮箱1656275974@qq.com，并及时电话告知采购代理机构电话：15096978144</w:t>
            </w:r>
          </w:p>
        </w:tc>
      </w:tr>
      <w:tr w14:paraId="18F6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72F3AACE">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27</w:t>
            </w:r>
          </w:p>
        </w:tc>
        <w:tc>
          <w:tcPr>
            <w:tcW w:w="1032" w:type="dxa"/>
            <w:vAlign w:val="center"/>
          </w:tcPr>
          <w:p w14:paraId="1D9B25C5">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3.5.3</w:t>
            </w:r>
          </w:p>
        </w:tc>
        <w:tc>
          <w:tcPr>
            <w:tcW w:w="1784" w:type="dxa"/>
            <w:vAlign w:val="center"/>
          </w:tcPr>
          <w:p w14:paraId="71D9293C">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签字或盖章要求</w:t>
            </w:r>
          </w:p>
        </w:tc>
        <w:tc>
          <w:tcPr>
            <w:tcW w:w="6327" w:type="dxa"/>
            <w:vAlign w:val="center"/>
          </w:tcPr>
          <w:p w14:paraId="61DF889B">
            <w:pPr>
              <w:wordWrap w:val="0"/>
              <w:autoSpaceDE w:val="0"/>
              <w:adjustRightInd w:val="0"/>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磋商响应文件编制完成后须用云南 CA 按格式进行电子签章，在所要求的位置有法定代表人(单位负责人)或其委托代理人电子签名或电子签章，均使用云南 CA 按格式进行电子签章，联合体参加采购的除格式要求外，可由联合体牵头单位签署。</w:t>
            </w:r>
          </w:p>
        </w:tc>
      </w:tr>
      <w:tr w14:paraId="6403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77B472F7">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28</w:t>
            </w:r>
          </w:p>
        </w:tc>
        <w:tc>
          <w:tcPr>
            <w:tcW w:w="1032" w:type="dxa"/>
            <w:vAlign w:val="center"/>
          </w:tcPr>
          <w:p w14:paraId="65223D55">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3.5.4</w:t>
            </w:r>
          </w:p>
        </w:tc>
        <w:tc>
          <w:tcPr>
            <w:tcW w:w="1784" w:type="dxa"/>
            <w:vAlign w:val="center"/>
          </w:tcPr>
          <w:p w14:paraId="5BE1824A">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磋商响应文件份数</w:t>
            </w:r>
          </w:p>
        </w:tc>
        <w:tc>
          <w:tcPr>
            <w:tcW w:w="6327" w:type="dxa"/>
            <w:vAlign w:val="center"/>
          </w:tcPr>
          <w:p w14:paraId="1B03A26C">
            <w:pPr>
              <w:wordWrap w:val="0"/>
              <w:autoSpaceDE w:val="0"/>
              <w:adjustRightInd w:val="0"/>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按“政采云”要求，上传电子响应文件壹份。</w:t>
            </w:r>
          </w:p>
        </w:tc>
      </w:tr>
      <w:tr w14:paraId="4432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425FFC65">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29</w:t>
            </w:r>
          </w:p>
        </w:tc>
        <w:tc>
          <w:tcPr>
            <w:tcW w:w="1032" w:type="dxa"/>
            <w:vAlign w:val="center"/>
          </w:tcPr>
          <w:p w14:paraId="26046AE3">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4.1.1</w:t>
            </w:r>
          </w:p>
        </w:tc>
        <w:tc>
          <w:tcPr>
            <w:tcW w:w="1784" w:type="dxa"/>
            <w:vAlign w:val="center"/>
          </w:tcPr>
          <w:p w14:paraId="4FCA6835">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响应文件加密要求</w:t>
            </w:r>
          </w:p>
        </w:tc>
        <w:tc>
          <w:tcPr>
            <w:tcW w:w="6327" w:type="dxa"/>
            <w:vAlign w:val="center"/>
          </w:tcPr>
          <w:p w14:paraId="0A6A7E62">
            <w:pPr>
              <w:wordWrap w:val="0"/>
              <w:adjustRightInd w:val="0"/>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CA锁加密</w:t>
            </w:r>
          </w:p>
        </w:tc>
      </w:tr>
      <w:tr w14:paraId="35EF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2749B1FB">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30</w:t>
            </w:r>
          </w:p>
        </w:tc>
        <w:tc>
          <w:tcPr>
            <w:tcW w:w="1032" w:type="dxa"/>
            <w:vAlign w:val="center"/>
          </w:tcPr>
          <w:p w14:paraId="44844518">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4.2.1</w:t>
            </w:r>
          </w:p>
        </w:tc>
        <w:tc>
          <w:tcPr>
            <w:tcW w:w="1784" w:type="dxa"/>
            <w:vAlign w:val="center"/>
          </w:tcPr>
          <w:p w14:paraId="361E5ED8">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磋商响应文件递交截止时间</w:t>
            </w:r>
          </w:p>
        </w:tc>
        <w:tc>
          <w:tcPr>
            <w:tcW w:w="6327" w:type="dxa"/>
            <w:vAlign w:val="center"/>
          </w:tcPr>
          <w:p w14:paraId="6ADB62C8">
            <w:pPr>
              <w:wordWrap w:val="0"/>
              <w:autoSpaceDE w:val="0"/>
              <w:autoSpaceDN w:val="0"/>
              <w:adjustRightInd w:val="0"/>
              <w:snapToGrid w:val="0"/>
              <w:jc w:val="left"/>
              <w:rPr>
                <w:rFonts w:cs="宋体" w:asciiTheme="minorEastAsia" w:hAnsiTheme="minorEastAsia" w:eastAsiaTheme="minorEastAsia"/>
                <w:sz w:val="24"/>
                <w:szCs w:val="24"/>
              </w:rPr>
            </w:pPr>
            <w:bookmarkStart w:id="230" w:name="OLE_LINK145"/>
            <w:bookmarkStart w:id="231" w:name="OLE_LINK134"/>
            <w:r>
              <w:rPr>
                <w:rFonts w:hint="eastAsia" w:cs="宋体" w:asciiTheme="minorEastAsia" w:hAnsiTheme="minorEastAsia" w:eastAsiaTheme="minorEastAsia"/>
                <w:sz w:val="24"/>
                <w:szCs w:val="24"/>
                <w:highlight w:val="none"/>
              </w:rPr>
              <w:t>2026年0</w:t>
            </w:r>
            <w:r>
              <w:rPr>
                <w:rFonts w:hint="eastAsia" w:cs="宋体" w:asciiTheme="minorEastAsia" w:hAnsiTheme="minorEastAsia" w:eastAsiaTheme="minorEastAsia"/>
                <w:sz w:val="24"/>
                <w:szCs w:val="24"/>
                <w:highlight w:val="none"/>
                <w:lang w:val="en-US" w:eastAsia="zh-CN"/>
              </w:rPr>
              <w:t>5</w:t>
            </w:r>
            <w:r>
              <w:rPr>
                <w:rFonts w:hint="eastAsia" w:cs="宋体" w:asciiTheme="minorEastAsia" w:hAnsiTheme="minorEastAsia" w:eastAsiaTheme="minorEastAsia"/>
                <w:sz w:val="24"/>
                <w:szCs w:val="24"/>
                <w:highlight w:val="none"/>
              </w:rPr>
              <w:t>月</w:t>
            </w:r>
            <w:r>
              <w:rPr>
                <w:rFonts w:hint="eastAsia" w:cs="宋体" w:asciiTheme="minorEastAsia" w:hAnsiTheme="minorEastAsia" w:eastAsiaTheme="minorEastAsia"/>
                <w:sz w:val="24"/>
                <w:szCs w:val="24"/>
                <w:highlight w:val="none"/>
                <w:lang w:val="en-US" w:eastAsia="zh-CN"/>
              </w:rPr>
              <w:t>22</w:t>
            </w:r>
            <w:r>
              <w:rPr>
                <w:rFonts w:hint="eastAsia" w:cs="宋体" w:asciiTheme="minorEastAsia" w:hAnsiTheme="minorEastAsia" w:eastAsiaTheme="minorEastAsia"/>
                <w:sz w:val="24"/>
                <w:szCs w:val="24"/>
                <w:highlight w:val="none"/>
              </w:rPr>
              <w:t>日0</w:t>
            </w:r>
            <w:r>
              <w:rPr>
                <w:rFonts w:hint="eastAsia" w:cs="宋体" w:asciiTheme="minorEastAsia" w:hAnsiTheme="minorEastAsia" w:eastAsiaTheme="minorEastAsia"/>
                <w:sz w:val="24"/>
                <w:szCs w:val="24"/>
                <w:highlight w:val="none"/>
                <w:lang w:val="en-US" w:eastAsia="zh-CN"/>
              </w:rPr>
              <w:t>9</w:t>
            </w:r>
            <w:r>
              <w:rPr>
                <w:rFonts w:hint="eastAsia" w:cs="宋体" w:asciiTheme="minorEastAsia" w:hAnsiTheme="minorEastAsia" w:eastAsiaTheme="minorEastAsia"/>
                <w:sz w:val="24"/>
                <w:szCs w:val="24"/>
                <w:highlight w:val="none"/>
              </w:rPr>
              <w:t>时00分（北京时间）</w:t>
            </w:r>
            <w:bookmarkEnd w:id="230"/>
            <w:bookmarkEnd w:id="231"/>
          </w:p>
        </w:tc>
      </w:tr>
      <w:tr w14:paraId="12A8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734D9CDE">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w:t>
            </w:r>
          </w:p>
        </w:tc>
        <w:tc>
          <w:tcPr>
            <w:tcW w:w="1032" w:type="dxa"/>
            <w:vAlign w:val="center"/>
          </w:tcPr>
          <w:p w14:paraId="38F4B226">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4.2.2</w:t>
            </w:r>
          </w:p>
        </w:tc>
        <w:tc>
          <w:tcPr>
            <w:tcW w:w="1784" w:type="dxa"/>
            <w:vAlign w:val="center"/>
          </w:tcPr>
          <w:p w14:paraId="2D410129">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是否退还已递交的磋商响应文件</w:t>
            </w:r>
          </w:p>
        </w:tc>
        <w:tc>
          <w:tcPr>
            <w:tcW w:w="6327" w:type="dxa"/>
            <w:vAlign w:val="center"/>
          </w:tcPr>
          <w:p w14:paraId="3994DC1D">
            <w:pPr>
              <w:wordWrap w:val="0"/>
              <w:autoSpaceDE w:val="0"/>
              <w:autoSpaceDN w:val="0"/>
              <w:adjustRightInd w:val="0"/>
              <w:snapToGrid w:val="0"/>
              <w:jc w:val="left"/>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■否</w:t>
            </w:r>
          </w:p>
          <w:p w14:paraId="5AAC37AB">
            <w:pPr>
              <w:wordWrap w:val="0"/>
              <w:autoSpaceDE w:val="0"/>
              <w:autoSpaceDN w:val="0"/>
              <w:adjustRightInd w:val="0"/>
              <w:snapToGrid w:val="0"/>
              <w:jc w:val="left"/>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□是</w:t>
            </w:r>
          </w:p>
        </w:tc>
      </w:tr>
      <w:tr w14:paraId="59D2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22DC00A9">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w:t>
            </w:r>
          </w:p>
        </w:tc>
        <w:tc>
          <w:tcPr>
            <w:tcW w:w="1032" w:type="dxa"/>
            <w:vAlign w:val="center"/>
          </w:tcPr>
          <w:p w14:paraId="15C789BA">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5.1</w:t>
            </w:r>
          </w:p>
        </w:tc>
        <w:tc>
          <w:tcPr>
            <w:tcW w:w="1784" w:type="dxa"/>
            <w:vAlign w:val="center"/>
          </w:tcPr>
          <w:p w14:paraId="4FF473E6">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磋商会开始时间和地点</w:t>
            </w:r>
          </w:p>
        </w:tc>
        <w:tc>
          <w:tcPr>
            <w:tcW w:w="6327" w:type="dxa"/>
            <w:vAlign w:val="center"/>
          </w:tcPr>
          <w:p w14:paraId="719D05D9">
            <w:pPr>
              <w:wordWrap w:val="0"/>
              <w:autoSpaceDE w:val="0"/>
              <w:autoSpaceDN w:val="0"/>
              <w:adjustRightInd w:val="0"/>
              <w:snapToGrid w:val="0"/>
              <w:jc w:val="left"/>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磋商会时间：</w:t>
            </w:r>
            <w:r>
              <w:rPr>
                <w:rFonts w:hint="eastAsia" w:cs="宋体" w:asciiTheme="minorEastAsia" w:hAnsiTheme="minorEastAsia" w:eastAsiaTheme="minorEastAsia"/>
                <w:sz w:val="24"/>
                <w:szCs w:val="24"/>
                <w:highlight w:val="none"/>
              </w:rPr>
              <w:t>2026年0</w:t>
            </w:r>
            <w:r>
              <w:rPr>
                <w:rFonts w:hint="eastAsia" w:cs="宋体" w:asciiTheme="minorEastAsia" w:hAnsiTheme="minorEastAsia" w:eastAsiaTheme="minorEastAsia"/>
                <w:sz w:val="24"/>
                <w:szCs w:val="24"/>
                <w:highlight w:val="none"/>
                <w:lang w:val="en-US" w:eastAsia="zh-CN"/>
              </w:rPr>
              <w:t>5</w:t>
            </w:r>
            <w:r>
              <w:rPr>
                <w:rFonts w:hint="eastAsia" w:cs="宋体" w:asciiTheme="minorEastAsia" w:hAnsiTheme="minorEastAsia" w:eastAsiaTheme="minorEastAsia"/>
                <w:sz w:val="24"/>
                <w:szCs w:val="24"/>
                <w:highlight w:val="none"/>
              </w:rPr>
              <w:t>月</w:t>
            </w:r>
            <w:r>
              <w:rPr>
                <w:rFonts w:hint="eastAsia" w:cs="宋体" w:asciiTheme="minorEastAsia" w:hAnsiTheme="minorEastAsia" w:eastAsiaTheme="minorEastAsia"/>
                <w:sz w:val="24"/>
                <w:szCs w:val="24"/>
                <w:highlight w:val="none"/>
                <w:lang w:val="en-US" w:eastAsia="zh-CN"/>
              </w:rPr>
              <w:t>22</w:t>
            </w:r>
            <w:r>
              <w:rPr>
                <w:rFonts w:hint="eastAsia" w:cs="宋体" w:asciiTheme="minorEastAsia" w:hAnsiTheme="minorEastAsia" w:eastAsiaTheme="minorEastAsia"/>
                <w:sz w:val="24"/>
                <w:szCs w:val="24"/>
                <w:highlight w:val="none"/>
              </w:rPr>
              <w:t>日0</w:t>
            </w:r>
            <w:r>
              <w:rPr>
                <w:rFonts w:hint="eastAsia" w:cs="宋体" w:asciiTheme="minorEastAsia" w:hAnsiTheme="minorEastAsia" w:eastAsiaTheme="minorEastAsia"/>
                <w:sz w:val="24"/>
                <w:szCs w:val="24"/>
                <w:highlight w:val="none"/>
                <w:lang w:val="en-US" w:eastAsia="zh-CN"/>
              </w:rPr>
              <w:t>9</w:t>
            </w:r>
            <w:r>
              <w:rPr>
                <w:rFonts w:hint="eastAsia" w:cs="宋体" w:asciiTheme="minorEastAsia" w:hAnsiTheme="minorEastAsia" w:eastAsiaTheme="minorEastAsia"/>
                <w:sz w:val="24"/>
                <w:szCs w:val="24"/>
                <w:highlight w:val="none"/>
              </w:rPr>
              <w:t>时00分</w:t>
            </w:r>
            <w:r>
              <w:rPr>
                <w:rFonts w:hint="eastAsia" w:cs="宋体" w:asciiTheme="minorEastAsia" w:hAnsiTheme="minorEastAsia" w:eastAsiaTheme="minorEastAsia"/>
                <w:sz w:val="24"/>
                <w:szCs w:val="24"/>
              </w:rPr>
              <w:t>（北京时间）</w:t>
            </w:r>
          </w:p>
          <w:p w14:paraId="5230E597">
            <w:pPr>
              <w:wordWrap w:val="0"/>
              <w:adjustRightInd w:val="0"/>
              <w:snapToGrid w:val="0"/>
              <w:rPr>
                <w:rFonts w:cs="宋体" w:asciiTheme="minorEastAsia" w:hAnsiTheme="minorEastAsia" w:eastAsiaTheme="minorEastAsia"/>
                <w:bCs/>
                <w:spacing w:val="10"/>
                <w:sz w:val="24"/>
                <w:szCs w:val="24"/>
              </w:rPr>
            </w:pPr>
            <w:r>
              <w:rPr>
                <w:rFonts w:hint="eastAsia" w:cs="宋体" w:asciiTheme="minorEastAsia" w:hAnsiTheme="minorEastAsia" w:eastAsiaTheme="minorEastAsia"/>
                <w:sz w:val="24"/>
                <w:szCs w:val="24"/>
              </w:rPr>
              <w:t>磋商会地点：云南华伟招标有限公司（云南省普洱市思茅区南屏镇人民东路3号10楼）</w:t>
            </w:r>
          </w:p>
        </w:tc>
      </w:tr>
      <w:tr w14:paraId="265E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6C8FBD67">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w:t>
            </w:r>
          </w:p>
        </w:tc>
        <w:tc>
          <w:tcPr>
            <w:tcW w:w="1032" w:type="dxa"/>
            <w:vAlign w:val="center"/>
          </w:tcPr>
          <w:p w14:paraId="0A4AD8C2">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6.1.1</w:t>
            </w:r>
          </w:p>
        </w:tc>
        <w:tc>
          <w:tcPr>
            <w:tcW w:w="1784" w:type="dxa"/>
            <w:vAlign w:val="center"/>
          </w:tcPr>
          <w:p w14:paraId="0303FC05">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磋商小组的组建</w:t>
            </w:r>
          </w:p>
        </w:tc>
        <w:tc>
          <w:tcPr>
            <w:tcW w:w="6327" w:type="dxa"/>
            <w:vAlign w:val="center"/>
          </w:tcPr>
          <w:p w14:paraId="06DFA153">
            <w:pPr>
              <w:wordWrap w:val="0"/>
              <w:autoSpaceDE w:val="0"/>
              <w:autoSpaceDN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磋商小组构成：</w:t>
            </w:r>
            <w:bookmarkStart w:id="232" w:name="OLE_LINK47"/>
            <w:bookmarkStart w:id="233" w:name="OLE_LINK48"/>
            <w:r>
              <w:rPr>
                <w:rFonts w:hint="eastAsia" w:cs="宋体" w:asciiTheme="minorEastAsia" w:hAnsiTheme="minorEastAsia" w:eastAsiaTheme="minorEastAsia"/>
                <w:sz w:val="24"/>
                <w:szCs w:val="24"/>
              </w:rPr>
              <w:t>磋商小组由3人以上（含3人）单数组成，</w:t>
            </w:r>
            <w:bookmarkEnd w:id="232"/>
            <w:bookmarkEnd w:id="233"/>
            <w:r>
              <w:rPr>
                <w:rFonts w:hint="eastAsia" w:cs="宋体" w:asciiTheme="minorEastAsia" w:hAnsiTheme="minorEastAsia" w:eastAsiaTheme="minorEastAsia"/>
                <w:sz w:val="24"/>
                <w:szCs w:val="24"/>
              </w:rPr>
              <w:t>由采购人代表以及有关技术、经济等方面的专家组成，其中技术、经济等方面专家不得少于成员总数的三分之二。</w:t>
            </w:r>
          </w:p>
          <w:p w14:paraId="5584CF92">
            <w:pPr>
              <w:wordWrap w:val="0"/>
              <w:autoSpaceDE w:val="0"/>
              <w:autoSpaceDN w:val="0"/>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评审专家确定方式：系统随机抽取。</w:t>
            </w:r>
          </w:p>
        </w:tc>
      </w:tr>
      <w:tr w14:paraId="0AA2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4C3DBE1E">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34</w:t>
            </w:r>
          </w:p>
        </w:tc>
        <w:tc>
          <w:tcPr>
            <w:tcW w:w="1032" w:type="dxa"/>
            <w:vAlign w:val="center"/>
          </w:tcPr>
          <w:p w14:paraId="6016559A">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6.3.2</w:t>
            </w:r>
          </w:p>
        </w:tc>
        <w:tc>
          <w:tcPr>
            <w:tcW w:w="1784" w:type="dxa"/>
            <w:vAlign w:val="center"/>
          </w:tcPr>
          <w:p w14:paraId="08A26E6B">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磋商小组推荐成交候选人的人数</w:t>
            </w:r>
          </w:p>
        </w:tc>
        <w:tc>
          <w:tcPr>
            <w:tcW w:w="6327" w:type="dxa"/>
            <w:vAlign w:val="center"/>
          </w:tcPr>
          <w:p w14:paraId="747C4E53">
            <w:pPr>
              <w:pStyle w:val="47"/>
              <w:wordWrap w:val="0"/>
              <w:adjustRightInd w:val="0"/>
              <w:snapToGrid w:val="0"/>
              <w:rPr>
                <w:rFonts w:cs="宋体" w:asciiTheme="minorEastAsia" w:hAnsiTheme="minorEastAsia" w:eastAsiaTheme="minorEastAsia"/>
                <w:spacing w:val="-2"/>
                <w:kern w:val="2"/>
                <w:sz w:val="24"/>
                <w:szCs w:val="24"/>
              </w:rPr>
            </w:pPr>
            <w:r>
              <w:rPr>
                <w:rFonts w:hint="eastAsia" w:cs="宋体" w:asciiTheme="minorEastAsia" w:hAnsiTheme="minorEastAsia" w:eastAsiaTheme="minorEastAsia"/>
                <w:spacing w:val="-2"/>
                <w:kern w:val="2"/>
                <w:sz w:val="24"/>
                <w:szCs w:val="24"/>
              </w:rPr>
              <w:t>3名。</w:t>
            </w:r>
            <w:r>
              <w:rPr>
                <w:rFonts w:hint="eastAsia" w:cs="宋体" w:asciiTheme="minorEastAsia" w:hAnsiTheme="minorEastAsia" w:eastAsiaTheme="minorEastAsia"/>
                <w:kern w:val="2"/>
                <w:sz w:val="24"/>
                <w:szCs w:val="24"/>
              </w:rPr>
              <w:t>符合财库[2014]214号第二十一条第三款情形和财库[2015]124号规定的，可以推荐2家成交候选供应商。</w:t>
            </w:r>
          </w:p>
        </w:tc>
      </w:tr>
      <w:tr w14:paraId="54CF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6F1D77C9">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w:t>
            </w:r>
          </w:p>
        </w:tc>
        <w:tc>
          <w:tcPr>
            <w:tcW w:w="1032" w:type="dxa"/>
            <w:vAlign w:val="center"/>
          </w:tcPr>
          <w:p w14:paraId="39B96EE2">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7.1</w:t>
            </w:r>
          </w:p>
        </w:tc>
        <w:tc>
          <w:tcPr>
            <w:tcW w:w="1784" w:type="dxa"/>
            <w:vAlign w:val="center"/>
          </w:tcPr>
          <w:p w14:paraId="144BEA82">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是否授权磋商小组确定成交人</w:t>
            </w:r>
          </w:p>
        </w:tc>
        <w:tc>
          <w:tcPr>
            <w:tcW w:w="6327" w:type="dxa"/>
            <w:vAlign w:val="center"/>
          </w:tcPr>
          <w:p w14:paraId="71B064EF">
            <w:pPr>
              <w:pStyle w:val="47"/>
              <w:wordWrap w:val="0"/>
              <w:adjustRightInd w:val="0"/>
              <w:snapToGrid w:val="0"/>
              <w:rPr>
                <w:rFonts w:cs="宋体" w:asciiTheme="minorEastAsia" w:hAnsiTheme="minorEastAsia" w:eastAsiaTheme="minorEastAsia"/>
                <w:spacing w:val="-2"/>
                <w:kern w:val="2"/>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eastAsiaTheme="minorEastAsia"/>
                <w:spacing w:val="-2"/>
                <w:kern w:val="2"/>
                <w:sz w:val="24"/>
                <w:szCs w:val="24"/>
              </w:rPr>
              <w:t>否</w:t>
            </w:r>
          </w:p>
          <w:p w14:paraId="38C70997">
            <w:pPr>
              <w:pStyle w:val="47"/>
              <w:wordWrap w:val="0"/>
              <w:adjustRightInd w:val="0"/>
              <w:snapToGrid w:val="0"/>
              <w:rPr>
                <w:rFonts w:cs="宋体" w:asciiTheme="minorEastAsia" w:hAnsiTheme="minorEastAsia" w:eastAsiaTheme="minorEastAsia"/>
                <w:spacing w:val="-2"/>
                <w:kern w:val="2"/>
                <w:sz w:val="24"/>
                <w:szCs w:val="24"/>
              </w:rPr>
            </w:pPr>
            <w:bookmarkStart w:id="234" w:name="OLE_LINK192"/>
            <w:bookmarkStart w:id="235" w:name="OLE_LINK191"/>
            <w:r>
              <w:rPr>
                <w:rFonts w:hint="eastAsia" w:cs="宋体" w:asciiTheme="minorEastAsia" w:hAnsiTheme="minorEastAsia" w:eastAsiaTheme="minorEastAsia"/>
                <w:sz w:val="24"/>
                <w:szCs w:val="24"/>
              </w:rPr>
              <w:t>□</w:t>
            </w:r>
            <w:bookmarkEnd w:id="234"/>
            <w:bookmarkEnd w:id="235"/>
            <w:r>
              <w:rPr>
                <w:rFonts w:hint="eastAsia" w:cs="宋体" w:asciiTheme="minorEastAsia" w:hAnsiTheme="minorEastAsia" w:eastAsiaTheme="minorEastAsia"/>
                <w:spacing w:val="-2"/>
                <w:kern w:val="2"/>
                <w:sz w:val="24"/>
                <w:szCs w:val="24"/>
              </w:rPr>
              <w:t>是</w:t>
            </w:r>
          </w:p>
        </w:tc>
      </w:tr>
      <w:tr w14:paraId="5761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451ED8A2">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w:t>
            </w:r>
          </w:p>
        </w:tc>
        <w:tc>
          <w:tcPr>
            <w:tcW w:w="1032" w:type="dxa"/>
            <w:vAlign w:val="center"/>
          </w:tcPr>
          <w:p w14:paraId="70DF4D1C">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w:t>
            </w:r>
          </w:p>
        </w:tc>
        <w:tc>
          <w:tcPr>
            <w:tcW w:w="1784" w:type="dxa"/>
            <w:vAlign w:val="center"/>
          </w:tcPr>
          <w:p w14:paraId="5C0152C4">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成交公告媒介</w:t>
            </w:r>
          </w:p>
        </w:tc>
        <w:tc>
          <w:tcPr>
            <w:tcW w:w="6327" w:type="dxa"/>
            <w:vAlign w:val="center"/>
          </w:tcPr>
          <w:p w14:paraId="04C50933">
            <w:pPr>
              <w:pStyle w:val="47"/>
              <w:wordWrap w:val="0"/>
              <w:adjustRightInd w:val="0"/>
              <w:snapToGrid w:val="0"/>
              <w:rPr>
                <w:rFonts w:cs="宋体" w:asciiTheme="minorEastAsia" w:hAnsiTheme="minorEastAsia" w:eastAsiaTheme="minorEastAsia"/>
                <w:spacing w:val="-2"/>
                <w:kern w:val="2"/>
                <w:sz w:val="24"/>
                <w:szCs w:val="24"/>
              </w:rPr>
            </w:pPr>
            <w:r>
              <w:rPr>
                <w:rFonts w:hint="eastAsia" w:cs="宋体" w:asciiTheme="minorEastAsia" w:hAnsiTheme="minorEastAsia" w:eastAsiaTheme="minorEastAsia"/>
                <w:spacing w:val="-2"/>
                <w:kern w:val="2"/>
                <w:sz w:val="24"/>
                <w:szCs w:val="24"/>
              </w:rPr>
              <w:t>公告媒介：与磋商公告发布媒介一致</w:t>
            </w:r>
          </w:p>
          <w:p w14:paraId="4919C4F6">
            <w:pPr>
              <w:pStyle w:val="47"/>
              <w:wordWrap w:val="0"/>
              <w:adjustRightInd w:val="0"/>
              <w:snapToGrid w:val="0"/>
              <w:rPr>
                <w:rFonts w:cs="宋体" w:asciiTheme="minorEastAsia" w:hAnsiTheme="minorEastAsia" w:eastAsiaTheme="minorEastAsia"/>
                <w:spacing w:val="-2"/>
                <w:kern w:val="2"/>
                <w:sz w:val="24"/>
                <w:szCs w:val="24"/>
              </w:rPr>
            </w:pPr>
            <w:r>
              <w:rPr>
                <w:rFonts w:hint="eastAsia" w:cs="宋体" w:asciiTheme="minorEastAsia" w:hAnsiTheme="minorEastAsia" w:eastAsiaTheme="minorEastAsia"/>
                <w:spacing w:val="-2"/>
                <w:kern w:val="2"/>
                <w:sz w:val="24"/>
                <w:szCs w:val="24"/>
              </w:rPr>
              <w:t>公告期限：1个工作日</w:t>
            </w:r>
          </w:p>
        </w:tc>
      </w:tr>
      <w:tr w14:paraId="4D70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14:paraId="62288F21">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w:t>
            </w:r>
          </w:p>
        </w:tc>
        <w:tc>
          <w:tcPr>
            <w:tcW w:w="1032" w:type="dxa"/>
            <w:vAlign w:val="center"/>
          </w:tcPr>
          <w:p w14:paraId="0D947FFF">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7.5.1</w:t>
            </w:r>
          </w:p>
        </w:tc>
        <w:tc>
          <w:tcPr>
            <w:tcW w:w="1784" w:type="dxa"/>
            <w:vAlign w:val="center"/>
          </w:tcPr>
          <w:p w14:paraId="61D17296">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是否要求提交履约保证金</w:t>
            </w:r>
          </w:p>
        </w:tc>
        <w:tc>
          <w:tcPr>
            <w:tcW w:w="6327" w:type="dxa"/>
            <w:vAlign w:val="center"/>
          </w:tcPr>
          <w:p w14:paraId="056D7D30">
            <w:pPr>
              <w:pStyle w:val="47"/>
              <w:wordWrap w:val="0"/>
              <w:adjustRightInd w:val="0"/>
              <w:snapToGrid w:val="0"/>
              <w:rPr>
                <w:rFonts w:cs="宋体" w:asciiTheme="minorEastAsia" w:hAnsiTheme="minorEastAsia" w:eastAsiaTheme="minorEastAsia"/>
                <w:spacing w:val="-2"/>
                <w:kern w:val="2"/>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eastAsiaTheme="minorEastAsia"/>
                <w:spacing w:val="-2"/>
                <w:kern w:val="2"/>
                <w:sz w:val="24"/>
                <w:szCs w:val="24"/>
              </w:rPr>
              <w:t>不要求</w:t>
            </w:r>
          </w:p>
          <w:p w14:paraId="2643BBA4">
            <w:pPr>
              <w:pStyle w:val="47"/>
              <w:wordWrap w:val="0"/>
              <w:adjustRightInd w:val="0"/>
              <w:snapToGrid w:val="0"/>
              <w:rPr>
                <w:rFonts w:cs="宋体" w:asciiTheme="minorEastAsia" w:hAnsiTheme="minorEastAsia" w:eastAsiaTheme="minorEastAsia"/>
                <w:spacing w:val="-2"/>
                <w:kern w:val="2"/>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eastAsiaTheme="minorEastAsia"/>
                <w:spacing w:val="-2"/>
                <w:kern w:val="2"/>
                <w:sz w:val="24"/>
                <w:szCs w:val="24"/>
              </w:rPr>
              <w:t>要求：</w:t>
            </w:r>
          </w:p>
          <w:p w14:paraId="651FD3B7">
            <w:pPr>
              <w:pStyle w:val="47"/>
              <w:wordWrap w:val="0"/>
              <w:adjustRightInd w:val="0"/>
              <w:snapToGrid w:val="0"/>
              <w:rPr>
                <w:rFonts w:cs="宋体" w:asciiTheme="minorEastAsia" w:hAnsiTheme="minorEastAsia" w:eastAsiaTheme="minorEastAsia"/>
                <w:spacing w:val="-2"/>
                <w:kern w:val="2"/>
                <w:sz w:val="24"/>
                <w:szCs w:val="24"/>
              </w:rPr>
            </w:pPr>
            <w:bookmarkStart w:id="236" w:name="OLE_LINK80"/>
            <w:r>
              <w:rPr>
                <w:rFonts w:hint="eastAsia" w:cs="宋体" w:asciiTheme="minorEastAsia" w:hAnsiTheme="minorEastAsia" w:eastAsiaTheme="minorEastAsia"/>
                <w:spacing w:val="-2"/>
                <w:kern w:val="2"/>
                <w:sz w:val="24"/>
                <w:szCs w:val="24"/>
              </w:rPr>
              <w:t>1、履约保证金金额：不超过合同金额的</w:t>
            </w:r>
            <w:r>
              <w:rPr>
                <w:rFonts w:hint="eastAsia" w:cs="宋体" w:asciiTheme="minorEastAsia" w:hAnsiTheme="minorEastAsia" w:eastAsiaTheme="minorEastAsia"/>
                <w:spacing w:val="-2"/>
                <w:kern w:val="2"/>
                <w:sz w:val="24"/>
                <w:szCs w:val="24"/>
                <w:u w:val="single"/>
              </w:rPr>
              <w:t>10</w:t>
            </w:r>
            <w:r>
              <w:rPr>
                <w:rFonts w:hint="eastAsia" w:cs="宋体" w:asciiTheme="minorEastAsia" w:hAnsiTheme="minorEastAsia" w:eastAsiaTheme="minorEastAsia"/>
                <w:spacing w:val="-2"/>
                <w:kern w:val="2"/>
                <w:sz w:val="24"/>
                <w:szCs w:val="24"/>
              </w:rPr>
              <w:t>%；</w:t>
            </w:r>
          </w:p>
          <w:p w14:paraId="0888B9C3">
            <w:pPr>
              <w:pStyle w:val="47"/>
              <w:wordWrap w:val="0"/>
              <w:adjustRightInd w:val="0"/>
              <w:snapToGrid w:val="0"/>
              <w:rPr>
                <w:rFonts w:cs="宋体" w:asciiTheme="minorEastAsia" w:hAnsiTheme="minorEastAsia" w:eastAsiaTheme="minorEastAsia"/>
                <w:spacing w:val="-2"/>
                <w:kern w:val="2"/>
                <w:sz w:val="24"/>
                <w:szCs w:val="24"/>
              </w:rPr>
            </w:pPr>
            <w:r>
              <w:rPr>
                <w:rFonts w:hint="eastAsia" w:cs="宋体" w:asciiTheme="minorEastAsia" w:hAnsiTheme="minorEastAsia" w:eastAsiaTheme="minorEastAsia"/>
                <w:spacing w:val="-2"/>
                <w:kern w:val="2"/>
                <w:sz w:val="24"/>
                <w:szCs w:val="24"/>
              </w:rPr>
              <w:t>2、履约保证金交纳方式：银行转账、支票、汇票、本票或者金融机构、担保机构出具的保函等非现金形式提交。</w:t>
            </w:r>
            <w:bookmarkEnd w:id="236"/>
          </w:p>
        </w:tc>
      </w:tr>
      <w:tr w14:paraId="7DDE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Merge w:val="restart"/>
            <w:vAlign w:val="center"/>
          </w:tcPr>
          <w:p w14:paraId="6F3F985C">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38</w:t>
            </w:r>
          </w:p>
        </w:tc>
        <w:tc>
          <w:tcPr>
            <w:tcW w:w="9143" w:type="dxa"/>
            <w:gridSpan w:val="3"/>
            <w:vAlign w:val="center"/>
          </w:tcPr>
          <w:p w14:paraId="2437E765">
            <w:pPr>
              <w:pStyle w:val="47"/>
              <w:wordWrap w:val="0"/>
              <w:adjustRightInd w:val="0"/>
              <w:snapToGrid w:val="0"/>
              <w:rPr>
                <w:rFonts w:cs="宋体" w:asciiTheme="minorEastAsia" w:hAnsiTheme="minorEastAsia" w:eastAsiaTheme="minorEastAsia"/>
                <w:sz w:val="24"/>
                <w:szCs w:val="24"/>
              </w:rPr>
            </w:pPr>
            <w:r>
              <w:rPr>
                <w:rFonts w:hint="eastAsia" w:cs="宋体" w:asciiTheme="minorEastAsia" w:hAnsiTheme="minorEastAsia" w:eastAsiaTheme="minorEastAsia"/>
                <w:b/>
                <w:sz w:val="24"/>
                <w:szCs w:val="24"/>
              </w:rPr>
              <w:t>需要补充的其他内容</w:t>
            </w:r>
          </w:p>
        </w:tc>
      </w:tr>
      <w:tr w14:paraId="1418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Merge w:val="continue"/>
            <w:vAlign w:val="center"/>
          </w:tcPr>
          <w:p w14:paraId="07CC03AB">
            <w:pPr>
              <w:wordWrap w:val="0"/>
              <w:adjustRightInd w:val="0"/>
              <w:snapToGrid w:val="0"/>
              <w:jc w:val="center"/>
              <w:rPr>
                <w:rFonts w:cs="宋体" w:asciiTheme="minorEastAsia" w:hAnsiTheme="minorEastAsia" w:eastAsiaTheme="minorEastAsia"/>
                <w:sz w:val="24"/>
                <w:szCs w:val="24"/>
              </w:rPr>
            </w:pPr>
          </w:p>
        </w:tc>
        <w:tc>
          <w:tcPr>
            <w:tcW w:w="1032" w:type="dxa"/>
            <w:vAlign w:val="center"/>
          </w:tcPr>
          <w:p w14:paraId="399E92F6">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10.1</w:t>
            </w:r>
          </w:p>
        </w:tc>
        <w:tc>
          <w:tcPr>
            <w:tcW w:w="1784" w:type="dxa"/>
            <w:vAlign w:val="center"/>
          </w:tcPr>
          <w:p w14:paraId="7C7A9092">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落实的政府采购政策</w:t>
            </w:r>
          </w:p>
        </w:tc>
        <w:tc>
          <w:tcPr>
            <w:tcW w:w="6327" w:type="dxa"/>
            <w:vAlign w:val="center"/>
          </w:tcPr>
          <w:p w14:paraId="44FC3CB9">
            <w:pPr>
              <w:wordWrap w:val="0"/>
              <w:adjustRightInd w:val="0"/>
              <w:snapToGrid w:val="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1、中小企业优惠政策</w:t>
            </w:r>
          </w:p>
          <w:p w14:paraId="02C38050">
            <w:pPr>
              <w:wordWrap w:val="0"/>
              <w:adjustRightInd w:val="0"/>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是否适用于本项目：■适用□不适用。</w:t>
            </w:r>
          </w:p>
          <w:p w14:paraId="2AAC3337">
            <w:pPr>
              <w:wordWrap w:val="0"/>
              <w:adjustRightInd w:val="0"/>
              <w:snapToGrid w:val="0"/>
              <w:ind w:firstLine="482" w:firstLineChars="200"/>
              <w:rPr>
                <w:rFonts w:cs="宋体" w:asciiTheme="minorEastAsia" w:hAnsiTheme="minorEastAsia" w:eastAsiaTheme="minorEastAsia"/>
                <w:b/>
                <w:sz w:val="24"/>
                <w:szCs w:val="24"/>
              </w:rPr>
            </w:pPr>
            <w:bookmarkStart w:id="237" w:name="_Toc11372"/>
            <w:bookmarkStart w:id="238" w:name="_Toc2393"/>
            <w:bookmarkStart w:id="239" w:name="_Toc7479"/>
            <w:bookmarkStart w:id="240" w:name="_Toc2193"/>
            <w:bookmarkStart w:id="241" w:name="_Toc5856"/>
            <w:bookmarkStart w:id="242" w:name="_Toc28830"/>
            <w:bookmarkStart w:id="243" w:name="_Toc22997"/>
            <w:bookmarkStart w:id="244" w:name="_Toc30521"/>
            <w:bookmarkStart w:id="245" w:name="_Toc14458"/>
            <w:bookmarkStart w:id="246" w:name="_Toc21348"/>
            <w:r>
              <w:rPr>
                <w:rFonts w:hint="eastAsia" w:cs="宋体" w:asciiTheme="minorEastAsia" w:hAnsiTheme="minorEastAsia" w:eastAsiaTheme="minorEastAsia"/>
                <w:b/>
                <w:sz w:val="24"/>
                <w:szCs w:val="24"/>
              </w:rPr>
              <w:t>1.1根据财库〔2022〕19号《财政部关于进一步加大政府采购支持中小企业力度的通知》的规定。</w:t>
            </w:r>
            <w:bookmarkEnd w:id="237"/>
            <w:bookmarkEnd w:id="238"/>
            <w:bookmarkEnd w:id="239"/>
            <w:bookmarkEnd w:id="240"/>
            <w:bookmarkEnd w:id="241"/>
            <w:bookmarkEnd w:id="242"/>
            <w:bookmarkEnd w:id="243"/>
            <w:bookmarkEnd w:id="244"/>
            <w:bookmarkEnd w:id="245"/>
            <w:bookmarkEnd w:id="246"/>
          </w:p>
          <w:p w14:paraId="5D1EC862">
            <w:pPr>
              <w:pStyle w:val="56"/>
              <w:wordWrap w:val="0"/>
              <w:snapToGrid w:val="0"/>
              <w:ind w:firstLine="480" w:firstLineChars="200"/>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1.1.2本项目属于专门面向中小企业采购的项目；</w:t>
            </w:r>
          </w:p>
          <w:p w14:paraId="2D3F5B2F">
            <w:pPr>
              <w:pStyle w:val="56"/>
              <w:wordWrap w:val="0"/>
              <w:snapToGrid w:val="0"/>
              <w:ind w:firstLine="480" w:firstLineChars="200"/>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1.1.3本项目需要落实的政府采购政策：①小型和微型企业价格评分优惠政策：根据《国家统计局关于印发统计上大中小微型企业划分办法（2017）的通知》（国统字〔2017〕213号）、《财政部关于进一步加大政府采购支持中小企业力度的通知》（财库〔2022〕19号）的规定，对符合条件的小型和微型投标人，在投标报价评分时给予投标报价3%的扣除，用扣除后的价格参与投标报价评分。②监狱企业优惠政策：根据《关于政府采购支持监狱企业发展有关问题的通知》（财库〔2014〕68号）的规定，监狱企业优惠政策，监狱企业参与本项目投标时，提供由省级以上监狱管理局、戒毒管理局（含新疆生产建设兵团）出具的属于监狱企业的证明文件的，视同小型、微型企业享受价格扣除等优惠政策。③残疾人福利性单位优惠政策：根据《关于促进残疾人就业政府采购政策的通知》（财库〔2017〕141号）的规定，残疾人福利性单位优惠政策，残疾人福利性单位参与本项目投标时，提供《残疾人福利性单位声明函》并对声明的真实性负责，视同小型、微型企业享受价格扣除等优惠政策。④《关于印发环境标志产品政府采购品目清单的通知》财库[2019]18号、《关于印发节能产品政府采购品目清单的通知》财库[2019]19号，关于节能、环保产品的规定：政府采购属于节能（环保标志）清单中产品时，在技术、服务等指标同等条件下，应当优先采购节能（环保标志）清单所列的节能（环保标志）产品。</w:t>
            </w:r>
          </w:p>
          <w:p w14:paraId="77C40936">
            <w:pPr>
              <w:pStyle w:val="56"/>
              <w:wordWrap w:val="0"/>
              <w:snapToGrid w:val="0"/>
              <w:ind w:firstLine="482" w:firstLineChars="200"/>
              <w:rPr>
                <w:rFonts w:cs="宋体" w:asciiTheme="minorEastAsia" w:hAnsiTheme="minorEastAsia" w:eastAsiaTheme="minorEastAsia"/>
                <w:b/>
                <w:color w:val="auto"/>
                <w:szCs w:val="24"/>
              </w:rPr>
            </w:pPr>
            <w:r>
              <w:rPr>
                <w:rFonts w:hint="eastAsia" w:cs="宋体" w:asciiTheme="minorEastAsia" w:hAnsiTheme="minorEastAsia" w:eastAsiaTheme="minorEastAsia"/>
                <w:b/>
                <w:color w:val="auto"/>
                <w:szCs w:val="24"/>
              </w:rPr>
              <w:t>1.3本项目采购标的对应所属行业为：建筑业。</w:t>
            </w:r>
          </w:p>
          <w:p w14:paraId="0FE13C00">
            <w:pPr>
              <w:pStyle w:val="47"/>
              <w:wordWrap w:val="0"/>
              <w:adjustRightInd w:val="0"/>
              <w:snapToGrid w:val="0"/>
              <w:jc w:val="left"/>
              <w:rPr>
                <w:rFonts w:cs="宋体" w:asciiTheme="minorEastAsia" w:hAnsiTheme="minorEastAsia" w:eastAsiaTheme="minorEastAsia"/>
                <w:kern w:val="2"/>
                <w:sz w:val="24"/>
                <w:szCs w:val="24"/>
              </w:rPr>
            </w:pPr>
            <w:bookmarkStart w:id="247" w:name="_Toc27479"/>
            <w:bookmarkStart w:id="248" w:name="_Toc1280"/>
            <w:bookmarkStart w:id="249" w:name="_Toc16160"/>
            <w:bookmarkStart w:id="250" w:name="_Toc25731"/>
            <w:bookmarkStart w:id="251" w:name="_Toc11571"/>
            <w:bookmarkStart w:id="252" w:name="_Toc8329"/>
            <w:bookmarkStart w:id="253" w:name="_Toc890"/>
            <w:bookmarkStart w:id="254" w:name="_Toc21172"/>
            <w:r>
              <w:rPr>
                <w:rFonts w:hint="eastAsia" w:cs="宋体" w:asciiTheme="minorEastAsia" w:hAnsiTheme="minorEastAsia" w:eastAsiaTheme="minorEastAsia"/>
                <w:kern w:val="2"/>
                <w:sz w:val="24"/>
                <w:szCs w:val="24"/>
              </w:rPr>
              <w:t>①标的名称：西盟县勐梭镇2026年甘蔗地台面整形项目。</w:t>
            </w:r>
          </w:p>
          <w:p w14:paraId="417691AF">
            <w:pPr>
              <w:pStyle w:val="47"/>
              <w:wordWrap w:val="0"/>
              <w:adjustRightInd w:val="0"/>
              <w:snapToGrid w:val="0"/>
              <w:jc w:val="left"/>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②建筑业中小微型企业划分标准：中型和小型企业须同时满足所列指标（营业收入、资产总额）的下限，否则下划一档；微型企业只须满足所列指标中的一项即可。</w:t>
            </w:r>
          </w:p>
          <w:p w14:paraId="18340A4A">
            <w:pPr>
              <w:pStyle w:val="47"/>
              <w:wordWrap w:val="0"/>
              <w:adjustRightInd w:val="0"/>
              <w:snapToGrid w:val="0"/>
              <w:jc w:val="left"/>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中型企业：6000万元≤营业收入＜80000万元，5000万元≤资产总额＜80000万元。</w:t>
            </w:r>
          </w:p>
          <w:p w14:paraId="0C94DDBB">
            <w:pPr>
              <w:pStyle w:val="47"/>
              <w:wordWrap w:val="0"/>
              <w:adjustRightInd w:val="0"/>
              <w:snapToGrid w:val="0"/>
              <w:jc w:val="left"/>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小型企业：300万元≤营业收入＜6000万元，300万元≤资产总额＜5000万元。</w:t>
            </w:r>
          </w:p>
          <w:p w14:paraId="6F41C451">
            <w:pPr>
              <w:pStyle w:val="47"/>
              <w:wordWrap w:val="0"/>
              <w:adjustRightInd w:val="0"/>
              <w:snapToGrid w:val="0"/>
              <w:jc w:val="left"/>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微型企业：营业收入＜300万元，资产总额＜300万元。</w:t>
            </w:r>
          </w:p>
          <w:p w14:paraId="365CAC6F">
            <w:pPr>
              <w:pStyle w:val="47"/>
              <w:wordWrap w:val="0"/>
              <w:adjustRightInd w:val="0"/>
              <w:snapToGrid w:val="0"/>
              <w:jc w:val="left"/>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③企业划分指标以现行统计制度为准。营业收入，采用主营业务收入；资产总额，采用资产总计代替。</w:t>
            </w:r>
          </w:p>
          <w:p w14:paraId="2F253AEB">
            <w:pPr>
              <w:wordWrap w:val="0"/>
              <w:adjustRightInd w:val="0"/>
              <w:snapToGrid w:val="0"/>
              <w:rPr>
                <w:rFonts w:cs="宋体" w:asciiTheme="minorEastAsia" w:hAnsiTheme="minorEastAsia" w:eastAsiaTheme="minorEastAsia"/>
                <w:b/>
                <w:sz w:val="24"/>
                <w:szCs w:val="24"/>
              </w:rPr>
            </w:pPr>
            <w:r>
              <w:rPr>
                <w:rFonts w:hint="eastAsia" w:cs="宋体" w:asciiTheme="minorEastAsia" w:hAnsiTheme="minorEastAsia" w:eastAsiaTheme="minorEastAsia"/>
                <w:sz w:val="24"/>
                <w:szCs w:val="24"/>
              </w:rPr>
              <w:t>④价格扣除优惠政策：见第三章“磋商总报价评分”。</w:t>
            </w:r>
          </w:p>
          <w:p w14:paraId="10E10372">
            <w:pPr>
              <w:wordWrap w:val="0"/>
              <w:adjustRightInd w:val="0"/>
              <w:snapToGrid w:val="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注：《中小企业声明函》格式详见竞争性磋商第五章 第五部分、附件</w:t>
            </w:r>
            <w:bookmarkEnd w:id="247"/>
            <w:bookmarkEnd w:id="248"/>
            <w:bookmarkEnd w:id="249"/>
            <w:bookmarkEnd w:id="250"/>
            <w:bookmarkEnd w:id="251"/>
            <w:bookmarkEnd w:id="252"/>
            <w:bookmarkEnd w:id="253"/>
            <w:bookmarkEnd w:id="254"/>
          </w:p>
          <w:p w14:paraId="1A2E1184">
            <w:pPr>
              <w:wordWrap w:val="0"/>
              <w:adjustRightInd w:val="0"/>
              <w:snapToGrid w:val="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2、监狱企业优惠政策</w:t>
            </w:r>
          </w:p>
          <w:p w14:paraId="654AF3A9">
            <w:pPr>
              <w:wordWrap w:val="0"/>
              <w:adjustRightInd w:val="0"/>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是否适用于本项目：■适用□不适用。</w:t>
            </w:r>
          </w:p>
          <w:p w14:paraId="0DE3AEA3">
            <w:pPr>
              <w:wordWrap w:val="0"/>
              <w:adjustRightInd w:val="0"/>
              <w:snapToGrid w:val="0"/>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根据《关于政府采购支持监狱企业发展有关问题的通知》（财库[2014]68号）的规定，监狱企业参与本项目磋商时，视同小型、微型企业享受价格扣除等优惠政策。</w:t>
            </w:r>
          </w:p>
          <w:p w14:paraId="0ADAB7A6">
            <w:pPr>
              <w:wordWrap w:val="0"/>
              <w:adjustRightInd w:val="0"/>
              <w:snapToGrid w:val="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注：监狱企业参加政府采购活动时，应当提供由省级以上监狱管理局、戒毒管理局(含新疆生产建设兵团)出具的属于监狱企业的证明文件。</w:t>
            </w:r>
          </w:p>
          <w:p w14:paraId="65CD6CA3">
            <w:pPr>
              <w:wordWrap w:val="0"/>
              <w:adjustRightInd w:val="0"/>
              <w:snapToGrid w:val="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3、残疾人福利性单位优惠政策</w:t>
            </w:r>
          </w:p>
          <w:p w14:paraId="31D05683">
            <w:pPr>
              <w:wordWrap w:val="0"/>
              <w:adjustRightInd w:val="0"/>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是否适用于本项目：■适用□不适用。</w:t>
            </w:r>
          </w:p>
          <w:p w14:paraId="307C93DB">
            <w:pPr>
              <w:wordWrap w:val="0"/>
              <w:adjustRightInd w:val="0"/>
              <w:snapToGrid w:val="0"/>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根据《关于促进残疾人就业政府采购政策的通知》（财库[2017]141号）的规定，残疾人福利性单位参与本项目磋商时，视同小型、微型企业享受价格扣除等优惠政策。</w:t>
            </w:r>
          </w:p>
          <w:p w14:paraId="34FE13B2">
            <w:pPr>
              <w:wordWrap w:val="0"/>
              <w:adjustRightInd w:val="0"/>
              <w:snapToGrid w:val="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注：残疾人福利性单位在参加政府采购活动时，应当提供《残疾人福利性单位声明函》，并对声明的真实性负责。成交单位为残疾人福利性单位的，采购人或者其委托的采购代理机构应当随成交、成交结果同时公告其《残疾人福利性单位声明函》，接受社会监督。《残疾人福利性单位声明函》格式详见竞争性磋商文件第五章 第五部分、附件</w:t>
            </w:r>
          </w:p>
          <w:p w14:paraId="02752276">
            <w:pPr>
              <w:pStyle w:val="47"/>
              <w:wordWrap w:val="0"/>
              <w:adjustRightInd w:val="0"/>
              <w:snapToGrid w:val="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4、节能环保</w:t>
            </w:r>
          </w:p>
          <w:p w14:paraId="559D9726">
            <w:pPr>
              <w:pStyle w:val="47"/>
              <w:wordWrap w:val="0"/>
              <w:adjustRightInd w:val="0"/>
              <w:snapToGrid w:val="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是否适用于本项目：</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kern w:val="2"/>
                <w:sz w:val="24"/>
                <w:szCs w:val="24"/>
              </w:rPr>
              <w:t>适用■不适用。</w:t>
            </w:r>
          </w:p>
          <w:p w14:paraId="2ADB396D">
            <w:pPr>
              <w:pStyle w:val="47"/>
              <w:wordWrap w:val="0"/>
              <w:adjustRightInd w:val="0"/>
              <w:snapToGrid w:val="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若</w:t>
            </w:r>
            <w:r>
              <w:rPr>
                <w:rFonts w:hint="eastAsia" w:cs="宋体" w:asciiTheme="minorEastAsia" w:hAnsiTheme="minorEastAsia" w:eastAsiaTheme="minorEastAsia"/>
                <w:sz w:val="24"/>
                <w:szCs w:val="24"/>
              </w:rPr>
              <w:t>磋商</w:t>
            </w:r>
            <w:r>
              <w:rPr>
                <w:rFonts w:hint="eastAsia" w:cs="宋体" w:asciiTheme="minorEastAsia" w:hAnsiTheme="minorEastAsia" w:eastAsiaTheme="minorEastAsia"/>
                <w:kern w:val="2"/>
                <w:sz w:val="24"/>
                <w:szCs w:val="24"/>
              </w:rPr>
              <w:t>产品为节能产品、环境标志产品且能提供</w:t>
            </w:r>
            <w:r>
              <w:rPr>
                <w:rFonts w:hint="eastAsia" w:cs="宋体" w:asciiTheme="minorEastAsia" w:hAnsiTheme="minorEastAsia" w:eastAsiaTheme="minorEastAsia"/>
                <w:b/>
                <w:kern w:val="2"/>
                <w:sz w:val="24"/>
                <w:szCs w:val="24"/>
              </w:rPr>
              <w:t>有效的认证证书及相关证明材料的（相关证明材料指：最新版的政府采购节能产品、环境标志产品认证机构名录、节能产品政府采购品目清单、环境标志产品政府采购品目清单等）</w:t>
            </w:r>
            <w:r>
              <w:rPr>
                <w:rFonts w:hint="eastAsia" w:cs="宋体" w:asciiTheme="minorEastAsia" w:hAnsiTheme="minorEastAsia" w:eastAsiaTheme="minorEastAsia"/>
                <w:kern w:val="2"/>
                <w:sz w:val="24"/>
                <w:szCs w:val="24"/>
              </w:rPr>
              <w:t>，</w:t>
            </w:r>
            <w:r>
              <w:rPr>
                <w:rFonts w:hint="eastAsia" w:cs="宋体" w:asciiTheme="minorEastAsia" w:hAnsiTheme="minorEastAsia" w:eastAsiaTheme="minorEastAsia"/>
                <w:sz w:val="24"/>
                <w:szCs w:val="24"/>
              </w:rPr>
              <w:t>在磋商报价评分时给予对应的磋商分项报价1%的扣除</w:t>
            </w:r>
            <w:r>
              <w:rPr>
                <w:rFonts w:hint="eastAsia" w:cs="宋体" w:asciiTheme="minorEastAsia" w:hAnsiTheme="minorEastAsia" w:eastAsiaTheme="minorEastAsia"/>
                <w:kern w:val="2"/>
                <w:sz w:val="24"/>
                <w:szCs w:val="24"/>
              </w:rPr>
              <w:t>，用扣除后的价格参与评审（若建设内容及规模为政府强制采购产品，则不再对节能进行评审价格的扣除）。</w:t>
            </w:r>
          </w:p>
          <w:p w14:paraId="57CA47CD">
            <w:pPr>
              <w:pStyle w:val="47"/>
              <w:wordWrap w:val="0"/>
              <w:adjustRightInd w:val="0"/>
              <w:snapToGrid w:val="0"/>
              <w:jc w:val="left"/>
              <w:rPr>
                <w:rFonts w:cs="宋体" w:asciiTheme="minorEastAsia" w:hAnsiTheme="minorEastAsia" w:eastAsiaTheme="minorEastAsia"/>
                <w:sz w:val="24"/>
                <w:szCs w:val="24"/>
                <w:u w:val="single"/>
              </w:rPr>
            </w:pPr>
            <w:r>
              <w:rPr>
                <w:rFonts w:hint="eastAsia" w:cs="宋体" w:asciiTheme="minorEastAsia" w:hAnsiTheme="minorEastAsia" w:eastAsiaTheme="minorEastAsia"/>
                <w:kern w:val="2"/>
                <w:sz w:val="24"/>
                <w:szCs w:val="24"/>
              </w:rPr>
              <w:t>相关证明材料可通过中国政府采购网（</w:t>
            </w:r>
            <w:bookmarkStart w:id="255" w:name="OLE_LINK22"/>
            <w:bookmarkStart w:id="256" w:name="OLE_LINK21"/>
            <w:r>
              <w:rPr>
                <w:rFonts w:hint="eastAsia" w:cs="宋体" w:asciiTheme="minorEastAsia" w:hAnsiTheme="minorEastAsia" w:eastAsiaTheme="minorEastAsia"/>
                <w:kern w:val="2"/>
                <w:sz w:val="24"/>
                <w:szCs w:val="24"/>
              </w:rPr>
              <w:t>http://www.ccgp.gov.cn/</w:t>
            </w:r>
            <w:bookmarkEnd w:id="255"/>
            <w:bookmarkEnd w:id="256"/>
            <w:r>
              <w:rPr>
                <w:rFonts w:hint="eastAsia" w:cs="宋体" w:asciiTheme="minorEastAsia" w:hAnsiTheme="minorEastAsia" w:eastAsiaTheme="minorEastAsia"/>
                <w:kern w:val="2"/>
                <w:sz w:val="24"/>
                <w:szCs w:val="24"/>
              </w:rPr>
              <w:t>）、中华人民共和国国家发展和改革委员会（</w:t>
            </w:r>
            <w:r>
              <w:rPr>
                <w:rFonts w:cs="宋体" w:asciiTheme="minorEastAsia" w:hAnsiTheme="minorEastAsia" w:eastAsiaTheme="minorEastAsia"/>
                <w:kern w:val="2"/>
                <w:sz w:val="24"/>
                <w:szCs w:val="24"/>
              </w:rPr>
              <w:t>https://www.ndrc.gov.cn/</w:t>
            </w:r>
            <w:r>
              <w:rPr>
                <w:rFonts w:hint="eastAsia" w:cs="宋体" w:asciiTheme="minorEastAsia" w:hAnsiTheme="minorEastAsia" w:eastAsiaTheme="minorEastAsia"/>
                <w:kern w:val="2"/>
                <w:sz w:val="24"/>
                <w:szCs w:val="24"/>
              </w:rPr>
              <w:t>）查阅、下载；中华人民共和国生态环境部（</w:t>
            </w:r>
            <w:r>
              <w:rPr>
                <w:rFonts w:cs="宋体" w:asciiTheme="minorEastAsia" w:hAnsiTheme="minorEastAsia" w:eastAsiaTheme="minorEastAsia"/>
                <w:kern w:val="2"/>
                <w:sz w:val="24"/>
                <w:szCs w:val="24"/>
              </w:rPr>
              <w:t>https://www.mee.gov.cn/</w:t>
            </w:r>
            <w:r>
              <w:rPr>
                <w:rFonts w:hint="eastAsia" w:cs="宋体" w:asciiTheme="minorEastAsia" w:hAnsiTheme="minorEastAsia" w:eastAsiaTheme="minorEastAsia"/>
                <w:kern w:val="2"/>
                <w:sz w:val="24"/>
                <w:szCs w:val="24"/>
              </w:rPr>
              <w:t>）查阅、下载。</w:t>
            </w:r>
          </w:p>
        </w:tc>
      </w:tr>
      <w:tr w14:paraId="061A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Merge w:val="continue"/>
            <w:vAlign w:val="center"/>
          </w:tcPr>
          <w:p w14:paraId="3075AC7B">
            <w:pPr>
              <w:wordWrap w:val="0"/>
              <w:adjustRightInd w:val="0"/>
              <w:snapToGrid w:val="0"/>
              <w:jc w:val="center"/>
              <w:rPr>
                <w:rFonts w:cs="宋体" w:asciiTheme="minorEastAsia" w:hAnsiTheme="minorEastAsia" w:eastAsiaTheme="minorEastAsia"/>
                <w:sz w:val="24"/>
                <w:szCs w:val="24"/>
              </w:rPr>
            </w:pPr>
          </w:p>
        </w:tc>
        <w:tc>
          <w:tcPr>
            <w:tcW w:w="1032" w:type="dxa"/>
            <w:vAlign w:val="center"/>
          </w:tcPr>
          <w:p w14:paraId="457C44E3">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10.2</w:t>
            </w:r>
          </w:p>
        </w:tc>
        <w:tc>
          <w:tcPr>
            <w:tcW w:w="1784" w:type="dxa"/>
            <w:vAlign w:val="center"/>
          </w:tcPr>
          <w:p w14:paraId="1A12790B">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磋商顺序</w:t>
            </w:r>
          </w:p>
        </w:tc>
        <w:tc>
          <w:tcPr>
            <w:tcW w:w="6327" w:type="dxa"/>
            <w:vAlign w:val="center"/>
          </w:tcPr>
          <w:p w14:paraId="59BA336E">
            <w:pPr>
              <w:wordWrap w:val="0"/>
              <w:adjustRightInd w:val="0"/>
              <w:snapToGrid w:val="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磋商的顺序：按“政采云”系统的编号顺序。</w:t>
            </w:r>
          </w:p>
          <w:p w14:paraId="48C0EDF5">
            <w:pPr>
              <w:wordWrap w:val="0"/>
              <w:adjustRightInd w:val="0"/>
              <w:snapToGrid w:val="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符合磋商资格的供应商必须在接到磋商通知后规定时间内参加磋商及报价，未在规定时间内参加磋商及报价的视同放弃参加磋商权利，其响应文件按无效响应处理。</w:t>
            </w:r>
          </w:p>
        </w:tc>
      </w:tr>
      <w:tr w14:paraId="4087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Merge w:val="continue"/>
            <w:vAlign w:val="center"/>
          </w:tcPr>
          <w:p w14:paraId="1E9842F5">
            <w:pPr>
              <w:wordWrap w:val="0"/>
              <w:adjustRightInd w:val="0"/>
              <w:snapToGrid w:val="0"/>
              <w:jc w:val="center"/>
              <w:rPr>
                <w:rFonts w:cs="宋体" w:asciiTheme="minorEastAsia" w:hAnsiTheme="minorEastAsia" w:eastAsiaTheme="minorEastAsia"/>
                <w:sz w:val="24"/>
                <w:szCs w:val="24"/>
              </w:rPr>
            </w:pPr>
            <w:bookmarkStart w:id="257" w:name="_Toc1657"/>
          </w:p>
        </w:tc>
        <w:tc>
          <w:tcPr>
            <w:tcW w:w="1032" w:type="dxa"/>
            <w:vAlign w:val="center"/>
          </w:tcPr>
          <w:p w14:paraId="090C8FAC">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10.3</w:t>
            </w:r>
          </w:p>
        </w:tc>
        <w:tc>
          <w:tcPr>
            <w:tcW w:w="1784" w:type="dxa"/>
            <w:vAlign w:val="center"/>
          </w:tcPr>
          <w:p w14:paraId="2D56E2B5">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rPr>
              <w:t>响应文件的份数</w:t>
            </w:r>
          </w:p>
        </w:tc>
        <w:tc>
          <w:tcPr>
            <w:tcW w:w="6327" w:type="dxa"/>
            <w:vAlign w:val="center"/>
          </w:tcPr>
          <w:p w14:paraId="7F00813B">
            <w:pPr>
              <w:pStyle w:val="19"/>
              <w:wordWrap w:val="0"/>
              <w:adjustRightInd w:val="0"/>
              <w:snapToGrid w:val="0"/>
              <w:jc w:val="left"/>
              <w:rPr>
                <w:rFonts w:cs="宋体" w:asciiTheme="minorEastAsia" w:hAnsiTheme="minorEastAsia" w:eastAsiaTheme="minorEastAsia"/>
                <w:sz w:val="24"/>
              </w:rPr>
            </w:pPr>
            <w:r>
              <w:rPr>
                <w:rFonts w:hint="eastAsia" w:cs="宋体" w:asciiTheme="minorEastAsia" w:hAnsiTheme="minorEastAsia" w:eastAsiaTheme="minorEastAsia"/>
                <w:sz w:val="24"/>
              </w:rPr>
              <w:t>电子响应文件</w:t>
            </w:r>
            <w:r>
              <w:rPr>
                <w:rFonts w:hint="eastAsia" w:cs="宋体" w:asciiTheme="minorEastAsia" w:hAnsiTheme="minorEastAsia" w:eastAsiaTheme="minorEastAsia"/>
                <w:b/>
                <w:bCs/>
                <w:sz w:val="24"/>
                <w:u w:val="single"/>
              </w:rPr>
              <w:t>一份</w:t>
            </w:r>
            <w:r>
              <w:rPr>
                <w:rFonts w:hint="eastAsia" w:cs="宋体" w:asciiTheme="minorEastAsia" w:hAnsiTheme="minorEastAsia" w:eastAsiaTheme="minorEastAsia"/>
                <w:sz w:val="24"/>
              </w:rPr>
              <w:t>，上传至网络即可。</w:t>
            </w:r>
          </w:p>
        </w:tc>
      </w:tr>
      <w:tr w14:paraId="0610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Merge w:val="continue"/>
            <w:vAlign w:val="center"/>
          </w:tcPr>
          <w:p w14:paraId="74FAC194">
            <w:pPr>
              <w:wordWrap w:val="0"/>
              <w:adjustRightInd w:val="0"/>
              <w:snapToGrid w:val="0"/>
              <w:jc w:val="center"/>
              <w:rPr>
                <w:rFonts w:cs="宋体" w:asciiTheme="minorEastAsia" w:hAnsiTheme="minorEastAsia" w:eastAsiaTheme="minorEastAsia"/>
                <w:sz w:val="24"/>
                <w:szCs w:val="24"/>
              </w:rPr>
            </w:pPr>
          </w:p>
        </w:tc>
        <w:tc>
          <w:tcPr>
            <w:tcW w:w="1032" w:type="dxa"/>
            <w:vAlign w:val="center"/>
          </w:tcPr>
          <w:p w14:paraId="07203354">
            <w:pPr>
              <w:shd w:val="clear" w:color="auto" w:fill="FFFFFF"/>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10.4</w:t>
            </w:r>
          </w:p>
        </w:tc>
        <w:tc>
          <w:tcPr>
            <w:tcW w:w="1784" w:type="dxa"/>
            <w:vAlign w:val="center"/>
          </w:tcPr>
          <w:p w14:paraId="341370DE">
            <w:pPr>
              <w:wordWrap w:val="0"/>
              <w:adjustRightInd w:val="0"/>
              <w:snapToGrid w:val="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响应文件签字和盖章的其他要求</w:t>
            </w:r>
          </w:p>
        </w:tc>
        <w:tc>
          <w:tcPr>
            <w:tcW w:w="6327" w:type="dxa"/>
            <w:vAlign w:val="center"/>
          </w:tcPr>
          <w:p w14:paraId="464A63A8">
            <w:pPr>
              <w:wordWrap w:val="0"/>
              <w:adjustRightInd w:val="0"/>
              <w:snapToGrid w:val="0"/>
              <w:rPr>
                <w:rFonts w:cs="宋体" w:asciiTheme="minorEastAsia" w:hAnsiTheme="minorEastAsia" w:eastAsiaTheme="minorEastAsia"/>
                <w:sz w:val="24"/>
              </w:rPr>
            </w:pPr>
            <w:r>
              <w:rPr>
                <w:rFonts w:hint="eastAsia" w:cs="宋体" w:asciiTheme="minorEastAsia" w:hAnsiTheme="minorEastAsia" w:eastAsiaTheme="minorEastAsia"/>
                <w:sz w:val="24"/>
              </w:rPr>
              <w:t>响应文件中要求加盖供应商单位公章的地方须加盖供应商单位电子签章或单位公章，要求法定代表人或其委托代理人签字的地方须加盖个人电子签名章或签字。响应文件由委托代理人加盖个人电子签名章或签字的，须提供法定代表人签署的法定代表人授权委托书。本项目对造价工程师和造价人员签字盖章不作要求。</w:t>
            </w:r>
          </w:p>
        </w:tc>
      </w:tr>
    </w:tbl>
    <w:p w14:paraId="6B08A639">
      <w:pPr>
        <w:wordWrap w:val="0"/>
        <w:rPr>
          <w:rFonts w:cs="宋体" w:asciiTheme="minorEastAsia" w:hAnsiTheme="minorEastAsia" w:eastAsiaTheme="minorEastAsia"/>
          <w:sz w:val="28"/>
          <w:szCs w:val="28"/>
        </w:rPr>
      </w:pPr>
      <w:bookmarkStart w:id="258" w:name="_Toc2280"/>
      <w:bookmarkStart w:id="259" w:name="_Toc27867"/>
      <w:bookmarkStart w:id="260" w:name="_Toc132376722"/>
      <w:bookmarkStart w:id="261" w:name="_Toc1069"/>
      <w:bookmarkStart w:id="262" w:name="_Toc14798"/>
      <w:bookmarkStart w:id="263" w:name="_Toc2988"/>
      <w:r>
        <w:rPr>
          <w:rFonts w:hint="eastAsia" w:cs="宋体" w:asciiTheme="minorEastAsia" w:hAnsiTheme="minorEastAsia" w:eastAsiaTheme="minorEastAsia"/>
          <w:sz w:val="28"/>
          <w:szCs w:val="28"/>
        </w:rPr>
        <w:br w:type="page"/>
      </w:r>
    </w:p>
    <w:p w14:paraId="20B0145C">
      <w:pPr>
        <w:pStyle w:val="3"/>
        <w:wordWrap w:val="0"/>
        <w:spacing w:after="0" w:line="415" w:lineRule="auto"/>
        <w:jc w:val="center"/>
        <w:rPr>
          <w:rFonts w:cs="宋体" w:asciiTheme="minorEastAsia" w:hAnsiTheme="minorEastAsia" w:eastAsiaTheme="minorEastAsia"/>
          <w:sz w:val="28"/>
          <w:szCs w:val="28"/>
        </w:rPr>
      </w:pPr>
      <w:bookmarkStart w:id="264" w:name="_Toc193796032"/>
      <w:r>
        <w:rPr>
          <w:rFonts w:hint="eastAsia" w:cs="宋体" w:asciiTheme="minorEastAsia" w:hAnsiTheme="minorEastAsia" w:eastAsiaTheme="minorEastAsia"/>
          <w:sz w:val="28"/>
          <w:szCs w:val="28"/>
        </w:rPr>
        <w:t>磋商供应商须知正文</w:t>
      </w:r>
      <w:bookmarkEnd w:id="257"/>
      <w:bookmarkEnd w:id="258"/>
      <w:bookmarkEnd w:id="259"/>
      <w:bookmarkEnd w:id="260"/>
      <w:bookmarkEnd w:id="261"/>
      <w:bookmarkEnd w:id="262"/>
      <w:bookmarkEnd w:id="263"/>
      <w:bookmarkEnd w:id="264"/>
    </w:p>
    <w:p w14:paraId="4D83EA9C">
      <w:pPr>
        <w:pStyle w:val="3"/>
        <w:wordWrap w:val="0"/>
        <w:spacing w:after="0" w:line="415" w:lineRule="auto"/>
        <w:rPr>
          <w:rFonts w:cs="宋体" w:asciiTheme="minorEastAsia" w:hAnsiTheme="minorEastAsia" w:eastAsiaTheme="minorEastAsia"/>
          <w:sz w:val="28"/>
          <w:szCs w:val="28"/>
        </w:rPr>
      </w:pPr>
      <w:bookmarkStart w:id="265" w:name="_Toc8784"/>
      <w:bookmarkStart w:id="266" w:name="_Toc28800"/>
      <w:bookmarkStart w:id="267" w:name="_Toc193796033"/>
      <w:bookmarkStart w:id="268" w:name="_Toc132376723"/>
      <w:bookmarkStart w:id="269" w:name="_Toc28452"/>
      <w:bookmarkStart w:id="270" w:name="_Toc28745"/>
      <w:bookmarkStart w:id="271" w:name="_Toc12572"/>
      <w:bookmarkStart w:id="272" w:name="_Toc19238"/>
      <w:r>
        <w:rPr>
          <w:rFonts w:hint="eastAsia" w:cs="宋体" w:asciiTheme="minorEastAsia" w:hAnsiTheme="minorEastAsia" w:eastAsiaTheme="minorEastAsia"/>
          <w:sz w:val="28"/>
          <w:szCs w:val="28"/>
        </w:rPr>
        <w:t>1、总则</w:t>
      </w:r>
      <w:bookmarkEnd w:id="265"/>
      <w:bookmarkEnd w:id="266"/>
      <w:bookmarkEnd w:id="267"/>
      <w:bookmarkEnd w:id="268"/>
      <w:bookmarkEnd w:id="269"/>
      <w:bookmarkEnd w:id="270"/>
      <w:bookmarkEnd w:id="271"/>
      <w:bookmarkEnd w:id="272"/>
    </w:p>
    <w:p w14:paraId="1F6BACDB">
      <w:pPr>
        <w:pStyle w:val="4"/>
        <w:wordWrap w:val="0"/>
        <w:spacing w:line="415" w:lineRule="auto"/>
        <w:rPr>
          <w:rFonts w:cs="宋体" w:asciiTheme="minorEastAsia" w:hAnsiTheme="minorEastAsia" w:eastAsiaTheme="minorEastAsia"/>
          <w:szCs w:val="24"/>
        </w:rPr>
      </w:pPr>
      <w:bookmarkStart w:id="273" w:name="_Toc27688"/>
      <w:bookmarkStart w:id="274" w:name="_Toc8234"/>
      <w:bookmarkStart w:id="275" w:name="_Toc193796034"/>
      <w:bookmarkStart w:id="276" w:name="_Toc17432"/>
      <w:bookmarkStart w:id="277" w:name="_Toc21124"/>
      <w:bookmarkStart w:id="278" w:name="_Toc1065"/>
      <w:bookmarkStart w:id="279" w:name="_Toc29325"/>
      <w:bookmarkStart w:id="280" w:name="_Toc132376724"/>
      <w:bookmarkStart w:id="281" w:name="_Toc7571"/>
      <w:bookmarkStart w:id="282" w:name="_Toc12791"/>
      <w:bookmarkStart w:id="283" w:name="_Toc23427"/>
      <w:r>
        <w:rPr>
          <w:rFonts w:hint="eastAsia" w:cs="宋体" w:asciiTheme="minorEastAsia" w:hAnsiTheme="minorEastAsia" w:eastAsiaTheme="minorEastAsia"/>
          <w:szCs w:val="24"/>
        </w:rPr>
        <w:t>1.1项目概况</w:t>
      </w:r>
      <w:bookmarkEnd w:id="273"/>
      <w:bookmarkEnd w:id="274"/>
      <w:bookmarkEnd w:id="275"/>
      <w:bookmarkEnd w:id="276"/>
      <w:bookmarkEnd w:id="277"/>
      <w:bookmarkEnd w:id="278"/>
      <w:bookmarkEnd w:id="279"/>
      <w:bookmarkEnd w:id="280"/>
      <w:bookmarkEnd w:id="281"/>
      <w:bookmarkEnd w:id="282"/>
      <w:bookmarkEnd w:id="283"/>
    </w:p>
    <w:p w14:paraId="561A6156">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1.1.1项目名称：详见磋商供应商须知前附表。</w:t>
      </w:r>
    </w:p>
    <w:p w14:paraId="7C027EDC">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1.1.2项目编号：详见磋商供应商须知前附表。</w:t>
      </w:r>
    </w:p>
    <w:p w14:paraId="715956D4">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1.1.3采购人：详见磋商供应商须知前附表。</w:t>
      </w:r>
    </w:p>
    <w:p w14:paraId="0FA1A402">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1.1.4采购代理：详见磋商供应商须知前附表。</w:t>
      </w:r>
    </w:p>
    <w:p w14:paraId="48F8BF13">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1.1.5建设内容及规模：详见磋商供应商须知前附表。</w:t>
      </w:r>
    </w:p>
    <w:p w14:paraId="791F6D15">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1.1.6建设工期：详见磋商供应商须知前附表。</w:t>
      </w:r>
    </w:p>
    <w:p w14:paraId="0FCF7BA3">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1.1.7项目地点：详见磋商供应商须知前附表。</w:t>
      </w:r>
    </w:p>
    <w:p w14:paraId="2E9CE7AD">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w:t>
      </w:r>
      <w:r>
        <w:rPr>
          <w:rFonts w:cs="宋体" w:asciiTheme="minorEastAsia" w:hAnsiTheme="minorEastAsia" w:eastAsiaTheme="minorEastAsia"/>
          <w:sz w:val="24"/>
          <w:szCs w:val="24"/>
        </w:rPr>
        <w:t>8</w:t>
      </w:r>
      <w:r>
        <w:rPr>
          <w:rFonts w:hint="eastAsia" w:cs="宋体" w:asciiTheme="minorEastAsia" w:hAnsiTheme="minorEastAsia" w:eastAsiaTheme="minorEastAsia"/>
          <w:sz w:val="24"/>
          <w:szCs w:val="24"/>
        </w:rPr>
        <w:t>质量要求：详见磋商供应商须知前附表.</w:t>
      </w:r>
    </w:p>
    <w:p w14:paraId="091C2814">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w:t>
      </w:r>
      <w:r>
        <w:rPr>
          <w:rFonts w:cs="宋体" w:asciiTheme="minorEastAsia" w:hAnsiTheme="minorEastAsia" w:eastAsiaTheme="minorEastAsia"/>
          <w:sz w:val="24"/>
          <w:szCs w:val="24"/>
        </w:rPr>
        <w:t>9</w:t>
      </w:r>
      <w:r>
        <w:rPr>
          <w:rFonts w:hint="eastAsia" w:cs="宋体" w:asciiTheme="minorEastAsia" w:hAnsiTheme="minorEastAsia" w:eastAsiaTheme="minorEastAsia"/>
          <w:sz w:val="24"/>
          <w:szCs w:val="24"/>
        </w:rPr>
        <w:t>资格审查方式：详见磋商供应商须知前附表。</w:t>
      </w:r>
    </w:p>
    <w:p w14:paraId="4CF055A0">
      <w:pPr>
        <w:pStyle w:val="4"/>
        <w:wordWrap w:val="0"/>
        <w:spacing w:line="415" w:lineRule="auto"/>
        <w:rPr>
          <w:rFonts w:cs="宋体" w:asciiTheme="minorEastAsia" w:hAnsiTheme="minorEastAsia" w:eastAsiaTheme="minorEastAsia"/>
          <w:szCs w:val="24"/>
        </w:rPr>
      </w:pPr>
      <w:bookmarkStart w:id="284" w:name="_Toc31585"/>
      <w:bookmarkStart w:id="285" w:name="_Toc193796035"/>
      <w:bookmarkStart w:id="286" w:name="_Toc22126"/>
      <w:bookmarkStart w:id="287" w:name="_Toc9328"/>
      <w:bookmarkStart w:id="288" w:name="_Toc2483"/>
      <w:bookmarkStart w:id="289" w:name="_Toc7120"/>
      <w:bookmarkStart w:id="290" w:name="_Toc132376725"/>
      <w:bookmarkStart w:id="291" w:name="_Toc25532"/>
      <w:bookmarkStart w:id="292" w:name="_Toc15705"/>
      <w:bookmarkStart w:id="293" w:name="_Toc22576"/>
      <w:bookmarkStart w:id="294" w:name="_Toc7102"/>
      <w:r>
        <w:rPr>
          <w:rFonts w:hint="eastAsia" w:cs="宋体" w:asciiTheme="minorEastAsia" w:hAnsiTheme="minorEastAsia" w:eastAsiaTheme="minorEastAsia"/>
          <w:szCs w:val="24"/>
        </w:rPr>
        <w:t>1.2采购预算及最高限价</w:t>
      </w:r>
      <w:bookmarkEnd w:id="284"/>
      <w:bookmarkEnd w:id="285"/>
      <w:bookmarkEnd w:id="286"/>
      <w:bookmarkEnd w:id="287"/>
      <w:bookmarkEnd w:id="288"/>
      <w:bookmarkEnd w:id="289"/>
      <w:bookmarkEnd w:id="290"/>
      <w:bookmarkEnd w:id="291"/>
      <w:bookmarkEnd w:id="292"/>
      <w:bookmarkEnd w:id="293"/>
      <w:bookmarkEnd w:id="294"/>
    </w:p>
    <w:p w14:paraId="212B1D4E">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1.2.1采购预算：详见磋商供应商须知前附表。</w:t>
      </w:r>
    </w:p>
    <w:p w14:paraId="2025E8AD">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1.2.2最高限价：详见磋商供应商须知前附表。</w:t>
      </w:r>
    </w:p>
    <w:p w14:paraId="3176FBD7">
      <w:pPr>
        <w:pStyle w:val="4"/>
        <w:wordWrap w:val="0"/>
        <w:spacing w:line="415" w:lineRule="auto"/>
        <w:rPr>
          <w:rFonts w:cs="宋体" w:asciiTheme="minorEastAsia" w:hAnsiTheme="minorEastAsia" w:eastAsiaTheme="minorEastAsia"/>
          <w:szCs w:val="24"/>
        </w:rPr>
      </w:pPr>
      <w:bookmarkStart w:id="295" w:name="_Toc132376726"/>
      <w:bookmarkStart w:id="296" w:name="_Toc31204"/>
      <w:bookmarkStart w:id="297" w:name="_Toc24567"/>
      <w:bookmarkStart w:id="298" w:name="_Toc15021"/>
      <w:bookmarkStart w:id="299" w:name="_Toc24816"/>
      <w:bookmarkStart w:id="300" w:name="_Toc11624"/>
      <w:bookmarkStart w:id="301" w:name="_Toc16447"/>
      <w:bookmarkStart w:id="302" w:name="_Toc31017"/>
      <w:bookmarkStart w:id="303" w:name="_Toc6718"/>
      <w:bookmarkStart w:id="304" w:name="_Toc193796036"/>
      <w:bookmarkStart w:id="305" w:name="_Toc23604"/>
      <w:r>
        <w:rPr>
          <w:rFonts w:hint="eastAsia" w:cs="宋体" w:asciiTheme="minorEastAsia" w:hAnsiTheme="minorEastAsia" w:eastAsiaTheme="minorEastAsia"/>
          <w:szCs w:val="24"/>
        </w:rPr>
        <w:t>1.3需要承担的费用及风险</w:t>
      </w:r>
      <w:bookmarkEnd w:id="295"/>
      <w:bookmarkEnd w:id="296"/>
      <w:bookmarkEnd w:id="297"/>
      <w:bookmarkEnd w:id="298"/>
      <w:bookmarkEnd w:id="299"/>
      <w:bookmarkEnd w:id="300"/>
      <w:bookmarkEnd w:id="301"/>
      <w:bookmarkEnd w:id="302"/>
      <w:bookmarkEnd w:id="303"/>
      <w:bookmarkEnd w:id="304"/>
      <w:bookmarkEnd w:id="305"/>
    </w:p>
    <w:p w14:paraId="1D499988">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1.3.1磋商供应商应承担所有与编写和提交磋商响应文件有关的费用，不论磋商的结果如何，采购人或采购代理在任何情况下均无义务和责任承担这些费用。</w:t>
      </w:r>
    </w:p>
    <w:p w14:paraId="2B3B792E">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1.3.2代理服务费：详见磋商供应商须知前附表。</w:t>
      </w:r>
    </w:p>
    <w:p w14:paraId="37D94322">
      <w:pPr>
        <w:pStyle w:val="4"/>
        <w:wordWrap w:val="0"/>
        <w:spacing w:line="415" w:lineRule="auto"/>
        <w:rPr>
          <w:rFonts w:cs="宋体" w:asciiTheme="minorEastAsia" w:hAnsiTheme="minorEastAsia" w:eastAsiaTheme="minorEastAsia"/>
          <w:szCs w:val="24"/>
        </w:rPr>
      </w:pPr>
      <w:bookmarkStart w:id="306" w:name="_Toc10960"/>
      <w:bookmarkStart w:id="307" w:name="_Toc15008"/>
      <w:bookmarkStart w:id="308" w:name="_Toc14295"/>
      <w:bookmarkStart w:id="309" w:name="_Toc17841"/>
      <w:bookmarkStart w:id="310" w:name="_Toc16534"/>
      <w:bookmarkStart w:id="311" w:name="_Toc383"/>
      <w:bookmarkStart w:id="312" w:name="_Toc11726"/>
      <w:bookmarkStart w:id="313" w:name="_Toc132376727"/>
      <w:bookmarkStart w:id="314" w:name="_Toc4388"/>
      <w:bookmarkStart w:id="315" w:name="_Toc193796037"/>
      <w:bookmarkStart w:id="316" w:name="_Toc10427"/>
      <w:r>
        <w:rPr>
          <w:rFonts w:hint="eastAsia" w:cs="宋体" w:asciiTheme="minorEastAsia" w:hAnsiTheme="minorEastAsia" w:eastAsiaTheme="minorEastAsia"/>
          <w:szCs w:val="24"/>
        </w:rPr>
        <w:t>1.4对磋商供应商的要求</w:t>
      </w:r>
      <w:bookmarkEnd w:id="306"/>
      <w:bookmarkEnd w:id="307"/>
      <w:bookmarkEnd w:id="308"/>
      <w:bookmarkEnd w:id="309"/>
      <w:bookmarkEnd w:id="310"/>
      <w:bookmarkEnd w:id="311"/>
      <w:bookmarkEnd w:id="312"/>
      <w:bookmarkEnd w:id="313"/>
      <w:bookmarkEnd w:id="314"/>
      <w:bookmarkEnd w:id="315"/>
      <w:bookmarkEnd w:id="316"/>
    </w:p>
    <w:p w14:paraId="260A40D6">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1.4.1磋商供应商的资格要求：详见磋商供应商须知前附表。</w:t>
      </w:r>
    </w:p>
    <w:p w14:paraId="0801221C">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1.4.2是否接受联合体：详见磋商供应商须知前附表。如为接受联合体的，联合体磋商供应商除须符合本章第1.4.1条规定外，还须满足以下条件：</w:t>
      </w:r>
    </w:p>
    <w:p w14:paraId="0A2778EF">
      <w:pPr>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（1）联合体各方应按磋商文件提供的格式签订联合体协议书，明确联合体牵头人和各方权利义务，并承诺就成交项目向采购人承担连带责任；</w:t>
      </w:r>
    </w:p>
    <w:p w14:paraId="5CA8381F">
      <w:pPr>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（2）联合体中有同类资质的磋商供应商按照联合体分工承担相同工作的，应当按照资质等级较低的磋商供应商确定资质等级；</w:t>
      </w:r>
    </w:p>
    <w:p w14:paraId="6352446B">
      <w:pPr>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（3）以联合体形式参加政府采购活动的，联合体各方不得再单独参加或者与其他磋商供应商另外组成联合体参加同一合同段下的政府采购活动。</w:t>
      </w:r>
    </w:p>
    <w:p w14:paraId="59AF733D">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1.4.3磋商供应商存在下列情况之一的，磋商无效：</w:t>
      </w:r>
    </w:p>
    <w:p w14:paraId="784F40A3">
      <w:pPr>
        <w:wordWrap w:val="0"/>
        <w:spacing w:line="360"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（1）未按照磋商文件的规定提交磋商保证金的；</w:t>
      </w:r>
    </w:p>
    <w:p w14:paraId="66A41BEB">
      <w:pPr>
        <w:wordWrap w:val="0"/>
        <w:spacing w:line="360"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（2）磋商响应文件未按磋商文件要求签署、盖章的；</w:t>
      </w:r>
    </w:p>
    <w:p w14:paraId="39E9C5CA">
      <w:pPr>
        <w:wordWrap w:val="0"/>
        <w:spacing w:line="360"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（3）不具备磋商文件中规定的资格要求的；</w:t>
      </w:r>
    </w:p>
    <w:p w14:paraId="1F9D511A">
      <w:pPr>
        <w:wordWrap w:val="0"/>
        <w:spacing w:line="360"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（4）报价超过磋商文件中规定的预算金额或者最高限价的；</w:t>
      </w:r>
    </w:p>
    <w:p w14:paraId="5F801F39">
      <w:pPr>
        <w:wordWrap w:val="0"/>
        <w:spacing w:line="360"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（5）磋商响应文件含有采购人不能接受的附加条件的；</w:t>
      </w:r>
    </w:p>
    <w:p w14:paraId="218C1EF7">
      <w:pPr>
        <w:wordWrap w:val="0"/>
        <w:spacing w:line="360"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（6）法律、法规和磋商文件规定的其他无效情形。</w:t>
      </w:r>
    </w:p>
    <w:p w14:paraId="32008993">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1.4.4有下列情形之一的，视为磋商供应商串通投标，其磋商无效：</w:t>
      </w:r>
    </w:p>
    <w:p w14:paraId="66E6714D">
      <w:pPr>
        <w:wordWrap w:val="0"/>
        <w:spacing w:line="360"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（1）不同磋商供应商的磋商响应文件由同一单位或者个人编制；</w:t>
      </w:r>
    </w:p>
    <w:p w14:paraId="6D8F6825">
      <w:pPr>
        <w:wordWrap w:val="0"/>
        <w:spacing w:line="360"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（2）不同磋商供应商委托同一单位或者个人办理磋商事宜；</w:t>
      </w:r>
    </w:p>
    <w:p w14:paraId="43963DDD">
      <w:pPr>
        <w:wordWrap w:val="0"/>
        <w:spacing w:line="360"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（3）不同磋商供应商的磋商响应文件载明的项目管理成员或者联系人员为同一人；</w:t>
      </w:r>
    </w:p>
    <w:p w14:paraId="5387B5CA">
      <w:pPr>
        <w:wordWrap w:val="0"/>
        <w:spacing w:line="360"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（4）不同磋商供应商的磋商响应文件异常一致或磋商报价呈规律性差异；</w:t>
      </w:r>
    </w:p>
    <w:p w14:paraId="387279E6">
      <w:pPr>
        <w:wordWrap w:val="0"/>
        <w:spacing w:line="360"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（5）不同磋商供应商的磋商响应文件相互混装；</w:t>
      </w:r>
    </w:p>
    <w:p w14:paraId="3D62DA79">
      <w:pPr>
        <w:wordWrap w:val="0"/>
        <w:spacing w:line="360"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（6）不同磋商供应商的磋商保证金从同一单位或者个人的账户转出。</w:t>
      </w:r>
    </w:p>
    <w:p w14:paraId="37951873">
      <w:pPr>
        <w:pStyle w:val="4"/>
        <w:wordWrap w:val="0"/>
        <w:spacing w:line="415" w:lineRule="auto"/>
        <w:rPr>
          <w:rFonts w:cs="宋体" w:asciiTheme="minorEastAsia" w:hAnsiTheme="minorEastAsia" w:eastAsiaTheme="minorEastAsia"/>
          <w:szCs w:val="24"/>
        </w:rPr>
      </w:pPr>
      <w:bookmarkStart w:id="317" w:name="_Toc26368"/>
      <w:bookmarkStart w:id="318" w:name="_Toc7686"/>
      <w:bookmarkStart w:id="319" w:name="_Toc12675"/>
      <w:bookmarkStart w:id="320" w:name="_Toc21729"/>
      <w:bookmarkStart w:id="321" w:name="_Toc31454"/>
      <w:bookmarkStart w:id="322" w:name="_Toc132376728"/>
      <w:bookmarkStart w:id="323" w:name="_Toc1597"/>
      <w:bookmarkStart w:id="324" w:name="_Toc1798"/>
      <w:bookmarkStart w:id="325" w:name="_Toc193796038"/>
      <w:bookmarkStart w:id="326" w:name="_Toc15739"/>
      <w:bookmarkStart w:id="327" w:name="_Toc30422"/>
      <w:r>
        <w:rPr>
          <w:rFonts w:hint="eastAsia" w:cs="宋体" w:asciiTheme="minorEastAsia" w:hAnsiTheme="minorEastAsia" w:eastAsiaTheme="minorEastAsia"/>
          <w:szCs w:val="24"/>
        </w:rPr>
        <w:t>1.5保密</w:t>
      </w:r>
      <w:bookmarkEnd w:id="317"/>
      <w:bookmarkEnd w:id="318"/>
      <w:bookmarkEnd w:id="319"/>
      <w:bookmarkEnd w:id="320"/>
      <w:bookmarkEnd w:id="321"/>
      <w:bookmarkEnd w:id="322"/>
      <w:bookmarkEnd w:id="323"/>
      <w:bookmarkEnd w:id="324"/>
      <w:bookmarkEnd w:id="325"/>
      <w:bookmarkEnd w:id="326"/>
      <w:bookmarkEnd w:id="327"/>
    </w:p>
    <w:p w14:paraId="02F966BE">
      <w:pPr>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参与本次政府采购活动的各方应对磋商文件和磋商响应文件中的商业和技术等秘密保密，违者应对由此造成的后果承担法律责任。</w:t>
      </w:r>
    </w:p>
    <w:p w14:paraId="4CD8EE3D">
      <w:pPr>
        <w:pStyle w:val="4"/>
        <w:wordWrap w:val="0"/>
        <w:spacing w:line="415" w:lineRule="auto"/>
        <w:rPr>
          <w:rFonts w:cs="宋体" w:asciiTheme="minorEastAsia" w:hAnsiTheme="minorEastAsia" w:eastAsiaTheme="minorEastAsia"/>
          <w:szCs w:val="24"/>
        </w:rPr>
      </w:pPr>
      <w:bookmarkStart w:id="328" w:name="_Toc132376729"/>
      <w:bookmarkStart w:id="329" w:name="_Toc193796039"/>
      <w:bookmarkStart w:id="330" w:name="_Toc2851"/>
      <w:bookmarkStart w:id="331" w:name="_Toc7675"/>
      <w:bookmarkStart w:id="332" w:name="_Toc20024"/>
      <w:bookmarkStart w:id="333" w:name="_Toc8600"/>
      <w:bookmarkStart w:id="334" w:name="_Toc3173"/>
      <w:bookmarkStart w:id="335" w:name="_Toc28268"/>
      <w:bookmarkStart w:id="336" w:name="_Toc4923"/>
      <w:bookmarkStart w:id="337" w:name="_Toc25990"/>
      <w:bookmarkStart w:id="338" w:name="_Toc13444"/>
      <w:r>
        <w:rPr>
          <w:rFonts w:hint="eastAsia" w:cs="宋体" w:asciiTheme="minorEastAsia" w:hAnsiTheme="minorEastAsia" w:eastAsiaTheme="minorEastAsia"/>
          <w:szCs w:val="24"/>
        </w:rPr>
        <w:t>1.6语言文字</w:t>
      </w:r>
      <w:bookmarkEnd w:id="328"/>
      <w:bookmarkEnd w:id="329"/>
      <w:bookmarkEnd w:id="330"/>
      <w:bookmarkEnd w:id="331"/>
      <w:bookmarkEnd w:id="332"/>
      <w:bookmarkEnd w:id="333"/>
      <w:bookmarkEnd w:id="334"/>
      <w:bookmarkEnd w:id="335"/>
      <w:bookmarkEnd w:id="336"/>
      <w:bookmarkEnd w:id="337"/>
      <w:bookmarkEnd w:id="338"/>
    </w:p>
    <w:p w14:paraId="0D4E08D5">
      <w:pPr>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供应商提交的磋商响应文件以及磋商供应商与云南华伟招标有限公司就有关磋商的所有来往函电均应使用中文。磋商供应商可以提交用其他语言的资料，但有关的段落必须翻译成中文，在有差异和矛盾时以中文为准。字体要便于辨识，以正楷、宋体为好。</w:t>
      </w:r>
    </w:p>
    <w:p w14:paraId="16A793E8">
      <w:pPr>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用非中文版印刷的服务说明书、技术资料、资格资质证书等，磋商供应商应提供符合中国有关法律、法规的中文译本，并以采购人最终确认的中文译本为准。</w:t>
      </w:r>
    </w:p>
    <w:p w14:paraId="4B9AC075">
      <w:pPr>
        <w:pStyle w:val="4"/>
        <w:wordWrap w:val="0"/>
        <w:spacing w:line="415" w:lineRule="auto"/>
        <w:rPr>
          <w:rFonts w:cs="宋体" w:asciiTheme="minorEastAsia" w:hAnsiTheme="minorEastAsia" w:eastAsiaTheme="minorEastAsia"/>
          <w:szCs w:val="24"/>
        </w:rPr>
      </w:pPr>
      <w:bookmarkStart w:id="339" w:name="_Toc193796040"/>
      <w:bookmarkStart w:id="340" w:name="_Toc10052"/>
      <w:bookmarkStart w:id="341" w:name="_Toc132376730"/>
      <w:bookmarkStart w:id="342" w:name="_Toc3909"/>
      <w:bookmarkStart w:id="343" w:name="_Toc20705"/>
      <w:bookmarkStart w:id="344" w:name="_Toc29343"/>
      <w:bookmarkStart w:id="345" w:name="_Toc9314"/>
      <w:bookmarkStart w:id="346" w:name="_Toc21970"/>
      <w:bookmarkStart w:id="347" w:name="_Toc27965"/>
      <w:bookmarkStart w:id="348" w:name="_Toc3299"/>
      <w:bookmarkStart w:id="349" w:name="_Toc30126"/>
      <w:r>
        <w:rPr>
          <w:rFonts w:hint="eastAsia" w:cs="宋体" w:asciiTheme="minorEastAsia" w:hAnsiTheme="minorEastAsia" w:eastAsiaTheme="minorEastAsia"/>
          <w:szCs w:val="24"/>
        </w:rPr>
        <w:t>1.7计量单位</w:t>
      </w:r>
      <w:bookmarkEnd w:id="339"/>
      <w:bookmarkEnd w:id="340"/>
      <w:bookmarkEnd w:id="341"/>
      <w:bookmarkEnd w:id="342"/>
      <w:bookmarkEnd w:id="343"/>
      <w:bookmarkEnd w:id="344"/>
      <w:bookmarkEnd w:id="345"/>
      <w:bookmarkEnd w:id="346"/>
      <w:bookmarkEnd w:id="347"/>
      <w:bookmarkEnd w:id="348"/>
      <w:bookmarkEnd w:id="349"/>
    </w:p>
    <w:p w14:paraId="1CBDB687">
      <w:pPr>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磋商响应文件中所使用的度量衡单位，除磋商文件中有特殊要求外，一律用公制。</w:t>
      </w:r>
    </w:p>
    <w:p w14:paraId="1B1A94DA">
      <w:pPr>
        <w:pStyle w:val="4"/>
        <w:wordWrap w:val="0"/>
        <w:spacing w:line="415" w:lineRule="auto"/>
        <w:rPr>
          <w:rFonts w:cs="宋体" w:asciiTheme="minorEastAsia" w:hAnsiTheme="minorEastAsia" w:eastAsiaTheme="minorEastAsia"/>
          <w:szCs w:val="24"/>
        </w:rPr>
      </w:pPr>
      <w:bookmarkStart w:id="350" w:name="_Toc2974"/>
      <w:bookmarkStart w:id="351" w:name="_Toc193796041"/>
      <w:bookmarkStart w:id="352" w:name="_Toc2112"/>
      <w:bookmarkStart w:id="353" w:name="_Toc19137"/>
      <w:bookmarkStart w:id="354" w:name="_Toc19705"/>
      <w:bookmarkStart w:id="355" w:name="_Toc6829"/>
      <w:bookmarkStart w:id="356" w:name="_Toc132376731"/>
      <w:bookmarkStart w:id="357" w:name="_Toc27695"/>
      <w:bookmarkStart w:id="358" w:name="_Toc32231"/>
      <w:bookmarkStart w:id="359" w:name="_Toc1998"/>
      <w:bookmarkStart w:id="360" w:name="_Toc11440"/>
      <w:r>
        <w:rPr>
          <w:rFonts w:hint="eastAsia" w:cs="宋体" w:asciiTheme="minorEastAsia" w:hAnsiTheme="minorEastAsia" w:eastAsiaTheme="minorEastAsia"/>
          <w:szCs w:val="24"/>
        </w:rPr>
        <w:t>1.8现场踏勘</w:t>
      </w:r>
      <w:bookmarkEnd w:id="350"/>
      <w:bookmarkEnd w:id="351"/>
      <w:bookmarkEnd w:id="352"/>
      <w:bookmarkEnd w:id="353"/>
      <w:bookmarkEnd w:id="354"/>
      <w:bookmarkEnd w:id="355"/>
      <w:bookmarkEnd w:id="356"/>
      <w:bookmarkEnd w:id="357"/>
      <w:bookmarkEnd w:id="358"/>
      <w:bookmarkEnd w:id="359"/>
      <w:bookmarkEnd w:id="360"/>
    </w:p>
    <w:p w14:paraId="24DAF44D">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1.8.1采购人是否组织现场踏勘：详见磋商供应商须知前附表。如采购人组织现场踏勘，磋商供应商应遵守如下规定：</w:t>
      </w:r>
    </w:p>
    <w:p w14:paraId="05A47E44">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（1）磋商供应商按磋商供应商须知前附表规定的时间和地点到现场进行踏勘；</w:t>
      </w:r>
    </w:p>
    <w:p w14:paraId="52412853">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（2）磋商供应商现场踏勘所发生的费用由磋商供应商自行承担；</w:t>
      </w:r>
    </w:p>
    <w:p w14:paraId="4082C876">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（3）除采购人原因外，由于现场踏勘给磋商供应商造成的人身伤害或财产损失的，由磋商供应商自行承担；</w:t>
      </w:r>
    </w:p>
    <w:p w14:paraId="1F3BC8A5">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（4）采购人不对磋商供应商据此作出的判断和决策负责。</w:t>
      </w:r>
    </w:p>
    <w:p w14:paraId="0BCEE833">
      <w:pPr>
        <w:pStyle w:val="4"/>
        <w:wordWrap w:val="0"/>
        <w:spacing w:line="415" w:lineRule="auto"/>
        <w:rPr>
          <w:rFonts w:cs="宋体" w:asciiTheme="minorEastAsia" w:hAnsiTheme="minorEastAsia" w:eastAsiaTheme="minorEastAsia"/>
          <w:szCs w:val="24"/>
        </w:rPr>
      </w:pPr>
      <w:bookmarkStart w:id="361" w:name="_Toc132376732"/>
      <w:bookmarkStart w:id="362" w:name="_Toc27679"/>
      <w:bookmarkStart w:id="363" w:name="_Toc17466"/>
      <w:bookmarkStart w:id="364" w:name="_Toc23115"/>
      <w:bookmarkStart w:id="365" w:name="_Toc29176"/>
      <w:bookmarkStart w:id="366" w:name="_Toc13331"/>
      <w:bookmarkStart w:id="367" w:name="_Toc11130"/>
      <w:bookmarkStart w:id="368" w:name="_Toc2559"/>
      <w:bookmarkStart w:id="369" w:name="_Toc20670"/>
      <w:bookmarkStart w:id="370" w:name="_Toc193796042"/>
      <w:bookmarkStart w:id="371" w:name="_Toc28124"/>
      <w:r>
        <w:rPr>
          <w:rFonts w:hint="eastAsia" w:cs="宋体" w:asciiTheme="minorEastAsia" w:hAnsiTheme="minorEastAsia" w:eastAsiaTheme="minorEastAsia"/>
          <w:szCs w:val="24"/>
        </w:rPr>
        <w:t>1.9磋商答疑会</w:t>
      </w:r>
      <w:bookmarkEnd w:id="361"/>
      <w:bookmarkEnd w:id="362"/>
      <w:bookmarkEnd w:id="363"/>
      <w:bookmarkEnd w:id="364"/>
      <w:bookmarkEnd w:id="365"/>
      <w:bookmarkEnd w:id="366"/>
      <w:bookmarkEnd w:id="367"/>
      <w:bookmarkEnd w:id="368"/>
      <w:bookmarkEnd w:id="369"/>
      <w:bookmarkEnd w:id="370"/>
      <w:bookmarkEnd w:id="371"/>
    </w:p>
    <w:p w14:paraId="50467476">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1.9.1采购人是否召开答疑会：详见磋商供应商须知前附表。如采购人召开答疑会的，磋商供应商应遵守如下规定：</w:t>
      </w:r>
    </w:p>
    <w:p w14:paraId="1EF77678">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（1）磋商供应商应按磋商供应商须知前附表规定的时间和形式将提出的问题送达采购人，以便采购人在会议期间澄清；</w:t>
      </w:r>
    </w:p>
    <w:p w14:paraId="2BD02B31">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（2）磋商供应商不得以任何形式扰乱答疑会秩序。</w:t>
      </w:r>
    </w:p>
    <w:p w14:paraId="567FB996">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1.9.2采购人对磋商供应商提出问题的澄清，以磋商供应商须知前附表规定的形式通知所有报名参与本项目的磋商供应商，该澄清内容为磋商文件的组成部分。</w:t>
      </w:r>
    </w:p>
    <w:p w14:paraId="7B019FB8">
      <w:pPr>
        <w:pStyle w:val="4"/>
        <w:wordWrap w:val="0"/>
        <w:spacing w:line="415" w:lineRule="auto"/>
        <w:rPr>
          <w:rFonts w:cs="宋体" w:asciiTheme="minorEastAsia" w:hAnsiTheme="minorEastAsia" w:eastAsiaTheme="minorEastAsia"/>
          <w:szCs w:val="24"/>
        </w:rPr>
      </w:pPr>
      <w:bookmarkStart w:id="372" w:name="_Toc8420"/>
      <w:bookmarkStart w:id="373" w:name="_Toc132376733"/>
      <w:bookmarkStart w:id="374" w:name="_Toc4858"/>
      <w:bookmarkStart w:id="375" w:name="_Toc193796043"/>
      <w:bookmarkStart w:id="376" w:name="_Toc1824"/>
      <w:bookmarkStart w:id="377" w:name="_Toc23357"/>
      <w:bookmarkStart w:id="378" w:name="_Toc10383"/>
      <w:bookmarkStart w:id="379" w:name="_Toc20895"/>
      <w:bookmarkStart w:id="380" w:name="_Toc6112"/>
      <w:bookmarkStart w:id="381" w:name="_Toc22249"/>
      <w:bookmarkStart w:id="382" w:name="_Toc30219"/>
      <w:r>
        <w:rPr>
          <w:rFonts w:hint="eastAsia" w:cs="宋体" w:asciiTheme="minorEastAsia" w:hAnsiTheme="minorEastAsia" w:eastAsiaTheme="minorEastAsia"/>
          <w:szCs w:val="24"/>
        </w:rPr>
        <w:t>1.10分包</w:t>
      </w:r>
      <w:bookmarkEnd w:id="372"/>
      <w:bookmarkEnd w:id="373"/>
      <w:bookmarkEnd w:id="374"/>
      <w:bookmarkEnd w:id="375"/>
      <w:bookmarkEnd w:id="376"/>
      <w:bookmarkEnd w:id="377"/>
      <w:bookmarkEnd w:id="378"/>
      <w:bookmarkEnd w:id="379"/>
      <w:bookmarkEnd w:id="380"/>
      <w:bookmarkEnd w:id="381"/>
      <w:bookmarkEnd w:id="382"/>
    </w:p>
    <w:p w14:paraId="3A0F40DE">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1.10.1采购人是否允许分包：详见磋商供应商须知前附表。如采购人允许分包的，磋商供应商应遵守如下规定：</w:t>
      </w:r>
    </w:p>
    <w:p w14:paraId="27F8546C">
      <w:pPr>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（1）磋商供应商拟在成交后将成交项目的非主体、非关键性工作分包的，应当在磋商响应文件中载明分包承担主体，分包承担主体应当具备相应资质条件且不得再次分包；</w:t>
      </w:r>
    </w:p>
    <w:p w14:paraId="470276EB">
      <w:pPr>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（2）除磋商供应商须知前附表规定的非主体、非关键性工作外的其他工作不得分包。</w:t>
      </w:r>
    </w:p>
    <w:p w14:paraId="21ADBF23">
      <w:pPr>
        <w:pStyle w:val="4"/>
        <w:wordWrap w:val="0"/>
        <w:spacing w:line="415" w:lineRule="auto"/>
        <w:rPr>
          <w:rFonts w:cs="宋体" w:asciiTheme="minorEastAsia" w:hAnsiTheme="minorEastAsia" w:eastAsiaTheme="minorEastAsia"/>
          <w:szCs w:val="24"/>
        </w:rPr>
      </w:pPr>
      <w:bookmarkStart w:id="383" w:name="_Toc132376734"/>
      <w:bookmarkStart w:id="384" w:name="_Toc17287"/>
      <w:bookmarkStart w:id="385" w:name="_Toc6938"/>
      <w:bookmarkStart w:id="386" w:name="_Toc25459"/>
      <w:bookmarkStart w:id="387" w:name="_Toc8671"/>
      <w:bookmarkStart w:id="388" w:name="_Toc12819"/>
      <w:bookmarkStart w:id="389" w:name="_Toc10525"/>
      <w:bookmarkStart w:id="390" w:name="_Toc17122"/>
      <w:bookmarkStart w:id="391" w:name="_Toc193796044"/>
      <w:bookmarkStart w:id="392" w:name="_Toc28288"/>
      <w:bookmarkStart w:id="393" w:name="_Toc25856"/>
      <w:r>
        <w:rPr>
          <w:rFonts w:hint="eastAsia" w:cs="宋体" w:asciiTheme="minorEastAsia" w:hAnsiTheme="minorEastAsia" w:eastAsiaTheme="minorEastAsia"/>
          <w:szCs w:val="24"/>
        </w:rPr>
        <w:t>1.11样品</w:t>
      </w:r>
      <w:bookmarkEnd w:id="383"/>
      <w:bookmarkEnd w:id="384"/>
      <w:bookmarkEnd w:id="385"/>
      <w:bookmarkEnd w:id="386"/>
      <w:bookmarkEnd w:id="387"/>
      <w:bookmarkEnd w:id="388"/>
      <w:bookmarkEnd w:id="389"/>
      <w:bookmarkEnd w:id="390"/>
      <w:bookmarkEnd w:id="391"/>
      <w:bookmarkEnd w:id="392"/>
      <w:bookmarkEnd w:id="393"/>
    </w:p>
    <w:p w14:paraId="1D6C0DFB">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1.11.1采购人是否要求提供样品：详见磋商供应商须知前附表。如采购人要求提供样品的，磋商供应商应按磋商供应商须知前附表要求提交。</w:t>
      </w:r>
    </w:p>
    <w:p w14:paraId="1EAE3971">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1.11.2采购人是否要求随样品提交检测报告：详见磋商供应商须知前附表。如采购人要求随样品提交检测报告的，磋商供应商应按磋商供应商须知前附表要求提交。</w:t>
      </w:r>
    </w:p>
    <w:p w14:paraId="353F2531">
      <w:pPr>
        <w:pStyle w:val="4"/>
        <w:wordWrap w:val="0"/>
        <w:spacing w:line="415" w:lineRule="auto"/>
        <w:rPr>
          <w:rFonts w:cs="宋体" w:asciiTheme="minorEastAsia" w:hAnsiTheme="minorEastAsia" w:eastAsiaTheme="minorEastAsia"/>
          <w:szCs w:val="24"/>
        </w:rPr>
      </w:pPr>
      <w:bookmarkStart w:id="394" w:name="_Toc15985"/>
      <w:bookmarkStart w:id="395" w:name="_Toc193796045"/>
      <w:bookmarkStart w:id="396" w:name="_Toc28262"/>
      <w:bookmarkStart w:id="397" w:name="_Toc29679"/>
      <w:bookmarkStart w:id="398" w:name="_Toc12270"/>
      <w:bookmarkStart w:id="399" w:name="_Toc26307"/>
      <w:bookmarkStart w:id="400" w:name="_Toc132376735"/>
      <w:bookmarkStart w:id="401" w:name="_Toc3630"/>
      <w:bookmarkStart w:id="402" w:name="_Toc22506"/>
      <w:bookmarkStart w:id="403" w:name="_Toc3466"/>
      <w:bookmarkStart w:id="404" w:name="_Toc11798"/>
      <w:r>
        <w:rPr>
          <w:rFonts w:hint="eastAsia" w:cs="宋体" w:asciiTheme="minorEastAsia" w:hAnsiTheme="minorEastAsia" w:eastAsiaTheme="minorEastAsia"/>
          <w:szCs w:val="24"/>
        </w:rPr>
        <w:t>1.12磋商供应商须知前附表中的符号定义</w:t>
      </w:r>
      <w:bookmarkEnd w:id="394"/>
      <w:bookmarkEnd w:id="395"/>
      <w:bookmarkEnd w:id="396"/>
      <w:bookmarkEnd w:id="397"/>
      <w:bookmarkEnd w:id="398"/>
      <w:bookmarkEnd w:id="399"/>
      <w:bookmarkEnd w:id="400"/>
      <w:bookmarkEnd w:id="401"/>
      <w:bookmarkEnd w:id="402"/>
      <w:bookmarkEnd w:id="403"/>
      <w:bookmarkEnd w:id="404"/>
    </w:p>
    <w:p w14:paraId="7D14F5E7">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“■”代表选择，“□”代表未选择。</w:t>
      </w:r>
    </w:p>
    <w:p w14:paraId="4DE7F17B">
      <w:pPr>
        <w:pStyle w:val="3"/>
        <w:wordWrap w:val="0"/>
        <w:spacing w:after="0" w:line="415" w:lineRule="auto"/>
        <w:rPr>
          <w:rFonts w:cs="宋体" w:asciiTheme="minorEastAsia" w:hAnsiTheme="minorEastAsia" w:eastAsiaTheme="minorEastAsia"/>
          <w:sz w:val="28"/>
          <w:szCs w:val="28"/>
        </w:rPr>
      </w:pPr>
      <w:bookmarkStart w:id="405" w:name="_Toc8956"/>
      <w:bookmarkStart w:id="406" w:name="_Toc19121"/>
      <w:bookmarkStart w:id="407" w:name="_Toc30369"/>
      <w:bookmarkStart w:id="408" w:name="_Toc25611"/>
      <w:bookmarkStart w:id="409" w:name="_Toc132376736"/>
      <w:bookmarkStart w:id="410" w:name="_Toc24617"/>
      <w:bookmarkStart w:id="411" w:name="_Toc6667"/>
      <w:bookmarkStart w:id="412" w:name="_Toc193796046"/>
      <w:bookmarkStart w:id="413" w:name="_Toc8328"/>
      <w:r>
        <w:rPr>
          <w:rFonts w:hint="eastAsia" w:cs="宋体" w:asciiTheme="minorEastAsia" w:hAnsiTheme="minorEastAsia" w:eastAsiaTheme="minorEastAsia"/>
          <w:sz w:val="28"/>
          <w:szCs w:val="28"/>
        </w:rPr>
        <w:t>2、磋商文件</w:t>
      </w:r>
      <w:bookmarkEnd w:id="405"/>
      <w:bookmarkEnd w:id="406"/>
      <w:bookmarkEnd w:id="407"/>
      <w:bookmarkEnd w:id="408"/>
      <w:bookmarkEnd w:id="409"/>
      <w:bookmarkEnd w:id="410"/>
      <w:bookmarkEnd w:id="411"/>
      <w:bookmarkEnd w:id="412"/>
    </w:p>
    <w:p w14:paraId="285A26E9">
      <w:pPr>
        <w:pStyle w:val="4"/>
        <w:wordWrap w:val="0"/>
        <w:spacing w:line="415" w:lineRule="auto"/>
        <w:rPr>
          <w:rFonts w:cs="宋体" w:asciiTheme="minorEastAsia" w:hAnsiTheme="minorEastAsia" w:eastAsiaTheme="minorEastAsia"/>
          <w:szCs w:val="24"/>
        </w:rPr>
      </w:pPr>
      <w:bookmarkStart w:id="414" w:name="_Toc17885"/>
      <w:bookmarkStart w:id="415" w:name="_Toc25460"/>
      <w:bookmarkStart w:id="416" w:name="_Toc132376737"/>
      <w:bookmarkStart w:id="417" w:name="_Toc16353"/>
      <w:bookmarkStart w:id="418" w:name="_Toc324"/>
      <w:bookmarkStart w:id="419" w:name="_Toc8795"/>
      <w:bookmarkStart w:id="420" w:name="_Toc32320"/>
      <w:bookmarkStart w:id="421" w:name="_Toc17244"/>
      <w:bookmarkStart w:id="422" w:name="_Toc28445"/>
      <w:bookmarkStart w:id="423" w:name="_Toc193796047"/>
      <w:r>
        <w:rPr>
          <w:rFonts w:hint="eastAsia" w:cs="宋体" w:asciiTheme="minorEastAsia" w:hAnsiTheme="minorEastAsia" w:eastAsiaTheme="minorEastAsia"/>
          <w:szCs w:val="24"/>
        </w:rPr>
        <w:t>2.1磋商文件的组成</w:t>
      </w:r>
      <w:bookmarkEnd w:id="413"/>
      <w:bookmarkEnd w:id="414"/>
      <w:bookmarkEnd w:id="415"/>
      <w:bookmarkEnd w:id="416"/>
      <w:bookmarkEnd w:id="417"/>
      <w:bookmarkEnd w:id="418"/>
      <w:bookmarkEnd w:id="419"/>
      <w:bookmarkEnd w:id="420"/>
      <w:bookmarkEnd w:id="421"/>
      <w:bookmarkEnd w:id="422"/>
      <w:bookmarkEnd w:id="423"/>
    </w:p>
    <w:p w14:paraId="3F26818F">
      <w:pPr>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第一章 竞争性磋商公告</w:t>
      </w:r>
    </w:p>
    <w:p w14:paraId="17CDF5D5">
      <w:pPr>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第二章 磋商供应商须知</w:t>
      </w:r>
    </w:p>
    <w:p w14:paraId="59CD663D">
      <w:pPr>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第三章 磋商小组、磋商程序、评审方法和授予合同</w:t>
      </w:r>
    </w:p>
    <w:p w14:paraId="61F31353">
      <w:pPr>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第四章 合同条款及格式（参考）</w:t>
      </w:r>
    </w:p>
    <w:p w14:paraId="284D1CDE">
      <w:pPr>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第五章 磋商响应文件格式</w:t>
      </w:r>
    </w:p>
    <w:p w14:paraId="33F584F8">
      <w:pPr>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第六章 工程量清单</w:t>
      </w:r>
    </w:p>
    <w:p w14:paraId="5E18C66A">
      <w:pPr>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注：对磋商文件作出的澄清、修改属磋商文件的组成部分。</w:t>
      </w:r>
    </w:p>
    <w:p w14:paraId="7B54D4C2">
      <w:pPr>
        <w:pStyle w:val="4"/>
        <w:wordWrap w:val="0"/>
        <w:spacing w:line="415" w:lineRule="auto"/>
        <w:rPr>
          <w:rFonts w:cs="宋体" w:asciiTheme="minorEastAsia" w:hAnsiTheme="minorEastAsia" w:eastAsiaTheme="minorEastAsia"/>
          <w:szCs w:val="24"/>
        </w:rPr>
      </w:pPr>
      <w:bookmarkStart w:id="424" w:name="_Toc29119"/>
      <w:bookmarkStart w:id="425" w:name="_Toc16316"/>
      <w:bookmarkStart w:id="426" w:name="_Toc4501"/>
      <w:bookmarkStart w:id="427" w:name="_Toc16280"/>
      <w:bookmarkStart w:id="428" w:name="_Toc21016"/>
      <w:bookmarkStart w:id="429" w:name="_Toc32693"/>
      <w:bookmarkStart w:id="430" w:name="_Toc16596"/>
      <w:bookmarkStart w:id="431" w:name="_Toc9800"/>
      <w:bookmarkStart w:id="432" w:name="_Toc132376738"/>
      <w:bookmarkStart w:id="433" w:name="_Toc31373"/>
      <w:bookmarkStart w:id="434" w:name="_Toc193796048"/>
      <w:r>
        <w:rPr>
          <w:rFonts w:hint="eastAsia" w:cs="宋体" w:asciiTheme="minorEastAsia" w:hAnsiTheme="minorEastAsia" w:eastAsiaTheme="minorEastAsia"/>
          <w:szCs w:val="24"/>
        </w:rPr>
        <w:t>2.2磋商文件的澄清</w:t>
      </w:r>
      <w:bookmarkEnd w:id="424"/>
      <w:bookmarkEnd w:id="425"/>
      <w:bookmarkEnd w:id="426"/>
      <w:bookmarkEnd w:id="427"/>
      <w:bookmarkEnd w:id="428"/>
      <w:bookmarkEnd w:id="429"/>
      <w:bookmarkEnd w:id="430"/>
      <w:bookmarkEnd w:id="431"/>
      <w:bookmarkEnd w:id="432"/>
      <w:bookmarkEnd w:id="433"/>
      <w:bookmarkEnd w:id="434"/>
    </w:p>
    <w:p w14:paraId="00636C8E">
      <w:pPr>
        <w:wordWrap w:val="0"/>
        <w:spacing w:line="360" w:lineRule="auto"/>
        <w:ind w:firstLine="480" w:firstLineChars="200"/>
        <w:rPr>
          <w:rFonts w:cs="宋体" w:asciiTheme="minorEastAsia" w:hAnsiTheme="minorEastAsia" w:eastAsiaTheme="minorEastAsia"/>
          <w:sz w:val="24"/>
        </w:rPr>
      </w:pPr>
      <w:bookmarkStart w:id="435" w:name="_Toc19493"/>
      <w:r>
        <w:rPr>
          <w:rFonts w:hint="eastAsia" w:cs="宋体" w:asciiTheme="minorEastAsia" w:hAnsiTheme="minorEastAsia" w:eastAsiaTheme="minorEastAsia"/>
          <w:sz w:val="24"/>
        </w:rPr>
        <w:t>2.2.1任何要求对磋商文件进行澄清的磋商</w:t>
      </w:r>
      <w:bookmarkStart w:id="436" w:name="OLE_LINK92"/>
      <w:bookmarkStart w:id="437" w:name="OLE_LINK91"/>
      <w:r>
        <w:rPr>
          <w:rFonts w:hint="eastAsia" w:cs="宋体" w:asciiTheme="minorEastAsia" w:hAnsiTheme="minorEastAsia" w:eastAsiaTheme="minorEastAsia"/>
          <w:sz w:val="24"/>
        </w:rPr>
        <w:t>供应商</w:t>
      </w:r>
      <w:bookmarkEnd w:id="436"/>
      <w:bookmarkEnd w:id="437"/>
      <w:r>
        <w:rPr>
          <w:rFonts w:hint="eastAsia" w:cs="宋体" w:asciiTheme="minorEastAsia" w:hAnsiTheme="minorEastAsia" w:eastAsiaTheme="minorEastAsia"/>
          <w:sz w:val="24"/>
        </w:rPr>
        <w:t>，均应在“磋商供应商须知前附表”规定截止时间前以以在线不署名提交要求采购人澄清，截止时间后送达的澄清要求不予接受。所有获取了采购文件的潜在供应商凭企业数字证书（CA）登录“政采云”平台，通过在线方式进行不署名提问。</w:t>
      </w:r>
    </w:p>
    <w:p w14:paraId="084305AE">
      <w:pPr>
        <w:wordWrap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2.2.2 采购代理机构将以</w:t>
      </w:r>
      <w:bookmarkStart w:id="438" w:name="OLE_LINK95"/>
      <w:bookmarkStart w:id="439" w:name="OLE_LINK98"/>
      <w:bookmarkStart w:id="440" w:name="OLE_LINK96"/>
      <w:bookmarkStart w:id="441" w:name="OLE_LINK97"/>
      <w:r>
        <w:rPr>
          <w:rFonts w:hint="eastAsia" w:cs="宋体" w:asciiTheme="minorEastAsia" w:hAnsiTheme="minorEastAsia" w:eastAsiaTheme="minorEastAsia"/>
          <w:sz w:val="24"/>
        </w:rPr>
        <w:t>电子文件形式</w:t>
      </w:r>
      <w:bookmarkEnd w:id="438"/>
      <w:bookmarkEnd w:id="439"/>
      <w:bookmarkEnd w:id="440"/>
      <w:bookmarkEnd w:id="441"/>
      <w:r>
        <w:rPr>
          <w:rFonts w:hint="eastAsia" w:cs="宋体" w:asciiTheme="minorEastAsia" w:hAnsiTheme="minorEastAsia" w:eastAsiaTheme="minorEastAsia"/>
          <w:sz w:val="24"/>
        </w:rPr>
        <w:t>答复磋商文件收受人要求澄清的问题。</w:t>
      </w:r>
    </w:p>
    <w:p w14:paraId="0CB7E56A">
      <w:pPr>
        <w:pStyle w:val="4"/>
        <w:wordWrap w:val="0"/>
        <w:rPr>
          <w:rFonts w:cs="宋体" w:asciiTheme="minorEastAsia" w:hAnsiTheme="minorEastAsia" w:eastAsiaTheme="minorEastAsia"/>
          <w:szCs w:val="24"/>
        </w:rPr>
      </w:pPr>
      <w:bookmarkStart w:id="442" w:name="_Toc22362"/>
      <w:bookmarkStart w:id="443" w:name="_Toc14997"/>
      <w:bookmarkStart w:id="444" w:name="_Toc29095"/>
      <w:bookmarkStart w:id="445" w:name="_Toc20688"/>
      <w:bookmarkStart w:id="446" w:name="_Toc26889"/>
      <w:bookmarkStart w:id="447" w:name="_Toc10117"/>
      <w:bookmarkStart w:id="448" w:name="_Toc18901"/>
      <w:bookmarkStart w:id="449" w:name="_Toc132376739"/>
      <w:bookmarkStart w:id="450" w:name="_Toc193796049"/>
      <w:bookmarkStart w:id="451" w:name="_Toc5909"/>
      <w:r>
        <w:rPr>
          <w:rFonts w:hint="eastAsia" w:cs="宋体" w:asciiTheme="minorEastAsia" w:hAnsiTheme="minorEastAsia" w:eastAsiaTheme="minorEastAsia"/>
          <w:szCs w:val="24"/>
        </w:rPr>
        <w:t>2.3 磋商文件的修改</w:t>
      </w:r>
      <w:bookmarkEnd w:id="435"/>
      <w:bookmarkEnd w:id="442"/>
      <w:bookmarkEnd w:id="443"/>
      <w:bookmarkEnd w:id="444"/>
      <w:bookmarkEnd w:id="445"/>
      <w:bookmarkEnd w:id="446"/>
      <w:bookmarkEnd w:id="447"/>
      <w:bookmarkEnd w:id="448"/>
      <w:bookmarkEnd w:id="449"/>
      <w:bookmarkEnd w:id="450"/>
      <w:bookmarkEnd w:id="451"/>
    </w:p>
    <w:p w14:paraId="61140850">
      <w:pPr>
        <w:wordWrap w:val="0"/>
        <w:spacing w:line="4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2.3.1提交磋商响应文件截止之日前，采购代理机构可以对已发出的磋商文件进行必要的澄清或者修改，澄清或者修改的内容作为磋商文件的组成部分。</w:t>
      </w:r>
    </w:p>
    <w:p w14:paraId="3D9EDBFD">
      <w:pPr>
        <w:wordWrap w:val="0"/>
        <w:spacing w:line="4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2.3.2澄清或者修改的内容可能影响磋商响应文件编制的，采购代理机构将在提交磋商响应文件截止时间5日前，以电子文件形式通知所有接收磋商文件的磋商供应商。不足5日的，将顺延提交磋商响应文件的截止时间。</w:t>
      </w:r>
    </w:p>
    <w:p w14:paraId="58F93FBE">
      <w:pPr>
        <w:pStyle w:val="3"/>
        <w:wordWrap w:val="0"/>
        <w:spacing w:after="0" w:line="415" w:lineRule="auto"/>
        <w:rPr>
          <w:rFonts w:cs="宋体" w:asciiTheme="minorEastAsia" w:hAnsiTheme="minorEastAsia" w:eastAsiaTheme="minorEastAsia"/>
          <w:sz w:val="28"/>
          <w:szCs w:val="28"/>
        </w:rPr>
      </w:pPr>
      <w:bookmarkStart w:id="452" w:name="_Toc18966"/>
      <w:bookmarkStart w:id="453" w:name="_Toc32631"/>
      <w:bookmarkStart w:id="454" w:name="_Toc14780"/>
      <w:bookmarkStart w:id="455" w:name="_Toc15400"/>
      <w:bookmarkStart w:id="456" w:name="_Toc193796050"/>
      <w:bookmarkStart w:id="457" w:name="_Toc32740"/>
      <w:bookmarkStart w:id="458" w:name="_Toc132376740"/>
      <w:r>
        <w:rPr>
          <w:rFonts w:hint="eastAsia" w:cs="宋体" w:asciiTheme="minorEastAsia" w:hAnsiTheme="minorEastAsia" w:eastAsiaTheme="minorEastAsia"/>
          <w:sz w:val="28"/>
          <w:szCs w:val="28"/>
        </w:rPr>
        <w:t>3、磋商响应文件</w:t>
      </w:r>
      <w:bookmarkEnd w:id="452"/>
      <w:bookmarkEnd w:id="453"/>
      <w:bookmarkEnd w:id="454"/>
      <w:bookmarkEnd w:id="455"/>
      <w:bookmarkEnd w:id="456"/>
      <w:bookmarkEnd w:id="457"/>
      <w:bookmarkEnd w:id="458"/>
    </w:p>
    <w:p w14:paraId="1DA4E3BF">
      <w:pPr>
        <w:wordWrap w:val="0"/>
        <w:spacing w:line="360" w:lineRule="auto"/>
        <w:ind w:firstLine="482" w:firstLineChars="200"/>
        <w:outlineLvl w:val="2"/>
        <w:rPr>
          <w:rFonts w:cs="宋体" w:asciiTheme="minorEastAsia" w:hAnsiTheme="minorEastAsia" w:eastAsiaTheme="minorEastAsia"/>
          <w:b/>
          <w:sz w:val="24"/>
          <w:szCs w:val="24"/>
        </w:rPr>
      </w:pPr>
      <w:bookmarkStart w:id="459" w:name="_Toc31633"/>
      <w:bookmarkStart w:id="460" w:name="_Toc28538"/>
      <w:bookmarkStart w:id="461" w:name="_Toc21560"/>
      <w:bookmarkStart w:id="462" w:name="_Toc7773"/>
      <w:bookmarkStart w:id="463" w:name="_Toc15329"/>
      <w:bookmarkStart w:id="464" w:name="_Toc132376741"/>
      <w:bookmarkStart w:id="465" w:name="_Toc26677"/>
      <w:bookmarkStart w:id="466" w:name="_Toc17498"/>
      <w:bookmarkStart w:id="467" w:name="_Toc193796051"/>
      <w:bookmarkStart w:id="468" w:name="_Toc17553"/>
      <w:r>
        <w:rPr>
          <w:rFonts w:hint="eastAsia" w:cs="宋体" w:asciiTheme="minorEastAsia" w:hAnsiTheme="minorEastAsia" w:eastAsiaTheme="minorEastAsia"/>
          <w:b/>
          <w:sz w:val="24"/>
          <w:szCs w:val="24"/>
        </w:rPr>
        <w:t>3.1</w:t>
      </w:r>
      <w:bookmarkStart w:id="469" w:name="_Hlk131666611"/>
      <w:r>
        <w:rPr>
          <w:rFonts w:hint="eastAsia" w:cs="宋体" w:asciiTheme="minorEastAsia" w:hAnsiTheme="minorEastAsia" w:eastAsiaTheme="minorEastAsia"/>
          <w:b/>
          <w:sz w:val="24"/>
          <w:szCs w:val="24"/>
        </w:rPr>
        <w:t>磋商响应文件</w:t>
      </w:r>
      <w:bookmarkEnd w:id="469"/>
      <w:r>
        <w:rPr>
          <w:rFonts w:hint="eastAsia" w:cs="宋体" w:asciiTheme="minorEastAsia" w:hAnsiTheme="minorEastAsia" w:eastAsiaTheme="minorEastAsia"/>
          <w:b/>
          <w:sz w:val="24"/>
          <w:szCs w:val="24"/>
        </w:rPr>
        <w:t>的构成</w:t>
      </w:r>
      <w:bookmarkEnd w:id="459"/>
      <w:bookmarkEnd w:id="460"/>
      <w:bookmarkEnd w:id="461"/>
      <w:bookmarkEnd w:id="462"/>
      <w:bookmarkEnd w:id="463"/>
      <w:bookmarkEnd w:id="464"/>
      <w:bookmarkEnd w:id="465"/>
      <w:bookmarkEnd w:id="466"/>
      <w:bookmarkEnd w:id="467"/>
      <w:bookmarkEnd w:id="468"/>
    </w:p>
    <w:p w14:paraId="6794335B">
      <w:pPr>
        <w:wordWrap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3</w:t>
      </w:r>
      <w:r>
        <w:rPr>
          <w:rFonts w:cs="宋体" w:asciiTheme="minorEastAsia" w:hAnsiTheme="minorEastAsia" w:eastAsiaTheme="minorEastAsia"/>
          <w:bCs/>
          <w:sz w:val="24"/>
          <w:szCs w:val="24"/>
        </w:rPr>
        <w:t>.1.1</w:t>
      </w:r>
      <w:r>
        <w:rPr>
          <w:rFonts w:hint="eastAsia" w:cs="宋体" w:asciiTheme="minorEastAsia" w:hAnsiTheme="minorEastAsia" w:eastAsiaTheme="minorEastAsia"/>
          <w:bCs/>
          <w:sz w:val="24"/>
          <w:szCs w:val="24"/>
        </w:rPr>
        <w:t>磋商响应文件</w:t>
      </w:r>
      <w:r>
        <w:rPr>
          <w:rFonts w:hint="eastAsia" w:cs="宋体" w:asciiTheme="minorEastAsia" w:hAnsiTheme="minorEastAsia" w:eastAsiaTheme="minorEastAsia"/>
          <w:sz w:val="24"/>
          <w:szCs w:val="24"/>
        </w:rPr>
        <w:t>资格审查部分详见第五章“磋商响应文件格式”资格审查部分中的内容；</w:t>
      </w:r>
    </w:p>
    <w:p w14:paraId="427F92FA">
      <w:pPr>
        <w:wordWrap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3</w:t>
      </w:r>
      <w:r>
        <w:rPr>
          <w:rFonts w:cs="宋体" w:asciiTheme="minorEastAsia" w:hAnsiTheme="minorEastAsia" w:eastAsiaTheme="minorEastAsia"/>
          <w:bCs/>
          <w:sz w:val="24"/>
          <w:szCs w:val="24"/>
        </w:rPr>
        <w:t>.1.2</w:t>
      </w:r>
      <w:r>
        <w:rPr>
          <w:rFonts w:hint="eastAsia" w:cs="宋体" w:asciiTheme="minorEastAsia" w:hAnsiTheme="minorEastAsia" w:eastAsiaTheme="minorEastAsia"/>
          <w:bCs/>
          <w:sz w:val="24"/>
          <w:szCs w:val="24"/>
        </w:rPr>
        <w:t>磋商响应文件</w:t>
      </w:r>
      <w:r>
        <w:rPr>
          <w:rFonts w:hint="eastAsia" w:cs="宋体" w:asciiTheme="minorEastAsia" w:hAnsiTheme="minorEastAsia" w:eastAsiaTheme="minorEastAsia"/>
          <w:sz w:val="24"/>
          <w:szCs w:val="24"/>
        </w:rPr>
        <w:t>技术部分详见第五章“磋商响应文件格式” 技术部分中的内容；</w:t>
      </w:r>
    </w:p>
    <w:p w14:paraId="390EE446">
      <w:pPr>
        <w:wordWrap w:val="0"/>
        <w:spacing w:line="360" w:lineRule="auto"/>
        <w:ind w:firstLine="480" w:firstLineChars="200"/>
        <w:rPr>
          <w:rFonts w:cs="宋体" w:asciiTheme="minorEastAsia" w:hAnsiTheme="minorEastAsia" w:eastAsiaTheme="minorEastAsia"/>
          <w:bCs/>
          <w:sz w:val="24"/>
          <w:szCs w:val="24"/>
        </w:rPr>
      </w:pPr>
      <w:bookmarkStart w:id="470" w:name="Book35"/>
      <w:bookmarkStart w:id="471" w:name="_Toc507681049"/>
      <w:bookmarkStart w:id="472" w:name="_Toc2894"/>
      <w:bookmarkStart w:id="473" w:name="_Toc507672613"/>
      <w:bookmarkStart w:id="474" w:name="_Toc507681129"/>
      <w:bookmarkStart w:id="475" w:name="_Toc30147372"/>
      <w:bookmarkStart w:id="476" w:name="_Toc507672585"/>
      <w:bookmarkStart w:id="477" w:name="_Toc29788"/>
      <w:r>
        <w:rPr>
          <w:rFonts w:hint="eastAsia" w:cs="宋体" w:asciiTheme="minorEastAsia" w:hAnsiTheme="minorEastAsia" w:eastAsiaTheme="minorEastAsia"/>
          <w:bCs/>
          <w:sz w:val="24"/>
          <w:szCs w:val="24"/>
        </w:rPr>
        <w:t>3</w:t>
      </w:r>
      <w:r>
        <w:rPr>
          <w:rFonts w:cs="宋体" w:asciiTheme="minorEastAsia" w:hAnsiTheme="minorEastAsia" w:eastAsiaTheme="minorEastAsia"/>
          <w:bCs/>
          <w:sz w:val="24"/>
          <w:szCs w:val="24"/>
        </w:rPr>
        <w:t>.1.3</w:t>
      </w:r>
      <w:r>
        <w:rPr>
          <w:rFonts w:hint="eastAsia" w:cs="宋体" w:asciiTheme="minorEastAsia" w:hAnsiTheme="minorEastAsia" w:eastAsiaTheme="minorEastAsia"/>
          <w:bCs/>
          <w:sz w:val="24"/>
          <w:szCs w:val="24"/>
        </w:rPr>
        <w:t>磋商响应文件</w:t>
      </w:r>
      <w:r>
        <w:rPr>
          <w:rFonts w:hint="eastAsia" w:cs="宋体" w:asciiTheme="minorEastAsia" w:hAnsiTheme="minorEastAsia" w:eastAsiaTheme="minorEastAsia"/>
          <w:sz w:val="24"/>
          <w:szCs w:val="24"/>
        </w:rPr>
        <w:t>商务部分</w:t>
      </w:r>
      <w:bookmarkEnd w:id="470"/>
      <w:bookmarkEnd w:id="471"/>
      <w:bookmarkEnd w:id="472"/>
      <w:bookmarkEnd w:id="473"/>
      <w:bookmarkEnd w:id="474"/>
      <w:bookmarkEnd w:id="475"/>
      <w:bookmarkEnd w:id="476"/>
      <w:bookmarkEnd w:id="477"/>
      <w:bookmarkStart w:id="478" w:name="_Toc30147381"/>
      <w:bookmarkStart w:id="479" w:name="_Toc27043"/>
      <w:bookmarkStart w:id="480" w:name="_Toc21894"/>
      <w:r>
        <w:rPr>
          <w:rFonts w:hint="eastAsia" w:cs="宋体" w:asciiTheme="minorEastAsia" w:hAnsiTheme="minorEastAsia" w:eastAsiaTheme="minorEastAsia"/>
          <w:sz w:val="24"/>
          <w:szCs w:val="24"/>
        </w:rPr>
        <w:t>详见第五章“磋商响应文件格式” 商务部分中的内容；</w:t>
      </w:r>
    </w:p>
    <w:p w14:paraId="341B8FED">
      <w:pPr>
        <w:wordWrap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3</w:t>
      </w:r>
      <w:r>
        <w:rPr>
          <w:rFonts w:cs="宋体" w:asciiTheme="minorEastAsia" w:hAnsiTheme="minorEastAsia" w:eastAsiaTheme="minorEastAsia"/>
          <w:bCs/>
          <w:sz w:val="24"/>
          <w:szCs w:val="24"/>
        </w:rPr>
        <w:t>.1.4</w:t>
      </w:r>
      <w:r>
        <w:rPr>
          <w:rFonts w:hint="eastAsia" w:cs="宋体" w:asciiTheme="minorEastAsia" w:hAnsiTheme="minorEastAsia" w:eastAsiaTheme="minorEastAsia"/>
          <w:bCs/>
          <w:sz w:val="24"/>
          <w:szCs w:val="24"/>
        </w:rPr>
        <w:t>磋商响应文件</w:t>
      </w:r>
      <w:r>
        <w:rPr>
          <w:rFonts w:hint="eastAsia" w:cs="宋体" w:asciiTheme="minorEastAsia" w:hAnsiTheme="minorEastAsia" w:eastAsiaTheme="minorEastAsia"/>
          <w:sz w:val="24"/>
          <w:szCs w:val="24"/>
        </w:rPr>
        <w:t>其他附件详见第五章“磋商响应文件格式” 其他附件中的内容；</w:t>
      </w:r>
    </w:p>
    <w:p w14:paraId="5E6B8B01">
      <w:pPr>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3</w:t>
      </w:r>
      <w:r>
        <w:rPr>
          <w:rFonts w:cs="宋体" w:asciiTheme="minorEastAsia" w:hAnsiTheme="minorEastAsia" w:eastAsiaTheme="minorEastAsia"/>
          <w:bCs/>
          <w:sz w:val="24"/>
          <w:szCs w:val="24"/>
        </w:rPr>
        <w:t>.1.5</w:t>
      </w:r>
      <w:r>
        <w:rPr>
          <w:rFonts w:hint="eastAsia" w:cs="宋体" w:asciiTheme="minorEastAsia" w:hAnsiTheme="minorEastAsia" w:eastAsiaTheme="minorEastAsia"/>
          <w:sz w:val="24"/>
          <w:szCs w:val="24"/>
        </w:rPr>
        <w:t>磋商文件要求或磋商供应商认为有必要提交的其他材料</w:t>
      </w:r>
      <w:bookmarkEnd w:id="478"/>
      <w:bookmarkEnd w:id="479"/>
      <w:bookmarkEnd w:id="480"/>
      <w:r>
        <w:rPr>
          <w:rFonts w:hint="eastAsia" w:cs="宋体" w:asciiTheme="minorEastAsia" w:hAnsiTheme="minorEastAsia" w:eastAsiaTheme="minorEastAsia"/>
          <w:sz w:val="24"/>
          <w:szCs w:val="24"/>
        </w:rPr>
        <w:t>详见第五章“磋商响应文件格式”。</w:t>
      </w:r>
    </w:p>
    <w:p w14:paraId="47512FF6">
      <w:pPr>
        <w:pStyle w:val="4"/>
        <w:wordWrap w:val="0"/>
        <w:spacing w:line="415" w:lineRule="auto"/>
        <w:rPr>
          <w:rFonts w:cs="宋体" w:asciiTheme="minorEastAsia" w:hAnsiTheme="minorEastAsia" w:eastAsiaTheme="minorEastAsia"/>
          <w:szCs w:val="24"/>
        </w:rPr>
      </w:pPr>
      <w:bookmarkStart w:id="481" w:name="_Toc3973"/>
      <w:bookmarkStart w:id="482" w:name="_Toc7739"/>
      <w:bookmarkStart w:id="483" w:name="_Toc32507"/>
      <w:bookmarkStart w:id="484" w:name="_Toc10703"/>
      <w:bookmarkStart w:id="485" w:name="_Toc193796052"/>
      <w:bookmarkStart w:id="486" w:name="_Toc31623"/>
      <w:bookmarkStart w:id="487" w:name="_Toc23749"/>
      <w:bookmarkStart w:id="488" w:name="_Toc19534"/>
      <w:bookmarkStart w:id="489" w:name="_Toc21098"/>
      <w:bookmarkStart w:id="490" w:name="_Toc17338"/>
      <w:bookmarkStart w:id="491" w:name="_Toc132376742"/>
      <w:r>
        <w:rPr>
          <w:rFonts w:hint="eastAsia" w:cs="宋体" w:asciiTheme="minorEastAsia" w:hAnsiTheme="minorEastAsia" w:eastAsiaTheme="minorEastAsia"/>
          <w:szCs w:val="24"/>
        </w:rPr>
        <w:t>3.2 磋商报价</w:t>
      </w:r>
      <w:bookmarkEnd w:id="481"/>
      <w:bookmarkEnd w:id="482"/>
      <w:bookmarkEnd w:id="483"/>
      <w:bookmarkEnd w:id="484"/>
      <w:bookmarkEnd w:id="485"/>
      <w:bookmarkEnd w:id="486"/>
      <w:bookmarkEnd w:id="487"/>
      <w:bookmarkEnd w:id="488"/>
      <w:bookmarkEnd w:id="489"/>
      <w:bookmarkEnd w:id="490"/>
      <w:bookmarkEnd w:id="491"/>
    </w:p>
    <w:p w14:paraId="2A07A028">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3.2.1磋商供应商应按第五章“磋商响应文件格式”的要求在磋商响应文件中作完整唯一报价。</w:t>
      </w:r>
    </w:p>
    <w:p w14:paraId="19924A03">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3.2.2磋商供应商应充分了解该项目的总体情况以及影响磋商报价的其他要素。</w:t>
      </w:r>
    </w:p>
    <w:p w14:paraId="4CF42074">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3.2.3采购人设有最高限价的，磋商供应商的磋商报价不得超过最高限价，最高限价详见磋商供应商须知前附表。</w:t>
      </w:r>
    </w:p>
    <w:p w14:paraId="4190CA57">
      <w:pPr>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3.2.4磋商报价必须为人民币含税价（元），包括利润、人员、保险、税收、售后服务、成交服务费执行国家及行业现行技术经济标准、定额及规范，自行测算等所有成本费用。供应商应充分结合市场供求状况，综合考虑可能发生的各种风险核算出报价，该报价应符合市场行情并能保证供应商完成履行合同所需的一切工作。合同一旦签订，价格在合同实施期间将不因市场价格等的变化而调整。</w:t>
      </w:r>
    </w:p>
    <w:p w14:paraId="1DFDACE2">
      <w:pPr>
        <w:pStyle w:val="4"/>
        <w:wordWrap w:val="0"/>
        <w:spacing w:line="415" w:lineRule="auto"/>
        <w:rPr>
          <w:rFonts w:cs="宋体" w:asciiTheme="minorEastAsia" w:hAnsiTheme="minorEastAsia" w:eastAsiaTheme="minorEastAsia"/>
          <w:szCs w:val="24"/>
        </w:rPr>
      </w:pPr>
      <w:bookmarkStart w:id="492" w:name="_Toc12545"/>
      <w:bookmarkStart w:id="493" w:name="_Toc31840"/>
      <w:bookmarkStart w:id="494" w:name="_Toc20231"/>
      <w:bookmarkStart w:id="495" w:name="_Toc3821"/>
      <w:bookmarkStart w:id="496" w:name="_Toc132376743"/>
      <w:bookmarkStart w:id="497" w:name="_Toc82"/>
      <w:bookmarkStart w:id="498" w:name="_Toc2096"/>
      <w:bookmarkStart w:id="499" w:name="_Toc2641"/>
      <w:bookmarkStart w:id="500" w:name="_Toc25950"/>
      <w:bookmarkStart w:id="501" w:name="_Toc22614"/>
      <w:bookmarkStart w:id="502" w:name="_Toc193796053"/>
      <w:r>
        <w:rPr>
          <w:rFonts w:hint="eastAsia" w:cs="宋体" w:asciiTheme="minorEastAsia" w:hAnsiTheme="minorEastAsia" w:eastAsiaTheme="minorEastAsia"/>
          <w:szCs w:val="24"/>
        </w:rPr>
        <w:t>3.3 磋商有效期</w:t>
      </w:r>
      <w:bookmarkEnd w:id="492"/>
      <w:bookmarkEnd w:id="493"/>
      <w:bookmarkEnd w:id="494"/>
      <w:bookmarkEnd w:id="495"/>
      <w:bookmarkEnd w:id="496"/>
      <w:bookmarkEnd w:id="497"/>
      <w:bookmarkEnd w:id="498"/>
      <w:bookmarkEnd w:id="499"/>
      <w:bookmarkEnd w:id="500"/>
      <w:bookmarkEnd w:id="501"/>
      <w:bookmarkEnd w:id="502"/>
    </w:p>
    <w:p w14:paraId="41636548">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3.3.1磋商有效期：详见磋商供应商须知前附表。</w:t>
      </w:r>
    </w:p>
    <w:p w14:paraId="2A01126E">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3.3.2在磋商有效期内，磋商供应商撤销或修改其磋商响应文件的，应承担磋商文件和法律规定的责任。</w:t>
      </w:r>
    </w:p>
    <w:p w14:paraId="0238ABE1">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3.3.3出现特殊情况需要延长磋商有效期的，采购人以书面形式通知所有磋商供应商延长磋商有效期。磋商供应商应予以书面答复，同意延长的，应相应延长其磋商保证金的有效期，但不得要求或被允许修改其磋商响应文件；磋商供应商拒绝延长的，其磋商失效，但磋商供应商有权收回其磋商保证金。</w:t>
      </w:r>
    </w:p>
    <w:p w14:paraId="288A073D">
      <w:pPr>
        <w:pStyle w:val="4"/>
        <w:wordWrap w:val="0"/>
        <w:spacing w:line="415" w:lineRule="auto"/>
        <w:rPr>
          <w:rFonts w:cs="宋体" w:asciiTheme="minorEastAsia" w:hAnsiTheme="minorEastAsia" w:eastAsiaTheme="minorEastAsia"/>
          <w:szCs w:val="24"/>
        </w:rPr>
      </w:pPr>
      <w:bookmarkStart w:id="503" w:name="_Toc193796054"/>
      <w:bookmarkStart w:id="504" w:name="_Toc12317"/>
      <w:bookmarkStart w:id="505" w:name="_Toc28509"/>
      <w:bookmarkStart w:id="506" w:name="_Toc14005"/>
      <w:bookmarkStart w:id="507" w:name="_Toc27337"/>
      <w:bookmarkStart w:id="508" w:name="_Toc21177"/>
      <w:bookmarkStart w:id="509" w:name="_Toc132376744"/>
      <w:bookmarkStart w:id="510" w:name="_Toc32197"/>
      <w:bookmarkStart w:id="511" w:name="_Toc30082"/>
      <w:bookmarkStart w:id="512" w:name="_Toc28498"/>
      <w:bookmarkStart w:id="513" w:name="_Toc5208"/>
      <w:r>
        <w:rPr>
          <w:rFonts w:hint="eastAsia" w:cs="宋体" w:asciiTheme="minorEastAsia" w:hAnsiTheme="minorEastAsia" w:eastAsiaTheme="minorEastAsia"/>
          <w:szCs w:val="24"/>
        </w:rPr>
        <w:t>3.4 磋商保证金</w:t>
      </w:r>
      <w:bookmarkEnd w:id="503"/>
      <w:bookmarkEnd w:id="504"/>
      <w:bookmarkEnd w:id="505"/>
      <w:bookmarkEnd w:id="506"/>
      <w:bookmarkEnd w:id="507"/>
      <w:bookmarkEnd w:id="508"/>
      <w:bookmarkEnd w:id="509"/>
      <w:bookmarkEnd w:id="510"/>
      <w:bookmarkEnd w:id="511"/>
      <w:bookmarkEnd w:id="512"/>
      <w:bookmarkEnd w:id="513"/>
    </w:p>
    <w:p w14:paraId="4AA65100">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3.4.1磋商供应商在递交磋商响应文件的同时，应按磋商供应商须知前附表规定的金额、形式递交磋商保证金。联合体磋商的，其磋商保证金可以由牵头人递交。</w:t>
      </w:r>
    </w:p>
    <w:p w14:paraId="38D67F85">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3.4.2磋商供应商不按本章第3.4.1项要求提交磋商保证金的，其磋商将被视为无效磋商。</w:t>
      </w:r>
    </w:p>
    <w:p w14:paraId="4336D91D">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3.4.3采购人或者采购代理机构应当自成交通知书发出之日起5个工作日内退还未成交人的磋商保证金，自采购合同签订之日起5个工作日内退还成交人的磋商保证金或者转为成交人的履约保证金。</w:t>
      </w:r>
    </w:p>
    <w:p w14:paraId="4AD787CC">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3.4.4有下列情形之一的，磋商保证金将不予退还：</w:t>
      </w:r>
    </w:p>
    <w:p w14:paraId="76FEC9FD">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（1）磋商供应商在磋商有效期内撤销磋商响应文件；</w:t>
      </w:r>
    </w:p>
    <w:p w14:paraId="5AAB22D7">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（2）成交人在收到成交通知书后，无正当理由不与采购人订立合同，在签订合同时向采购人提出附加条件，或者不按照磋商文件要求提交履约保证金；</w:t>
      </w:r>
    </w:p>
    <w:p w14:paraId="2F6F0883">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（3）发生磋商供应商须知前附表规定的其他可以不予退还磋商保证金的情形。</w:t>
      </w:r>
    </w:p>
    <w:p w14:paraId="2FE0F613">
      <w:pPr>
        <w:pStyle w:val="4"/>
        <w:wordWrap w:val="0"/>
        <w:spacing w:line="415" w:lineRule="auto"/>
        <w:rPr>
          <w:rFonts w:cs="宋体" w:asciiTheme="minorEastAsia" w:hAnsiTheme="minorEastAsia" w:eastAsiaTheme="minorEastAsia"/>
          <w:szCs w:val="24"/>
        </w:rPr>
      </w:pPr>
      <w:bookmarkStart w:id="514" w:name="_Toc26374"/>
      <w:bookmarkStart w:id="515" w:name="_Toc28841"/>
      <w:bookmarkStart w:id="516" w:name="_Toc21752"/>
      <w:bookmarkStart w:id="517" w:name="_Toc16630"/>
      <w:bookmarkStart w:id="518" w:name="_Toc11724"/>
      <w:bookmarkStart w:id="519" w:name="_Toc28647"/>
      <w:bookmarkStart w:id="520" w:name="_Toc193796055"/>
      <w:bookmarkStart w:id="521" w:name="_Toc3014"/>
      <w:bookmarkStart w:id="522" w:name="_Toc132376745"/>
      <w:bookmarkStart w:id="523" w:name="_Toc23714"/>
      <w:bookmarkStart w:id="524" w:name="_Toc17443"/>
      <w:r>
        <w:rPr>
          <w:rFonts w:hint="eastAsia" w:cs="宋体" w:asciiTheme="minorEastAsia" w:hAnsiTheme="minorEastAsia" w:eastAsiaTheme="minorEastAsia"/>
          <w:szCs w:val="24"/>
        </w:rPr>
        <w:t>3.5磋商响应文件的编制</w:t>
      </w:r>
      <w:bookmarkEnd w:id="514"/>
      <w:bookmarkEnd w:id="515"/>
      <w:bookmarkEnd w:id="516"/>
      <w:bookmarkEnd w:id="517"/>
      <w:bookmarkEnd w:id="518"/>
      <w:bookmarkEnd w:id="519"/>
      <w:bookmarkEnd w:id="520"/>
      <w:bookmarkEnd w:id="521"/>
      <w:bookmarkEnd w:id="522"/>
      <w:bookmarkEnd w:id="523"/>
      <w:bookmarkEnd w:id="524"/>
    </w:p>
    <w:p w14:paraId="7012F99B">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3.5.1磋商响应文件应按照第五章“磋商响应文件格式“进行编写。</w:t>
      </w:r>
    </w:p>
    <w:p w14:paraId="21B56E0A">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3.5.2磋商响应文件应当对磋商文件有关建设内容及规模的实质性内容出响应。磋商响应文件在满足磋商文件实质性要求的基础上，可以提出比磋商文件要求更有利于采购人的承诺。</w:t>
      </w:r>
    </w:p>
    <w:p w14:paraId="249DB3D0">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3.5.3磋商响应文件份数及文件签署、盖章具体要求见磋商供应商须知前附表。</w:t>
      </w:r>
    </w:p>
    <w:p w14:paraId="32D8D4DD">
      <w:pPr>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3.5.4供应商应安装“政采云”投标客户端，根据竞争性磋商文件格式编制响应文件，响应文件编制完成后须用云南 CA 按格式进行电子签章，在所要求的位置有法定代表人的电子签名或盖章，均使用云南 CA 按格式进行电子签章，最终生成加密标书后进行上传。</w:t>
      </w:r>
    </w:p>
    <w:p w14:paraId="300F7F94">
      <w:pPr>
        <w:pStyle w:val="3"/>
        <w:wordWrap w:val="0"/>
        <w:spacing w:after="0" w:line="415" w:lineRule="auto"/>
        <w:rPr>
          <w:rFonts w:cs="宋体" w:asciiTheme="minorEastAsia" w:hAnsiTheme="minorEastAsia" w:eastAsiaTheme="minorEastAsia"/>
          <w:sz w:val="28"/>
          <w:szCs w:val="28"/>
        </w:rPr>
      </w:pPr>
      <w:bookmarkStart w:id="525" w:name="_Toc5797"/>
      <w:bookmarkStart w:id="526" w:name="_Toc3694"/>
      <w:bookmarkStart w:id="527" w:name="_Toc18351"/>
      <w:bookmarkStart w:id="528" w:name="_Toc20095"/>
      <w:bookmarkStart w:id="529" w:name="_Toc193796056"/>
      <w:bookmarkStart w:id="530" w:name="_Toc20209"/>
      <w:bookmarkStart w:id="531" w:name="_Toc22251"/>
      <w:bookmarkStart w:id="532" w:name="_Toc132376746"/>
      <w:r>
        <w:rPr>
          <w:rFonts w:hint="eastAsia" w:cs="宋体" w:asciiTheme="minorEastAsia" w:hAnsiTheme="minorEastAsia" w:eastAsiaTheme="minorEastAsia"/>
          <w:sz w:val="28"/>
          <w:szCs w:val="28"/>
        </w:rPr>
        <w:t>4、</w:t>
      </w:r>
      <w:bookmarkEnd w:id="525"/>
      <w:r>
        <w:rPr>
          <w:rFonts w:hint="eastAsia" w:cs="宋体" w:asciiTheme="minorEastAsia" w:hAnsiTheme="minorEastAsia" w:eastAsiaTheme="minorEastAsia"/>
          <w:sz w:val="28"/>
          <w:szCs w:val="28"/>
        </w:rPr>
        <w:t>磋商文件</w:t>
      </w:r>
      <w:bookmarkEnd w:id="526"/>
      <w:bookmarkEnd w:id="527"/>
      <w:bookmarkEnd w:id="528"/>
      <w:bookmarkEnd w:id="529"/>
      <w:bookmarkEnd w:id="530"/>
      <w:bookmarkEnd w:id="531"/>
      <w:bookmarkEnd w:id="532"/>
    </w:p>
    <w:p w14:paraId="6C17B820">
      <w:pPr>
        <w:pStyle w:val="4"/>
        <w:wordWrap w:val="0"/>
        <w:spacing w:line="415" w:lineRule="auto"/>
        <w:rPr>
          <w:rFonts w:cs="宋体" w:asciiTheme="minorEastAsia" w:hAnsiTheme="minorEastAsia" w:eastAsiaTheme="minorEastAsia"/>
          <w:szCs w:val="24"/>
        </w:rPr>
      </w:pPr>
      <w:bookmarkStart w:id="533" w:name="_Toc132376747"/>
      <w:bookmarkStart w:id="534" w:name="_Toc29010"/>
      <w:bookmarkStart w:id="535" w:name="_Toc10065"/>
      <w:bookmarkStart w:id="536" w:name="_Toc31556"/>
      <w:bookmarkStart w:id="537" w:name="_Toc32538"/>
      <w:bookmarkStart w:id="538" w:name="_Toc541"/>
      <w:bookmarkStart w:id="539" w:name="_Toc32060"/>
      <w:bookmarkStart w:id="540" w:name="_Toc6366"/>
      <w:bookmarkStart w:id="541" w:name="_Toc10056"/>
      <w:bookmarkStart w:id="542" w:name="_Toc6724"/>
      <w:bookmarkStart w:id="543" w:name="_Toc193796057"/>
      <w:r>
        <w:rPr>
          <w:rFonts w:hint="eastAsia" w:cs="宋体" w:asciiTheme="minorEastAsia" w:hAnsiTheme="minorEastAsia" w:eastAsiaTheme="minorEastAsia"/>
          <w:szCs w:val="24"/>
        </w:rPr>
        <w:t>4.1磋商响应文件的密封与标识</w:t>
      </w:r>
      <w:bookmarkEnd w:id="533"/>
      <w:bookmarkEnd w:id="534"/>
      <w:bookmarkEnd w:id="535"/>
      <w:bookmarkEnd w:id="536"/>
      <w:bookmarkEnd w:id="537"/>
      <w:bookmarkEnd w:id="538"/>
      <w:bookmarkEnd w:id="539"/>
      <w:bookmarkEnd w:id="540"/>
      <w:bookmarkEnd w:id="541"/>
      <w:bookmarkEnd w:id="542"/>
      <w:bookmarkEnd w:id="543"/>
    </w:p>
    <w:p w14:paraId="039EF407">
      <w:pPr>
        <w:wordWrap w:val="0"/>
        <w:spacing w:line="360" w:lineRule="auto"/>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rPr>
        <w:t>4.1.1</w:t>
      </w:r>
      <w:r>
        <w:rPr>
          <w:rFonts w:hint="eastAsia" w:cs="宋体" w:asciiTheme="minorEastAsia" w:hAnsiTheme="minorEastAsia" w:eastAsiaTheme="minorEastAsia"/>
          <w:sz w:val="24"/>
          <w:szCs w:val="24"/>
        </w:rPr>
        <w:t>供应商应当按照“政采云”的要求加密响应文件，具体要求见供应商须知前附表。</w:t>
      </w:r>
    </w:p>
    <w:p w14:paraId="37F0EDAC">
      <w:pPr>
        <w:pStyle w:val="4"/>
        <w:wordWrap w:val="0"/>
        <w:spacing w:line="415" w:lineRule="auto"/>
        <w:rPr>
          <w:rFonts w:cs="宋体" w:asciiTheme="minorEastAsia" w:hAnsiTheme="minorEastAsia" w:eastAsiaTheme="minorEastAsia"/>
          <w:szCs w:val="24"/>
        </w:rPr>
      </w:pPr>
      <w:bookmarkStart w:id="544" w:name="_Toc193796058"/>
      <w:bookmarkStart w:id="545" w:name="_Toc12730"/>
      <w:bookmarkStart w:id="546" w:name="_Toc132376748"/>
      <w:bookmarkStart w:id="547" w:name="_Toc11752"/>
      <w:bookmarkStart w:id="548" w:name="_Toc31762"/>
      <w:bookmarkStart w:id="549" w:name="_Toc16175"/>
      <w:bookmarkStart w:id="550" w:name="_Toc12100"/>
      <w:bookmarkStart w:id="551" w:name="_Toc22369"/>
      <w:bookmarkStart w:id="552" w:name="_Toc644"/>
      <w:bookmarkStart w:id="553" w:name="_Toc22231"/>
      <w:bookmarkStart w:id="554" w:name="_Toc11358"/>
      <w:r>
        <w:rPr>
          <w:rFonts w:hint="eastAsia" w:cs="宋体" w:asciiTheme="minorEastAsia" w:hAnsiTheme="minorEastAsia" w:eastAsiaTheme="minorEastAsia"/>
          <w:szCs w:val="24"/>
        </w:rPr>
        <w:t>4.2 磋商响应文件的递交</w:t>
      </w:r>
      <w:bookmarkEnd w:id="544"/>
      <w:bookmarkEnd w:id="545"/>
      <w:bookmarkEnd w:id="546"/>
      <w:bookmarkEnd w:id="547"/>
      <w:bookmarkEnd w:id="548"/>
      <w:bookmarkEnd w:id="549"/>
      <w:bookmarkEnd w:id="550"/>
      <w:bookmarkEnd w:id="551"/>
      <w:bookmarkEnd w:id="552"/>
      <w:bookmarkEnd w:id="553"/>
      <w:bookmarkEnd w:id="554"/>
    </w:p>
    <w:p w14:paraId="3EC3BA4D">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4.2.1磋商供应商应在磋商供应商须知前附表规定的磋商截止时间前递交磋商响应文件。</w:t>
      </w:r>
    </w:p>
    <w:p w14:paraId="08FE6226">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4.2.2除磋商供应商须知前附表另有规定外，磋商供应商所递交的磋商响应文件不予退还。</w:t>
      </w:r>
    </w:p>
    <w:p w14:paraId="74BD0D22">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4.2.3磋商响应文件必须按竞争性磋商文件规定的递交截止时间前上传，超过截止时间的磋商申请文件将被拒绝；</w:t>
      </w:r>
    </w:p>
    <w:p w14:paraId="5B2E708E">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4.2.4逾期送达的磋商响应文件，视为撤回磋商响应文件，采购人不予受理。</w:t>
      </w:r>
    </w:p>
    <w:p w14:paraId="13597C3C">
      <w:pPr>
        <w:pStyle w:val="4"/>
        <w:wordWrap w:val="0"/>
        <w:spacing w:line="415" w:lineRule="auto"/>
        <w:rPr>
          <w:rFonts w:cs="宋体" w:asciiTheme="minorEastAsia" w:hAnsiTheme="minorEastAsia" w:eastAsiaTheme="minorEastAsia"/>
          <w:szCs w:val="24"/>
        </w:rPr>
      </w:pPr>
      <w:bookmarkStart w:id="555" w:name="_Toc193796059"/>
      <w:bookmarkStart w:id="556" w:name="_Toc21914"/>
      <w:bookmarkStart w:id="557" w:name="_Toc15585"/>
      <w:bookmarkStart w:id="558" w:name="_Toc31072"/>
      <w:bookmarkStart w:id="559" w:name="_Toc16366"/>
      <w:bookmarkStart w:id="560" w:name="_Toc12840"/>
      <w:bookmarkStart w:id="561" w:name="_Toc15657"/>
      <w:bookmarkStart w:id="562" w:name="_Toc20250"/>
      <w:bookmarkStart w:id="563" w:name="_Toc31119"/>
      <w:bookmarkStart w:id="564" w:name="_Toc132376749"/>
      <w:bookmarkStart w:id="565" w:name="_Toc16494"/>
      <w:r>
        <w:rPr>
          <w:rFonts w:hint="eastAsia" w:cs="宋体" w:asciiTheme="minorEastAsia" w:hAnsiTheme="minorEastAsia" w:eastAsiaTheme="minorEastAsia"/>
          <w:szCs w:val="24"/>
        </w:rPr>
        <w:t>4.3磋商响应文件的修改与撤回</w:t>
      </w:r>
      <w:bookmarkEnd w:id="555"/>
      <w:bookmarkEnd w:id="556"/>
      <w:bookmarkEnd w:id="557"/>
      <w:bookmarkEnd w:id="558"/>
      <w:bookmarkEnd w:id="559"/>
      <w:bookmarkEnd w:id="560"/>
      <w:bookmarkEnd w:id="561"/>
      <w:bookmarkEnd w:id="562"/>
      <w:bookmarkEnd w:id="563"/>
      <w:bookmarkEnd w:id="564"/>
      <w:bookmarkEnd w:id="565"/>
    </w:p>
    <w:p w14:paraId="5BED1732">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4.3.1在本章第4.2.1项规定的磋商截止时间前，磋商供应商可以修改或撤回已递交的磋商响应文件，但应以电子文件通知采购人。</w:t>
      </w:r>
    </w:p>
    <w:p w14:paraId="1BC938B2">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4.3.2磋商供应商修改或撤回已递交磋商响应文件的通知，应按照本章第3.5.3项的要求加盖印章。</w:t>
      </w:r>
    </w:p>
    <w:p w14:paraId="5D194374">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4.3.3磋商供应商在磋商截止时间前撤回已提交的磋商响应文件的，采购人或者采购代理机构应当自收到磋商供应商书面撤回通知之日起5个工作日内，退还已收取的磋商保证金，但因磋商供应商自身原因导致无法及时退还的除外。</w:t>
      </w:r>
    </w:p>
    <w:p w14:paraId="3B04D07F">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4.3.4修改的内容为磋商响应文件的组成部分，修改的磋商响应文件应按照本章第3条、第4条的规定进行递交，并标明“修改”字样。</w:t>
      </w:r>
    </w:p>
    <w:p w14:paraId="352FFB7B">
      <w:pPr>
        <w:pStyle w:val="3"/>
        <w:wordWrap w:val="0"/>
        <w:spacing w:after="0" w:line="415" w:lineRule="auto"/>
        <w:rPr>
          <w:rFonts w:cs="宋体" w:asciiTheme="minorEastAsia" w:hAnsiTheme="minorEastAsia" w:eastAsiaTheme="minorEastAsia"/>
          <w:sz w:val="28"/>
          <w:szCs w:val="28"/>
        </w:rPr>
      </w:pPr>
      <w:bookmarkStart w:id="566" w:name="_Toc6021"/>
      <w:bookmarkStart w:id="567" w:name="_Toc193796060"/>
      <w:bookmarkStart w:id="568" w:name="_Toc4514"/>
      <w:bookmarkStart w:id="569" w:name="_Toc24961"/>
      <w:bookmarkStart w:id="570" w:name="_Toc26225"/>
      <w:bookmarkStart w:id="571" w:name="_Toc132376750"/>
      <w:bookmarkStart w:id="572" w:name="_Toc21928"/>
      <w:bookmarkStart w:id="573" w:name="_Toc2286"/>
      <w:r>
        <w:rPr>
          <w:rFonts w:hint="eastAsia" w:cs="宋体" w:asciiTheme="minorEastAsia" w:hAnsiTheme="minorEastAsia" w:eastAsiaTheme="minorEastAsia"/>
          <w:sz w:val="28"/>
          <w:szCs w:val="28"/>
        </w:rPr>
        <w:t>5、</w:t>
      </w:r>
      <w:bookmarkEnd w:id="566"/>
      <w:r>
        <w:rPr>
          <w:rFonts w:hint="eastAsia" w:cs="宋体" w:asciiTheme="minorEastAsia" w:hAnsiTheme="minorEastAsia" w:eastAsiaTheme="minorEastAsia"/>
          <w:sz w:val="28"/>
          <w:szCs w:val="28"/>
        </w:rPr>
        <w:t>磋商会</w:t>
      </w:r>
      <w:bookmarkEnd w:id="567"/>
      <w:bookmarkEnd w:id="568"/>
      <w:bookmarkEnd w:id="569"/>
      <w:bookmarkEnd w:id="570"/>
      <w:bookmarkEnd w:id="571"/>
      <w:bookmarkEnd w:id="572"/>
      <w:bookmarkEnd w:id="573"/>
    </w:p>
    <w:p w14:paraId="4E1C85BC">
      <w:pPr>
        <w:pStyle w:val="4"/>
        <w:wordWrap w:val="0"/>
        <w:spacing w:line="415" w:lineRule="auto"/>
        <w:rPr>
          <w:rFonts w:cs="宋体" w:asciiTheme="minorEastAsia" w:hAnsiTheme="minorEastAsia" w:eastAsiaTheme="minorEastAsia"/>
          <w:szCs w:val="24"/>
        </w:rPr>
      </w:pPr>
      <w:bookmarkStart w:id="574" w:name="_Toc12190"/>
      <w:bookmarkStart w:id="575" w:name="_Toc6473"/>
      <w:bookmarkStart w:id="576" w:name="_Toc193796061"/>
      <w:bookmarkStart w:id="577" w:name="_Toc21011"/>
      <w:bookmarkStart w:id="578" w:name="_Toc132376751"/>
      <w:bookmarkStart w:id="579" w:name="_Toc10562"/>
      <w:bookmarkStart w:id="580" w:name="_Toc29271"/>
      <w:bookmarkStart w:id="581" w:name="_Toc16452"/>
      <w:bookmarkStart w:id="582" w:name="_Toc15663"/>
      <w:bookmarkStart w:id="583" w:name="_Toc15148"/>
      <w:bookmarkStart w:id="584" w:name="_Toc19332"/>
      <w:r>
        <w:rPr>
          <w:rFonts w:hint="eastAsia" w:cs="宋体" w:asciiTheme="minorEastAsia" w:hAnsiTheme="minorEastAsia" w:eastAsiaTheme="minorEastAsia"/>
          <w:szCs w:val="24"/>
        </w:rPr>
        <w:t>5.1磋商时间和地点</w:t>
      </w:r>
      <w:bookmarkEnd w:id="574"/>
      <w:bookmarkEnd w:id="575"/>
      <w:bookmarkEnd w:id="576"/>
      <w:bookmarkEnd w:id="577"/>
      <w:bookmarkEnd w:id="578"/>
      <w:bookmarkEnd w:id="579"/>
      <w:bookmarkEnd w:id="580"/>
      <w:bookmarkEnd w:id="581"/>
      <w:bookmarkEnd w:id="582"/>
      <w:bookmarkEnd w:id="583"/>
      <w:bookmarkEnd w:id="584"/>
    </w:p>
    <w:p w14:paraId="356CBA59">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采购人在本章第4.2.1项规定的磋商截止时间（磋商时间）和磋商供应商须知前附表规定的地点进行磋商。</w:t>
      </w:r>
    </w:p>
    <w:p w14:paraId="7EE427E5">
      <w:pPr>
        <w:pStyle w:val="4"/>
        <w:wordWrap w:val="0"/>
        <w:spacing w:line="415" w:lineRule="auto"/>
        <w:rPr>
          <w:rFonts w:cs="宋体" w:asciiTheme="minorEastAsia" w:hAnsiTheme="minorEastAsia" w:eastAsiaTheme="minorEastAsia"/>
          <w:szCs w:val="24"/>
        </w:rPr>
      </w:pPr>
      <w:bookmarkStart w:id="585" w:name="_Toc5011"/>
      <w:bookmarkStart w:id="586" w:name="_Toc193796062"/>
      <w:bookmarkStart w:id="587" w:name="_Toc16465"/>
      <w:bookmarkStart w:id="588" w:name="_Toc21235"/>
      <w:bookmarkStart w:id="589" w:name="_Toc20608"/>
      <w:bookmarkStart w:id="590" w:name="_Toc132376752"/>
      <w:bookmarkStart w:id="591" w:name="_Toc22515"/>
      <w:bookmarkStart w:id="592" w:name="_Toc24219"/>
      <w:bookmarkStart w:id="593" w:name="_Toc3968"/>
      <w:bookmarkStart w:id="594" w:name="_Toc20068"/>
      <w:bookmarkStart w:id="595" w:name="_Toc28969"/>
      <w:bookmarkStart w:id="596" w:name="_Toc3546"/>
      <w:r>
        <w:rPr>
          <w:rFonts w:hint="eastAsia" w:cs="宋体" w:asciiTheme="minorEastAsia" w:hAnsiTheme="minorEastAsia" w:eastAsiaTheme="minorEastAsia"/>
          <w:szCs w:val="24"/>
        </w:rPr>
        <w:t>5.2磋商程序</w:t>
      </w:r>
      <w:bookmarkEnd w:id="585"/>
      <w:bookmarkEnd w:id="586"/>
      <w:bookmarkEnd w:id="587"/>
      <w:bookmarkEnd w:id="588"/>
      <w:bookmarkEnd w:id="589"/>
      <w:bookmarkEnd w:id="590"/>
      <w:bookmarkEnd w:id="591"/>
      <w:bookmarkEnd w:id="592"/>
      <w:bookmarkEnd w:id="593"/>
      <w:bookmarkEnd w:id="594"/>
      <w:bookmarkEnd w:id="595"/>
    </w:p>
    <w:p w14:paraId="3342AA7A">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主持人按下列程序进行磋商会：</w:t>
      </w:r>
    </w:p>
    <w:p w14:paraId="444EA26F">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1</w:t>
      </w:r>
      <w:r>
        <w:rPr>
          <w:rFonts w:hint="eastAsia" w:cs="宋体" w:asciiTheme="minorEastAsia" w:hAnsiTheme="minorEastAsia" w:eastAsiaTheme="minorEastAsia"/>
          <w:sz w:val="24"/>
          <w:szCs w:val="24"/>
        </w:rPr>
        <w:t>）宣布磋商会纪律；</w:t>
      </w:r>
    </w:p>
    <w:p w14:paraId="5EE273D6">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）公布在磋商截止时间前递交磋商响应文件的磋商供应商情况；</w:t>
      </w:r>
    </w:p>
    <w:p w14:paraId="5038310E">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）介绍采购人等有关人员；</w:t>
      </w:r>
    </w:p>
    <w:p w14:paraId="0F36D8F0">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（4）磋商供应商代表随机抽取磋商顺序；</w:t>
      </w:r>
    </w:p>
    <w:p w14:paraId="79EB725C">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（5）磋商会结束。</w:t>
      </w:r>
    </w:p>
    <w:p w14:paraId="55BA74B7">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磋商供应商不足</w:t>
      </w: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家的，不得开始磋商会。</w:t>
      </w:r>
    </w:p>
    <w:p w14:paraId="0A426BAA">
      <w:pPr>
        <w:pStyle w:val="4"/>
        <w:wordWrap w:val="0"/>
        <w:spacing w:line="415" w:lineRule="auto"/>
        <w:rPr>
          <w:rFonts w:cs="宋体" w:asciiTheme="minorEastAsia" w:hAnsiTheme="minorEastAsia" w:eastAsiaTheme="minorEastAsia"/>
          <w:szCs w:val="24"/>
        </w:rPr>
      </w:pPr>
      <w:bookmarkStart w:id="597" w:name="_Toc26336"/>
      <w:bookmarkStart w:id="598" w:name="_Toc15106"/>
      <w:bookmarkStart w:id="599" w:name="_Toc3333"/>
      <w:bookmarkStart w:id="600" w:name="_Toc132376753"/>
      <w:bookmarkStart w:id="601" w:name="_Toc2766"/>
      <w:bookmarkStart w:id="602" w:name="_Toc6743"/>
      <w:bookmarkStart w:id="603" w:name="_Toc243"/>
      <w:bookmarkStart w:id="604" w:name="_Toc20450"/>
      <w:bookmarkStart w:id="605" w:name="_Toc16080"/>
      <w:bookmarkStart w:id="606" w:name="_Toc193796063"/>
      <w:bookmarkStart w:id="607" w:name="_Toc1290"/>
      <w:r>
        <w:rPr>
          <w:rFonts w:hint="eastAsia" w:cs="宋体" w:asciiTheme="minorEastAsia" w:hAnsiTheme="minorEastAsia" w:eastAsiaTheme="minorEastAsia"/>
          <w:szCs w:val="24"/>
        </w:rPr>
        <w:t>5.3磋商异议</w:t>
      </w:r>
      <w:bookmarkEnd w:id="597"/>
      <w:bookmarkEnd w:id="598"/>
      <w:bookmarkEnd w:id="599"/>
      <w:bookmarkEnd w:id="600"/>
      <w:bookmarkEnd w:id="601"/>
      <w:bookmarkEnd w:id="602"/>
      <w:bookmarkEnd w:id="603"/>
      <w:bookmarkEnd w:id="604"/>
      <w:bookmarkEnd w:id="605"/>
      <w:bookmarkEnd w:id="606"/>
      <w:bookmarkEnd w:id="607"/>
    </w:p>
    <w:p w14:paraId="47D44D49">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5.3.1磋商供应商代表对磋商过程有异议，以及认为采购人、采购代理机构相关工作人员有需要回避的情形的，应当场提出询问或者回避申请。采购人、采购代理机构对磋商供应商代表提出的询问或者回避申请应及时处理，并制作记录。</w:t>
      </w:r>
    </w:p>
    <w:bookmarkEnd w:id="596"/>
    <w:p w14:paraId="152818A5">
      <w:pPr>
        <w:pStyle w:val="3"/>
        <w:wordWrap w:val="0"/>
        <w:spacing w:after="0" w:line="415" w:lineRule="auto"/>
        <w:rPr>
          <w:rFonts w:cs="宋体" w:asciiTheme="minorEastAsia" w:hAnsiTheme="minorEastAsia" w:eastAsiaTheme="minorEastAsia"/>
          <w:sz w:val="28"/>
          <w:szCs w:val="28"/>
        </w:rPr>
      </w:pPr>
      <w:bookmarkStart w:id="608" w:name="_Toc12470"/>
      <w:bookmarkStart w:id="609" w:name="_Toc8169"/>
      <w:bookmarkStart w:id="610" w:name="_Toc193796065"/>
      <w:bookmarkStart w:id="611" w:name="_Toc8172"/>
      <w:bookmarkStart w:id="612" w:name="_Toc132376755"/>
      <w:bookmarkStart w:id="613" w:name="_Toc27176"/>
      <w:bookmarkStart w:id="614" w:name="_Toc26688"/>
      <w:bookmarkStart w:id="615" w:name="_Toc10623"/>
      <w:r>
        <w:rPr>
          <w:rFonts w:hint="eastAsia" w:cs="宋体" w:asciiTheme="minorEastAsia" w:hAnsiTheme="minorEastAsia" w:eastAsiaTheme="minorEastAsia"/>
          <w:sz w:val="28"/>
          <w:szCs w:val="28"/>
        </w:rPr>
        <w:t>6、</w:t>
      </w:r>
      <w:bookmarkEnd w:id="608"/>
      <w:r>
        <w:rPr>
          <w:rFonts w:hint="eastAsia" w:cs="宋体" w:asciiTheme="minorEastAsia" w:hAnsiTheme="minorEastAsia" w:eastAsiaTheme="minorEastAsia"/>
          <w:sz w:val="28"/>
          <w:szCs w:val="28"/>
        </w:rPr>
        <w:t>评审</w:t>
      </w:r>
      <w:bookmarkEnd w:id="609"/>
      <w:bookmarkEnd w:id="610"/>
      <w:bookmarkEnd w:id="611"/>
      <w:bookmarkEnd w:id="612"/>
      <w:bookmarkEnd w:id="613"/>
      <w:bookmarkEnd w:id="614"/>
      <w:bookmarkEnd w:id="615"/>
    </w:p>
    <w:p w14:paraId="69B295E5">
      <w:pPr>
        <w:pStyle w:val="4"/>
        <w:wordWrap w:val="0"/>
        <w:spacing w:line="415" w:lineRule="auto"/>
        <w:rPr>
          <w:rFonts w:cs="宋体" w:asciiTheme="minorEastAsia" w:hAnsiTheme="minorEastAsia" w:eastAsiaTheme="minorEastAsia"/>
          <w:szCs w:val="24"/>
        </w:rPr>
      </w:pPr>
      <w:bookmarkStart w:id="616" w:name="_Toc170"/>
      <w:bookmarkStart w:id="617" w:name="_Toc11772"/>
      <w:bookmarkStart w:id="618" w:name="_Toc132376756"/>
      <w:bookmarkStart w:id="619" w:name="_Toc15128"/>
      <w:bookmarkStart w:id="620" w:name="_Toc14976"/>
      <w:bookmarkStart w:id="621" w:name="_Toc22358"/>
      <w:bookmarkStart w:id="622" w:name="_Toc20426"/>
      <w:bookmarkStart w:id="623" w:name="_Toc9577"/>
      <w:bookmarkStart w:id="624" w:name="_Toc3430"/>
      <w:bookmarkStart w:id="625" w:name="_Toc29621"/>
      <w:bookmarkStart w:id="626" w:name="_Toc193796066"/>
      <w:r>
        <w:rPr>
          <w:rFonts w:hint="eastAsia" w:cs="宋体" w:asciiTheme="minorEastAsia" w:hAnsiTheme="minorEastAsia" w:eastAsiaTheme="minorEastAsia"/>
          <w:szCs w:val="24"/>
        </w:rPr>
        <w:t>6.1</w:t>
      </w:r>
      <w:bookmarkEnd w:id="616"/>
      <w:r>
        <w:rPr>
          <w:rFonts w:hint="eastAsia" w:cs="宋体" w:asciiTheme="minorEastAsia" w:hAnsiTheme="minorEastAsia" w:eastAsiaTheme="minorEastAsia"/>
          <w:szCs w:val="24"/>
        </w:rPr>
        <w:t>磋商小组负责人</w:t>
      </w:r>
      <w:bookmarkEnd w:id="617"/>
      <w:bookmarkEnd w:id="618"/>
      <w:bookmarkEnd w:id="619"/>
      <w:bookmarkEnd w:id="620"/>
      <w:bookmarkEnd w:id="621"/>
      <w:bookmarkEnd w:id="622"/>
      <w:bookmarkEnd w:id="623"/>
      <w:bookmarkEnd w:id="624"/>
      <w:bookmarkEnd w:id="625"/>
      <w:bookmarkEnd w:id="626"/>
    </w:p>
    <w:p w14:paraId="14BBA708">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6.1.1评审由采购人依法组建的磋商小组负责。磋商小组由采购人代表以及有关技术、经济等方面的专家组成。磋商小组成员人数以及技术、经济等方面专家的确定方式详见磋商供应商须知前附表。</w:t>
      </w:r>
    </w:p>
    <w:p w14:paraId="32D810BA">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6.1.2磋商小组成员有下列情形之一的，应当回避：</w:t>
      </w:r>
    </w:p>
    <w:p w14:paraId="30B76459">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（1）磋商供应商或磋商供应商主要的近亲属；</w:t>
      </w:r>
    </w:p>
    <w:p w14:paraId="21A68338">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（2）项目主管部门或者行政监督部门的人员；</w:t>
      </w:r>
    </w:p>
    <w:p w14:paraId="599FBE6C">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（3）与磋商供应商有经济利益关系；</w:t>
      </w:r>
    </w:p>
    <w:p w14:paraId="0A98E495">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（4）曾因在招标、评审以及其他与招标投标有关活动中从事违法行为而受过行政处罚或刑事处罚的；</w:t>
      </w:r>
    </w:p>
    <w:p w14:paraId="76048520">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（5）与磋商供应商有其他利害关系。</w:t>
      </w:r>
    </w:p>
    <w:p w14:paraId="1D631906">
      <w:pPr>
        <w:pStyle w:val="4"/>
        <w:wordWrap w:val="0"/>
        <w:spacing w:line="415" w:lineRule="auto"/>
        <w:rPr>
          <w:rFonts w:cs="宋体" w:asciiTheme="minorEastAsia" w:hAnsiTheme="minorEastAsia" w:eastAsiaTheme="minorEastAsia"/>
          <w:szCs w:val="24"/>
        </w:rPr>
      </w:pPr>
      <w:bookmarkStart w:id="627" w:name="_Toc11049"/>
      <w:bookmarkStart w:id="628" w:name="_Toc29224"/>
      <w:bookmarkStart w:id="629" w:name="_Toc21166"/>
      <w:bookmarkStart w:id="630" w:name="_Toc14195"/>
      <w:bookmarkStart w:id="631" w:name="_Toc15313"/>
      <w:bookmarkStart w:id="632" w:name="_Toc1831"/>
      <w:bookmarkStart w:id="633" w:name="_Toc193796067"/>
      <w:bookmarkStart w:id="634" w:name="_Toc16792"/>
      <w:bookmarkStart w:id="635" w:name="_Toc590"/>
      <w:bookmarkStart w:id="636" w:name="_Toc14379"/>
      <w:bookmarkStart w:id="637" w:name="_Toc132376757"/>
      <w:r>
        <w:rPr>
          <w:rFonts w:hint="eastAsia" w:cs="宋体" w:asciiTheme="minorEastAsia" w:hAnsiTheme="minorEastAsia" w:eastAsiaTheme="minorEastAsia"/>
          <w:szCs w:val="24"/>
        </w:rPr>
        <w:t>6.2评审原则</w:t>
      </w:r>
      <w:bookmarkEnd w:id="627"/>
      <w:bookmarkEnd w:id="628"/>
      <w:bookmarkEnd w:id="629"/>
      <w:bookmarkEnd w:id="630"/>
      <w:bookmarkEnd w:id="631"/>
      <w:bookmarkEnd w:id="632"/>
      <w:bookmarkEnd w:id="633"/>
      <w:bookmarkEnd w:id="634"/>
      <w:bookmarkEnd w:id="635"/>
      <w:bookmarkEnd w:id="636"/>
      <w:bookmarkEnd w:id="637"/>
    </w:p>
    <w:p w14:paraId="0B586525">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评审活动遵循公平、公正、科学和择优的原则。</w:t>
      </w:r>
    </w:p>
    <w:p w14:paraId="13F4E2C2">
      <w:pPr>
        <w:pStyle w:val="4"/>
        <w:wordWrap w:val="0"/>
        <w:spacing w:line="415" w:lineRule="auto"/>
        <w:rPr>
          <w:rFonts w:cs="宋体" w:asciiTheme="minorEastAsia" w:hAnsiTheme="minorEastAsia" w:eastAsiaTheme="minorEastAsia"/>
          <w:szCs w:val="24"/>
        </w:rPr>
      </w:pPr>
      <w:bookmarkStart w:id="638" w:name="_Toc28881"/>
      <w:bookmarkStart w:id="639" w:name="_Toc132376758"/>
      <w:bookmarkStart w:id="640" w:name="_Toc13222"/>
      <w:bookmarkStart w:id="641" w:name="_Toc4148"/>
      <w:bookmarkStart w:id="642" w:name="_Toc22595"/>
      <w:bookmarkStart w:id="643" w:name="_Toc14381"/>
      <w:bookmarkStart w:id="644" w:name="_Toc29069"/>
      <w:bookmarkStart w:id="645" w:name="_Toc2292"/>
      <w:bookmarkStart w:id="646" w:name="_Toc193796068"/>
      <w:bookmarkStart w:id="647" w:name="_Toc17715"/>
      <w:bookmarkStart w:id="648" w:name="_Toc23449"/>
      <w:r>
        <w:rPr>
          <w:rFonts w:hint="eastAsia" w:cs="宋体" w:asciiTheme="minorEastAsia" w:hAnsiTheme="minorEastAsia" w:eastAsiaTheme="minorEastAsia"/>
          <w:szCs w:val="24"/>
        </w:rPr>
        <w:t>6.3</w:t>
      </w:r>
      <w:bookmarkEnd w:id="638"/>
      <w:r>
        <w:rPr>
          <w:rFonts w:hint="eastAsia" w:cs="宋体" w:asciiTheme="minorEastAsia" w:hAnsiTheme="minorEastAsia" w:eastAsiaTheme="minorEastAsia"/>
          <w:szCs w:val="24"/>
        </w:rPr>
        <w:t>评审</w:t>
      </w:r>
      <w:bookmarkEnd w:id="639"/>
      <w:bookmarkEnd w:id="640"/>
      <w:bookmarkEnd w:id="641"/>
      <w:bookmarkEnd w:id="642"/>
      <w:bookmarkEnd w:id="643"/>
      <w:bookmarkEnd w:id="644"/>
      <w:bookmarkEnd w:id="645"/>
      <w:bookmarkEnd w:id="646"/>
      <w:bookmarkEnd w:id="647"/>
      <w:bookmarkEnd w:id="648"/>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 xml:space="preserve"> </w:t>
      </w:r>
    </w:p>
    <w:p w14:paraId="7213B21C">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6.3.1磋商小组按照第三章“磋商小组、磋商程序、评审方法和授予合同”规定的方法、评审因素、标准和程序对磋商响应文件进行评审。第三章“评审办法”没有规定的方法、评审因素和标准，不作为评审依据。</w:t>
      </w:r>
    </w:p>
    <w:p w14:paraId="309AB225">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6.3.2评审完成后，磋商小组应当向采购人提交书面评审报告和成交候选人名单。磋商小组推荐成交候选人的人数见磋商供应商须知前附表。</w:t>
      </w:r>
    </w:p>
    <w:p w14:paraId="56A7BF78">
      <w:pPr>
        <w:pStyle w:val="3"/>
        <w:wordWrap w:val="0"/>
        <w:spacing w:after="0" w:line="415" w:lineRule="auto"/>
        <w:rPr>
          <w:rFonts w:cs="宋体" w:asciiTheme="minorEastAsia" w:hAnsiTheme="minorEastAsia" w:eastAsiaTheme="minorEastAsia"/>
          <w:sz w:val="28"/>
          <w:szCs w:val="28"/>
        </w:rPr>
      </w:pPr>
      <w:bookmarkStart w:id="649" w:name="_Toc132376759"/>
      <w:bookmarkStart w:id="650" w:name="_Toc23521"/>
      <w:bookmarkStart w:id="651" w:name="_Toc13047"/>
      <w:bookmarkStart w:id="652" w:name="_Toc14424"/>
      <w:bookmarkStart w:id="653" w:name="_Toc193796069"/>
      <w:bookmarkStart w:id="654" w:name="_Toc4878"/>
      <w:bookmarkStart w:id="655" w:name="_Toc22404"/>
      <w:bookmarkStart w:id="656" w:name="_Toc4373"/>
      <w:r>
        <w:rPr>
          <w:rFonts w:hint="eastAsia" w:cs="宋体" w:asciiTheme="minorEastAsia" w:hAnsiTheme="minorEastAsia" w:eastAsiaTheme="minorEastAsia"/>
          <w:sz w:val="28"/>
          <w:szCs w:val="28"/>
        </w:rPr>
        <w:t>7、成交和合同</w:t>
      </w:r>
      <w:bookmarkEnd w:id="649"/>
      <w:bookmarkEnd w:id="650"/>
      <w:bookmarkEnd w:id="651"/>
      <w:bookmarkEnd w:id="652"/>
      <w:bookmarkEnd w:id="653"/>
      <w:bookmarkEnd w:id="654"/>
      <w:bookmarkEnd w:id="655"/>
      <w:bookmarkEnd w:id="656"/>
    </w:p>
    <w:p w14:paraId="059C576C">
      <w:pPr>
        <w:pStyle w:val="4"/>
        <w:wordWrap w:val="0"/>
        <w:spacing w:line="415" w:lineRule="auto"/>
        <w:rPr>
          <w:rFonts w:cs="宋体" w:asciiTheme="minorEastAsia" w:hAnsiTheme="minorEastAsia" w:eastAsiaTheme="minorEastAsia"/>
          <w:szCs w:val="24"/>
        </w:rPr>
      </w:pPr>
      <w:bookmarkStart w:id="657" w:name="_Toc28820"/>
      <w:bookmarkStart w:id="658" w:name="_Toc132376760"/>
      <w:bookmarkStart w:id="659" w:name="_Toc19870"/>
      <w:bookmarkStart w:id="660" w:name="_Toc14337"/>
      <w:bookmarkStart w:id="661" w:name="_Toc1082"/>
      <w:bookmarkStart w:id="662" w:name="_Toc193796070"/>
      <w:bookmarkStart w:id="663" w:name="_Toc16134"/>
      <w:bookmarkStart w:id="664" w:name="_Toc7633"/>
      <w:bookmarkStart w:id="665" w:name="_Toc22044"/>
      <w:bookmarkStart w:id="666" w:name="_Toc16823"/>
      <w:bookmarkStart w:id="667" w:name="_Toc14714"/>
      <w:r>
        <w:rPr>
          <w:rFonts w:hint="eastAsia" w:cs="宋体" w:asciiTheme="minorEastAsia" w:hAnsiTheme="minorEastAsia" w:eastAsiaTheme="minorEastAsia"/>
          <w:szCs w:val="24"/>
        </w:rPr>
        <w:t>7.1定标</w:t>
      </w:r>
      <w:bookmarkEnd w:id="657"/>
      <w:bookmarkEnd w:id="658"/>
      <w:bookmarkEnd w:id="659"/>
      <w:bookmarkEnd w:id="660"/>
      <w:bookmarkEnd w:id="661"/>
      <w:bookmarkEnd w:id="662"/>
      <w:bookmarkEnd w:id="663"/>
      <w:bookmarkEnd w:id="664"/>
      <w:bookmarkEnd w:id="665"/>
      <w:bookmarkEnd w:id="666"/>
      <w:bookmarkEnd w:id="667"/>
    </w:p>
    <w:p w14:paraId="727248B5">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按照磋商供应商须知前附表的规定，采购人或采购人授权的磋商小组依法确定成交人。</w:t>
      </w:r>
    </w:p>
    <w:p w14:paraId="68694AD2">
      <w:pPr>
        <w:pStyle w:val="4"/>
        <w:wordWrap w:val="0"/>
        <w:spacing w:line="415" w:lineRule="auto"/>
        <w:rPr>
          <w:rFonts w:cs="宋体" w:asciiTheme="minorEastAsia" w:hAnsiTheme="minorEastAsia" w:eastAsiaTheme="minorEastAsia"/>
          <w:szCs w:val="24"/>
        </w:rPr>
      </w:pPr>
      <w:bookmarkStart w:id="668" w:name="_Toc25662"/>
      <w:bookmarkStart w:id="669" w:name="_Toc31253"/>
      <w:bookmarkStart w:id="670" w:name="_Toc22508"/>
      <w:bookmarkStart w:id="671" w:name="_Toc22300"/>
      <w:bookmarkStart w:id="672" w:name="_Toc13876"/>
      <w:bookmarkStart w:id="673" w:name="_Toc15883"/>
      <w:bookmarkStart w:id="674" w:name="_Toc18409"/>
      <w:bookmarkStart w:id="675" w:name="_Toc193796071"/>
      <w:bookmarkStart w:id="676" w:name="_Toc13907"/>
      <w:bookmarkStart w:id="677" w:name="_Toc132376761"/>
      <w:bookmarkStart w:id="678" w:name="_Toc27010"/>
      <w:r>
        <w:rPr>
          <w:rFonts w:hint="eastAsia" w:cs="宋体" w:asciiTheme="minorEastAsia" w:hAnsiTheme="minorEastAsia" w:eastAsiaTheme="minorEastAsia"/>
          <w:szCs w:val="24"/>
        </w:rPr>
        <w:t>7.2成交公告</w:t>
      </w:r>
      <w:bookmarkEnd w:id="668"/>
      <w:bookmarkEnd w:id="669"/>
      <w:bookmarkEnd w:id="670"/>
      <w:bookmarkEnd w:id="671"/>
      <w:bookmarkEnd w:id="672"/>
      <w:bookmarkEnd w:id="673"/>
      <w:bookmarkEnd w:id="674"/>
      <w:bookmarkEnd w:id="675"/>
      <w:bookmarkEnd w:id="676"/>
      <w:bookmarkEnd w:id="677"/>
      <w:bookmarkEnd w:id="678"/>
    </w:p>
    <w:p w14:paraId="4692A890">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7.2.1采购人或者采购代理机构应当自成交人确定之日起2个工作日内，按照磋商供应商须知前附表规定的省级以上财政部门指定的媒介和期限公告成交结果，磋商文件应当随成交结果同时公告。</w:t>
      </w:r>
    </w:p>
    <w:p w14:paraId="3C193851">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7.2.2成交公告期限详见磋商供应商须知前附表。</w:t>
      </w:r>
    </w:p>
    <w:p w14:paraId="47EDB260">
      <w:pPr>
        <w:pStyle w:val="4"/>
        <w:wordWrap w:val="0"/>
        <w:spacing w:line="415" w:lineRule="auto"/>
        <w:rPr>
          <w:rFonts w:cs="宋体" w:asciiTheme="minorEastAsia" w:hAnsiTheme="minorEastAsia" w:eastAsiaTheme="minorEastAsia"/>
          <w:szCs w:val="24"/>
        </w:rPr>
      </w:pPr>
      <w:bookmarkStart w:id="679" w:name="_Toc25015"/>
      <w:bookmarkStart w:id="680" w:name="_Toc32286"/>
      <w:bookmarkStart w:id="681" w:name="_Toc132376762"/>
      <w:bookmarkStart w:id="682" w:name="_Toc3554"/>
      <w:bookmarkStart w:id="683" w:name="_Toc8305"/>
      <w:bookmarkStart w:id="684" w:name="_Toc20626"/>
      <w:bookmarkStart w:id="685" w:name="_Toc21196"/>
      <w:bookmarkStart w:id="686" w:name="_Toc21358"/>
      <w:bookmarkStart w:id="687" w:name="_Toc193796072"/>
      <w:bookmarkStart w:id="688" w:name="_Toc19349"/>
      <w:bookmarkStart w:id="689" w:name="_Toc30427"/>
      <w:r>
        <w:rPr>
          <w:rFonts w:hint="eastAsia" w:cs="宋体" w:asciiTheme="minorEastAsia" w:hAnsiTheme="minorEastAsia" w:eastAsiaTheme="minorEastAsia"/>
          <w:szCs w:val="24"/>
        </w:rPr>
        <w:t>7.3成交结果质疑</w:t>
      </w:r>
      <w:bookmarkEnd w:id="679"/>
      <w:bookmarkEnd w:id="680"/>
      <w:bookmarkEnd w:id="681"/>
      <w:bookmarkEnd w:id="682"/>
      <w:bookmarkEnd w:id="683"/>
      <w:bookmarkEnd w:id="684"/>
      <w:bookmarkEnd w:id="685"/>
      <w:bookmarkEnd w:id="686"/>
      <w:bookmarkEnd w:id="687"/>
      <w:bookmarkEnd w:id="688"/>
      <w:bookmarkEnd w:id="689"/>
    </w:p>
    <w:p w14:paraId="000B7DCB">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供应商对成交结果有质疑的，应当在成交结果公告期限届满之日起七个工作日内提出。采购人应当在收到磋商供应商的书面质疑后七个工作日内作出答复，并以书面形式通知质疑磋商供应商，但答复的内容不得涉及商业秘密。</w:t>
      </w:r>
    </w:p>
    <w:p w14:paraId="6F65CF0C">
      <w:pPr>
        <w:pStyle w:val="4"/>
        <w:wordWrap w:val="0"/>
        <w:spacing w:line="415" w:lineRule="auto"/>
        <w:rPr>
          <w:rFonts w:cs="宋体" w:asciiTheme="minorEastAsia" w:hAnsiTheme="minorEastAsia" w:eastAsiaTheme="minorEastAsia"/>
          <w:szCs w:val="24"/>
        </w:rPr>
      </w:pPr>
      <w:bookmarkStart w:id="690" w:name="_Toc17208"/>
      <w:bookmarkStart w:id="691" w:name="_Toc22656"/>
      <w:bookmarkStart w:id="692" w:name="_Toc12783"/>
      <w:bookmarkStart w:id="693" w:name="_Toc2118"/>
      <w:bookmarkStart w:id="694" w:name="_Toc32313"/>
      <w:bookmarkStart w:id="695" w:name="_Toc4147"/>
      <w:bookmarkStart w:id="696" w:name="_Toc23108"/>
      <w:bookmarkStart w:id="697" w:name="_Toc132376763"/>
      <w:bookmarkStart w:id="698" w:name="_Toc3055"/>
      <w:bookmarkStart w:id="699" w:name="_Toc193796073"/>
      <w:bookmarkStart w:id="700" w:name="_Toc5765"/>
      <w:r>
        <w:rPr>
          <w:rFonts w:hint="eastAsia" w:cs="宋体" w:asciiTheme="minorEastAsia" w:hAnsiTheme="minorEastAsia" w:eastAsiaTheme="minorEastAsia"/>
          <w:szCs w:val="24"/>
        </w:rPr>
        <w:t>7.4成交通知</w:t>
      </w:r>
      <w:bookmarkEnd w:id="690"/>
      <w:bookmarkEnd w:id="691"/>
      <w:bookmarkEnd w:id="692"/>
      <w:bookmarkEnd w:id="693"/>
      <w:bookmarkEnd w:id="694"/>
      <w:bookmarkEnd w:id="695"/>
      <w:bookmarkEnd w:id="696"/>
      <w:bookmarkEnd w:id="697"/>
      <w:bookmarkEnd w:id="698"/>
      <w:bookmarkEnd w:id="699"/>
      <w:bookmarkEnd w:id="700"/>
    </w:p>
    <w:p w14:paraId="790D4250">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代理机构根据采购人确认的成交供应商或采购评审小组直接确定的供应商以书面形式签发成交通知书。成交供应商随后携该通知书与采购方签订合同。成交通知书将作为合同的组成部分。对未成交的磋商申请单位不予解释未能成交的原因。</w:t>
      </w:r>
    </w:p>
    <w:p w14:paraId="2A52E7C3">
      <w:pPr>
        <w:pStyle w:val="4"/>
        <w:wordWrap w:val="0"/>
        <w:spacing w:line="415" w:lineRule="auto"/>
        <w:rPr>
          <w:rFonts w:cs="宋体" w:asciiTheme="minorEastAsia" w:hAnsiTheme="minorEastAsia" w:eastAsiaTheme="minorEastAsia"/>
          <w:szCs w:val="24"/>
        </w:rPr>
      </w:pPr>
      <w:bookmarkStart w:id="701" w:name="_Toc542"/>
      <w:bookmarkStart w:id="702" w:name="_Toc132376764"/>
      <w:bookmarkStart w:id="703" w:name="_Toc193796074"/>
      <w:bookmarkStart w:id="704" w:name="_Toc3473"/>
      <w:bookmarkStart w:id="705" w:name="_Toc1029"/>
      <w:bookmarkStart w:id="706" w:name="_Toc5634"/>
      <w:bookmarkStart w:id="707" w:name="_Toc14037"/>
      <w:bookmarkStart w:id="708" w:name="_Toc13701"/>
      <w:bookmarkStart w:id="709" w:name="_Toc23364"/>
      <w:bookmarkStart w:id="710" w:name="_Toc22028"/>
      <w:bookmarkStart w:id="711" w:name="_Toc930"/>
      <w:r>
        <w:rPr>
          <w:rFonts w:hint="eastAsia" w:cs="宋体" w:asciiTheme="minorEastAsia" w:hAnsiTheme="minorEastAsia" w:eastAsiaTheme="minorEastAsia"/>
          <w:szCs w:val="24"/>
        </w:rPr>
        <w:t>7.5履约保证金</w:t>
      </w:r>
      <w:bookmarkEnd w:id="701"/>
      <w:bookmarkEnd w:id="702"/>
      <w:bookmarkEnd w:id="703"/>
      <w:bookmarkEnd w:id="704"/>
      <w:bookmarkEnd w:id="705"/>
      <w:bookmarkEnd w:id="706"/>
      <w:bookmarkEnd w:id="707"/>
      <w:bookmarkEnd w:id="708"/>
      <w:bookmarkEnd w:id="709"/>
      <w:bookmarkEnd w:id="710"/>
      <w:bookmarkEnd w:id="711"/>
    </w:p>
    <w:p w14:paraId="1292D48B">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7.5.1 在签订合同前，成交人应按磋商供应商须知前附表规定的形式、金额向采购人提交履约保证金。联合体成交的，其履约保证金以联合体各方或者联合体牵头人的名义提交。</w:t>
      </w:r>
    </w:p>
    <w:p w14:paraId="7A62CB54">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7.5.2 成交人不能按本章第7.5.1项要求提交履约保证金，视为放弃成交，其磋商保证金不予退还，给采购人造成的损失超过磋商保证金数额的，成交人还应当对超过部分予以赔偿。</w:t>
      </w:r>
    </w:p>
    <w:p w14:paraId="615672EC">
      <w:pPr>
        <w:pStyle w:val="4"/>
        <w:wordWrap w:val="0"/>
        <w:spacing w:line="415" w:lineRule="auto"/>
        <w:rPr>
          <w:rFonts w:cs="宋体" w:asciiTheme="minorEastAsia" w:hAnsiTheme="minorEastAsia" w:eastAsiaTheme="minorEastAsia"/>
          <w:szCs w:val="24"/>
        </w:rPr>
      </w:pPr>
      <w:bookmarkStart w:id="712" w:name="_Toc32402"/>
      <w:bookmarkStart w:id="713" w:name="_Toc26121"/>
      <w:bookmarkStart w:id="714" w:name="_Toc1251"/>
      <w:bookmarkStart w:id="715" w:name="_Toc193796075"/>
      <w:bookmarkStart w:id="716" w:name="_Toc16858"/>
      <w:bookmarkStart w:id="717" w:name="_Toc28466"/>
      <w:bookmarkStart w:id="718" w:name="_Toc9074"/>
      <w:bookmarkStart w:id="719" w:name="_Toc132376765"/>
      <w:bookmarkStart w:id="720" w:name="_Toc12931"/>
      <w:bookmarkStart w:id="721" w:name="_Toc5439"/>
      <w:bookmarkStart w:id="722" w:name="_Toc11067"/>
      <w:r>
        <w:rPr>
          <w:rFonts w:hint="eastAsia" w:cs="宋体" w:asciiTheme="minorEastAsia" w:hAnsiTheme="minorEastAsia" w:eastAsiaTheme="minorEastAsia"/>
          <w:szCs w:val="24"/>
        </w:rPr>
        <w:t>7.6签订合同</w:t>
      </w:r>
      <w:bookmarkEnd w:id="712"/>
      <w:bookmarkEnd w:id="713"/>
      <w:bookmarkEnd w:id="714"/>
      <w:bookmarkEnd w:id="715"/>
      <w:bookmarkEnd w:id="716"/>
      <w:bookmarkEnd w:id="717"/>
      <w:bookmarkEnd w:id="718"/>
      <w:bookmarkEnd w:id="719"/>
      <w:bookmarkEnd w:id="720"/>
      <w:bookmarkEnd w:id="721"/>
      <w:bookmarkEnd w:id="722"/>
    </w:p>
    <w:p w14:paraId="76CB2C22">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7.6.1</w:t>
      </w:r>
      <w:r>
        <w:rPr>
          <w:rFonts w:hint="eastAsia" w:cs="宋体" w:asciiTheme="minorEastAsia" w:hAnsiTheme="minorEastAsia" w:eastAsiaTheme="minorEastAsia"/>
          <w:b/>
          <w:bCs/>
          <w:sz w:val="24"/>
          <w:szCs w:val="24"/>
        </w:rPr>
        <w:t>采购人应当自成交通知书发出之日起30日内，按照磋商文件和成交人磋商响应文件的规定，与成交人签订书面合同</w:t>
      </w:r>
      <w:r>
        <w:rPr>
          <w:rFonts w:hint="eastAsia" w:cs="宋体" w:asciiTheme="minorEastAsia" w:hAnsiTheme="minorEastAsia" w:eastAsiaTheme="minorEastAsia"/>
          <w:sz w:val="24"/>
          <w:szCs w:val="24"/>
        </w:rPr>
        <w:t>。竞争性磋商申请文件、供应商的磋商申请文件及其澄清文件、成交通知书，均作为签订合同内容的依据。所签订的合同不得对磋商文件明确的事项和成交人磋商响应文件作实质性修改。采购人不得向成交人提出任何不合理的要求作为签订合同的条件。</w:t>
      </w:r>
    </w:p>
    <w:p w14:paraId="6058EEF7">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7.6.2成交通知书发出后，采购人不得违法改变成交结果，成交人无正当理由不得放弃成交，成交人如因自身原因不按规定与采购人订立合同，则采购人将有权按成交候选人排序重新选定成交人或者重新采购，给采购人造成损失的，还应当予以赔偿，同时依法承担相应法律责任。</w:t>
      </w:r>
    </w:p>
    <w:p w14:paraId="210286C2">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7.6.3联合体成交的，联合体各方应当共同与采购人签订合同，就成交项目向采购人承担连带责任。</w:t>
      </w:r>
    </w:p>
    <w:p w14:paraId="65FC1AD4">
      <w:pPr>
        <w:pStyle w:val="3"/>
        <w:wordWrap w:val="0"/>
        <w:spacing w:after="0" w:line="415" w:lineRule="auto"/>
        <w:rPr>
          <w:rFonts w:cs="宋体" w:asciiTheme="minorEastAsia" w:hAnsiTheme="minorEastAsia" w:eastAsiaTheme="minorEastAsia"/>
          <w:sz w:val="28"/>
          <w:szCs w:val="28"/>
        </w:rPr>
      </w:pPr>
      <w:bookmarkStart w:id="723" w:name="_Toc4868"/>
      <w:bookmarkStart w:id="724" w:name="_Toc193796076"/>
      <w:bookmarkStart w:id="725" w:name="_Toc22593"/>
      <w:bookmarkStart w:id="726" w:name="_Toc10877"/>
      <w:bookmarkStart w:id="727" w:name="_Toc132376766"/>
      <w:bookmarkStart w:id="728" w:name="_Toc1971"/>
      <w:bookmarkStart w:id="729" w:name="_Toc5288"/>
      <w:bookmarkStart w:id="730" w:name="_Toc10502"/>
      <w:r>
        <w:rPr>
          <w:rFonts w:hint="eastAsia" w:cs="宋体" w:asciiTheme="minorEastAsia" w:hAnsiTheme="minorEastAsia" w:eastAsiaTheme="minorEastAsia"/>
          <w:sz w:val="28"/>
          <w:szCs w:val="28"/>
        </w:rPr>
        <w:t>8、纪律和监督</w:t>
      </w:r>
      <w:bookmarkEnd w:id="723"/>
      <w:bookmarkEnd w:id="724"/>
      <w:bookmarkEnd w:id="725"/>
      <w:bookmarkEnd w:id="726"/>
      <w:bookmarkEnd w:id="727"/>
      <w:bookmarkEnd w:id="728"/>
      <w:bookmarkEnd w:id="729"/>
      <w:bookmarkEnd w:id="730"/>
    </w:p>
    <w:p w14:paraId="416A4E08">
      <w:pPr>
        <w:pStyle w:val="4"/>
        <w:wordWrap w:val="0"/>
        <w:spacing w:line="415" w:lineRule="auto"/>
        <w:rPr>
          <w:rFonts w:cs="宋体" w:asciiTheme="minorEastAsia" w:hAnsiTheme="minorEastAsia" w:eastAsiaTheme="minorEastAsia"/>
          <w:szCs w:val="24"/>
        </w:rPr>
      </w:pPr>
      <w:bookmarkStart w:id="731" w:name="_Toc8424"/>
      <w:bookmarkStart w:id="732" w:name="_Toc28837"/>
      <w:bookmarkStart w:id="733" w:name="_Toc15159"/>
      <w:bookmarkStart w:id="734" w:name="_Toc18899"/>
      <w:bookmarkStart w:id="735" w:name="_Toc21801"/>
      <w:bookmarkStart w:id="736" w:name="_Toc193796077"/>
      <w:bookmarkStart w:id="737" w:name="_Toc6898"/>
      <w:bookmarkStart w:id="738" w:name="_Toc15669"/>
      <w:bookmarkStart w:id="739" w:name="_Toc8577"/>
      <w:bookmarkStart w:id="740" w:name="_Toc132376767"/>
      <w:bookmarkStart w:id="741" w:name="_Toc22561"/>
      <w:r>
        <w:rPr>
          <w:rFonts w:hint="eastAsia" w:cs="宋体" w:asciiTheme="minorEastAsia" w:hAnsiTheme="minorEastAsia" w:eastAsiaTheme="minorEastAsia"/>
          <w:szCs w:val="24"/>
        </w:rPr>
        <w:t>8.1对采购人的纪律要求</w:t>
      </w:r>
      <w:bookmarkEnd w:id="731"/>
      <w:bookmarkEnd w:id="732"/>
      <w:bookmarkEnd w:id="733"/>
      <w:bookmarkEnd w:id="734"/>
      <w:bookmarkEnd w:id="735"/>
      <w:bookmarkEnd w:id="736"/>
      <w:bookmarkEnd w:id="737"/>
      <w:bookmarkEnd w:id="738"/>
      <w:bookmarkEnd w:id="739"/>
      <w:bookmarkEnd w:id="740"/>
      <w:bookmarkEnd w:id="741"/>
    </w:p>
    <w:p w14:paraId="3AD96CD3">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（1）采购人不得向磋商供应商索要或者接受其给予的赠品、回扣或者与采购无关的其他商品、服务；</w:t>
      </w:r>
    </w:p>
    <w:p w14:paraId="4BABCFBD">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（2）在规定时间内确定成交人；</w:t>
      </w:r>
    </w:p>
    <w:p w14:paraId="1C5ABAA2">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（3）不得向成交人提出不合理要求作为签订合同条件。</w:t>
      </w:r>
    </w:p>
    <w:p w14:paraId="195BDAF1">
      <w:pPr>
        <w:pStyle w:val="4"/>
        <w:wordWrap w:val="0"/>
        <w:spacing w:line="415" w:lineRule="auto"/>
        <w:rPr>
          <w:rFonts w:cs="宋体" w:asciiTheme="minorEastAsia" w:hAnsiTheme="minorEastAsia" w:eastAsiaTheme="minorEastAsia"/>
          <w:szCs w:val="24"/>
        </w:rPr>
      </w:pPr>
      <w:bookmarkStart w:id="742" w:name="_Toc13201"/>
      <w:bookmarkStart w:id="743" w:name="_Toc14291"/>
      <w:bookmarkStart w:id="744" w:name="_Toc26132"/>
      <w:bookmarkStart w:id="745" w:name="_Toc132376768"/>
      <w:bookmarkStart w:id="746" w:name="_Toc31946"/>
      <w:bookmarkStart w:id="747" w:name="_Toc31001"/>
      <w:bookmarkStart w:id="748" w:name="_Toc193796079"/>
      <w:bookmarkStart w:id="749" w:name="_Toc18553"/>
      <w:bookmarkStart w:id="750" w:name="_Toc15690"/>
      <w:bookmarkStart w:id="751" w:name="_Toc25110"/>
      <w:bookmarkStart w:id="752" w:name="_Toc8851"/>
      <w:r>
        <w:rPr>
          <w:rFonts w:hint="eastAsia" w:cs="宋体" w:asciiTheme="minorEastAsia" w:hAnsiTheme="minorEastAsia" w:eastAsiaTheme="minorEastAsia"/>
          <w:szCs w:val="24"/>
        </w:rPr>
        <w:t>8.2对磋商供应商的纪律要求</w:t>
      </w:r>
      <w:bookmarkEnd w:id="742"/>
      <w:bookmarkEnd w:id="743"/>
      <w:bookmarkEnd w:id="744"/>
      <w:bookmarkEnd w:id="745"/>
      <w:bookmarkEnd w:id="746"/>
      <w:bookmarkEnd w:id="747"/>
      <w:bookmarkEnd w:id="748"/>
      <w:bookmarkEnd w:id="749"/>
      <w:bookmarkEnd w:id="750"/>
      <w:bookmarkEnd w:id="751"/>
      <w:bookmarkEnd w:id="752"/>
    </w:p>
    <w:p w14:paraId="18B368ED">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磋商供应商不得相互串通投标或者与采购人串通投标，不得向采购人或者磋商小组成员行贿谋取成交，不得以他人名义投标或者以其他方式弄虚作假骗取成交；磋商供应商不得以任何方式干扰、影响评审工作。</w:t>
      </w:r>
    </w:p>
    <w:p w14:paraId="1F52ED43">
      <w:pPr>
        <w:pStyle w:val="4"/>
        <w:wordWrap w:val="0"/>
        <w:spacing w:line="415" w:lineRule="auto"/>
        <w:rPr>
          <w:rFonts w:cs="宋体" w:asciiTheme="minorEastAsia" w:hAnsiTheme="minorEastAsia" w:eastAsiaTheme="minorEastAsia"/>
          <w:szCs w:val="24"/>
        </w:rPr>
      </w:pPr>
      <w:bookmarkStart w:id="753" w:name="_Toc12920"/>
      <w:bookmarkStart w:id="754" w:name="_Toc27757"/>
      <w:bookmarkStart w:id="755" w:name="_Toc2368"/>
      <w:bookmarkStart w:id="756" w:name="_Toc132376769"/>
      <w:bookmarkStart w:id="757" w:name="_Toc29923"/>
      <w:bookmarkStart w:id="758" w:name="_Toc30546"/>
      <w:bookmarkStart w:id="759" w:name="_Toc11672"/>
      <w:bookmarkStart w:id="760" w:name="_Toc18194"/>
      <w:bookmarkStart w:id="761" w:name="_Toc193796080"/>
      <w:bookmarkStart w:id="762" w:name="_Toc13341"/>
      <w:bookmarkStart w:id="763" w:name="_Toc2396"/>
      <w:r>
        <w:rPr>
          <w:rFonts w:hint="eastAsia" w:cs="宋体" w:asciiTheme="minorEastAsia" w:hAnsiTheme="minorEastAsia" w:eastAsiaTheme="minorEastAsia"/>
          <w:szCs w:val="24"/>
        </w:rPr>
        <w:t>8.3对磋商小组成员的纪律要求</w:t>
      </w:r>
      <w:bookmarkEnd w:id="753"/>
      <w:bookmarkEnd w:id="754"/>
      <w:bookmarkEnd w:id="755"/>
      <w:bookmarkEnd w:id="756"/>
      <w:bookmarkEnd w:id="757"/>
      <w:bookmarkEnd w:id="758"/>
      <w:bookmarkEnd w:id="759"/>
      <w:bookmarkEnd w:id="760"/>
      <w:bookmarkEnd w:id="761"/>
      <w:bookmarkEnd w:id="762"/>
      <w:bookmarkEnd w:id="763"/>
    </w:p>
    <w:p w14:paraId="16F6AA3E">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磋商小组及其成员不得有下列行为：</w:t>
      </w:r>
    </w:p>
    <w:p w14:paraId="259F23DF">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（1）确定参与评审至评审结束前私自接触磋商供应商；</w:t>
      </w:r>
    </w:p>
    <w:p w14:paraId="583E1FD1">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（2）接受磋商供应商提出的与磋商响应文件不一致的澄清或者说明；</w:t>
      </w:r>
    </w:p>
    <w:p w14:paraId="7F6131D4">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（3）违反评审纪律发表倾向性意见或者征询采购人的倾向性意见；</w:t>
      </w:r>
    </w:p>
    <w:p w14:paraId="1664A3BD">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（4）对需要专业判断的主观评审因素协商评分；</w:t>
      </w:r>
    </w:p>
    <w:p w14:paraId="70D63DA7">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（5）在评审过程中擅离职守望，影响评审程序正常进行的；</w:t>
      </w:r>
    </w:p>
    <w:p w14:paraId="7A2F3511">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（6）记录、复制或者带走任何评审资料；</w:t>
      </w:r>
    </w:p>
    <w:p w14:paraId="21B7F5E5">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（7）其他不遵守评审纪律的行为。</w:t>
      </w:r>
    </w:p>
    <w:p w14:paraId="22AF7859">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磋商小组成员有前款第（1）至（7）项行为之一的，其评审意见无效，并不得获取评审劳务报酬和报销异地评审差旅费。</w:t>
      </w:r>
    </w:p>
    <w:p w14:paraId="349E8D48">
      <w:pPr>
        <w:pStyle w:val="4"/>
        <w:wordWrap w:val="0"/>
        <w:spacing w:line="415" w:lineRule="auto"/>
        <w:rPr>
          <w:rFonts w:cs="宋体" w:asciiTheme="minorEastAsia" w:hAnsiTheme="minorEastAsia" w:eastAsiaTheme="minorEastAsia"/>
          <w:szCs w:val="24"/>
        </w:rPr>
      </w:pPr>
      <w:bookmarkStart w:id="764" w:name="_Toc7390"/>
      <w:bookmarkStart w:id="765" w:name="_Toc193796081"/>
      <w:bookmarkStart w:id="766" w:name="_Toc132376770"/>
      <w:bookmarkStart w:id="767" w:name="_Toc11008"/>
      <w:bookmarkStart w:id="768" w:name="_Toc32080"/>
      <w:bookmarkStart w:id="769" w:name="_Toc708"/>
      <w:bookmarkStart w:id="770" w:name="_Toc1319"/>
      <w:bookmarkStart w:id="771" w:name="_Toc23586"/>
      <w:bookmarkStart w:id="772" w:name="_Toc16203"/>
      <w:bookmarkStart w:id="773" w:name="_Toc9049"/>
      <w:bookmarkStart w:id="774" w:name="_Toc5360"/>
      <w:r>
        <w:rPr>
          <w:rFonts w:hint="eastAsia" w:cs="宋体" w:asciiTheme="minorEastAsia" w:hAnsiTheme="minorEastAsia" w:eastAsiaTheme="minorEastAsia"/>
          <w:szCs w:val="24"/>
        </w:rPr>
        <w:t>8.4对</w:t>
      </w:r>
      <w:bookmarkStart w:id="775" w:name="_Hlk39929522"/>
      <w:r>
        <w:rPr>
          <w:rFonts w:hint="eastAsia" w:cs="宋体" w:asciiTheme="minorEastAsia" w:hAnsiTheme="minorEastAsia" w:eastAsiaTheme="minorEastAsia"/>
          <w:szCs w:val="24"/>
        </w:rPr>
        <w:t>评审</w:t>
      </w:r>
      <w:bookmarkEnd w:id="775"/>
      <w:r>
        <w:rPr>
          <w:rFonts w:hint="eastAsia" w:cs="宋体" w:asciiTheme="minorEastAsia" w:hAnsiTheme="minorEastAsia" w:eastAsiaTheme="minorEastAsia"/>
          <w:szCs w:val="24"/>
        </w:rPr>
        <w:t>活动有关的工作人员的纪律要求</w:t>
      </w:r>
      <w:bookmarkEnd w:id="764"/>
      <w:bookmarkEnd w:id="765"/>
      <w:bookmarkEnd w:id="766"/>
      <w:bookmarkEnd w:id="767"/>
      <w:bookmarkEnd w:id="768"/>
      <w:bookmarkEnd w:id="769"/>
      <w:bookmarkEnd w:id="770"/>
      <w:bookmarkEnd w:id="771"/>
      <w:bookmarkEnd w:id="772"/>
      <w:bookmarkEnd w:id="773"/>
      <w:bookmarkEnd w:id="774"/>
    </w:p>
    <w:p w14:paraId="15AD72D1">
      <w:pPr>
        <w:wordWrap w:val="0"/>
        <w:spacing w:line="360" w:lineRule="auto"/>
        <w:ind w:firstLine="542"/>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与评审活动有关的工作人员不得收受他人的财物或者其他好处，不得向他人透漏对磋商响应文件的评审和比较、成交候选人的推荐情况以及评审有关的其他情况。在评审活动中，与评审活动有关的工作人员不得擅离职守，影响评审程序正常进行。</w:t>
      </w:r>
    </w:p>
    <w:p w14:paraId="56122EE3">
      <w:pPr>
        <w:pStyle w:val="3"/>
        <w:wordWrap w:val="0"/>
        <w:spacing w:after="0" w:line="415" w:lineRule="auto"/>
        <w:rPr>
          <w:rFonts w:cs="宋体" w:asciiTheme="minorEastAsia" w:hAnsiTheme="minorEastAsia" w:eastAsiaTheme="minorEastAsia"/>
          <w:sz w:val="28"/>
          <w:szCs w:val="28"/>
        </w:rPr>
      </w:pPr>
      <w:bookmarkStart w:id="776" w:name="_Toc72"/>
      <w:bookmarkStart w:id="777" w:name="_Toc193796082"/>
      <w:bookmarkStart w:id="778" w:name="_Toc13835"/>
      <w:bookmarkStart w:id="779" w:name="_Toc11087"/>
      <w:bookmarkStart w:id="780" w:name="_Toc132376771"/>
      <w:bookmarkStart w:id="781" w:name="_Toc11151"/>
      <w:bookmarkStart w:id="782" w:name="_Toc13435"/>
      <w:bookmarkStart w:id="783" w:name="_Toc31400"/>
      <w:r>
        <w:rPr>
          <w:rFonts w:hint="eastAsia" w:cs="宋体" w:asciiTheme="minorEastAsia" w:hAnsiTheme="minorEastAsia" w:eastAsiaTheme="minorEastAsia"/>
          <w:sz w:val="28"/>
          <w:szCs w:val="28"/>
        </w:rPr>
        <w:t>9、质疑与投诉</w:t>
      </w:r>
      <w:bookmarkEnd w:id="776"/>
      <w:bookmarkEnd w:id="777"/>
      <w:bookmarkEnd w:id="778"/>
      <w:bookmarkEnd w:id="779"/>
      <w:bookmarkEnd w:id="780"/>
      <w:bookmarkEnd w:id="781"/>
      <w:bookmarkEnd w:id="782"/>
      <w:bookmarkEnd w:id="783"/>
    </w:p>
    <w:p w14:paraId="47D0FE91">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9.1磋商供应商认为磋商文件、采购过程、成交结果使自己的权益受到损害的，可以在知道或者应知其权益受到损害之日起7个工作日内，以书面形式向采购代理机构或采购人提出质疑。质疑内容不得含有虚假、恶意成分。当事人对自己提出的主张，有责任提供证据，提出质疑时应同时提交相关证据材料和注明事实的确切来源。</w:t>
      </w:r>
    </w:p>
    <w:p w14:paraId="1664E6BC">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9.2磋商供应商应知其权益受到损害之日，是指：</w:t>
      </w:r>
    </w:p>
    <w:p w14:paraId="245C88C7">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（1）对可以质疑的磋商文件提出质疑的，为磋商供应商获取磋商文件之日；</w:t>
      </w:r>
    </w:p>
    <w:p w14:paraId="5E68798F">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（2）对采购过程提出质疑的，为各采购程序环节结束之日；</w:t>
      </w:r>
    </w:p>
    <w:p w14:paraId="0B9EF410">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（3）对成交结果提出质疑的，为成交结果公告期限届满之日。</w:t>
      </w:r>
    </w:p>
    <w:p w14:paraId="55502630">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9.3磋商供应商提供的质疑应符合《政府采购质疑和投诉办法》（财政部令第94号）的规定。磋商供应商提供的质疑函（如材料中有外文资料应同时附上中文译本）应当包括以下主要内容：</w:t>
      </w:r>
    </w:p>
    <w:p w14:paraId="471DC9C9">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（1）磋商供应商的姓名或者名称、地址、邮编、联系人及联系电话；</w:t>
      </w:r>
    </w:p>
    <w:p w14:paraId="6603F171">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（2）质疑项目的名称、编号；</w:t>
      </w:r>
    </w:p>
    <w:p w14:paraId="28D57F22">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（3）具体、明确的质疑事项和与质疑事项相关的请求；</w:t>
      </w:r>
    </w:p>
    <w:p w14:paraId="3800F8B5">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（4）事实依据；</w:t>
      </w:r>
    </w:p>
    <w:p w14:paraId="2312F8DC">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（5）必要的法律依据；</w:t>
      </w:r>
    </w:p>
    <w:p w14:paraId="6C99590C">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（6）提出的质疑日期。</w:t>
      </w:r>
    </w:p>
    <w:p w14:paraId="6187F0F5">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磋商供应商提供的质疑函应当由其法定代表人或者授权代表签字或盖章，并加盖公章。</w:t>
      </w:r>
    </w:p>
    <w:p w14:paraId="291F15AA">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9.4采购人、采购代理机构将在收到磋商供应商的书面质疑后7个工作日内作出答复，但答复的内容不涉及商业秘密。</w:t>
      </w:r>
    </w:p>
    <w:p w14:paraId="48880198">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9.5参与政府采购活动的磋商供应商对评审过程或者结果提出质疑的，采购人或采购代理机构可以组织原评审委员会协助处理质疑事项，并依据评审委员会出具的意见进行答复。质疑答复导致成交结果改变的，采购人或采购代理机构应将相关情况报财政部门备案。</w:t>
      </w:r>
    </w:p>
    <w:p w14:paraId="5585A6F5">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9.6投诉必须首先经过质疑程序。质疑人对采购人、采购代理机构的答复不满意，或者采购人、采购代理机构未在规定的时间内作出答复的，可以在答复期满后15个工作日内书面向同级财政部门提出投诉。</w:t>
      </w:r>
    </w:p>
    <w:p w14:paraId="2258E507">
      <w:pPr>
        <w:wordWrap w:val="0"/>
        <w:spacing w:line="360" w:lineRule="auto"/>
        <w:ind w:firstLine="488"/>
        <w:rPr>
          <w:rFonts w:asciiTheme="minorEastAsia" w:hAnsiTheme="minorEastAsia" w:eastAsiaTheme="minorEastAsia"/>
          <w:sz w:val="24"/>
          <w:szCs w:val="24"/>
        </w:rPr>
      </w:pPr>
      <w:r>
        <w:rPr>
          <w:rFonts w:hint="eastAsia" w:asciiTheme="minorEastAsia" w:hAnsiTheme="minorEastAsia" w:eastAsiaTheme="minorEastAsia"/>
          <w:sz w:val="24"/>
          <w:szCs w:val="24"/>
        </w:rPr>
        <w:t>9.7质疑函递交方式、联系部门、联系电话和通讯地址</w:t>
      </w:r>
    </w:p>
    <w:p w14:paraId="1412E2B2">
      <w:pPr>
        <w:wordWrap w:val="0"/>
        <w:spacing w:line="360" w:lineRule="auto"/>
        <w:ind w:firstLine="488"/>
        <w:rPr>
          <w:rFonts w:asciiTheme="minorEastAsia" w:hAnsiTheme="minorEastAsia" w:eastAsiaTheme="minorEastAsia"/>
          <w:sz w:val="24"/>
          <w:szCs w:val="24"/>
        </w:rPr>
      </w:pPr>
      <w:r>
        <w:rPr>
          <w:rFonts w:hint="eastAsia" w:asciiTheme="minorEastAsia" w:hAnsiTheme="minorEastAsia" w:eastAsiaTheme="minorEastAsia"/>
          <w:sz w:val="24"/>
          <w:szCs w:val="24"/>
        </w:rPr>
        <w:t>质疑函递交方式：以书面形式现场递交接受。需同时携带营业执照副本复印件并加盖公章、法人身份证明书原件、授权委托书原件（由委托人递交时）、法人身份证复印件加盖公章、委托代理人身份证原件及复印件加盖公章（由委托人递交时）。</w:t>
      </w:r>
    </w:p>
    <w:p w14:paraId="540C103D">
      <w:pPr>
        <w:wordWrap w:val="0"/>
        <w:spacing w:line="360" w:lineRule="auto"/>
        <w:ind w:firstLine="488"/>
        <w:rPr>
          <w:rFonts w:asciiTheme="minorEastAsia" w:hAnsiTheme="minorEastAsia" w:eastAsiaTheme="minorEastAsia"/>
          <w:sz w:val="24"/>
          <w:szCs w:val="24"/>
        </w:rPr>
      </w:pPr>
      <w:r>
        <w:rPr>
          <w:rFonts w:hint="eastAsia" w:asciiTheme="minorEastAsia" w:hAnsiTheme="minorEastAsia" w:eastAsiaTheme="minorEastAsia"/>
          <w:sz w:val="24"/>
          <w:szCs w:val="24"/>
        </w:rPr>
        <w:t>联系部门：云南华伟招标有限公司</w:t>
      </w:r>
    </w:p>
    <w:p w14:paraId="02D26FE9">
      <w:pPr>
        <w:wordWrap w:val="0"/>
        <w:spacing w:line="360" w:lineRule="auto"/>
        <w:ind w:firstLine="488"/>
        <w:rPr>
          <w:rFonts w:asciiTheme="minorEastAsia" w:hAnsiTheme="minorEastAsia" w:eastAsiaTheme="minorEastAsia"/>
          <w:sz w:val="24"/>
          <w:szCs w:val="24"/>
        </w:rPr>
      </w:pPr>
      <w:r>
        <w:rPr>
          <w:rFonts w:hint="eastAsia" w:asciiTheme="minorEastAsia" w:hAnsiTheme="minorEastAsia" w:eastAsiaTheme="minorEastAsia"/>
          <w:sz w:val="24"/>
          <w:szCs w:val="24"/>
        </w:rPr>
        <w:t>联 系 人：</w:t>
      </w:r>
      <w:r>
        <w:rPr>
          <w:rFonts w:hint="eastAsia" w:cs="宋体" w:asciiTheme="minorEastAsia" w:hAnsiTheme="minorEastAsia" w:eastAsiaTheme="minorEastAsia"/>
          <w:sz w:val="24"/>
          <w:szCs w:val="24"/>
        </w:rPr>
        <w:t>虞洁、李星臣、张智梅、殷俊</w:t>
      </w:r>
    </w:p>
    <w:p w14:paraId="7F995FCE">
      <w:pPr>
        <w:wordWrap w:val="0"/>
        <w:spacing w:line="360" w:lineRule="auto"/>
        <w:ind w:firstLine="488"/>
        <w:rPr>
          <w:rFonts w:asciiTheme="minorEastAsia" w:hAnsiTheme="minorEastAsia" w:eastAsiaTheme="minorEastAsia"/>
          <w:sz w:val="24"/>
          <w:szCs w:val="24"/>
        </w:rPr>
      </w:pPr>
      <w:r>
        <w:rPr>
          <w:rFonts w:hint="eastAsia" w:asciiTheme="minorEastAsia" w:hAnsiTheme="minorEastAsia" w:eastAsiaTheme="minorEastAsia"/>
          <w:sz w:val="24"/>
          <w:szCs w:val="24"/>
        </w:rPr>
        <w:t>联系电话：15096978144</w:t>
      </w:r>
    </w:p>
    <w:p w14:paraId="291D0F07">
      <w:pPr>
        <w:wordWrap w:val="0"/>
        <w:spacing w:line="360" w:lineRule="auto"/>
        <w:ind w:firstLine="488"/>
        <w:rPr>
          <w:rFonts w:asciiTheme="minorEastAsia" w:hAnsiTheme="minorEastAsia" w:eastAsiaTheme="minorEastAsia"/>
        </w:rPr>
      </w:pPr>
      <w:r>
        <w:rPr>
          <w:rFonts w:hint="eastAsia" w:asciiTheme="minorEastAsia" w:hAnsiTheme="minorEastAsia" w:eastAsiaTheme="minorEastAsia"/>
          <w:sz w:val="24"/>
          <w:szCs w:val="24"/>
        </w:rPr>
        <w:t>地    址：云南省普洱市思茅区南屏镇人民东路3号8楼801室</w:t>
      </w:r>
    </w:p>
    <w:p w14:paraId="5D24D938">
      <w:pPr>
        <w:pStyle w:val="3"/>
        <w:wordWrap w:val="0"/>
        <w:spacing w:after="0" w:line="415" w:lineRule="auto"/>
        <w:rPr>
          <w:rFonts w:cs="宋体" w:asciiTheme="minorEastAsia" w:hAnsiTheme="minorEastAsia" w:eastAsiaTheme="minorEastAsia"/>
          <w:sz w:val="28"/>
          <w:szCs w:val="28"/>
        </w:rPr>
      </w:pPr>
      <w:bookmarkStart w:id="784" w:name="_Toc132376772"/>
      <w:bookmarkStart w:id="785" w:name="_Toc32142"/>
      <w:bookmarkStart w:id="786" w:name="_Toc13879"/>
      <w:bookmarkStart w:id="787" w:name="_Toc193796083"/>
      <w:bookmarkStart w:id="788" w:name="_Toc25146"/>
      <w:bookmarkStart w:id="789" w:name="_Toc23054"/>
      <w:bookmarkStart w:id="790" w:name="_Toc24845"/>
      <w:bookmarkStart w:id="791" w:name="_Toc20065"/>
      <w:r>
        <w:rPr>
          <w:rFonts w:hint="eastAsia" w:cs="宋体" w:asciiTheme="minorEastAsia" w:hAnsiTheme="minorEastAsia" w:eastAsiaTheme="minorEastAsia"/>
          <w:sz w:val="28"/>
          <w:szCs w:val="28"/>
        </w:rPr>
        <w:t>10、需要补充的其他内容</w:t>
      </w:r>
      <w:bookmarkEnd w:id="784"/>
      <w:bookmarkEnd w:id="785"/>
      <w:bookmarkEnd w:id="786"/>
      <w:bookmarkEnd w:id="787"/>
      <w:bookmarkEnd w:id="788"/>
      <w:bookmarkEnd w:id="789"/>
      <w:bookmarkEnd w:id="790"/>
      <w:bookmarkEnd w:id="791"/>
    </w:p>
    <w:p w14:paraId="6F9468AA">
      <w:pPr>
        <w:wordWrap w:val="0"/>
        <w:spacing w:line="360" w:lineRule="auto"/>
        <w:ind w:firstLine="48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需要补充的其他内容：详见磋商供应商须知前附表。</w:t>
      </w:r>
    </w:p>
    <w:p w14:paraId="505557B9">
      <w:pPr>
        <w:wordWrap w:val="0"/>
        <w:spacing w:line="360" w:lineRule="auto"/>
        <w:ind w:firstLine="488"/>
      </w:pPr>
      <w:r>
        <w:br w:type="page"/>
      </w:r>
    </w:p>
    <w:p w14:paraId="7AA03496">
      <w:pPr>
        <w:pStyle w:val="16"/>
        <w:tabs>
          <w:tab w:val="right" w:leader="dot" w:pos="9628"/>
        </w:tabs>
        <w:wordWrap w:val="0"/>
        <w:spacing w:line="360" w:lineRule="auto"/>
        <w:ind w:firstLine="0"/>
        <w:jc w:val="center"/>
        <w:outlineLvl w:val="0"/>
        <w:rPr>
          <w:rFonts w:cs="宋体" w:asciiTheme="minorEastAsia" w:hAnsiTheme="minorEastAsia" w:eastAsiaTheme="minorEastAsia"/>
          <w:b/>
          <w:kern w:val="44"/>
          <w:sz w:val="36"/>
          <w:szCs w:val="36"/>
        </w:rPr>
      </w:pPr>
      <w:bookmarkStart w:id="792" w:name="_Toc28410"/>
      <w:bookmarkStart w:id="793" w:name="_Toc11350"/>
      <w:bookmarkStart w:id="794" w:name="_Toc132376773"/>
      <w:bookmarkStart w:id="795" w:name="_Toc193796078"/>
      <w:bookmarkStart w:id="796" w:name="_Toc9809"/>
      <w:bookmarkStart w:id="797" w:name="_Toc22814"/>
      <w:r>
        <w:rPr>
          <w:rFonts w:hint="eastAsia" w:cs="宋体" w:asciiTheme="minorEastAsia" w:hAnsiTheme="minorEastAsia" w:eastAsiaTheme="minorEastAsia"/>
          <w:b/>
          <w:kern w:val="44"/>
          <w:sz w:val="36"/>
          <w:szCs w:val="36"/>
        </w:rPr>
        <w:t>第三章  磋商小组、磋商程序、评审方法和授予合同</w:t>
      </w:r>
      <w:bookmarkEnd w:id="792"/>
      <w:bookmarkEnd w:id="793"/>
      <w:bookmarkEnd w:id="794"/>
      <w:bookmarkEnd w:id="795"/>
      <w:bookmarkEnd w:id="796"/>
      <w:bookmarkEnd w:id="797"/>
    </w:p>
    <w:p w14:paraId="38327C60">
      <w:pPr>
        <w:adjustRightInd w:val="0"/>
        <w:snapToGrid w:val="0"/>
        <w:spacing w:line="360" w:lineRule="auto"/>
        <w:outlineLvl w:val="1"/>
        <w:rPr>
          <w:b/>
          <w:sz w:val="24"/>
          <w:szCs w:val="24"/>
        </w:rPr>
      </w:pPr>
      <w:bookmarkStart w:id="798" w:name="_Toc193796084"/>
      <w:bookmarkStart w:id="799" w:name="_Toc11833"/>
      <w:bookmarkStart w:id="800" w:name="_Toc132376774"/>
      <w:bookmarkStart w:id="801" w:name="_Toc16543"/>
      <w:bookmarkStart w:id="802" w:name="_Toc4962"/>
      <w:bookmarkStart w:id="803" w:name="_Toc29247"/>
      <w:bookmarkStart w:id="804" w:name="_Toc13066"/>
      <w:r>
        <w:rPr>
          <w:rFonts w:hint="eastAsia"/>
          <w:b/>
          <w:sz w:val="24"/>
          <w:szCs w:val="24"/>
        </w:rPr>
        <w:t>一、磋商小组</w:t>
      </w:r>
      <w:bookmarkEnd w:id="798"/>
      <w:bookmarkEnd w:id="799"/>
      <w:bookmarkEnd w:id="800"/>
      <w:bookmarkEnd w:id="801"/>
      <w:bookmarkEnd w:id="802"/>
      <w:bookmarkEnd w:id="803"/>
      <w:bookmarkEnd w:id="804"/>
    </w:p>
    <w:p w14:paraId="2B881852">
      <w:pPr>
        <w:wordWrap w:val="0"/>
        <w:spacing w:line="360" w:lineRule="auto"/>
        <w:ind w:firstLine="48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 本次磋商采购项目依法组建磋商小组；</w:t>
      </w:r>
    </w:p>
    <w:p w14:paraId="492F7C25">
      <w:pPr>
        <w:wordWrap w:val="0"/>
        <w:spacing w:line="360" w:lineRule="auto"/>
        <w:ind w:firstLine="48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 磋商原则：依照“公平、公正、科学、合法、保密”原则；</w:t>
      </w:r>
    </w:p>
    <w:p w14:paraId="17279DDD">
      <w:pPr>
        <w:wordWrap w:val="0"/>
        <w:spacing w:line="360" w:lineRule="auto"/>
        <w:ind w:firstLine="48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 磋商小组在磋商中，不得透露磋商的相关信息。磋商文件有实质性变动的，磋商小组将告知所有参加磋商的供应商。</w:t>
      </w:r>
    </w:p>
    <w:p w14:paraId="2D6E67B6">
      <w:pPr>
        <w:wordWrap w:val="0"/>
        <w:spacing w:line="360" w:lineRule="auto"/>
        <w:ind w:firstLine="48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 为有助于对报价文件的审查、评价和比较，磋商小组可对供应商进行技术质疑、询问，供应商在要求的时限内给予澄清或答疑。</w:t>
      </w:r>
    </w:p>
    <w:p w14:paraId="0F3F65F5">
      <w:pPr>
        <w:pStyle w:val="3"/>
        <w:wordWrap w:val="0"/>
        <w:spacing w:before="0" w:after="0" w:line="360" w:lineRule="auto"/>
        <w:rPr>
          <w:rFonts w:cs="宋体" w:asciiTheme="minorEastAsia" w:hAnsiTheme="minorEastAsia" w:eastAsiaTheme="minorEastAsia"/>
          <w:sz w:val="24"/>
          <w:szCs w:val="24"/>
        </w:rPr>
      </w:pPr>
      <w:bookmarkStart w:id="805" w:name="_Toc132376775"/>
      <w:bookmarkStart w:id="806" w:name="_Toc3708"/>
      <w:bookmarkStart w:id="807" w:name="_Toc26997"/>
      <w:bookmarkStart w:id="808" w:name="_Toc193796085"/>
      <w:bookmarkStart w:id="809" w:name="_Toc8757"/>
      <w:bookmarkStart w:id="810" w:name="_Toc13780"/>
      <w:bookmarkStart w:id="811" w:name="_Toc2587"/>
      <w:r>
        <w:rPr>
          <w:rFonts w:hint="eastAsia" w:cs="宋体" w:asciiTheme="minorEastAsia" w:hAnsiTheme="minorEastAsia" w:eastAsiaTheme="minorEastAsia"/>
          <w:sz w:val="24"/>
          <w:szCs w:val="24"/>
        </w:rPr>
        <w:t>二、磋商程序</w:t>
      </w:r>
      <w:bookmarkEnd w:id="805"/>
      <w:bookmarkEnd w:id="806"/>
      <w:bookmarkEnd w:id="807"/>
      <w:bookmarkEnd w:id="808"/>
      <w:bookmarkEnd w:id="809"/>
      <w:bookmarkEnd w:id="810"/>
      <w:bookmarkEnd w:id="811"/>
    </w:p>
    <w:p w14:paraId="5004B212">
      <w:pPr>
        <w:wordWrap w:val="0"/>
        <w:spacing w:line="360" w:lineRule="auto"/>
        <w:ind w:firstLine="48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 磋商会将于竞争性磋商文件规定的时间进行，磋商小组成员和采购人的代表出席，按随机抽取的方式和顺序与各磋商供应商逐一进行磋商；</w:t>
      </w:r>
    </w:p>
    <w:p w14:paraId="20885D9D">
      <w:pPr>
        <w:wordWrap w:val="0"/>
        <w:spacing w:line="360" w:lineRule="auto"/>
        <w:ind w:firstLine="48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 磋商会开始时，由采购人纪检或监督及磋商申请单位代表对磋商文件的上传情况及磋商供应商的资格、资质进行检查。</w:t>
      </w:r>
      <w:bookmarkStart w:id="812" w:name="_Toc17009857"/>
    </w:p>
    <w:p w14:paraId="4D248335">
      <w:pPr>
        <w:wordWrap w:val="0"/>
        <w:spacing w:line="360" w:lineRule="auto"/>
        <w:ind w:firstLine="48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 各磋商供应商经过磋商，按最初磋商的顺序有一次最后报价的机会。</w:t>
      </w:r>
    </w:p>
    <w:p w14:paraId="711A1BEF">
      <w:pPr>
        <w:wordWrap w:val="0"/>
        <w:spacing w:line="360" w:lineRule="auto"/>
        <w:ind w:firstLine="48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2.4 </w:t>
      </w:r>
      <w:r>
        <w:rPr>
          <w:rFonts w:hint="eastAsia" w:cs="宋体" w:asciiTheme="minorEastAsia" w:hAnsiTheme="minorEastAsia" w:eastAsiaTheme="minorEastAsia"/>
          <w:b/>
          <w:spacing w:val="6"/>
          <w:sz w:val="24"/>
          <w:szCs w:val="24"/>
        </w:rPr>
        <w:t>有以下情形之一者，将作为无效磋商响应文件处理：</w:t>
      </w:r>
    </w:p>
    <w:p w14:paraId="0A102A1B">
      <w:pPr>
        <w:wordWrap w:val="0"/>
        <w:spacing w:line="360" w:lineRule="auto"/>
        <w:ind w:firstLine="48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2.4.1 磋商响应文件逾期送达的；</w:t>
      </w:r>
    </w:p>
    <w:p w14:paraId="438E275E">
      <w:pPr>
        <w:wordWrap w:val="0"/>
        <w:spacing w:line="360" w:lineRule="auto"/>
        <w:ind w:firstLine="48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2.4.2 磋商响应文件未按竞争性磋商文件要求加密的；</w:t>
      </w:r>
    </w:p>
    <w:p w14:paraId="7CE936F1">
      <w:pPr>
        <w:wordWrap w:val="0"/>
        <w:spacing w:line="360" w:lineRule="auto"/>
        <w:ind w:firstLine="48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2.4.3 没有在“报价一览表”中明确初次报价的；</w:t>
      </w:r>
    </w:p>
    <w:p w14:paraId="47A069DA">
      <w:pPr>
        <w:wordWrap w:val="0"/>
        <w:spacing w:line="360" w:lineRule="auto"/>
        <w:ind w:firstLine="48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2.4.4 磋商响应文件未按竞争性磋商文件要求签署、盖章的；</w:t>
      </w:r>
    </w:p>
    <w:p w14:paraId="6F5C6C00">
      <w:pPr>
        <w:wordWrap w:val="0"/>
        <w:spacing w:line="360" w:lineRule="auto"/>
        <w:ind w:firstLine="48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2.4.</w:t>
      </w: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磋商响应文件书写潦草、字迹模糊不清难以辨认的；</w:t>
      </w:r>
    </w:p>
    <w:p w14:paraId="4AC83C9C">
      <w:pPr>
        <w:wordWrap w:val="0"/>
        <w:spacing w:line="360" w:lineRule="auto"/>
        <w:ind w:firstLine="48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2.4.</w:t>
      </w:r>
      <w:r>
        <w:rPr>
          <w:rFonts w:cs="宋体" w:asciiTheme="minorEastAsia" w:hAnsiTheme="minorEastAsia" w:eastAsiaTheme="minorEastAsia"/>
          <w:sz w:val="24"/>
          <w:szCs w:val="24"/>
        </w:rPr>
        <w:t>6</w:t>
      </w:r>
      <w:r>
        <w:rPr>
          <w:rFonts w:hint="eastAsia" w:cs="宋体" w:asciiTheme="minorEastAsia" w:hAnsiTheme="minorEastAsia" w:eastAsiaTheme="minorEastAsia"/>
          <w:sz w:val="24"/>
          <w:szCs w:val="24"/>
        </w:rPr>
        <w:t xml:space="preserve"> 未按竞争性磋商文件要求提供法人或者其他组织的营业执照等证明文件复印件（需加盖公章）；</w:t>
      </w:r>
    </w:p>
    <w:p w14:paraId="0395EB2B">
      <w:pPr>
        <w:wordWrap w:val="0"/>
        <w:spacing w:line="360" w:lineRule="auto"/>
        <w:ind w:firstLine="48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2.4.</w:t>
      </w:r>
      <w:r>
        <w:rPr>
          <w:rFonts w:cs="宋体" w:asciiTheme="minorEastAsia" w:hAnsiTheme="minorEastAsia" w:eastAsiaTheme="minorEastAsia"/>
          <w:sz w:val="24"/>
          <w:szCs w:val="24"/>
        </w:rPr>
        <w:t>7</w:t>
      </w:r>
      <w:r>
        <w:rPr>
          <w:rFonts w:hint="eastAsia" w:cs="宋体" w:asciiTheme="minorEastAsia" w:hAnsiTheme="minorEastAsia" w:eastAsiaTheme="minorEastAsia"/>
          <w:sz w:val="24"/>
          <w:szCs w:val="24"/>
        </w:rPr>
        <w:t>法人委托代理人参加磋商会，但无法人代表授权委托书的。</w:t>
      </w:r>
    </w:p>
    <w:p w14:paraId="2F88A100">
      <w:pPr>
        <w:wordWrap w:val="0"/>
        <w:spacing w:line="360" w:lineRule="auto"/>
        <w:ind w:firstLine="48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2.5 澄清</w:t>
      </w:r>
      <w:bookmarkEnd w:id="812"/>
      <w:r>
        <w:rPr>
          <w:rFonts w:hint="eastAsia" w:cs="宋体" w:asciiTheme="minorEastAsia" w:hAnsiTheme="minorEastAsia" w:eastAsiaTheme="minorEastAsia"/>
          <w:sz w:val="24"/>
          <w:szCs w:val="24"/>
        </w:rPr>
        <w:t>：磋商会开始后，磋商小组认为有利于磋商，可随时请磋商供应商对其磋商响应文件中的某些内容予以澄清。澄清的要求和答复都应以书面形式记录，并由磋商供应商法定代表人或委托代理人签字或盖章，作为磋商响应文件的组成部分。</w:t>
      </w:r>
    </w:p>
    <w:p w14:paraId="27E9FA3A">
      <w:pPr>
        <w:wordWrap w:val="0"/>
        <w:spacing w:line="360" w:lineRule="auto"/>
        <w:ind w:firstLine="48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2.6 所有磋商响应文件不符合竞争性磋商要求或超过预算时，磋商小组可否决所有磋商响应文件并不做任何解释。</w:t>
      </w:r>
    </w:p>
    <w:p w14:paraId="60036DB8">
      <w:pPr>
        <w:pStyle w:val="3"/>
        <w:wordWrap w:val="0"/>
        <w:spacing w:before="0" w:after="0" w:line="360" w:lineRule="auto"/>
        <w:rPr>
          <w:rFonts w:cs="宋体" w:asciiTheme="minorEastAsia" w:hAnsiTheme="minorEastAsia" w:eastAsiaTheme="minorEastAsia"/>
          <w:sz w:val="28"/>
          <w:szCs w:val="28"/>
        </w:rPr>
      </w:pPr>
      <w:bookmarkStart w:id="813" w:name="_Toc12339"/>
      <w:bookmarkStart w:id="814" w:name="_Toc11171"/>
      <w:bookmarkStart w:id="815" w:name="_Toc193796086"/>
      <w:bookmarkStart w:id="816" w:name="_Toc27079"/>
      <w:bookmarkStart w:id="817" w:name="_Toc11331"/>
      <w:bookmarkStart w:id="818" w:name="_Toc14685"/>
      <w:bookmarkStart w:id="819" w:name="_Toc132376776"/>
      <w:r>
        <w:rPr>
          <w:rFonts w:hint="eastAsia" w:cs="宋体" w:asciiTheme="minorEastAsia" w:hAnsiTheme="minorEastAsia" w:eastAsiaTheme="minorEastAsia"/>
          <w:sz w:val="28"/>
          <w:szCs w:val="28"/>
        </w:rPr>
        <w:t>三、评审方法</w:t>
      </w:r>
      <w:bookmarkEnd w:id="813"/>
      <w:bookmarkEnd w:id="814"/>
      <w:bookmarkEnd w:id="815"/>
      <w:bookmarkEnd w:id="816"/>
      <w:bookmarkEnd w:id="817"/>
      <w:bookmarkEnd w:id="818"/>
      <w:bookmarkEnd w:id="819"/>
    </w:p>
    <w:p w14:paraId="3179D9CE">
      <w:pPr>
        <w:wordWrap w:val="0"/>
        <w:spacing w:line="360" w:lineRule="auto"/>
        <w:ind w:firstLine="482" w:firstLineChars="200"/>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3.1评审原则</w:t>
      </w:r>
    </w:p>
    <w:p w14:paraId="173B05AC">
      <w:pPr>
        <w:wordWrap w:val="0"/>
        <w:spacing w:line="360" w:lineRule="auto"/>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14:paraId="695F6382">
      <w:pPr>
        <w:wordWrap w:val="0"/>
        <w:spacing w:line="360" w:lineRule="auto"/>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（2）磋商小组应当根据综合评分情况，按照评审得分由高到低顺序推荐3名以上</w:t>
      </w:r>
    </w:p>
    <w:p w14:paraId="6FB284F3">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成交候选供应商，并编写评审报告。评审得分相同的，按照最后报价由低到高的顺序推荐。评审得分且最后报价相同的，按照技术指标优劣顺序推荐。</w:t>
      </w:r>
    </w:p>
    <w:p w14:paraId="7464CEAB">
      <w:pPr>
        <w:wordWrap w:val="0"/>
        <w:spacing w:line="360" w:lineRule="auto"/>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9E43EE2">
      <w:pPr>
        <w:wordWrap w:val="0"/>
        <w:spacing w:line="360" w:lineRule="auto"/>
        <w:ind w:firstLine="480"/>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rPr>
        <w:t>（4）</w:t>
      </w:r>
      <w:r>
        <w:rPr>
          <w:rFonts w:hint="eastAsia" w:cs="宋体" w:asciiTheme="minorEastAsia" w:hAnsiTheme="minorEastAsia" w:eastAsiaTheme="minorEastAsia"/>
          <w:sz w:val="24"/>
          <w:szCs w:val="24"/>
          <w:lang w:val="zh-CN"/>
        </w:rPr>
        <w:t>磋商小组由3人以上（含3人）单数组成，由采购人代表和评审专家组成，其中评审专家人数不得少于磋商小组成员总数的2/3。</w:t>
      </w:r>
    </w:p>
    <w:p w14:paraId="10FE7982">
      <w:pPr>
        <w:wordWrap w:val="0"/>
        <w:spacing w:line="360" w:lineRule="auto"/>
        <w:ind w:firstLine="48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3.2评审标准</w:t>
      </w:r>
    </w:p>
    <w:p w14:paraId="4006BD4D">
      <w:pPr>
        <w:wordWrap w:val="0"/>
        <w:spacing w:line="360" w:lineRule="auto"/>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磋商小组成员按照客观、公正、谨慎的原则，根据磋商文件规定的评审程序、评审方法和评审标准进行独立评审。根据排名先后确定成交候选供应商。</w:t>
      </w:r>
    </w:p>
    <w:p w14:paraId="185AA507">
      <w:pPr>
        <w:wordWrap w:val="0"/>
        <w:spacing w:line="360" w:lineRule="auto"/>
        <w:ind w:firstLine="542"/>
        <w:rPr>
          <w:rFonts w:cs="宋体" w:asciiTheme="minorEastAsia" w:hAnsiTheme="minorEastAsia" w:eastAsiaTheme="minorEastAsia"/>
          <w:sz w:val="24"/>
          <w:szCs w:val="24"/>
        </w:rPr>
      </w:pPr>
      <w:r>
        <w:rPr>
          <w:rFonts w:hint="eastAsia" w:cs="宋体" w:asciiTheme="minorEastAsia" w:hAnsiTheme="minorEastAsia" w:eastAsiaTheme="minorEastAsia"/>
          <w:b/>
          <w:sz w:val="24"/>
          <w:szCs w:val="24"/>
        </w:rPr>
        <w:t>磋商程序</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bidi="en-US"/>
        </w:rPr>
        <w:t>资格</w:t>
      </w:r>
      <w:r>
        <w:rPr>
          <w:rFonts w:hint="eastAsia" w:cs="宋体" w:asciiTheme="minorEastAsia" w:hAnsiTheme="minorEastAsia" w:eastAsiaTheme="minorEastAsia"/>
          <w:snapToGrid w:val="0"/>
          <w:kern w:val="0"/>
          <w:sz w:val="24"/>
          <w:szCs w:val="24"/>
        </w:rPr>
        <w:t>评审</w:t>
      </w:r>
      <w:r>
        <w:rPr>
          <w:rFonts w:hint="eastAsia" w:cs="宋体" w:asciiTheme="minorEastAsia" w:hAnsiTheme="minorEastAsia" w:eastAsiaTheme="minorEastAsia"/>
          <w:sz w:val="24"/>
          <w:szCs w:val="24"/>
        </w:rPr>
        <w:t>→符合性评审→详细评审→磋商→磋商供应商最后报价→综合评审→竞争性磋商报告。</w:t>
      </w:r>
    </w:p>
    <w:p w14:paraId="42906FF2">
      <w:pPr>
        <w:wordWrap w:val="0"/>
        <w:spacing w:line="360" w:lineRule="auto"/>
        <w:ind w:firstLine="542"/>
        <w:rPr>
          <w:rFonts w:cs="宋体" w:asciiTheme="minorEastAsia" w:hAnsiTheme="minorEastAsia" w:eastAsiaTheme="minorEastAsia"/>
          <w:b/>
          <w:sz w:val="24"/>
        </w:rPr>
      </w:pPr>
      <w:r>
        <w:rPr>
          <w:rFonts w:hint="eastAsia" w:cs="宋体" w:asciiTheme="minorEastAsia" w:hAnsiTheme="minorEastAsia" w:eastAsiaTheme="minorEastAsia"/>
          <w:b/>
          <w:sz w:val="24"/>
        </w:rPr>
        <w:t>（一）资格评审</w:t>
      </w:r>
    </w:p>
    <w:tbl>
      <w:tblPr>
        <w:tblStyle w:val="35"/>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957"/>
        <w:gridCol w:w="4688"/>
      </w:tblGrid>
      <w:tr w14:paraId="7532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1" w:type="dxa"/>
            <w:vAlign w:val="center"/>
          </w:tcPr>
          <w:p w14:paraId="078F4C34">
            <w:pPr>
              <w:adjustRightInd w:val="0"/>
              <w:snapToGrid w:val="0"/>
              <w:jc w:val="center"/>
              <w:rPr>
                <w:rFonts w:cs="宋体" w:asciiTheme="minorEastAsia" w:hAnsiTheme="minorEastAsia" w:eastAsiaTheme="minorEastAsia"/>
                <w:b/>
                <w:sz w:val="24"/>
                <w:szCs w:val="24"/>
              </w:rPr>
            </w:pPr>
            <w:bookmarkStart w:id="820" w:name="_Hlk213153702"/>
            <w:r>
              <w:rPr>
                <w:rFonts w:hint="eastAsia" w:cs="宋体" w:asciiTheme="minorEastAsia" w:hAnsiTheme="minorEastAsia" w:eastAsiaTheme="minorEastAsia"/>
                <w:b/>
                <w:sz w:val="24"/>
                <w:szCs w:val="24"/>
              </w:rPr>
              <w:t>序号</w:t>
            </w:r>
          </w:p>
        </w:tc>
        <w:tc>
          <w:tcPr>
            <w:tcW w:w="3957" w:type="dxa"/>
            <w:vAlign w:val="center"/>
          </w:tcPr>
          <w:p w14:paraId="5F36CBCD">
            <w:pPr>
              <w:adjustRightInd w:val="0"/>
              <w:snapToGrid w:val="0"/>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审查项目</w:t>
            </w:r>
          </w:p>
        </w:tc>
        <w:tc>
          <w:tcPr>
            <w:tcW w:w="4688" w:type="dxa"/>
            <w:vAlign w:val="center"/>
          </w:tcPr>
          <w:p w14:paraId="2B8671AA">
            <w:pPr>
              <w:adjustRightInd w:val="0"/>
              <w:snapToGrid w:val="0"/>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审查</w:t>
            </w:r>
          </w:p>
        </w:tc>
      </w:tr>
      <w:tr w14:paraId="24A8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0E5D270C">
            <w:pPr>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3957" w:type="dxa"/>
            <w:vAlign w:val="center"/>
          </w:tcPr>
          <w:p w14:paraId="3C4AFD83">
            <w:pPr>
              <w:adjustRightInd w:val="0"/>
              <w:snapToGrid w:val="0"/>
              <w:jc w:val="left"/>
              <w:rPr>
                <w:rFonts w:cs="宋体" w:asciiTheme="minorEastAsia" w:hAnsiTheme="minorEastAsia" w:eastAsiaTheme="minorEastAsia"/>
                <w:sz w:val="24"/>
                <w:szCs w:val="24"/>
              </w:rPr>
            </w:pPr>
            <w:bookmarkStart w:id="821" w:name="OLE_LINK82"/>
            <w:r>
              <w:rPr>
                <w:rFonts w:hint="eastAsia" w:cs="宋体" w:asciiTheme="minorEastAsia" w:hAnsiTheme="minorEastAsia" w:eastAsiaTheme="minorEastAsia"/>
                <w:sz w:val="24"/>
                <w:szCs w:val="24"/>
              </w:rPr>
              <w:t>法人或者其他组织的营业执照等证明文件</w:t>
            </w:r>
            <w:bookmarkEnd w:id="821"/>
          </w:p>
        </w:tc>
        <w:tc>
          <w:tcPr>
            <w:tcW w:w="4688" w:type="dxa"/>
            <w:vAlign w:val="center"/>
          </w:tcPr>
          <w:p w14:paraId="2DFF0B82">
            <w:pPr>
              <w:adjustRightInd w:val="0"/>
              <w:snapToGrid w:val="0"/>
              <w:jc w:val="left"/>
              <w:rPr>
                <w:rFonts w:cs="宋体" w:asciiTheme="minorEastAsia" w:hAnsiTheme="minorEastAsia" w:eastAsiaTheme="minorEastAsia"/>
                <w:sz w:val="24"/>
                <w:szCs w:val="24"/>
              </w:rPr>
            </w:pPr>
            <w:bookmarkStart w:id="822" w:name="OLE_LINK83"/>
            <w:r>
              <w:rPr>
                <w:rFonts w:hint="eastAsia" w:cs="宋体" w:asciiTheme="minorEastAsia" w:hAnsiTheme="minorEastAsia" w:eastAsiaTheme="minorEastAsia"/>
                <w:sz w:val="24"/>
                <w:szCs w:val="24"/>
              </w:rPr>
              <w:t>所提供的证件合格有效，证件中单位名称与磋商供应商单位名称一致，审查磋商响应文件中的复印件</w:t>
            </w:r>
            <w:bookmarkEnd w:id="822"/>
          </w:p>
        </w:tc>
      </w:tr>
      <w:tr w14:paraId="6AA5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747E886F">
            <w:pPr>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3957" w:type="dxa"/>
            <w:vAlign w:val="center"/>
          </w:tcPr>
          <w:p w14:paraId="567EE720">
            <w:pPr>
              <w:adjustRightInd w:val="0"/>
              <w:snapToGrid w:val="0"/>
              <w:jc w:val="left"/>
              <w:rPr>
                <w:rFonts w:cs="宋体" w:asciiTheme="minorEastAsia" w:hAnsiTheme="minorEastAsia" w:eastAsiaTheme="minorEastAsia"/>
                <w:sz w:val="24"/>
                <w:szCs w:val="24"/>
              </w:rPr>
            </w:pPr>
            <w:bookmarkStart w:id="823" w:name="OLE_LINK85"/>
            <w:bookmarkStart w:id="824" w:name="OLE_LINK88"/>
            <w:bookmarkStart w:id="825" w:name="OLE_LINK84"/>
            <w:r>
              <w:rPr>
                <w:rFonts w:hint="eastAsia" w:cs="宋体" w:asciiTheme="minorEastAsia" w:hAnsiTheme="minorEastAsia" w:eastAsiaTheme="minorEastAsia"/>
                <w:sz w:val="24"/>
                <w:szCs w:val="24"/>
              </w:rPr>
              <w:t>法定代表人身份证明和法定代表人授权委托书</w:t>
            </w:r>
            <w:bookmarkEnd w:id="823"/>
            <w:bookmarkEnd w:id="824"/>
            <w:bookmarkEnd w:id="825"/>
          </w:p>
        </w:tc>
        <w:tc>
          <w:tcPr>
            <w:tcW w:w="4688" w:type="dxa"/>
            <w:vAlign w:val="center"/>
          </w:tcPr>
          <w:p w14:paraId="6A99D20D">
            <w:pPr>
              <w:adjustRightInd w:val="0"/>
              <w:snapToGrid w:val="0"/>
              <w:jc w:val="left"/>
              <w:rPr>
                <w:rFonts w:cs="宋体" w:asciiTheme="minorEastAsia" w:hAnsiTheme="minorEastAsia" w:eastAsiaTheme="minorEastAsia"/>
                <w:sz w:val="24"/>
                <w:szCs w:val="24"/>
              </w:rPr>
            </w:pPr>
            <w:bookmarkStart w:id="826" w:name="OLE_LINK86"/>
            <w:bookmarkStart w:id="827" w:name="OLE_LINK89"/>
            <w:r>
              <w:rPr>
                <w:rFonts w:hint="eastAsia" w:cs="宋体" w:asciiTheme="minorEastAsia" w:hAnsiTheme="minorEastAsia" w:eastAsiaTheme="minorEastAsia"/>
                <w:sz w:val="24"/>
                <w:szCs w:val="24"/>
              </w:rPr>
              <w:t>提供有效的法定代表人身份证明和法定代表人授权委托书（法定代表人提交响应文件及参加磋商的无需授权）</w:t>
            </w:r>
            <w:bookmarkEnd w:id="826"/>
            <w:bookmarkEnd w:id="827"/>
          </w:p>
        </w:tc>
      </w:tr>
      <w:tr w14:paraId="04D9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5FB18564">
            <w:pPr>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3957" w:type="dxa"/>
            <w:vAlign w:val="center"/>
          </w:tcPr>
          <w:p w14:paraId="0BC54335">
            <w:pPr>
              <w:adjustRightInd w:val="0"/>
              <w:snapToGrid w:val="0"/>
              <w:jc w:val="left"/>
              <w:rPr>
                <w:rFonts w:cs="宋体" w:asciiTheme="minorEastAsia" w:hAnsiTheme="minorEastAsia" w:eastAsiaTheme="minorEastAsia"/>
                <w:sz w:val="24"/>
                <w:szCs w:val="24"/>
              </w:rPr>
            </w:pPr>
            <w:bookmarkStart w:id="828" w:name="OLE_LINK90"/>
            <w:bookmarkStart w:id="829" w:name="OLE_LINK87"/>
            <w:bookmarkStart w:id="830" w:name="OLE_LINK157"/>
            <w:r>
              <w:rPr>
                <w:rFonts w:hint="eastAsia" w:asciiTheme="minorEastAsia" w:hAnsiTheme="minorEastAsia" w:eastAsiaTheme="minorEastAsia"/>
                <w:sz w:val="24"/>
                <w:szCs w:val="24"/>
              </w:rPr>
              <w:t>具有良好的商业信誉和健全的财务会计制度</w:t>
            </w:r>
            <w:bookmarkEnd w:id="828"/>
            <w:bookmarkEnd w:id="829"/>
            <w:bookmarkEnd w:id="830"/>
          </w:p>
        </w:tc>
        <w:tc>
          <w:tcPr>
            <w:tcW w:w="4688" w:type="dxa"/>
            <w:vAlign w:val="center"/>
          </w:tcPr>
          <w:p w14:paraId="68A06DEE">
            <w:pPr>
              <w:adjustRightInd w:val="0"/>
              <w:snapToGrid w:val="0"/>
              <w:jc w:val="left"/>
              <w:rPr>
                <w:rFonts w:cs="宋体" w:asciiTheme="minorEastAsia" w:hAnsiTheme="minorEastAsia" w:eastAsiaTheme="minorEastAsia"/>
                <w:sz w:val="24"/>
                <w:szCs w:val="24"/>
              </w:rPr>
            </w:pPr>
            <w:bookmarkStart w:id="831" w:name="OLE_LINK93"/>
            <w:bookmarkStart w:id="832" w:name="OLE_LINK94"/>
            <w:r>
              <w:rPr>
                <w:rFonts w:hint="eastAsia" w:cs="宋体" w:asciiTheme="minorEastAsia" w:hAnsiTheme="minorEastAsia" w:eastAsiaTheme="minorEastAsia"/>
                <w:sz w:val="24"/>
                <w:szCs w:val="24"/>
              </w:rPr>
              <w:t>符合磋商供应商须知前附表中“1.4.1磋商供应商的资格要求”规定，审查磋商响应文件中的对应资料</w:t>
            </w:r>
            <w:bookmarkEnd w:id="831"/>
            <w:bookmarkEnd w:id="832"/>
          </w:p>
        </w:tc>
      </w:tr>
      <w:tr w14:paraId="7AEF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1D1E83DB">
            <w:pPr>
              <w:adjustRightInd w:val="0"/>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4</w:t>
            </w:r>
          </w:p>
        </w:tc>
        <w:tc>
          <w:tcPr>
            <w:tcW w:w="3957" w:type="dxa"/>
            <w:vAlign w:val="center"/>
          </w:tcPr>
          <w:p w14:paraId="12A1BB6D">
            <w:pPr>
              <w:adjustRightInd w:val="0"/>
              <w:snapToGrid w:val="0"/>
              <w:jc w:val="left"/>
              <w:rPr>
                <w:rFonts w:cs="宋体" w:asciiTheme="minorEastAsia" w:hAnsiTheme="minorEastAsia" w:eastAsiaTheme="minorEastAsia"/>
                <w:sz w:val="24"/>
              </w:rPr>
            </w:pPr>
            <w:bookmarkStart w:id="833" w:name="OLE_LINK99"/>
            <w:r>
              <w:rPr>
                <w:rFonts w:hint="eastAsia" w:asciiTheme="minorEastAsia" w:hAnsiTheme="minorEastAsia" w:eastAsiaTheme="minorEastAsia"/>
                <w:sz w:val="24"/>
                <w:szCs w:val="24"/>
              </w:rPr>
              <w:t>具有履行合同所必须的设备和专业技术能力</w:t>
            </w:r>
            <w:bookmarkEnd w:id="833"/>
          </w:p>
        </w:tc>
        <w:tc>
          <w:tcPr>
            <w:tcW w:w="4688" w:type="dxa"/>
            <w:vAlign w:val="center"/>
          </w:tcPr>
          <w:p w14:paraId="58E5D0BC">
            <w:pPr>
              <w:adjustRightInd w:val="0"/>
              <w:snapToGrid w:val="0"/>
              <w:jc w:val="left"/>
              <w:rPr>
                <w:rFonts w:cs="宋体" w:asciiTheme="minorEastAsia" w:hAnsiTheme="minorEastAsia" w:eastAsiaTheme="minorEastAsia"/>
                <w:sz w:val="24"/>
                <w:szCs w:val="24"/>
              </w:rPr>
            </w:pPr>
            <w:bookmarkStart w:id="834" w:name="OLE_LINK158"/>
            <w:bookmarkStart w:id="835" w:name="OLE_LINK103"/>
            <w:r>
              <w:rPr>
                <w:rFonts w:hint="eastAsia" w:cs="宋体" w:asciiTheme="minorEastAsia" w:hAnsiTheme="minorEastAsia" w:eastAsiaTheme="minorEastAsia"/>
                <w:sz w:val="24"/>
                <w:szCs w:val="24"/>
              </w:rPr>
              <w:t>符合磋商供应商须知前附表中“1.4.1磋商供应商的资格要求”规定，审查磋商响应文件中的对应资料</w:t>
            </w:r>
            <w:bookmarkEnd w:id="834"/>
            <w:bookmarkEnd w:id="835"/>
          </w:p>
        </w:tc>
      </w:tr>
      <w:tr w14:paraId="69A9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37052D93">
            <w:pPr>
              <w:adjustRightInd w:val="0"/>
              <w:snapToGrid w:val="0"/>
              <w:jc w:val="center"/>
              <w:rPr>
                <w:rFonts w:cs="宋体" w:asciiTheme="minorEastAsia" w:hAnsiTheme="minorEastAsia" w:eastAsiaTheme="minorEastAsia"/>
                <w:sz w:val="24"/>
                <w:szCs w:val="24"/>
              </w:rPr>
            </w:pPr>
            <w:bookmarkStart w:id="836" w:name="_Hlk193964675"/>
            <w:r>
              <w:rPr>
                <w:rFonts w:cs="宋体" w:asciiTheme="minorEastAsia" w:hAnsiTheme="minorEastAsia" w:eastAsiaTheme="minorEastAsia"/>
                <w:sz w:val="24"/>
                <w:szCs w:val="24"/>
              </w:rPr>
              <w:t>5</w:t>
            </w:r>
          </w:p>
        </w:tc>
        <w:tc>
          <w:tcPr>
            <w:tcW w:w="3957" w:type="dxa"/>
            <w:vAlign w:val="center"/>
          </w:tcPr>
          <w:p w14:paraId="4223D96E">
            <w:pPr>
              <w:adjustRightInd w:val="0"/>
              <w:snapToGrid w:val="0"/>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有依法缴纳税收和社会保障资金的良好记录</w:t>
            </w:r>
          </w:p>
        </w:tc>
        <w:tc>
          <w:tcPr>
            <w:tcW w:w="4688" w:type="dxa"/>
            <w:vAlign w:val="center"/>
          </w:tcPr>
          <w:p w14:paraId="19DA8BCB">
            <w:pPr>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符合磋商供应商须知前附表中“1.4.1磋商供应商的资格要求”规定，审查磋商响应文件中的对应资料</w:t>
            </w:r>
          </w:p>
        </w:tc>
      </w:tr>
      <w:bookmarkEnd w:id="836"/>
      <w:tr w14:paraId="3672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72010629">
            <w:pPr>
              <w:adjustRightInd w:val="0"/>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6</w:t>
            </w:r>
          </w:p>
        </w:tc>
        <w:tc>
          <w:tcPr>
            <w:tcW w:w="3957" w:type="dxa"/>
            <w:vAlign w:val="center"/>
          </w:tcPr>
          <w:p w14:paraId="72A3F9C8">
            <w:pPr>
              <w:adjustRightInd w:val="0"/>
              <w:snapToGrid w:val="0"/>
              <w:jc w:val="left"/>
              <w:rPr>
                <w:rFonts w:cs="宋体" w:asciiTheme="minorEastAsia" w:hAnsiTheme="minorEastAsia" w:eastAsiaTheme="minorEastAsia"/>
                <w:sz w:val="24"/>
              </w:rPr>
            </w:pPr>
            <w:bookmarkStart w:id="837" w:name="OLE_LINK106"/>
            <w:r>
              <w:rPr>
                <w:rFonts w:hint="eastAsia" w:asciiTheme="minorEastAsia" w:hAnsiTheme="minorEastAsia" w:eastAsiaTheme="minorEastAsia"/>
                <w:sz w:val="24"/>
                <w:szCs w:val="24"/>
              </w:rPr>
              <w:t>参加本次政府采购活动前三年内，在经营活动中没有重大违法记录</w:t>
            </w:r>
            <w:bookmarkEnd w:id="837"/>
          </w:p>
        </w:tc>
        <w:tc>
          <w:tcPr>
            <w:tcW w:w="4688" w:type="dxa"/>
            <w:vAlign w:val="center"/>
          </w:tcPr>
          <w:p w14:paraId="43864F69">
            <w:pPr>
              <w:adjustRightInd w:val="0"/>
              <w:snapToGrid w:val="0"/>
              <w:jc w:val="left"/>
              <w:rPr>
                <w:rFonts w:cs="宋体" w:asciiTheme="minorEastAsia" w:hAnsiTheme="minorEastAsia" w:eastAsiaTheme="minorEastAsia"/>
                <w:sz w:val="24"/>
                <w:szCs w:val="24"/>
              </w:rPr>
            </w:pPr>
            <w:bookmarkStart w:id="838" w:name="OLE_LINK159"/>
            <w:bookmarkStart w:id="839" w:name="OLE_LINK115"/>
            <w:bookmarkStart w:id="840" w:name="OLE_LINK107"/>
            <w:r>
              <w:rPr>
                <w:rFonts w:hint="eastAsia" w:cs="宋体" w:asciiTheme="minorEastAsia" w:hAnsiTheme="minorEastAsia" w:eastAsiaTheme="minorEastAsia"/>
                <w:sz w:val="24"/>
                <w:szCs w:val="24"/>
              </w:rPr>
              <w:t>符合磋商供应商须知前附表中“1.4.1磋商供应商的资格要求”规定，审查磋商响应文件中的对应资料</w:t>
            </w:r>
            <w:bookmarkEnd w:id="838"/>
            <w:bookmarkEnd w:id="839"/>
            <w:bookmarkEnd w:id="840"/>
          </w:p>
        </w:tc>
      </w:tr>
      <w:tr w14:paraId="5B57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020EDC04">
            <w:pPr>
              <w:adjustRightInd w:val="0"/>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7</w:t>
            </w:r>
          </w:p>
        </w:tc>
        <w:tc>
          <w:tcPr>
            <w:tcW w:w="3957" w:type="dxa"/>
            <w:vAlign w:val="center"/>
          </w:tcPr>
          <w:p w14:paraId="56CD00D5">
            <w:pPr>
              <w:adjustRightInd w:val="0"/>
              <w:snapToGrid w:val="0"/>
              <w:jc w:val="left"/>
              <w:rPr>
                <w:rFonts w:cs="宋体" w:asciiTheme="minorEastAsia" w:hAnsiTheme="minorEastAsia" w:eastAsiaTheme="minorEastAsia"/>
                <w:sz w:val="24"/>
              </w:rPr>
            </w:pPr>
            <w:bookmarkStart w:id="841" w:name="OLE_LINK160"/>
            <w:bookmarkStart w:id="842" w:name="OLE_LINK109"/>
            <w:bookmarkStart w:id="843" w:name="OLE_LINK108"/>
            <w:r>
              <w:rPr>
                <w:rFonts w:hint="eastAsia" w:asciiTheme="minorEastAsia" w:hAnsiTheme="minorEastAsia" w:eastAsiaTheme="minorEastAsia"/>
                <w:sz w:val="24"/>
                <w:szCs w:val="24"/>
              </w:rPr>
              <w:t>供应商未被列入中国执行信息公开网（http://zxgk.court.gov.cn）、信用中国网站（www.creditchina.gov.cn）“失信被执行人”、“重大税收违法失信主体”及中国政府采购网（www.ccgp.gov.cn）“政府采购严重违法失信行为记录名单”</w:t>
            </w:r>
            <w:bookmarkEnd w:id="841"/>
            <w:bookmarkEnd w:id="842"/>
            <w:bookmarkEnd w:id="843"/>
          </w:p>
        </w:tc>
        <w:tc>
          <w:tcPr>
            <w:tcW w:w="4688" w:type="dxa"/>
            <w:vAlign w:val="center"/>
          </w:tcPr>
          <w:p w14:paraId="529B13A0">
            <w:pPr>
              <w:adjustRightInd w:val="0"/>
              <w:snapToGrid w:val="0"/>
              <w:jc w:val="left"/>
              <w:rPr>
                <w:rFonts w:cs="宋体" w:asciiTheme="minorEastAsia" w:hAnsiTheme="minorEastAsia" w:eastAsiaTheme="minorEastAsia"/>
                <w:sz w:val="24"/>
                <w:szCs w:val="24"/>
              </w:rPr>
            </w:pPr>
            <w:bookmarkStart w:id="844" w:name="OLE_LINK111"/>
            <w:bookmarkStart w:id="845" w:name="OLE_LINK110"/>
            <w:r>
              <w:rPr>
                <w:rFonts w:hint="eastAsia" w:cs="宋体" w:asciiTheme="minorEastAsia" w:hAnsiTheme="minorEastAsia" w:eastAsiaTheme="minorEastAsia"/>
                <w:sz w:val="24"/>
                <w:szCs w:val="24"/>
              </w:rPr>
              <w:t>以采购人或采购代理机构网上查询结果为准</w:t>
            </w:r>
            <w:bookmarkEnd w:id="844"/>
            <w:bookmarkEnd w:id="845"/>
          </w:p>
        </w:tc>
      </w:tr>
      <w:tr w14:paraId="17FF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47FB5046">
            <w:pPr>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w:t>
            </w:r>
          </w:p>
        </w:tc>
        <w:tc>
          <w:tcPr>
            <w:tcW w:w="3957" w:type="dxa"/>
            <w:vAlign w:val="center"/>
          </w:tcPr>
          <w:p w14:paraId="73D9DE18">
            <w:pPr>
              <w:adjustRightInd w:val="0"/>
              <w:snapToGrid w:val="0"/>
              <w:jc w:val="left"/>
              <w:rPr>
                <w:rFonts w:asciiTheme="minorEastAsia" w:hAnsiTheme="minorEastAsia" w:eastAsiaTheme="minorEastAsia"/>
                <w:sz w:val="24"/>
                <w:szCs w:val="24"/>
              </w:rPr>
            </w:pPr>
            <w:bookmarkStart w:id="846" w:name="OLE_LINK162"/>
            <w:bookmarkStart w:id="847" w:name="OLE_LINK161"/>
            <w:r>
              <w:rPr>
                <w:rFonts w:hint="eastAsia" w:asciiTheme="minorEastAsia" w:hAnsiTheme="minorEastAsia" w:eastAsiaTheme="minorEastAsia"/>
                <w:sz w:val="24"/>
                <w:szCs w:val="24"/>
              </w:rPr>
              <w:t>供应商未在被禁止参加政府采购活动的处罚期限内</w:t>
            </w:r>
            <w:bookmarkEnd w:id="846"/>
            <w:bookmarkEnd w:id="847"/>
          </w:p>
        </w:tc>
        <w:tc>
          <w:tcPr>
            <w:tcW w:w="4688" w:type="dxa"/>
            <w:vAlign w:val="center"/>
          </w:tcPr>
          <w:p w14:paraId="773983A4">
            <w:pPr>
              <w:adjustRightInd w:val="0"/>
              <w:snapToGrid w:val="0"/>
              <w:jc w:val="left"/>
              <w:rPr>
                <w:rFonts w:cs="宋体" w:asciiTheme="minorEastAsia" w:hAnsiTheme="minorEastAsia" w:eastAsiaTheme="minorEastAsia"/>
                <w:sz w:val="24"/>
                <w:szCs w:val="24"/>
              </w:rPr>
            </w:pPr>
            <w:bookmarkStart w:id="848" w:name="OLE_LINK163"/>
            <w:bookmarkStart w:id="849" w:name="OLE_LINK164"/>
            <w:r>
              <w:rPr>
                <w:rFonts w:hint="eastAsia" w:cs="宋体" w:asciiTheme="minorEastAsia" w:hAnsiTheme="minorEastAsia" w:eastAsiaTheme="minorEastAsia"/>
                <w:sz w:val="24"/>
                <w:szCs w:val="24"/>
              </w:rPr>
              <w:t>符合磋商供应商须知前附表中“1.4.1磋商供应商的资格要求”规定，审查磋商响应文件中的对应资料</w:t>
            </w:r>
            <w:bookmarkEnd w:id="848"/>
            <w:bookmarkEnd w:id="849"/>
          </w:p>
        </w:tc>
      </w:tr>
      <w:tr w14:paraId="6CA6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0A89E9E1">
            <w:pPr>
              <w:adjustRightInd w:val="0"/>
              <w:snapToGrid w:val="0"/>
              <w:jc w:val="center"/>
              <w:rPr>
                <w:rFonts w:cs="宋体" w:asciiTheme="minorEastAsia" w:hAnsiTheme="minorEastAsia" w:eastAsiaTheme="minorEastAsia"/>
                <w:sz w:val="24"/>
                <w:szCs w:val="24"/>
              </w:rPr>
            </w:pPr>
            <w:bookmarkStart w:id="1758" w:name="_GoBack" w:colFirst="2" w:colLast="2"/>
            <w:bookmarkStart w:id="850" w:name="_Hlk192578011"/>
            <w:r>
              <w:rPr>
                <w:rFonts w:hint="eastAsia" w:cs="宋体" w:asciiTheme="minorEastAsia" w:hAnsiTheme="minorEastAsia" w:eastAsiaTheme="minorEastAsia"/>
                <w:sz w:val="24"/>
                <w:szCs w:val="24"/>
              </w:rPr>
              <w:t>9</w:t>
            </w:r>
          </w:p>
        </w:tc>
        <w:tc>
          <w:tcPr>
            <w:tcW w:w="3957" w:type="dxa"/>
            <w:vAlign w:val="center"/>
          </w:tcPr>
          <w:p w14:paraId="4D0571F1">
            <w:pPr>
              <w:adjustRightInd w:val="0"/>
              <w:snapToGrid w:val="0"/>
              <w:jc w:val="left"/>
              <w:rPr>
                <w:rFonts w:cs="Arial" w:asciiTheme="minorEastAsia" w:hAnsiTheme="minorEastAsia" w:eastAsiaTheme="minorEastAsia"/>
                <w:kern w:val="0"/>
                <w:sz w:val="24"/>
                <w:szCs w:val="24"/>
              </w:rPr>
            </w:pPr>
            <w:bookmarkStart w:id="851" w:name="OLE_LINK32"/>
            <w:r>
              <w:rPr>
                <w:rFonts w:hint="eastAsia" w:asciiTheme="minorEastAsia" w:hAnsiTheme="minorEastAsia" w:eastAsiaTheme="minorEastAsia"/>
                <w:sz w:val="24"/>
                <w:szCs w:val="24"/>
              </w:rPr>
              <w:t>单位负责人为同一人或者存在直接控股、管理关系的不同供应商，不得参加同一合同项下的政府采购活动</w:t>
            </w:r>
            <w:bookmarkEnd w:id="851"/>
          </w:p>
        </w:tc>
        <w:tc>
          <w:tcPr>
            <w:tcW w:w="4688" w:type="dxa"/>
            <w:vAlign w:val="center"/>
          </w:tcPr>
          <w:p w14:paraId="3C1525D8">
            <w:pPr>
              <w:adjustRightInd w:val="0"/>
              <w:snapToGrid w:val="0"/>
              <w:jc w:val="left"/>
              <w:rPr>
                <w:rFonts w:cs="宋体" w:asciiTheme="minorEastAsia" w:hAnsiTheme="minorEastAsia" w:eastAsiaTheme="minorEastAsia"/>
                <w:sz w:val="24"/>
                <w:szCs w:val="24"/>
              </w:rPr>
            </w:pPr>
            <w:bookmarkStart w:id="852" w:name="OLE_LINK113"/>
            <w:bookmarkStart w:id="853" w:name="OLE_LINK116"/>
            <w:bookmarkStart w:id="854" w:name="OLE_LINK165"/>
            <w:bookmarkStart w:id="855" w:name="OLE_LINK112"/>
            <w:r>
              <w:rPr>
                <w:rFonts w:hint="eastAsia" w:cs="宋体" w:asciiTheme="minorEastAsia" w:hAnsiTheme="minorEastAsia" w:eastAsiaTheme="minorEastAsia"/>
                <w:sz w:val="24"/>
                <w:szCs w:val="24"/>
              </w:rPr>
              <w:t>符合磋商供应商须知前附表中“1.4.1磋商供应商的资格要求”规定，审查磋商响应文件中的对应资料</w:t>
            </w:r>
            <w:bookmarkEnd w:id="852"/>
            <w:bookmarkEnd w:id="853"/>
            <w:bookmarkEnd w:id="854"/>
            <w:bookmarkEnd w:id="855"/>
          </w:p>
        </w:tc>
      </w:tr>
      <w:bookmarkEnd w:id="1758"/>
      <w:bookmarkEnd w:id="850"/>
      <w:tr w14:paraId="3F5C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1FF79828">
            <w:pPr>
              <w:adjustRightInd w:val="0"/>
              <w:snapToGrid w:val="0"/>
              <w:jc w:val="center"/>
              <w:rPr>
                <w:rFonts w:cs="宋体" w:asciiTheme="minorEastAsia" w:hAnsiTheme="minorEastAsia" w:eastAsiaTheme="minorEastAsia"/>
                <w:sz w:val="24"/>
                <w:szCs w:val="24"/>
              </w:rPr>
            </w:pPr>
            <w:bookmarkStart w:id="856" w:name="_Toc169430814"/>
            <w:r>
              <w:rPr>
                <w:rFonts w:hint="eastAsia" w:cs="宋体" w:asciiTheme="minorEastAsia" w:hAnsiTheme="minorEastAsia" w:eastAsiaTheme="minorEastAsia"/>
                <w:sz w:val="24"/>
                <w:szCs w:val="24"/>
              </w:rPr>
              <w:t>10</w:t>
            </w:r>
          </w:p>
        </w:tc>
        <w:tc>
          <w:tcPr>
            <w:tcW w:w="3957" w:type="dxa"/>
            <w:vAlign w:val="center"/>
          </w:tcPr>
          <w:p w14:paraId="23289931">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本项目的特定资格要求</w:t>
            </w:r>
          </w:p>
        </w:tc>
        <w:tc>
          <w:tcPr>
            <w:tcW w:w="4688" w:type="dxa"/>
            <w:vAlign w:val="center"/>
          </w:tcPr>
          <w:p w14:paraId="237CDD59">
            <w:pPr>
              <w:adjustRightInd w:val="0"/>
              <w:snapToGrid w:val="0"/>
              <w:jc w:val="left"/>
              <w:rPr>
                <w:rFonts w:cs="宋体" w:asciiTheme="minorEastAsia" w:hAnsiTheme="minorEastAsia" w:eastAsiaTheme="minorEastAsia"/>
                <w:sz w:val="24"/>
                <w:szCs w:val="24"/>
              </w:rPr>
            </w:pPr>
            <w:bookmarkStart w:id="857" w:name="OLE_LINK167"/>
            <w:bookmarkStart w:id="858" w:name="OLE_LINK166"/>
            <w:r>
              <w:rPr>
                <w:rFonts w:hint="eastAsia" w:cs="宋体" w:asciiTheme="minorEastAsia" w:hAnsiTheme="minorEastAsia" w:eastAsiaTheme="minorEastAsia"/>
                <w:sz w:val="24"/>
                <w:szCs w:val="24"/>
              </w:rPr>
              <w:t>符合磋商供应商须知前附表中“1.4.1磋商供应商的资格要求”规定，审查磋商响应文件中的对应资料</w:t>
            </w:r>
            <w:bookmarkEnd w:id="857"/>
            <w:bookmarkEnd w:id="858"/>
          </w:p>
        </w:tc>
      </w:tr>
      <w:tr w14:paraId="400D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53D8EE48">
            <w:pPr>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w:t>
            </w:r>
          </w:p>
        </w:tc>
        <w:tc>
          <w:tcPr>
            <w:tcW w:w="3957" w:type="dxa"/>
            <w:vAlign w:val="center"/>
          </w:tcPr>
          <w:p w14:paraId="18F65775">
            <w:pPr>
              <w:adjustRightInd w:val="0"/>
              <w:snapToGrid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本项目不接受联合体</w:t>
            </w:r>
          </w:p>
        </w:tc>
        <w:tc>
          <w:tcPr>
            <w:tcW w:w="4688" w:type="dxa"/>
            <w:vAlign w:val="center"/>
          </w:tcPr>
          <w:p w14:paraId="54498D1D">
            <w:pPr>
              <w:adjustRightInd w:val="0"/>
              <w:snapToGrid w:val="0"/>
              <w:jc w:val="left"/>
              <w:rPr>
                <w:rFonts w:cs="宋体" w:asciiTheme="minorEastAsia" w:hAnsiTheme="minorEastAsia" w:eastAsiaTheme="minorEastAsia"/>
                <w:sz w:val="24"/>
                <w:szCs w:val="24"/>
              </w:rPr>
            </w:pPr>
            <w:bookmarkStart w:id="859" w:name="OLE_LINK101"/>
            <w:r>
              <w:rPr>
                <w:rFonts w:hint="eastAsia" w:cs="宋体" w:asciiTheme="minorEastAsia" w:hAnsiTheme="minorEastAsia" w:eastAsiaTheme="minorEastAsia"/>
                <w:sz w:val="24"/>
                <w:szCs w:val="24"/>
              </w:rPr>
              <w:t>符合磋商供应商须知前附表中“1.4.2磋商供应商的资格要求”规定，审查磋商响应文件中的对应资料</w:t>
            </w:r>
            <w:bookmarkEnd w:id="859"/>
          </w:p>
        </w:tc>
      </w:tr>
      <w:bookmarkEnd w:id="820"/>
    </w:tbl>
    <w:p w14:paraId="4D518D13">
      <w:pPr>
        <w:wordWrap w:val="0"/>
        <w:adjustRightInd w:val="0"/>
        <w:snapToGrid w:val="0"/>
        <w:spacing w:line="360" w:lineRule="auto"/>
        <w:ind w:firstLine="241" w:firstLineChars="100"/>
        <w:rPr>
          <w:rFonts w:cs="宋体" w:asciiTheme="minorEastAsia" w:hAnsiTheme="minorEastAsia" w:eastAsiaTheme="minorEastAsia"/>
          <w:b/>
          <w:sz w:val="24"/>
        </w:rPr>
      </w:pPr>
      <w:r>
        <w:rPr>
          <w:rFonts w:hint="eastAsia" w:cs="宋体" w:asciiTheme="minorEastAsia" w:hAnsiTheme="minorEastAsia" w:eastAsiaTheme="minorEastAsia"/>
          <w:b/>
          <w:sz w:val="24"/>
        </w:rPr>
        <w:t>（二）符合性评审</w:t>
      </w:r>
      <w:bookmarkEnd w:id="856"/>
    </w:p>
    <w:tbl>
      <w:tblPr>
        <w:tblStyle w:val="35"/>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957"/>
        <w:gridCol w:w="4688"/>
      </w:tblGrid>
      <w:tr w14:paraId="56A3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60059D3F">
            <w:pPr>
              <w:adjustRightInd w:val="0"/>
              <w:snapToGrid w:val="0"/>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序号</w:t>
            </w:r>
          </w:p>
        </w:tc>
        <w:tc>
          <w:tcPr>
            <w:tcW w:w="3957" w:type="dxa"/>
            <w:vAlign w:val="center"/>
          </w:tcPr>
          <w:p w14:paraId="7F2F5F58">
            <w:pPr>
              <w:adjustRightInd w:val="0"/>
              <w:snapToGrid w:val="0"/>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审查项目</w:t>
            </w:r>
          </w:p>
        </w:tc>
        <w:tc>
          <w:tcPr>
            <w:tcW w:w="4688" w:type="dxa"/>
            <w:vAlign w:val="center"/>
          </w:tcPr>
          <w:p w14:paraId="72F11428">
            <w:pPr>
              <w:adjustRightInd w:val="0"/>
              <w:snapToGrid w:val="0"/>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审查</w:t>
            </w:r>
          </w:p>
        </w:tc>
      </w:tr>
      <w:tr w14:paraId="0B5A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43C540D7">
            <w:pPr>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3957" w:type="dxa"/>
            <w:vAlign w:val="center"/>
          </w:tcPr>
          <w:p w14:paraId="53525832">
            <w:pPr>
              <w:adjustRightInd w:val="0"/>
              <w:snapToGrid w:val="0"/>
              <w:jc w:val="left"/>
              <w:rPr>
                <w:rFonts w:cs="宋体" w:asciiTheme="minorEastAsia" w:hAnsiTheme="minorEastAsia" w:eastAsiaTheme="minorEastAsia"/>
                <w:sz w:val="24"/>
                <w:szCs w:val="24"/>
              </w:rPr>
            </w:pPr>
            <w:r>
              <w:rPr>
                <w:rFonts w:cs="宋体" w:asciiTheme="minorEastAsia" w:hAnsiTheme="minorEastAsia" w:eastAsiaTheme="minorEastAsia"/>
                <w:sz w:val="24"/>
                <w:szCs w:val="24"/>
              </w:rPr>
              <w:t>磋商保证金</w:t>
            </w:r>
          </w:p>
        </w:tc>
        <w:tc>
          <w:tcPr>
            <w:tcW w:w="4688" w:type="dxa"/>
            <w:vAlign w:val="center"/>
          </w:tcPr>
          <w:p w14:paraId="7D85D204">
            <w:pPr>
              <w:adjustRightInd w:val="0"/>
              <w:snapToGrid w:val="0"/>
              <w:jc w:val="left"/>
              <w:rPr>
                <w:rFonts w:cs="宋体" w:asciiTheme="minorEastAsia" w:hAnsiTheme="minorEastAsia" w:eastAsiaTheme="minorEastAsia"/>
                <w:sz w:val="24"/>
                <w:szCs w:val="24"/>
              </w:rPr>
            </w:pPr>
            <w:bookmarkStart w:id="860" w:name="OLE_LINK168"/>
            <w:r>
              <w:rPr>
                <w:rFonts w:hint="eastAsia" w:cs="宋体" w:asciiTheme="minorEastAsia" w:hAnsiTheme="minorEastAsia" w:eastAsiaTheme="minorEastAsia"/>
                <w:sz w:val="24"/>
                <w:szCs w:val="24"/>
              </w:rPr>
              <w:t>符合第二章“供应商须知前附表”第3.4.1项规定</w:t>
            </w:r>
            <w:bookmarkEnd w:id="860"/>
          </w:p>
        </w:tc>
      </w:tr>
      <w:tr w14:paraId="02F6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781D86FE">
            <w:pPr>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3957" w:type="dxa"/>
            <w:vAlign w:val="center"/>
          </w:tcPr>
          <w:p w14:paraId="34A1E3DB">
            <w:pPr>
              <w:adjustRightInd w:val="0"/>
              <w:snapToGrid w:val="0"/>
              <w:jc w:val="left"/>
              <w:rPr>
                <w:rFonts w:cs="宋体" w:asciiTheme="minorEastAsia" w:hAnsiTheme="minorEastAsia" w:eastAsiaTheme="minorEastAsia"/>
                <w:sz w:val="24"/>
                <w:szCs w:val="24"/>
              </w:rPr>
            </w:pPr>
            <w:bookmarkStart w:id="861" w:name="OLE_LINK169"/>
            <w:bookmarkStart w:id="862" w:name="OLE_LINK170"/>
            <w:r>
              <w:rPr>
                <w:rFonts w:cs="宋体" w:asciiTheme="minorEastAsia" w:hAnsiTheme="minorEastAsia" w:eastAsiaTheme="minorEastAsia"/>
                <w:sz w:val="24"/>
                <w:szCs w:val="24"/>
              </w:rPr>
              <w:t>签字、盖章</w:t>
            </w:r>
            <w:bookmarkEnd w:id="861"/>
            <w:bookmarkEnd w:id="862"/>
          </w:p>
        </w:tc>
        <w:tc>
          <w:tcPr>
            <w:tcW w:w="4688" w:type="dxa"/>
            <w:vAlign w:val="center"/>
          </w:tcPr>
          <w:p w14:paraId="41243641">
            <w:pPr>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符合第二章“供应商须知前附表”第3.5.3项规定</w:t>
            </w:r>
          </w:p>
        </w:tc>
      </w:tr>
      <w:tr w14:paraId="0C42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08FD2A0C">
            <w:pPr>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3957" w:type="dxa"/>
            <w:vAlign w:val="center"/>
          </w:tcPr>
          <w:p w14:paraId="607FA21C">
            <w:pPr>
              <w:adjustRightInd w:val="0"/>
              <w:snapToGrid w:val="0"/>
              <w:jc w:val="left"/>
              <w:rPr>
                <w:rFonts w:cs="宋体" w:asciiTheme="minorEastAsia" w:hAnsiTheme="minorEastAsia" w:eastAsiaTheme="minorEastAsia"/>
                <w:sz w:val="24"/>
                <w:szCs w:val="24"/>
              </w:rPr>
            </w:pPr>
            <w:bookmarkStart w:id="863" w:name="OLE_LINK171"/>
            <w:r>
              <w:rPr>
                <w:rFonts w:cs="宋体" w:asciiTheme="minorEastAsia" w:hAnsiTheme="minorEastAsia" w:eastAsiaTheme="minorEastAsia"/>
                <w:sz w:val="24"/>
                <w:szCs w:val="24"/>
              </w:rPr>
              <w:t>磋商报价</w:t>
            </w:r>
            <w:bookmarkEnd w:id="863"/>
          </w:p>
        </w:tc>
        <w:tc>
          <w:tcPr>
            <w:tcW w:w="4688" w:type="dxa"/>
            <w:vAlign w:val="center"/>
          </w:tcPr>
          <w:p w14:paraId="6F4EC41F">
            <w:pPr>
              <w:adjustRightInd w:val="0"/>
              <w:snapToGrid w:val="0"/>
              <w:jc w:val="left"/>
              <w:rPr>
                <w:rFonts w:cs="宋体" w:asciiTheme="minorEastAsia" w:hAnsiTheme="minorEastAsia" w:eastAsiaTheme="minorEastAsia"/>
                <w:sz w:val="24"/>
                <w:szCs w:val="24"/>
              </w:rPr>
            </w:pPr>
            <w:bookmarkStart w:id="864" w:name="OLE_LINK172"/>
            <w:r>
              <w:rPr>
                <w:rFonts w:hint="eastAsia" w:cs="宋体" w:asciiTheme="minorEastAsia" w:hAnsiTheme="minorEastAsia" w:eastAsiaTheme="minorEastAsia"/>
                <w:sz w:val="24"/>
              </w:rPr>
              <w:t>供应商</w:t>
            </w:r>
            <w:r>
              <w:rPr>
                <w:rFonts w:hint="eastAsia" w:cs="宋体" w:asciiTheme="minorEastAsia" w:hAnsiTheme="minorEastAsia" w:eastAsiaTheme="minorEastAsia"/>
                <w:sz w:val="24"/>
                <w:szCs w:val="24"/>
              </w:rPr>
              <w:t>递交两份或多份内容不同的报价，或在一份磋商响应文件中对同一采购项目报有两个或多个报价，且未声明哪一个有效</w:t>
            </w:r>
            <w:bookmarkEnd w:id="864"/>
          </w:p>
        </w:tc>
      </w:tr>
      <w:tr w14:paraId="54BD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3571C01A">
            <w:pPr>
              <w:adjustRightInd w:val="0"/>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4</w:t>
            </w:r>
          </w:p>
        </w:tc>
        <w:tc>
          <w:tcPr>
            <w:tcW w:w="3957" w:type="dxa"/>
            <w:vAlign w:val="center"/>
          </w:tcPr>
          <w:p w14:paraId="6F139E27">
            <w:pPr>
              <w:adjustRightInd w:val="0"/>
              <w:snapToGrid w:val="0"/>
              <w:jc w:val="left"/>
              <w:rPr>
                <w:rFonts w:cs="宋体" w:asciiTheme="minorEastAsia" w:hAnsiTheme="minorEastAsia" w:eastAsiaTheme="minorEastAsia"/>
                <w:sz w:val="24"/>
              </w:rPr>
            </w:pPr>
            <w:bookmarkStart w:id="865" w:name="OLE_LINK173"/>
            <w:r>
              <w:rPr>
                <w:rFonts w:cs="宋体" w:asciiTheme="minorEastAsia" w:hAnsiTheme="minorEastAsia" w:eastAsiaTheme="minorEastAsia"/>
                <w:sz w:val="24"/>
              </w:rPr>
              <w:t>其他</w:t>
            </w:r>
            <w:bookmarkEnd w:id="865"/>
          </w:p>
        </w:tc>
        <w:tc>
          <w:tcPr>
            <w:tcW w:w="4688" w:type="dxa"/>
            <w:vAlign w:val="center"/>
          </w:tcPr>
          <w:p w14:paraId="66C5227C">
            <w:pPr>
              <w:adjustRightInd w:val="0"/>
              <w:snapToGrid w:val="0"/>
              <w:jc w:val="left"/>
              <w:rPr>
                <w:rFonts w:cs="宋体" w:asciiTheme="minorEastAsia" w:hAnsiTheme="minorEastAsia" w:eastAsiaTheme="minorEastAsia"/>
                <w:sz w:val="24"/>
                <w:szCs w:val="24"/>
              </w:rPr>
            </w:pPr>
            <w:bookmarkStart w:id="866" w:name="OLE_LINK175"/>
            <w:bookmarkStart w:id="867" w:name="OLE_LINK174"/>
            <w:r>
              <w:rPr>
                <w:rFonts w:hint="eastAsia" w:cs="宋体" w:asciiTheme="minorEastAsia" w:hAnsiTheme="minorEastAsia" w:eastAsiaTheme="minorEastAsia"/>
                <w:sz w:val="24"/>
                <w:szCs w:val="24"/>
              </w:rPr>
              <w:t>响应文件附有采购人不能接受的条件</w:t>
            </w:r>
            <w:bookmarkEnd w:id="866"/>
            <w:bookmarkEnd w:id="867"/>
          </w:p>
        </w:tc>
      </w:tr>
      <w:tr w14:paraId="41D0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6CAC5D5A">
            <w:pPr>
              <w:adjustRightInd w:val="0"/>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5</w:t>
            </w:r>
          </w:p>
        </w:tc>
        <w:tc>
          <w:tcPr>
            <w:tcW w:w="3957" w:type="dxa"/>
            <w:vAlign w:val="center"/>
          </w:tcPr>
          <w:p w14:paraId="26F2992C">
            <w:pPr>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其他实质性要求</w:t>
            </w:r>
          </w:p>
        </w:tc>
        <w:tc>
          <w:tcPr>
            <w:tcW w:w="4688" w:type="dxa"/>
            <w:vAlign w:val="center"/>
          </w:tcPr>
          <w:p w14:paraId="56685295">
            <w:pPr>
              <w:adjustRightInd w:val="0"/>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响应文件不符合竞争性磋商文件中规定的其他实质性要求</w:t>
            </w:r>
          </w:p>
        </w:tc>
      </w:tr>
    </w:tbl>
    <w:p w14:paraId="5CCCCB99">
      <w:pPr>
        <w:wordWrap w:val="0"/>
        <w:spacing w:line="360" w:lineRule="auto"/>
        <w:ind w:firstLine="540"/>
        <w:rPr>
          <w:rFonts w:cs="宋体" w:asciiTheme="minorEastAsia" w:hAnsiTheme="minorEastAsia" w:eastAsiaTheme="minorEastAsia"/>
          <w:sz w:val="24"/>
        </w:rPr>
      </w:pPr>
      <w:r>
        <w:rPr>
          <w:rFonts w:hint="eastAsia" w:cs="宋体" w:asciiTheme="minorEastAsia" w:hAnsiTheme="minorEastAsia" w:eastAsiaTheme="minorEastAsia"/>
          <w:sz w:val="24"/>
        </w:rPr>
        <w:t>对上述偏差和情况作出通过或不通过的评审意见。符合性审查不合格的磋商供应商，不得进入详细评审。对不合格的内容应在磋商报告中说明。</w:t>
      </w:r>
    </w:p>
    <w:p w14:paraId="6A63BA25">
      <w:pPr>
        <w:wordWrap w:val="0"/>
        <w:spacing w:line="360" w:lineRule="auto"/>
        <w:ind w:firstLine="241" w:firstLineChars="100"/>
        <w:rPr>
          <w:rFonts w:cs="宋体" w:asciiTheme="minorEastAsia" w:hAnsiTheme="minorEastAsia" w:eastAsiaTheme="minorEastAsia"/>
          <w:b/>
          <w:sz w:val="24"/>
        </w:rPr>
      </w:pPr>
      <w:r>
        <w:rPr>
          <w:rFonts w:hint="eastAsia" w:cs="宋体" w:asciiTheme="minorEastAsia" w:hAnsiTheme="minorEastAsia" w:eastAsiaTheme="minorEastAsia"/>
          <w:b/>
          <w:sz w:val="24"/>
        </w:rPr>
        <w:t>（三）详细评审</w:t>
      </w:r>
    </w:p>
    <w:p w14:paraId="2ECB4E97">
      <w:pPr>
        <w:widowControl/>
        <w:wordWrap w:val="0"/>
        <w:spacing w:line="360" w:lineRule="auto"/>
        <w:ind w:firstLine="480"/>
        <w:jc w:val="left"/>
        <w:rPr>
          <w:rFonts w:cs="宋体" w:asciiTheme="minorEastAsia" w:hAnsiTheme="minorEastAsia" w:eastAsiaTheme="minorEastAsia"/>
          <w:sz w:val="24"/>
        </w:rPr>
      </w:pPr>
      <w:r>
        <w:rPr>
          <w:rFonts w:hint="eastAsia" w:cs="宋体" w:asciiTheme="minorEastAsia" w:hAnsiTheme="minorEastAsia" w:eastAsiaTheme="minorEastAsia"/>
          <w:sz w:val="24"/>
        </w:rPr>
        <w:t>磋商小组按以下公式计算出各磋商供应商的总得分，推荐成交候选人按总得分由高到低顺序排列；总得分相同的，按最终报价由低到高顺序排列；总得分且最终报价相同的，磋商响应文件满足竞争性磋商文件全部实质性要求，且按照评审因素的量化指标评审得分最高的磋商供应商为排名第一的成交候选人。</w:t>
      </w:r>
    </w:p>
    <w:p w14:paraId="553573A4">
      <w:pPr>
        <w:pStyle w:val="14"/>
        <w:wordWrap w:val="0"/>
        <w:rPr>
          <w:rFonts w:asciiTheme="minorEastAsia" w:hAnsiTheme="minorEastAsia" w:eastAsiaTheme="minorEastAsia"/>
        </w:rPr>
      </w:pPr>
      <w:r>
        <w:rPr>
          <w:rFonts w:hint="eastAsia" w:cs="宋体" w:asciiTheme="minorEastAsia" w:hAnsiTheme="minorEastAsia" w:eastAsiaTheme="minorEastAsia"/>
          <w:sz w:val="24"/>
        </w:rPr>
        <w:t>评审总得分=F1＋F2＋……＋Fn；F1、F2……Fn分别为各项评分因素的汇总得分；</w:t>
      </w:r>
    </w:p>
    <w:p w14:paraId="3E6F259F">
      <w:pPr>
        <w:wordWrap w:val="0"/>
        <w:adjustRightInd w:val="0"/>
        <w:snapToGrid w:val="0"/>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（1）价格部分评分标准(满分10分)</w:t>
      </w:r>
    </w:p>
    <w:tbl>
      <w:tblPr>
        <w:tblStyle w:val="35"/>
        <w:tblW w:w="50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2309"/>
        <w:gridCol w:w="6265"/>
      </w:tblGrid>
      <w:tr w14:paraId="1E0D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765" w:type="pct"/>
            <w:vAlign w:val="center"/>
          </w:tcPr>
          <w:p w14:paraId="2964390F">
            <w:pPr>
              <w:wordWrap w:val="0"/>
              <w:adjustRightInd w:val="0"/>
              <w:snapToGrid w:val="0"/>
              <w:jc w:val="center"/>
              <w:rPr>
                <w:rFonts w:cs="宋体" w:asciiTheme="minorEastAsia" w:hAnsiTheme="minorEastAsia" w:eastAsiaTheme="minorEastAsia"/>
                <w:b/>
                <w:sz w:val="24"/>
                <w:szCs w:val="21"/>
              </w:rPr>
            </w:pPr>
            <w:r>
              <w:rPr>
                <w:rFonts w:hint="eastAsia" w:cs="宋体" w:asciiTheme="minorEastAsia" w:hAnsiTheme="minorEastAsia" w:eastAsiaTheme="minorEastAsia"/>
                <w:b/>
                <w:sz w:val="24"/>
                <w:szCs w:val="21"/>
              </w:rPr>
              <w:t>条款号</w:t>
            </w:r>
          </w:p>
        </w:tc>
        <w:tc>
          <w:tcPr>
            <w:tcW w:w="1140" w:type="pct"/>
            <w:vAlign w:val="center"/>
          </w:tcPr>
          <w:p w14:paraId="0EEE48EE">
            <w:pPr>
              <w:wordWrap w:val="0"/>
              <w:adjustRightInd w:val="0"/>
              <w:snapToGrid w:val="0"/>
              <w:jc w:val="center"/>
              <w:rPr>
                <w:rFonts w:cs="宋体" w:asciiTheme="minorEastAsia" w:hAnsiTheme="minorEastAsia" w:eastAsiaTheme="minorEastAsia"/>
                <w:b/>
                <w:sz w:val="24"/>
                <w:szCs w:val="21"/>
              </w:rPr>
            </w:pPr>
            <w:r>
              <w:rPr>
                <w:rFonts w:hint="eastAsia" w:cs="宋体" w:asciiTheme="minorEastAsia" w:hAnsiTheme="minorEastAsia" w:eastAsiaTheme="minorEastAsia"/>
                <w:b/>
                <w:sz w:val="24"/>
                <w:szCs w:val="21"/>
              </w:rPr>
              <w:t>评分因素</w:t>
            </w:r>
          </w:p>
        </w:tc>
        <w:tc>
          <w:tcPr>
            <w:tcW w:w="3093" w:type="pct"/>
            <w:vAlign w:val="center"/>
          </w:tcPr>
          <w:p w14:paraId="4C43D790">
            <w:pPr>
              <w:wordWrap w:val="0"/>
              <w:adjustRightInd w:val="0"/>
              <w:snapToGrid w:val="0"/>
              <w:jc w:val="center"/>
              <w:rPr>
                <w:rFonts w:cs="宋体" w:asciiTheme="minorEastAsia" w:hAnsiTheme="minorEastAsia" w:eastAsiaTheme="minorEastAsia"/>
                <w:b/>
                <w:sz w:val="24"/>
                <w:szCs w:val="21"/>
              </w:rPr>
            </w:pPr>
            <w:r>
              <w:rPr>
                <w:rFonts w:hint="eastAsia" w:cs="宋体" w:asciiTheme="minorEastAsia" w:hAnsiTheme="minorEastAsia" w:eastAsiaTheme="minorEastAsia"/>
                <w:b/>
                <w:sz w:val="24"/>
                <w:szCs w:val="21"/>
              </w:rPr>
              <w:t>评分标准</w:t>
            </w:r>
          </w:p>
        </w:tc>
      </w:tr>
      <w:tr w14:paraId="14CF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65" w:type="pct"/>
            <w:vAlign w:val="center"/>
          </w:tcPr>
          <w:p w14:paraId="2D3B4FA2">
            <w:pPr>
              <w:wordWrap w:val="0"/>
              <w:adjustRightInd w:val="0"/>
              <w:snapToGrid w:val="0"/>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价格部分F1</w:t>
            </w:r>
          </w:p>
          <w:p w14:paraId="74A77F3A">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b/>
                <w:sz w:val="24"/>
                <w:szCs w:val="24"/>
              </w:rPr>
              <w:t>评分标准</w:t>
            </w:r>
          </w:p>
        </w:tc>
        <w:tc>
          <w:tcPr>
            <w:tcW w:w="1140" w:type="pct"/>
            <w:vAlign w:val="center"/>
          </w:tcPr>
          <w:p w14:paraId="3CE40B24">
            <w:pPr>
              <w:wordWrap w:val="0"/>
              <w:adjustRightInd w:val="0"/>
              <w:snapToGrid w:val="0"/>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磋商总报价评分</w:t>
            </w:r>
          </w:p>
          <w:p w14:paraId="12D9CB91">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(满分10分)</w:t>
            </w:r>
          </w:p>
        </w:tc>
        <w:tc>
          <w:tcPr>
            <w:tcW w:w="3093" w:type="pct"/>
            <w:vAlign w:val="center"/>
          </w:tcPr>
          <w:p w14:paraId="1231436E">
            <w:pPr>
              <w:widowControl/>
              <w:wordWrap w:val="0"/>
              <w:adjustRightInd w:val="0"/>
              <w:snapToGrid w:val="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计算公式：</w:t>
            </w:r>
            <w:bookmarkStart w:id="868" w:name="OLE_LINK128"/>
            <w:r>
              <w:rPr>
                <w:rFonts w:hint="eastAsia" w:cs="宋体" w:asciiTheme="minorEastAsia" w:hAnsiTheme="minorEastAsia" w:eastAsiaTheme="minorEastAsia"/>
                <w:bCs/>
                <w:sz w:val="24"/>
                <w:szCs w:val="24"/>
              </w:rPr>
              <w:t>满足竞争性磋商文件要求且最后磋商总价最低的供应商的价格为磋商基准价，其价格分为满分10分。其他供应商的价格分统一按照下列公式计算：</w:t>
            </w:r>
          </w:p>
          <w:p w14:paraId="67879575">
            <w:pPr>
              <w:widowControl/>
              <w:wordWrap w:val="0"/>
              <w:adjustRightInd w:val="0"/>
              <w:snapToGrid w:val="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磋商报价得分=（磋商基准价/最后磋商总价）×10。</w:t>
            </w:r>
          </w:p>
          <w:bookmarkEnd w:id="868"/>
          <w:p w14:paraId="1E595A36">
            <w:pPr>
              <w:wordWrap w:val="0"/>
              <w:adjustRightInd w:val="0"/>
              <w:snapToGrid w:val="0"/>
              <w:jc w:val="left"/>
              <w:rPr>
                <w:rFonts w:cs="宋体" w:asciiTheme="minorEastAsia" w:hAnsiTheme="minorEastAsia" w:eastAsiaTheme="minorEastAsia"/>
                <w:b/>
                <w:bCs/>
                <w:sz w:val="24"/>
                <w:szCs w:val="24"/>
              </w:rPr>
            </w:pPr>
            <w:r>
              <w:rPr>
                <w:rFonts w:hint="eastAsia" w:cs="宋体" w:asciiTheme="minorEastAsia" w:hAnsiTheme="minorEastAsia" w:eastAsiaTheme="minorEastAsia"/>
                <w:bCs/>
                <w:sz w:val="24"/>
                <w:szCs w:val="24"/>
              </w:rPr>
              <w:t>计算结果保留小数点后两位，第三位四舍五入。</w:t>
            </w:r>
          </w:p>
        </w:tc>
      </w:tr>
    </w:tbl>
    <w:p w14:paraId="4758FC27">
      <w:pPr>
        <w:wordWrap w:val="0"/>
        <w:spacing w:line="320" w:lineRule="exact"/>
        <w:rPr>
          <w:rFonts w:cs="宋体" w:asciiTheme="minorEastAsia" w:hAnsiTheme="minorEastAsia" w:eastAsiaTheme="minorEastAsia"/>
          <w:b/>
          <w:sz w:val="24"/>
          <w:szCs w:val="24"/>
        </w:rPr>
      </w:pPr>
    </w:p>
    <w:p w14:paraId="65DD06B8">
      <w:pPr>
        <w:wordWrap w:val="0"/>
        <w:adjustRightInd w:val="0"/>
        <w:snapToGrid w:val="0"/>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（2）技术部分评分标准（满分85分）</w:t>
      </w:r>
    </w:p>
    <w:tbl>
      <w:tblPr>
        <w:tblStyle w:val="35"/>
        <w:tblW w:w="50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6"/>
        <w:gridCol w:w="1490"/>
        <w:gridCol w:w="7121"/>
      </w:tblGrid>
      <w:tr w14:paraId="1D1C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57" w:type="pct"/>
            <w:vAlign w:val="center"/>
          </w:tcPr>
          <w:p w14:paraId="2110509F">
            <w:pPr>
              <w:wordWrap w:val="0"/>
              <w:adjustRightInd w:val="0"/>
              <w:snapToGrid w:val="0"/>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条款号</w:t>
            </w:r>
          </w:p>
        </w:tc>
        <w:tc>
          <w:tcPr>
            <w:tcW w:w="734" w:type="pct"/>
            <w:vAlign w:val="center"/>
          </w:tcPr>
          <w:p w14:paraId="5C617CCB">
            <w:pPr>
              <w:wordWrap w:val="0"/>
              <w:adjustRightInd w:val="0"/>
              <w:snapToGrid w:val="0"/>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评分因素</w:t>
            </w:r>
          </w:p>
        </w:tc>
        <w:tc>
          <w:tcPr>
            <w:tcW w:w="3509" w:type="pct"/>
            <w:vAlign w:val="center"/>
          </w:tcPr>
          <w:p w14:paraId="4E9A601D">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b/>
                <w:sz w:val="24"/>
                <w:szCs w:val="24"/>
              </w:rPr>
              <w:t>评分标准</w:t>
            </w:r>
          </w:p>
        </w:tc>
      </w:tr>
      <w:tr w14:paraId="77B9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pct"/>
            <w:vMerge w:val="restart"/>
            <w:vAlign w:val="center"/>
          </w:tcPr>
          <w:p w14:paraId="1BAFBB92">
            <w:pPr>
              <w:wordWrap w:val="0"/>
              <w:adjustRightInd w:val="0"/>
              <w:snapToGrid w:val="0"/>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技术部分F2</w:t>
            </w:r>
          </w:p>
          <w:p w14:paraId="002E2F63">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b/>
                <w:sz w:val="24"/>
                <w:szCs w:val="24"/>
              </w:rPr>
              <w:t>评分标准</w:t>
            </w:r>
          </w:p>
        </w:tc>
        <w:tc>
          <w:tcPr>
            <w:tcW w:w="734" w:type="pct"/>
            <w:vAlign w:val="center"/>
          </w:tcPr>
          <w:p w14:paraId="5BCEBAE1">
            <w:pPr>
              <w:tabs>
                <w:tab w:val="center" w:pos="4153"/>
                <w:tab w:val="right" w:pos="8306"/>
              </w:tabs>
              <w:wordWrap w:val="0"/>
              <w:adjustRightInd w:val="0"/>
              <w:snapToGrid w:val="0"/>
              <w:jc w:val="center"/>
              <w:rPr>
                <w:rFonts w:cs="宋体" w:asciiTheme="minorEastAsia" w:hAnsiTheme="minorEastAsia" w:eastAsiaTheme="minorEastAsia"/>
                <w:sz w:val="24"/>
                <w:szCs w:val="24"/>
              </w:rPr>
            </w:pPr>
            <w:bookmarkStart w:id="869" w:name="OLE_LINK176"/>
            <w:bookmarkStart w:id="870" w:name="OLE_LINK177"/>
            <w:bookmarkStart w:id="871" w:name="OLE_LINK129"/>
            <w:r>
              <w:rPr>
                <w:rFonts w:hint="eastAsia" w:cs="宋体" w:asciiTheme="minorEastAsia" w:hAnsiTheme="minorEastAsia" w:eastAsiaTheme="minorEastAsia"/>
                <w:sz w:val="24"/>
                <w:szCs w:val="24"/>
              </w:rPr>
              <w:t>施工总体方案</w:t>
            </w:r>
            <w:bookmarkEnd w:id="869"/>
            <w:r>
              <w:rPr>
                <w:rFonts w:hint="eastAsia" w:cs="宋体" w:asciiTheme="minorEastAsia" w:hAnsiTheme="minorEastAsia" w:eastAsiaTheme="minorEastAsia"/>
                <w:sz w:val="24"/>
                <w:szCs w:val="24"/>
              </w:rPr>
              <w:t>（满分30分）</w:t>
            </w:r>
            <w:bookmarkEnd w:id="870"/>
            <w:bookmarkEnd w:id="871"/>
          </w:p>
        </w:tc>
        <w:tc>
          <w:tcPr>
            <w:tcW w:w="3509" w:type="pct"/>
            <w:vAlign w:val="center"/>
          </w:tcPr>
          <w:p w14:paraId="3F41DA2E">
            <w:pPr>
              <w:pStyle w:val="74"/>
              <w:wordWrap w:val="0"/>
              <w:snapToGrid w:val="0"/>
              <w:jc w:val="both"/>
              <w:rPr>
                <w:rFonts w:asciiTheme="minorEastAsia" w:hAnsiTheme="minorEastAsia" w:eastAsiaTheme="minorEastAsia"/>
                <w:b/>
                <w:bCs/>
              </w:rPr>
            </w:pPr>
            <w:bookmarkStart w:id="872" w:name="OLE_LINK130"/>
            <w:r>
              <w:rPr>
                <w:rFonts w:hint="eastAsia" w:asciiTheme="minorEastAsia" w:hAnsiTheme="minorEastAsia" w:eastAsiaTheme="minorEastAsia"/>
                <w:b/>
                <w:bCs/>
              </w:rPr>
              <w:t>内容包含但不限于:1、</w:t>
            </w:r>
            <w:r>
              <w:rPr>
                <w:rFonts w:hint="eastAsia" w:cs="仿宋" w:asciiTheme="minorEastAsia" w:hAnsiTheme="minorEastAsia" w:eastAsiaTheme="minorEastAsia"/>
                <w:b/>
                <w:bCs/>
              </w:rPr>
              <w:t>项目总体概况2、</w:t>
            </w:r>
            <w:r>
              <w:rPr>
                <w:rFonts w:hint="eastAsia" w:asciiTheme="minorEastAsia" w:hAnsiTheme="minorEastAsia" w:eastAsiaTheme="minorEastAsia"/>
                <w:b/>
                <w:bCs/>
              </w:rPr>
              <w:t>施工技术准备；3、整体施工部署；4、主要施工措施；5、重点难点处理措施等</w:t>
            </w:r>
          </w:p>
          <w:p w14:paraId="01F953A3">
            <w:pPr>
              <w:pStyle w:val="74"/>
              <w:wordWrap w:val="0"/>
              <w:snapToGrid w:val="0"/>
              <w:jc w:val="both"/>
              <w:rPr>
                <w:rFonts w:asciiTheme="minorEastAsia" w:hAnsiTheme="minorEastAsia" w:eastAsiaTheme="minorEastAsia"/>
              </w:rPr>
            </w:pPr>
            <w:r>
              <w:rPr>
                <w:rFonts w:hint="eastAsia" w:asciiTheme="minorEastAsia" w:hAnsiTheme="minorEastAsia" w:eastAsiaTheme="minorEastAsia"/>
              </w:rPr>
              <w:t>以上内容均阐述完整、具体、没有缺陷，且满足本项目实际需求的得30分，有一项内容缺失的扣6分；每有一项内容明显错误，或内容非专门针对本项目，或内容不能满足本项目实际需求的扣2分；分数扣完为止。</w:t>
            </w:r>
            <w:bookmarkEnd w:id="872"/>
          </w:p>
        </w:tc>
      </w:tr>
      <w:tr w14:paraId="4612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pct"/>
            <w:vMerge w:val="continue"/>
            <w:vAlign w:val="center"/>
          </w:tcPr>
          <w:p w14:paraId="6030E2C2">
            <w:pPr>
              <w:wordWrap w:val="0"/>
              <w:adjustRightInd w:val="0"/>
              <w:snapToGrid w:val="0"/>
              <w:jc w:val="left"/>
              <w:rPr>
                <w:rFonts w:cs="宋体" w:asciiTheme="minorEastAsia" w:hAnsiTheme="minorEastAsia" w:eastAsiaTheme="minorEastAsia"/>
                <w:sz w:val="24"/>
                <w:szCs w:val="24"/>
              </w:rPr>
            </w:pPr>
          </w:p>
        </w:tc>
        <w:tc>
          <w:tcPr>
            <w:tcW w:w="734" w:type="pct"/>
            <w:vAlign w:val="center"/>
          </w:tcPr>
          <w:p w14:paraId="3C14B629">
            <w:pPr>
              <w:wordWrap w:val="0"/>
              <w:adjustRightInd w:val="0"/>
              <w:snapToGrid w:val="0"/>
              <w:jc w:val="center"/>
              <w:rPr>
                <w:rFonts w:cs="宋体" w:asciiTheme="minorEastAsia" w:hAnsiTheme="minorEastAsia" w:eastAsiaTheme="minorEastAsia"/>
                <w:sz w:val="24"/>
                <w:szCs w:val="24"/>
              </w:rPr>
            </w:pPr>
            <w:bookmarkStart w:id="873" w:name="OLE_LINK131"/>
            <w:bookmarkStart w:id="874" w:name="OLE_LINK178"/>
            <w:r>
              <w:rPr>
                <w:rFonts w:hint="eastAsia" w:cs="宋体" w:asciiTheme="minorEastAsia" w:hAnsiTheme="minorEastAsia" w:eastAsiaTheme="minorEastAsia"/>
                <w:sz w:val="24"/>
                <w:szCs w:val="24"/>
              </w:rPr>
              <w:t>工程进度计划与保证措施（满分8分）</w:t>
            </w:r>
            <w:bookmarkEnd w:id="873"/>
            <w:bookmarkEnd w:id="874"/>
          </w:p>
        </w:tc>
        <w:tc>
          <w:tcPr>
            <w:tcW w:w="3509" w:type="pct"/>
            <w:vAlign w:val="center"/>
          </w:tcPr>
          <w:p w14:paraId="18521ECC">
            <w:pPr>
              <w:pStyle w:val="74"/>
              <w:wordWrap w:val="0"/>
              <w:snapToGrid w:val="0"/>
              <w:jc w:val="both"/>
              <w:rPr>
                <w:rFonts w:asciiTheme="minorEastAsia" w:hAnsiTheme="minorEastAsia" w:eastAsiaTheme="minorEastAsia"/>
                <w:b/>
                <w:bCs/>
              </w:rPr>
            </w:pPr>
            <w:bookmarkStart w:id="875" w:name="OLE_LINK132"/>
            <w:bookmarkStart w:id="876" w:name="OLE_LINK133"/>
            <w:r>
              <w:rPr>
                <w:rFonts w:hint="eastAsia" w:asciiTheme="minorEastAsia" w:hAnsiTheme="minorEastAsia" w:eastAsiaTheme="minorEastAsia"/>
                <w:b/>
                <w:bCs/>
              </w:rPr>
              <w:t>内容包含但不限于：1、工期保证措施；2、施工进度计划及施工进度网络图（说明施工的各个关键日期）</w:t>
            </w:r>
          </w:p>
          <w:p w14:paraId="596F8965">
            <w:pPr>
              <w:pStyle w:val="74"/>
              <w:wordWrap w:val="0"/>
              <w:snapToGrid w:val="0"/>
              <w:jc w:val="both"/>
              <w:rPr>
                <w:rFonts w:asciiTheme="minorEastAsia" w:hAnsiTheme="minorEastAsia" w:eastAsiaTheme="minorEastAsia"/>
              </w:rPr>
            </w:pPr>
            <w:r>
              <w:rPr>
                <w:rFonts w:hint="eastAsia" w:asciiTheme="minorEastAsia" w:hAnsiTheme="minorEastAsia" w:eastAsiaTheme="minorEastAsia"/>
              </w:rPr>
              <w:t>以上内容均阐述完整、具体、没有缺陷，且满足本项目实际需求的得8分，有一项内容缺失的扣4分；每有一项内容明显错误，或内容非专门针对本项目，或内容不能满足本项目实际需求的扣2分；分数扣完为止。</w:t>
            </w:r>
            <w:bookmarkEnd w:id="875"/>
            <w:bookmarkEnd w:id="876"/>
          </w:p>
        </w:tc>
      </w:tr>
      <w:tr w14:paraId="6E80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pct"/>
            <w:vMerge w:val="continue"/>
            <w:vAlign w:val="center"/>
          </w:tcPr>
          <w:p w14:paraId="746841C4">
            <w:pPr>
              <w:wordWrap w:val="0"/>
              <w:adjustRightInd w:val="0"/>
              <w:snapToGrid w:val="0"/>
              <w:jc w:val="left"/>
              <w:rPr>
                <w:rFonts w:cs="宋体" w:asciiTheme="minorEastAsia" w:hAnsiTheme="minorEastAsia" w:eastAsiaTheme="minorEastAsia"/>
                <w:sz w:val="24"/>
                <w:szCs w:val="24"/>
              </w:rPr>
            </w:pPr>
            <w:bookmarkStart w:id="877" w:name="_Hlk193965817"/>
          </w:p>
        </w:tc>
        <w:tc>
          <w:tcPr>
            <w:tcW w:w="734" w:type="pct"/>
            <w:vAlign w:val="center"/>
          </w:tcPr>
          <w:p w14:paraId="59D6EFAD">
            <w:pPr>
              <w:wordWrap w:val="0"/>
              <w:adjustRightInd w:val="0"/>
              <w:snapToGrid w:val="0"/>
              <w:jc w:val="center"/>
              <w:rPr>
                <w:rFonts w:cs="宋体" w:asciiTheme="minorEastAsia" w:hAnsiTheme="minorEastAsia" w:eastAsiaTheme="minorEastAsia"/>
                <w:sz w:val="24"/>
                <w:szCs w:val="24"/>
              </w:rPr>
            </w:pPr>
            <w:bookmarkStart w:id="878" w:name="OLE_LINK180"/>
            <w:bookmarkStart w:id="879" w:name="OLE_LINK179"/>
            <w:r>
              <w:rPr>
                <w:rFonts w:hint="eastAsia" w:cs="宋体" w:asciiTheme="minorEastAsia" w:hAnsiTheme="minorEastAsia" w:eastAsiaTheme="minorEastAsia"/>
                <w:kern w:val="0"/>
                <w:sz w:val="24"/>
                <w:szCs w:val="24"/>
              </w:rPr>
              <w:t>质量承诺及保证措施（满分15分）</w:t>
            </w:r>
            <w:bookmarkEnd w:id="878"/>
            <w:bookmarkEnd w:id="879"/>
          </w:p>
        </w:tc>
        <w:tc>
          <w:tcPr>
            <w:tcW w:w="3509" w:type="pct"/>
            <w:vAlign w:val="center"/>
          </w:tcPr>
          <w:p w14:paraId="63AB55AC">
            <w:pPr>
              <w:pStyle w:val="74"/>
              <w:wordWrap w:val="0"/>
              <w:snapToGrid w:val="0"/>
              <w:jc w:val="both"/>
              <w:rPr>
                <w:rFonts w:asciiTheme="minorEastAsia" w:hAnsiTheme="minorEastAsia" w:eastAsiaTheme="minorEastAsia"/>
                <w:b/>
                <w:bCs/>
              </w:rPr>
            </w:pPr>
            <w:bookmarkStart w:id="880" w:name="OLE_LINK181"/>
            <w:bookmarkStart w:id="881" w:name="OLE_LINK182"/>
            <w:r>
              <w:rPr>
                <w:rFonts w:hint="eastAsia" w:asciiTheme="minorEastAsia" w:hAnsiTheme="minorEastAsia" w:eastAsiaTheme="minorEastAsia"/>
                <w:b/>
                <w:bCs/>
              </w:rPr>
              <w:t>内容包含但不限于：1、质量管理目标和记录管理；2、质量保证措施；3、质量违约责任承诺。</w:t>
            </w:r>
          </w:p>
          <w:p w14:paraId="740ED12B">
            <w:pPr>
              <w:pStyle w:val="74"/>
              <w:wordWrap w:val="0"/>
              <w:snapToGrid w:val="0"/>
              <w:jc w:val="both"/>
              <w:rPr>
                <w:rFonts w:asciiTheme="minorEastAsia" w:hAnsiTheme="minorEastAsia" w:eastAsiaTheme="minorEastAsia"/>
                <w:b/>
                <w:bCs/>
              </w:rPr>
            </w:pPr>
            <w:r>
              <w:rPr>
                <w:rFonts w:hint="eastAsia" w:asciiTheme="minorEastAsia" w:hAnsiTheme="minorEastAsia" w:eastAsiaTheme="minorEastAsia"/>
              </w:rPr>
              <w:t>以上内容均阐述完整、具体、没有缺陷，且满足本项目实际需求的得15分，有一项内容缺失的扣5分；每有一项内容明显错误，或内容非专门针对本项目，或内容不能满足本项目实际需求的扣2分；分数扣完为止。</w:t>
            </w:r>
            <w:bookmarkEnd w:id="880"/>
            <w:bookmarkEnd w:id="881"/>
          </w:p>
        </w:tc>
      </w:tr>
      <w:bookmarkEnd w:id="877"/>
      <w:tr w14:paraId="5BA6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pct"/>
            <w:vMerge w:val="continue"/>
            <w:vAlign w:val="center"/>
          </w:tcPr>
          <w:p w14:paraId="658317BC">
            <w:pPr>
              <w:wordWrap w:val="0"/>
              <w:adjustRightInd w:val="0"/>
              <w:snapToGrid w:val="0"/>
              <w:jc w:val="left"/>
              <w:rPr>
                <w:rFonts w:cs="宋体" w:asciiTheme="minorEastAsia" w:hAnsiTheme="minorEastAsia" w:eastAsiaTheme="minorEastAsia"/>
                <w:sz w:val="24"/>
                <w:szCs w:val="24"/>
              </w:rPr>
            </w:pPr>
            <w:bookmarkStart w:id="882" w:name="_Hlk193965864"/>
          </w:p>
        </w:tc>
        <w:tc>
          <w:tcPr>
            <w:tcW w:w="734" w:type="pct"/>
            <w:vAlign w:val="center"/>
          </w:tcPr>
          <w:p w14:paraId="02E2D649">
            <w:pPr>
              <w:wordWrap w:val="0"/>
              <w:adjustRightInd w:val="0"/>
              <w:snapToGrid w:val="0"/>
              <w:jc w:val="center"/>
              <w:rPr>
                <w:rFonts w:cs="宋体" w:asciiTheme="minorEastAsia" w:hAnsiTheme="minorEastAsia" w:eastAsiaTheme="minorEastAsia"/>
                <w:sz w:val="24"/>
                <w:szCs w:val="24"/>
              </w:rPr>
            </w:pPr>
            <w:bookmarkStart w:id="883" w:name="OLE_LINK183"/>
            <w:bookmarkStart w:id="884" w:name="OLE_LINK184"/>
            <w:r>
              <w:rPr>
                <w:rFonts w:hint="eastAsia" w:cs="宋体" w:asciiTheme="minorEastAsia" w:hAnsiTheme="minorEastAsia" w:eastAsiaTheme="minorEastAsia"/>
                <w:sz w:val="24"/>
                <w:szCs w:val="24"/>
              </w:rPr>
              <w:t>安全文明施工保证措施（满分20分）</w:t>
            </w:r>
            <w:bookmarkEnd w:id="883"/>
            <w:bookmarkEnd w:id="884"/>
          </w:p>
        </w:tc>
        <w:tc>
          <w:tcPr>
            <w:tcW w:w="3509" w:type="pct"/>
            <w:vAlign w:val="center"/>
          </w:tcPr>
          <w:p w14:paraId="4A222A8D">
            <w:pPr>
              <w:pStyle w:val="73"/>
              <w:wordWrap w:val="0"/>
              <w:adjustRightInd w:val="0"/>
              <w:snapToGrid w:val="0"/>
              <w:rPr>
                <w:rFonts w:cs="宋体" w:asciiTheme="minorEastAsia" w:hAnsiTheme="minorEastAsia" w:eastAsiaTheme="minorEastAsia"/>
                <w:b/>
                <w:bCs/>
                <w:sz w:val="24"/>
              </w:rPr>
            </w:pPr>
            <w:bookmarkStart w:id="885" w:name="OLE_LINK186"/>
            <w:bookmarkStart w:id="886" w:name="OLE_LINK185"/>
            <w:r>
              <w:rPr>
                <w:rFonts w:hint="eastAsia" w:cs="宋体" w:asciiTheme="minorEastAsia" w:hAnsiTheme="minorEastAsia" w:eastAsiaTheme="minorEastAsia"/>
                <w:b/>
                <w:bCs/>
                <w:kern w:val="0"/>
                <w:sz w:val="24"/>
                <w:szCs w:val="24"/>
              </w:rPr>
              <w:t>内容包含但不限于：1、在项目实施过程中依法对本项目的安全生产负责；2、制定安全生产责任制度；3、安全生产教育培训制度；4、根据项目特点制定安全文明施工保证措施及工程应急预案；5、</w:t>
            </w:r>
            <w:r>
              <w:rPr>
                <w:rFonts w:hint="eastAsia" w:cs="宋体" w:asciiTheme="minorEastAsia" w:hAnsiTheme="minorEastAsia" w:eastAsiaTheme="minorEastAsia"/>
                <w:b/>
                <w:bCs/>
                <w:sz w:val="24"/>
              </w:rPr>
              <w:t>安全文明施工承诺及违约承诺。</w:t>
            </w:r>
          </w:p>
          <w:p w14:paraId="5D46D212">
            <w:pPr>
              <w:rPr>
                <w:rFonts w:asciiTheme="minorEastAsia" w:hAnsiTheme="minorEastAsia" w:eastAsiaTheme="minorEastAsia"/>
              </w:rPr>
            </w:pPr>
            <w:r>
              <w:rPr>
                <w:rFonts w:hint="eastAsia" w:cs="宋体" w:asciiTheme="minorEastAsia" w:hAnsiTheme="minorEastAsia" w:eastAsiaTheme="minorEastAsia"/>
                <w:kern w:val="0"/>
                <w:sz w:val="24"/>
                <w:szCs w:val="24"/>
              </w:rPr>
              <w:t>以上内容均阐述完整、具体、没有缺陷，且满足本项目实际需求的得20分，有一项内容缺失的扣4分；每有一项内容明显错误，或内容非专门针对本项目，或内容不能满足本项目实际需求的扣2分；分数扣完为止。</w:t>
            </w:r>
            <w:bookmarkEnd w:id="885"/>
            <w:bookmarkEnd w:id="886"/>
          </w:p>
        </w:tc>
      </w:tr>
      <w:bookmarkEnd w:id="882"/>
      <w:tr w14:paraId="3945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pct"/>
            <w:vMerge w:val="continue"/>
            <w:vAlign w:val="center"/>
          </w:tcPr>
          <w:p w14:paraId="6774DE72">
            <w:pPr>
              <w:wordWrap w:val="0"/>
              <w:adjustRightInd w:val="0"/>
              <w:snapToGrid w:val="0"/>
              <w:jc w:val="left"/>
              <w:rPr>
                <w:rFonts w:cs="宋体" w:asciiTheme="minorEastAsia" w:hAnsiTheme="minorEastAsia" w:eastAsiaTheme="minorEastAsia"/>
                <w:sz w:val="24"/>
                <w:szCs w:val="24"/>
              </w:rPr>
            </w:pPr>
            <w:bookmarkStart w:id="887" w:name="_Hlk193965890"/>
          </w:p>
        </w:tc>
        <w:tc>
          <w:tcPr>
            <w:tcW w:w="734" w:type="pct"/>
            <w:vAlign w:val="center"/>
          </w:tcPr>
          <w:p w14:paraId="3C686DE9">
            <w:pPr>
              <w:wordWrap w:val="0"/>
              <w:adjustRightInd w:val="0"/>
              <w:snapToGrid w:val="0"/>
              <w:jc w:val="center"/>
              <w:rPr>
                <w:rFonts w:cs="宋体" w:asciiTheme="minorEastAsia" w:hAnsiTheme="minorEastAsia" w:eastAsiaTheme="minorEastAsia"/>
                <w:sz w:val="24"/>
                <w:szCs w:val="24"/>
              </w:rPr>
            </w:pPr>
            <w:bookmarkStart w:id="888" w:name="OLE_LINK187"/>
            <w:r>
              <w:rPr>
                <w:rFonts w:hint="eastAsia" w:cs="宋体" w:asciiTheme="minorEastAsia" w:hAnsiTheme="minorEastAsia" w:eastAsiaTheme="minorEastAsia"/>
                <w:sz w:val="24"/>
                <w:szCs w:val="24"/>
              </w:rPr>
              <w:t>资源配备计划（满分12分）</w:t>
            </w:r>
            <w:bookmarkEnd w:id="888"/>
          </w:p>
        </w:tc>
        <w:tc>
          <w:tcPr>
            <w:tcW w:w="3509" w:type="pct"/>
            <w:vAlign w:val="center"/>
          </w:tcPr>
          <w:p w14:paraId="451E921A">
            <w:pPr>
              <w:wordWrap w:val="0"/>
              <w:spacing w:line="340" w:lineRule="exact"/>
              <w:jc w:val="left"/>
              <w:rPr>
                <w:rFonts w:cs="仿宋" w:asciiTheme="minorEastAsia" w:hAnsiTheme="minorEastAsia" w:eastAsiaTheme="minorEastAsia"/>
                <w:b/>
                <w:bCs/>
                <w:kern w:val="0"/>
                <w:sz w:val="24"/>
                <w:szCs w:val="24"/>
              </w:rPr>
            </w:pPr>
            <w:bookmarkStart w:id="889" w:name="OLE_LINK188"/>
            <w:r>
              <w:rPr>
                <w:rFonts w:hint="eastAsia" w:cs="仿宋" w:asciiTheme="minorEastAsia" w:hAnsiTheme="minorEastAsia" w:eastAsiaTheme="minorEastAsia"/>
                <w:b/>
                <w:bCs/>
                <w:kern w:val="0"/>
                <w:sz w:val="24"/>
                <w:szCs w:val="24"/>
              </w:rPr>
              <w:t>内容包含但不限于：1、劳动力计划；2、周转材料计划；3、施工机具计划；4、主要材料一次性需用量计划。</w:t>
            </w:r>
          </w:p>
          <w:p w14:paraId="1D3A6C7F">
            <w:pPr>
              <w:rPr>
                <w:rFonts w:cs="宋体"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以上内容均阐述完整、具体、没有缺陷，且满足本项目实际需求的得12分，有一项内容缺失的扣3分；每有一项内容明显错误，或内容非专门针对本项目，或内容不能满足本项目实际需求的扣2分；分数扣完为止。</w:t>
            </w:r>
            <w:bookmarkEnd w:id="889"/>
          </w:p>
        </w:tc>
      </w:tr>
      <w:bookmarkEnd w:id="887"/>
    </w:tbl>
    <w:p w14:paraId="3E8F9E6C">
      <w:pPr>
        <w:wordWrap w:val="0"/>
        <w:adjustRightInd w:val="0"/>
        <w:snapToGrid w:val="0"/>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（3）商务部分评分标准(满分5分)</w:t>
      </w:r>
    </w:p>
    <w:tbl>
      <w:tblPr>
        <w:tblStyle w:val="35"/>
        <w:tblW w:w="50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1564"/>
        <w:gridCol w:w="6892"/>
      </w:tblGrid>
      <w:tr w14:paraId="6BEA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5" w:type="pct"/>
            <w:vAlign w:val="center"/>
          </w:tcPr>
          <w:p w14:paraId="05722722">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条款号</w:t>
            </w:r>
          </w:p>
        </w:tc>
        <w:tc>
          <w:tcPr>
            <w:tcW w:w="783" w:type="pct"/>
            <w:vAlign w:val="center"/>
          </w:tcPr>
          <w:p w14:paraId="3B3E3E2B">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评分因素</w:t>
            </w:r>
          </w:p>
        </w:tc>
        <w:tc>
          <w:tcPr>
            <w:tcW w:w="3450" w:type="pct"/>
            <w:vAlign w:val="center"/>
          </w:tcPr>
          <w:p w14:paraId="50A16ECD">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评分标准</w:t>
            </w:r>
          </w:p>
        </w:tc>
      </w:tr>
      <w:tr w14:paraId="717B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765" w:type="pct"/>
            <w:vAlign w:val="center"/>
          </w:tcPr>
          <w:p w14:paraId="49D09949">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商务部分F3</w:t>
            </w:r>
          </w:p>
          <w:p w14:paraId="0CAC1B4E">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评分标准</w:t>
            </w:r>
          </w:p>
        </w:tc>
        <w:tc>
          <w:tcPr>
            <w:tcW w:w="783" w:type="pct"/>
            <w:vAlign w:val="center"/>
          </w:tcPr>
          <w:p w14:paraId="1E35E053">
            <w:pPr>
              <w:wordWrap w:val="0"/>
              <w:adjustRightInd w:val="0"/>
              <w:snapToGrid w:val="0"/>
              <w:jc w:val="center"/>
              <w:rPr>
                <w:rFonts w:cs="宋体" w:asciiTheme="minorEastAsia" w:hAnsiTheme="minorEastAsia" w:eastAsiaTheme="minorEastAsia"/>
                <w:sz w:val="24"/>
                <w:szCs w:val="24"/>
              </w:rPr>
            </w:pPr>
            <w:bookmarkStart w:id="890" w:name="OLE_LINK39"/>
            <w:bookmarkStart w:id="891" w:name="OLE_LINK40"/>
            <w:r>
              <w:rPr>
                <w:rFonts w:hint="eastAsia" w:cs="宋体" w:asciiTheme="minorEastAsia" w:hAnsiTheme="minorEastAsia" w:eastAsiaTheme="minorEastAsia"/>
                <w:sz w:val="24"/>
                <w:szCs w:val="24"/>
              </w:rPr>
              <w:t>业绩</w:t>
            </w:r>
          </w:p>
          <w:p w14:paraId="273DE85F">
            <w:pPr>
              <w:wordWrap w:val="0"/>
              <w:adjustRightInd w:val="0"/>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（满分5分）</w:t>
            </w:r>
            <w:bookmarkEnd w:id="890"/>
            <w:bookmarkEnd w:id="891"/>
          </w:p>
        </w:tc>
        <w:tc>
          <w:tcPr>
            <w:tcW w:w="3450" w:type="pct"/>
            <w:vAlign w:val="center"/>
          </w:tcPr>
          <w:p w14:paraId="7D8C380A">
            <w:pPr>
              <w:pStyle w:val="14"/>
              <w:wordWrap w:val="0"/>
              <w:adjustRightInd w:val="0"/>
              <w:snapToGrid w:val="0"/>
              <w:jc w:val="left"/>
              <w:rPr>
                <w:rFonts w:cs="宋体" w:asciiTheme="minorEastAsia" w:hAnsiTheme="minorEastAsia" w:eastAsiaTheme="minorEastAsia"/>
                <w:sz w:val="24"/>
                <w:szCs w:val="24"/>
              </w:rPr>
            </w:pPr>
            <w:bookmarkStart w:id="892" w:name="OLE_LINK189"/>
            <w:bookmarkStart w:id="893" w:name="OLE_LINK42"/>
            <w:bookmarkStart w:id="894" w:name="OLE_LINK41"/>
            <w:r>
              <w:rPr>
                <w:rFonts w:hint="eastAsia" w:cs="宋体" w:asciiTheme="minorEastAsia" w:hAnsiTheme="minorEastAsia" w:eastAsiaTheme="minorEastAsia"/>
                <w:sz w:val="24"/>
                <w:szCs w:val="24"/>
              </w:rPr>
              <w:t>供应商2022年至今每完成过1个类似项目业绩得1分，满分5分。</w:t>
            </w:r>
          </w:p>
          <w:bookmarkEnd w:id="892"/>
          <w:p w14:paraId="439B3F12">
            <w:pPr>
              <w:pStyle w:val="14"/>
              <w:wordWrap w:val="0"/>
              <w:adjustRightInd w:val="0"/>
              <w:snapToGrid w:val="0"/>
              <w:spacing w:after="0"/>
              <w:jc w:val="lef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注：供应商须提供中标（成交）通知书或合同协议书的复印件或扫描件方可计分，复印件或扫描件须清晰可辨，否则视为未提供。</w:t>
            </w:r>
            <w:bookmarkEnd w:id="893"/>
            <w:bookmarkEnd w:id="894"/>
          </w:p>
        </w:tc>
      </w:tr>
    </w:tbl>
    <w:p w14:paraId="7CE8FB86">
      <w:pPr>
        <w:wordWrap w:val="0"/>
        <w:spacing w:line="360" w:lineRule="auto"/>
        <w:ind w:firstLine="241" w:firstLineChars="100"/>
        <w:rPr>
          <w:rFonts w:cs="宋体" w:asciiTheme="minorEastAsia" w:hAnsiTheme="minorEastAsia" w:eastAsiaTheme="minorEastAsia"/>
          <w:b/>
          <w:sz w:val="24"/>
        </w:rPr>
      </w:pPr>
      <w:r>
        <w:rPr>
          <w:rFonts w:hint="eastAsia" w:cs="宋体" w:asciiTheme="minorEastAsia" w:hAnsiTheme="minorEastAsia" w:eastAsiaTheme="minorEastAsia"/>
          <w:b/>
          <w:sz w:val="24"/>
        </w:rPr>
        <w:t>（四）磋商和最后报价</w:t>
      </w:r>
    </w:p>
    <w:p w14:paraId="6AEBF130">
      <w:pPr>
        <w:wordWrap w:val="0"/>
        <w:spacing w:line="360" w:lineRule="auto"/>
        <w:ind w:firstLine="54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磋商小组可以对磋商响应文件中含义不明确的内容提出询问。磋商</w:t>
      </w:r>
      <w:r>
        <w:rPr>
          <w:rFonts w:hint="eastAsia" w:cs="宋体" w:asciiTheme="minorEastAsia" w:hAnsiTheme="minorEastAsia" w:eastAsiaTheme="minorEastAsia"/>
          <w:kern w:val="0"/>
          <w:sz w:val="24"/>
          <w:szCs w:val="24"/>
        </w:rPr>
        <w:t>供应</w:t>
      </w:r>
      <w:r>
        <w:rPr>
          <w:rFonts w:hint="eastAsia" w:cs="宋体" w:asciiTheme="minorEastAsia" w:hAnsiTheme="minorEastAsia" w:eastAsiaTheme="minorEastAsia"/>
          <w:sz w:val="24"/>
          <w:szCs w:val="24"/>
        </w:rPr>
        <w:t>商必须按照磋商小组要求的时间、地点派有关人员作必要的澄清或说明。</w:t>
      </w:r>
    </w:p>
    <w:p w14:paraId="10B8C84B">
      <w:pPr>
        <w:wordWrap w:val="0"/>
        <w:spacing w:line="360" w:lineRule="auto"/>
        <w:ind w:firstLine="540"/>
        <w:rPr>
          <w:rFonts w:cs="宋体" w:asciiTheme="minorEastAsia" w:hAnsiTheme="minorEastAsia" w:eastAsiaTheme="minorEastAsia"/>
          <w:b/>
          <w:sz w:val="24"/>
          <w:szCs w:val="24"/>
        </w:rPr>
      </w:pPr>
      <w:r>
        <w:rPr>
          <w:rFonts w:hint="eastAsia" w:cs="宋体" w:asciiTheme="minorEastAsia" w:hAnsiTheme="minorEastAsia" w:eastAsiaTheme="minorEastAsia"/>
          <w:sz w:val="24"/>
          <w:szCs w:val="24"/>
        </w:rPr>
        <w:t>必要时磋商小组可要求磋商供应商就询问的内容作书面回答，该书面回答应有磋商供应商的法定代表人或其授权代理人的签名，并作为磋商响应文件内容的一部分。</w:t>
      </w:r>
    </w:p>
    <w:p w14:paraId="0443D22F">
      <w:pPr>
        <w:wordWrap w:val="0"/>
        <w:spacing w:line="360" w:lineRule="auto"/>
        <w:ind w:firstLine="54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通过资格评审→符合性评审的磋商供应商在此阶段可在遵循本项目竞争性磋商文件的规定和自身提交的磋商响应文件的实质性要求的前提下，与磋商小组进行磋商。磋商内容包括服务期、付款条件、服务承诺、服务质量等。通过资格评审→符合性评审的磋商供应商均有唯一的最后报价的机会。</w:t>
      </w:r>
    </w:p>
    <w:p w14:paraId="5E91B026">
      <w:pPr>
        <w:pStyle w:val="46"/>
        <w:wordWrap w:val="0"/>
        <w:spacing w:line="360" w:lineRule="auto"/>
        <w:ind w:left="482" w:firstLine="0"/>
        <w:rPr>
          <w:rFonts w:cs="宋体" w:asciiTheme="minorEastAsia" w:hAnsiTheme="minorEastAsia" w:eastAsiaTheme="minorEastAsia"/>
          <w:b/>
          <w:sz w:val="24"/>
        </w:rPr>
      </w:pPr>
      <w:r>
        <w:rPr>
          <w:rFonts w:hint="eastAsia" w:cs="宋体" w:asciiTheme="minorEastAsia" w:hAnsiTheme="minorEastAsia" w:eastAsiaTheme="minorEastAsia"/>
          <w:b/>
          <w:sz w:val="24"/>
        </w:rPr>
        <w:t>（五）统分原则</w:t>
      </w:r>
    </w:p>
    <w:p w14:paraId="3A8D81CC">
      <w:pPr>
        <w:wordWrap w:val="0"/>
        <w:spacing w:line="360" w:lineRule="auto"/>
        <w:ind w:firstLine="54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1、评委应首先对各供应商的磋商响应文件进行评审，写出书面意见并按磋商文件规定分值评分。</w:t>
      </w:r>
    </w:p>
    <w:p w14:paraId="23C8CB11">
      <w:pPr>
        <w:wordWrap w:val="0"/>
        <w:spacing w:line="360" w:lineRule="auto"/>
        <w:ind w:firstLine="54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2、除价格部分（F1）外，其余部分由各评委自主评分并签字确认。</w:t>
      </w:r>
    </w:p>
    <w:p w14:paraId="1DC488A2">
      <w:pPr>
        <w:wordWrap w:val="0"/>
        <w:spacing w:line="360" w:lineRule="auto"/>
        <w:ind w:firstLine="54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3、统分原则：计算算术平均值为供应商的该项评分因素的得分（保留小数点后两位）。</w:t>
      </w:r>
    </w:p>
    <w:p w14:paraId="224DCF03">
      <w:pPr>
        <w:wordWrap w:val="0"/>
        <w:spacing w:line="360" w:lineRule="auto"/>
        <w:ind w:firstLine="54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4、统分办法：各项评分因素得分的总和即为供应商最后得分。</w:t>
      </w:r>
    </w:p>
    <w:p w14:paraId="6B2F492F">
      <w:pPr>
        <w:wordWrap w:val="0"/>
        <w:spacing w:line="360" w:lineRule="auto"/>
        <w:ind w:firstLine="542"/>
        <w:rPr>
          <w:rFonts w:cs="宋体" w:asciiTheme="minorEastAsia" w:hAnsiTheme="minorEastAsia" w:eastAsiaTheme="minorEastAsia"/>
          <w:b/>
          <w:sz w:val="24"/>
          <w:szCs w:val="24"/>
        </w:rPr>
      </w:pPr>
      <w:bookmarkStart w:id="895" w:name="_Toc169430816"/>
      <w:r>
        <w:rPr>
          <w:rFonts w:hint="eastAsia" w:cs="宋体" w:asciiTheme="minorEastAsia" w:hAnsiTheme="minorEastAsia" w:eastAsiaTheme="minorEastAsia"/>
          <w:b/>
          <w:sz w:val="24"/>
          <w:szCs w:val="24"/>
        </w:rPr>
        <w:t>（六）成交条件</w:t>
      </w:r>
      <w:bookmarkEnd w:id="895"/>
    </w:p>
    <w:p w14:paraId="6D6AC805">
      <w:pPr>
        <w:wordWrap w:val="0"/>
        <w:spacing w:line="360" w:lineRule="auto"/>
        <w:ind w:firstLine="54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1、竞争性磋商供应商所提供的服务最大限度的满足或优于竞争性磋商文件要求。</w:t>
      </w:r>
    </w:p>
    <w:p w14:paraId="65126E79">
      <w:pPr>
        <w:wordWrap w:val="0"/>
        <w:spacing w:line="360" w:lineRule="auto"/>
        <w:ind w:firstLine="54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2、通过符合性评审且综合评分得分最高的供应商，但不得超出采购人的预算。</w:t>
      </w:r>
    </w:p>
    <w:p w14:paraId="7ED7585E">
      <w:pPr>
        <w:wordWrap w:val="0"/>
        <w:spacing w:line="360" w:lineRule="auto"/>
        <w:ind w:firstLine="54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3、具有履行合同所必需的服务能力。</w:t>
      </w:r>
    </w:p>
    <w:p w14:paraId="4196F5F0">
      <w:pPr>
        <w:wordWrap w:val="0"/>
        <w:spacing w:line="360" w:lineRule="auto"/>
        <w:ind w:firstLine="54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4、有优秀的服务能力并对服务质量等做出了承诺。</w:t>
      </w:r>
    </w:p>
    <w:p w14:paraId="52B1F97F">
      <w:pPr>
        <w:wordWrap w:val="0"/>
        <w:spacing w:line="360" w:lineRule="auto"/>
        <w:ind w:firstLine="542"/>
        <w:rPr>
          <w:rFonts w:cs="宋体" w:asciiTheme="minorEastAsia" w:hAnsiTheme="minorEastAsia" w:eastAsiaTheme="minorEastAsia"/>
          <w:b/>
          <w:sz w:val="24"/>
          <w:szCs w:val="24"/>
        </w:rPr>
      </w:pPr>
      <w:bookmarkStart w:id="896" w:name="_Toc169430817"/>
      <w:bookmarkStart w:id="897" w:name="_Toc58036829"/>
      <w:r>
        <w:rPr>
          <w:rFonts w:hint="eastAsia" w:cs="宋体" w:asciiTheme="minorEastAsia" w:hAnsiTheme="minorEastAsia" w:eastAsiaTheme="minorEastAsia"/>
          <w:b/>
          <w:sz w:val="24"/>
          <w:szCs w:val="24"/>
        </w:rPr>
        <w:t>（七）评审过程的保密</w:t>
      </w:r>
      <w:bookmarkEnd w:id="896"/>
      <w:bookmarkEnd w:id="897"/>
    </w:p>
    <w:p w14:paraId="2FA96006">
      <w:pPr>
        <w:wordWrap w:val="0"/>
        <w:spacing w:line="360" w:lineRule="auto"/>
        <w:ind w:firstLine="54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评审活动在严格保密的情况下进行。磋商小组成员在成交结果确定前保密。</w:t>
      </w:r>
    </w:p>
    <w:p w14:paraId="00071A10">
      <w:pPr>
        <w:wordWrap w:val="0"/>
        <w:spacing w:line="360" w:lineRule="auto"/>
        <w:ind w:firstLine="54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磋商小组成员或者与评审活动有关的工作人员不得向他人透露对磋商响应文件的评审和比较、成交候选人的推荐以及与评审有关的其他情况。</w:t>
      </w:r>
    </w:p>
    <w:p w14:paraId="329CCD53">
      <w:pPr>
        <w:pStyle w:val="3"/>
        <w:wordWrap w:val="0"/>
        <w:spacing w:before="0" w:after="0" w:line="360" w:lineRule="auto"/>
        <w:ind w:firstLine="241" w:firstLineChars="100"/>
        <w:rPr>
          <w:rFonts w:cs="宋体" w:asciiTheme="minorEastAsia" w:hAnsiTheme="minorEastAsia" w:eastAsiaTheme="minorEastAsia"/>
          <w:sz w:val="24"/>
          <w:szCs w:val="24"/>
        </w:rPr>
      </w:pPr>
      <w:bookmarkStart w:id="898" w:name="_Toc132376777"/>
      <w:bookmarkStart w:id="899" w:name="_Toc15193"/>
      <w:bookmarkStart w:id="900" w:name="_Toc2184"/>
      <w:bookmarkStart w:id="901" w:name="_Toc193796087"/>
      <w:bookmarkStart w:id="902" w:name="_Toc23619"/>
      <w:bookmarkStart w:id="903" w:name="_Toc2875"/>
      <w:bookmarkStart w:id="904" w:name="_Toc25594"/>
      <w:r>
        <w:rPr>
          <w:rFonts w:hint="eastAsia" w:cs="宋体" w:asciiTheme="minorEastAsia" w:hAnsiTheme="minorEastAsia" w:eastAsiaTheme="minorEastAsia"/>
          <w:sz w:val="24"/>
          <w:szCs w:val="24"/>
        </w:rPr>
        <w:t>四、</w:t>
      </w:r>
      <w:bookmarkStart w:id="905" w:name="_Toc17009861"/>
      <w:bookmarkStart w:id="906" w:name="_Toc153009368"/>
      <w:r>
        <w:rPr>
          <w:rFonts w:hint="eastAsia" w:cs="宋体" w:asciiTheme="minorEastAsia" w:hAnsiTheme="minorEastAsia" w:eastAsiaTheme="minorEastAsia"/>
          <w:sz w:val="24"/>
          <w:szCs w:val="24"/>
        </w:rPr>
        <w:t>授予合同</w:t>
      </w:r>
      <w:bookmarkEnd w:id="898"/>
      <w:bookmarkEnd w:id="899"/>
      <w:bookmarkEnd w:id="900"/>
      <w:bookmarkEnd w:id="901"/>
      <w:bookmarkEnd w:id="902"/>
      <w:bookmarkEnd w:id="903"/>
      <w:bookmarkEnd w:id="904"/>
    </w:p>
    <w:p w14:paraId="5E261A0E">
      <w:pPr>
        <w:wordWrap w:val="0"/>
        <w:spacing w:line="360" w:lineRule="auto"/>
        <w:ind w:firstLine="542"/>
        <w:rPr>
          <w:rFonts w:cs="宋体" w:asciiTheme="minorEastAsia" w:hAnsiTheme="minorEastAsia" w:eastAsiaTheme="minorEastAsia"/>
          <w:sz w:val="24"/>
          <w:szCs w:val="24"/>
        </w:rPr>
      </w:pPr>
      <w:r>
        <w:rPr>
          <w:rFonts w:hint="eastAsia" w:cs="宋体" w:asciiTheme="minorEastAsia" w:hAnsiTheme="minorEastAsia" w:eastAsiaTheme="minorEastAsia"/>
          <w:b/>
          <w:sz w:val="24"/>
          <w:szCs w:val="24"/>
        </w:rPr>
        <w:t>4.1成交通知</w:t>
      </w:r>
      <w:bookmarkEnd w:id="905"/>
      <w:bookmarkEnd w:id="906"/>
    </w:p>
    <w:p w14:paraId="0549CFAC">
      <w:pPr>
        <w:wordWrap w:val="0"/>
        <w:spacing w:line="360" w:lineRule="auto"/>
        <w:ind w:firstLine="53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4.1.1采购代理机构根据采购人确认的成交供应商或采购评审小组直接确定的供应商以书面形式签发成交通知书。成交供应商随后携该通知书与采购方签订合同。成交通知书将作为合同的组成部分；</w:t>
      </w:r>
    </w:p>
    <w:p w14:paraId="00151D3D">
      <w:pPr>
        <w:wordWrap w:val="0"/>
        <w:spacing w:line="360" w:lineRule="auto"/>
        <w:ind w:firstLine="53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4.1.2对未成交的磋商申请单位不予解释未能成交的原因。</w:t>
      </w:r>
    </w:p>
    <w:p w14:paraId="54B971DF">
      <w:pPr>
        <w:wordWrap w:val="0"/>
        <w:spacing w:line="360" w:lineRule="auto"/>
        <w:ind w:firstLine="540"/>
        <w:rPr>
          <w:rFonts w:cs="宋体" w:asciiTheme="minorEastAsia" w:hAnsiTheme="minorEastAsia" w:eastAsiaTheme="minorEastAsia"/>
          <w:b/>
          <w:sz w:val="24"/>
          <w:szCs w:val="24"/>
        </w:rPr>
      </w:pPr>
      <w:bookmarkStart w:id="907" w:name="_Toc153009369"/>
      <w:bookmarkStart w:id="908" w:name="_Toc17009862"/>
      <w:r>
        <w:rPr>
          <w:rFonts w:hint="eastAsia" w:cs="宋体" w:asciiTheme="minorEastAsia" w:hAnsiTheme="minorEastAsia" w:eastAsiaTheme="minorEastAsia"/>
          <w:b/>
          <w:sz w:val="24"/>
          <w:szCs w:val="24"/>
        </w:rPr>
        <w:t>4.2签订合同</w:t>
      </w:r>
      <w:bookmarkEnd w:id="907"/>
      <w:bookmarkEnd w:id="908"/>
    </w:p>
    <w:p w14:paraId="22D81330">
      <w:pPr>
        <w:wordWrap w:val="0"/>
        <w:spacing w:line="360" w:lineRule="auto"/>
        <w:ind w:firstLine="53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4.2.1采购人与成交供应商在成交通知书发出之日起三十日内，按照采购文件确定的事项签订政府采购合同；</w:t>
      </w:r>
    </w:p>
    <w:p w14:paraId="61188844">
      <w:pPr>
        <w:wordWrap w:val="0"/>
        <w:spacing w:line="360" w:lineRule="auto"/>
        <w:ind w:firstLine="54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4.2.2 4.2.2竞争性磋商申请文件、供应商的磋商申请文件及其澄清文件、成交通知书，均作为签订合同内容的依据。</w:t>
      </w:r>
      <w:r>
        <w:rPr>
          <w:rFonts w:cs="宋体" w:asciiTheme="minorEastAsia" w:hAnsiTheme="minorEastAsia" w:eastAsiaTheme="minorEastAsia"/>
          <w:sz w:val="24"/>
          <w:szCs w:val="24"/>
        </w:rPr>
        <w:br w:type="page"/>
      </w:r>
    </w:p>
    <w:p w14:paraId="36390C65">
      <w:pPr>
        <w:pStyle w:val="2"/>
        <w:wordWrap w:val="0"/>
        <w:spacing w:line="360" w:lineRule="auto"/>
        <w:jc w:val="center"/>
        <w:rPr>
          <w:rFonts w:cs="宋体" w:asciiTheme="minorEastAsia" w:hAnsiTheme="minorEastAsia" w:eastAsiaTheme="minorEastAsia"/>
          <w:sz w:val="36"/>
          <w:szCs w:val="36"/>
        </w:rPr>
      </w:pPr>
      <w:bookmarkStart w:id="909" w:name="_Toc247358554"/>
      <w:bookmarkStart w:id="910" w:name="_Toc9421"/>
      <w:bookmarkStart w:id="911" w:name="_Toc24570"/>
      <w:bookmarkStart w:id="912" w:name="_Toc193796088"/>
      <w:bookmarkStart w:id="913" w:name="_Toc8505"/>
      <w:bookmarkStart w:id="914" w:name="_Toc132376778"/>
      <w:bookmarkStart w:id="915" w:name="_Toc22354"/>
      <w:r>
        <w:rPr>
          <w:rFonts w:hint="eastAsia" w:cs="宋体" w:asciiTheme="minorEastAsia" w:hAnsiTheme="minorEastAsia" w:eastAsiaTheme="minorEastAsia"/>
          <w:sz w:val="36"/>
          <w:szCs w:val="36"/>
        </w:rPr>
        <w:t xml:space="preserve">第四章 </w:t>
      </w:r>
      <w:bookmarkEnd w:id="909"/>
      <w:r>
        <w:rPr>
          <w:rFonts w:hint="eastAsia" w:cs="宋体" w:asciiTheme="minorEastAsia" w:hAnsiTheme="minorEastAsia" w:eastAsiaTheme="minorEastAsia"/>
          <w:sz w:val="36"/>
          <w:szCs w:val="36"/>
        </w:rPr>
        <w:t>合同基本条款及格式</w:t>
      </w:r>
      <w:bookmarkEnd w:id="910"/>
      <w:bookmarkEnd w:id="911"/>
      <w:bookmarkEnd w:id="912"/>
      <w:bookmarkEnd w:id="913"/>
      <w:bookmarkEnd w:id="914"/>
    </w:p>
    <w:p w14:paraId="25A5C791">
      <w:pPr>
        <w:adjustRightInd w:val="0"/>
        <w:snapToGrid w:val="0"/>
        <w:spacing w:after="120" w:afterLines="50" w:line="360" w:lineRule="auto"/>
        <w:jc w:val="center"/>
        <w:rPr>
          <w:rFonts w:ascii="宋体" w:hAnsi="宋体"/>
          <w:b/>
          <w:sz w:val="28"/>
          <w:szCs w:val="28"/>
        </w:rPr>
      </w:pPr>
      <w:r>
        <w:rPr>
          <w:rFonts w:hint="eastAsia" w:ascii="宋体" w:hAnsi="宋体"/>
          <w:b/>
          <w:sz w:val="28"/>
          <w:szCs w:val="28"/>
        </w:rPr>
        <w:t>（仅供参考，具体以双方签订时为准）</w:t>
      </w:r>
      <w:bookmarkEnd w:id="915"/>
    </w:p>
    <w:p w14:paraId="4D0E405B">
      <w:pPr>
        <w:tabs>
          <w:tab w:val="left" w:pos="6750"/>
        </w:tabs>
        <w:wordWrap w:val="0"/>
        <w:spacing w:before="38" w:line="320" w:lineRule="exact"/>
        <w:ind w:left="102"/>
        <w:jc w:val="left"/>
        <w:rPr>
          <w:rFonts w:cs="宋体" w:asciiTheme="minorEastAsia" w:hAnsiTheme="minorEastAsia" w:eastAsiaTheme="minorEastAsia"/>
          <w:sz w:val="19"/>
        </w:rPr>
      </w:pPr>
      <w:bookmarkStart w:id="916" w:name="_Toc132376779"/>
      <w:r>
        <w:rPr>
          <w:rFonts w:hint="eastAsia" w:cs="宋体" w:asciiTheme="minorEastAsia" w:hAnsiTheme="minorEastAsia" w:eastAsiaTheme="minorEastAsia"/>
          <w:sz w:val="24"/>
        </w:rPr>
        <w:t xml:space="preserve">合同编号：                               </w:t>
      </w:r>
      <w:r>
        <w:rPr>
          <w:rFonts w:hint="eastAsia" w:cs="宋体" w:asciiTheme="minorEastAsia" w:hAnsiTheme="minorEastAsia" w:eastAsiaTheme="minorEastAsia"/>
          <w:spacing w:val="24"/>
          <w:position w:val="2"/>
          <w:sz w:val="19"/>
        </w:rPr>
        <w:t xml:space="preserve">  </w:t>
      </w:r>
      <w:r>
        <w:rPr>
          <w:rFonts w:hint="eastAsia" w:cs="宋体" w:asciiTheme="minorEastAsia" w:hAnsiTheme="minorEastAsia" w:eastAsiaTheme="minorEastAsia"/>
          <w:sz w:val="24"/>
        </w:rPr>
        <w:t>合同自编号</w:t>
      </w:r>
      <w:r>
        <w:rPr>
          <w:rFonts w:hint="eastAsia" w:cs="宋体" w:asciiTheme="minorEastAsia" w:hAnsiTheme="minorEastAsia" w:eastAsiaTheme="minorEastAsia"/>
          <w:sz w:val="19"/>
        </w:rPr>
        <w:t>：</w:t>
      </w:r>
      <w:r>
        <w:rPr>
          <w:rFonts w:hint="eastAsia" w:cs="宋体" w:asciiTheme="minorEastAsia" w:hAnsiTheme="minorEastAsia" w:eastAsiaTheme="minorEastAsia"/>
          <w:sz w:val="19"/>
        </w:rPr>
        <w:tab/>
      </w:r>
      <w:r>
        <w:rPr>
          <w:rFonts w:hint="eastAsia" w:cs="宋体" w:asciiTheme="minorEastAsia" w:hAnsiTheme="minorEastAsia" w:eastAsiaTheme="minorEastAsia"/>
          <w:sz w:val="19"/>
        </w:rPr>
        <w:t xml:space="preserve">      </w:t>
      </w:r>
      <w:r>
        <w:rPr>
          <w:rFonts w:hint="eastAsia" w:cs="宋体" w:asciiTheme="minorEastAsia" w:hAnsiTheme="minorEastAsia" w:eastAsiaTheme="minorEastAsia"/>
          <w:sz w:val="24"/>
        </w:rPr>
        <w:t>招标编号</w:t>
      </w:r>
      <w:r>
        <w:rPr>
          <w:rFonts w:hint="eastAsia" w:cs="宋体" w:asciiTheme="minorEastAsia" w:hAnsiTheme="minorEastAsia" w:eastAsiaTheme="minorEastAsia"/>
          <w:sz w:val="19"/>
        </w:rPr>
        <w:t>：</w:t>
      </w:r>
    </w:p>
    <w:p w14:paraId="11468AB3">
      <w:pPr>
        <w:wordWrap w:val="0"/>
        <w:spacing w:before="7" w:line="320" w:lineRule="exact"/>
        <w:rPr>
          <w:rFonts w:cs="宋体" w:asciiTheme="minorEastAsia" w:hAnsiTheme="minorEastAsia" w:eastAsiaTheme="minorEastAsia"/>
          <w:sz w:val="44"/>
        </w:rPr>
      </w:pPr>
    </w:p>
    <w:p w14:paraId="39B0B6DB">
      <w:pPr>
        <w:wordWrap w:val="0"/>
        <w:spacing w:line="320" w:lineRule="exact"/>
        <w:ind w:left="102"/>
        <w:jc w:val="left"/>
        <w:rPr>
          <w:rFonts w:cs="宋体" w:asciiTheme="minorEastAsia" w:hAnsiTheme="minorEastAsia" w:eastAsiaTheme="minorEastAsia"/>
          <w:sz w:val="24"/>
        </w:rPr>
      </w:pPr>
      <w:r>
        <w:rPr>
          <w:rFonts w:hint="eastAsia" w:cs="宋体" w:asciiTheme="minorEastAsia" w:hAnsiTheme="minorEastAsia" w:eastAsiaTheme="minorEastAsia"/>
          <w:sz w:val="24"/>
        </w:rPr>
        <w:t>●本合同须加盖甲乙双方骑缝章有效</w:t>
      </w:r>
    </w:p>
    <w:p w14:paraId="42A8812F">
      <w:pPr>
        <w:wordWrap w:val="0"/>
        <w:spacing w:line="320" w:lineRule="exact"/>
        <w:rPr>
          <w:rFonts w:cs="宋体" w:asciiTheme="minorEastAsia" w:hAnsiTheme="minorEastAsia" w:eastAsiaTheme="minorEastAsia"/>
          <w:sz w:val="32"/>
        </w:rPr>
      </w:pPr>
    </w:p>
    <w:p w14:paraId="51556F55">
      <w:pPr>
        <w:wordWrap w:val="0"/>
        <w:rPr>
          <w:rFonts w:cs="宋体" w:asciiTheme="minorEastAsia" w:hAnsiTheme="minorEastAsia" w:eastAsiaTheme="minorEastAsia"/>
          <w:sz w:val="32"/>
        </w:rPr>
      </w:pPr>
    </w:p>
    <w:p w14:paraId="4EFE8772">
      <w:pPr>
        <w:wordWrap w:val="0"/>
        <w:spacing w:before="5"/>
        <w:rPr>
          <w:rFonts w:cs="宋体" w:asciiTheme="minorEastAsia" w:hAnsiTheme="minorEastAsia" w:eastAsiaTheme="minorEastAsia"/>
          <w:sz w:val="16"/>
        </w:rPr>
      </w:pPr>
    </w:p>
    <w:p w14:paraId="345F97CA">
      <w:pPr>
        <w:wordWrap w:val="0"/>
        <w:rPr>
          <w:rFonts w:cs="宋体" w:asciiTheme="minorEastAsia" w:hAnsiTheme="minorEastAsia" w:eastAsiaTheme="minorEastAsia"/>
          <w:sz w:val="26"/>
        </w:rPr>
      </w:pPr>
    </w:p>
    <w:p w14:paraId="4B209F37">
      <w:pPr>
        <w:wordWrap w:val="0"/>
        <w:rPr>
          <w:rFonts w:cs="宋体" w:asciiTheme="minorEastAsia" w:hAnsiTheme="minorEastAsia" w:eastAsiaTheme="minorEastAsia"/>
          <w:sz w:val="26"/>
        </w:rPr>
      </w:pPr>
    </w:p>
    <w:p w14:paraId="0B3C18D9">
      <w:pPr>
        <w:wordWrap w:val="0"/>
        <w:rPr>
          <w:rFonts w:cs="宋体" w:asciiTheme="minorEastAsia" w:hAnsiTheme="minorEastAsia" w:eastAsiaTheme="minorEastAsia"/>
          <w:sz w:val="26"/>
        </w:rPr>
      </w:pPr>
    </w:p>
    <w:p w14:paraId="5229B563">
      <w:pPr>
        <w:wordWrap w:val="0"/>
        <w:rPr>
          <w:rFonts w:cs="宋体" w:asciiTheme="minorEastAsia" w:hAnsiTheme="minorEastAsia" w:eastAsiaTheme="minorEastAsia"/>
          <w:sz w:val="26"/>
        </w:rPr>
      </w:pPr>
    </w:p>
    <w:p w14:paraId="09FA7EE9">
      <w:pPr>
        <w:wordWrap w:val="0"/>
        <w:rPr>
          <w:rFonts w:cs="宋体" w:asciiTheme="minorEastAsia" w:hAnsiTheme="minorEastAsia" w:eastAsiaTheme="minorEastAsia"/>
          <w:sz w:val="26"/>
        </w:rPr>
      </w:pPr>
    </w:p>
    <w:p w14:paraId="6B28D184">
      <w:pPr>
        <w:wordWrap w:val="0"/>
        <w:rPr>
          <w:rFonts w:cs="宋体" w:asciiTheme="minorEastAsia" w:hAnsiTheme="minorEastAsia" w:eastAsiaTheme="minorEastAsia"/>
          <w:sz w:val="26"/>
        </w:rPr>
      </w:pPr>
    </w:p>
    <w:p w14:paraId="6D3FE191">
      <w:pPr>
        <w:wordWrap w:val="0"/>
        <w:rPr>
          <w:rFonts w:cs="宋体" w:asciiTheme="minorEastAsia" w:hAnsiTheme="minorEastAsia" w:eastAsiaTheme="minorEastAsia"/>
          <w:sz w:val="26"/>
        </w:rPr>
      </w:pPr>
    </w:p>
    <w:p w14:paraId="293EE66A">
      <w:pPr>
        <w:wordWrap w:val="0"/>
        <w:rPr>
          <w:rFonts w:cs="宋体" w:asciiTheme="minorEastAsia" w:hAnsiTheme="minorEastAsia" w:eastAsiaTheme="minorEastAsia"/>
          <w:sz w:val="20"/>
        </w:rPr>
      </w:pPr>
    </w:p>
    <w:p w14:paraId="494D92BA">
      <w:pPr>
        <w:wordWrap w:val="0"/>
        <w:spacing w:before="1" w:line="307" w:lineRule="auto"/>
        <w:ind w:left="4629" w:right="3977"/>
        <w:rPr>
          <w:rFonts w:cs="宋体" w:asciiTheme="minorEastAsia" w:hAnsiTheme="minorEastAsia" w:eastAsiaTheme="minorEastAsia"/>
          <w:sz w:val="63"/>
        </w:rPr>
      </w:pPr>
      <w:r>
        <w:rPr>
          <w:rFonts w:hint="eastAsia" w:cs="宋体" w:asciiTheme="minorEastAsia" w:hAnsiTheme="minorEastAsia" w:eastAsiaTheme="minorEastAsia"/>
          <w:sz w:val="63"/>
        </w:rPr>
        <w:t>合同书</w:t>
      </w:r>
    </w:p>
    <w:p w14:paraId="3B625528">
      <w:pPr>
        <w:wordWrap w:val="0"/>
        <w:spacing w:before="433"/>
        <w:ind w:right="2330"/>
        <w:rPr>
          <w:rFonts w:cs="宋体" w:asciiTheme="minorEastAsia" w:hAnsiTheme="minorEastAsia" w:eastAsiaTheme="minorEastAsia"/>
        </w:rPr>
      </w:pPr>
    </w:p>
    <w:p w14:paraId="57361CC9">
      <w:pPr>
        <w:wordWrap w:val="0"/>
        <w:spacing w:before="433"/>
        <w:ind w:right="2330"/>
        <w:rPr>
          <w:rFonts w:cs="宋体" w:asciiTheme="minorEastAsia" w:hAnsiTheme="minorEastAsia" w:eastAsiaTheme="minorEastAsia"/>
        </w:rPr>
      </w:pPr>
    </w:p>
    <w:p w14:paraId="2459B516">
      <w:pPr>
        <w:wordWrap w:val="0"/>
        <w:spacing w:before="433"/>
        <w:ind w:right="2330"/>
        <w:rPr>
          <w:rFonts w:cs="宋体" w:asciiTheme="minorEastAsia" w:hAnsiTheme="minorEastAsia" w:eastAsiaTheme="minorEastAsia"/>
        </w:rPr>
      </w:pPr>
    </w:p>
    <w:p w14:paraId="1122548C">
      <w:pPr>
        <w:wordWrap w:val="0"/>
        <w:spacing w:before="433"/>
        <w:ind w:right="2330"/>
        <w:rPr>
          <w:rFonts w:cs="宋体" w:asciiTheme="minorEastAsia" w:hAnsiTheme="minorEastAsia" w:eastAsiaTheme="minorEastAsia"/>
        </w:rPr>
      </w:pPr>
      <w:r>
        <w:rPr>
          <w:rFonts w:hint="eastAsia" w:cs="宋体" w:asciiTheme="minorEastAsia" w:hAnsiTheme="minorEastAsia" w:eastAsiaTheme="minorEastAsia"/>
        </w:rPr>
        <w:t>签订地点:</w:t>
      </w:r>
    </w:p>
    <w:p w14:paraId="54EFD2E3">
      <w:pPr>
        <w:pStyle w:val="14"/>
        <w:wordWrap w:val="0"/>
        <w:rPr>
          <w:rFonts w:cs="宋体" w:asciiTheme="minorEastAsia" w:hAnsiTheme="minorEastAsia" w:eastAsiaTheme="minorEastAsia"/>
        </w:rPr>
      </w:pPr>
    </w:p>
    <w:p w14:paraId="27300D13">
      <w:pPr>
        <w:wordWrap w:val="0"/>
        <w:rPr>
          <w:rFonts w:cs="宋体" w:asciiTheme="minorEastAsia" w:hAnsiTheme="minorEastAsia" w:eastAsiaTheme="minorEastAsia"/>
        </w:rPr>
      </w:pPr>
    </w:p>
    <w:p w14:paraId="1FC9C465">
      <w:pPr>
        <w:wordWrap w:val="0"/>
        <w:spacing w:before="1"/>
        <w:rPr>
          <w:rFonts w:cs="宋体" w:asciiTheme="minorEastAsia" w:hAnsiTheme="minorEastAsia" w:eastAsiaTheme="minorEastAsia"/>
          <w:b/>
          <w:sz w:val="42"/>
        </w:rPr>
      </w:pPr>
    </w:p>
    <w:p w14:paraId="2C0DED10">
      <w:pPr>
        <w:widowControl/>
        <w:jc w:val="left"/>
        <w:rPr>
          <w:rFonts w:cs="宋体" w:asciiTheme="minorEastAsia" w:hAnsiTheme="minorEastAsia" w:eastAsiaTheme="minorEastAsia"/>
          <w:b/>
          <w:sz w:val="27"/>
        </w:rPr>
      </w:pPr>
      <w:r>
        <w:rPr>
          <w:rFonts w:cs="宋体" w:asciiTheme="minorEastAsia" w:hAnsiTheme="minorEastAsia" w:eastAsiaTheme="minorEastAsia"/>
          <w:b/>
          <w:sz w:val="27"/>
        </w:rPr>
        <w:br w:type="page"/>
      </w:r>
    </w:p>
    <w:p w14:paraId="49BD2FC2">
      <w:pPr>
        <w:wordWrap w:val="0"/>
        <w:spacing w:before="55" w:line="360" w:lineRule="auto"/>
        <w:ind w:left="102" w:right="5174"/>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甲方（采购人公章）名 称：</w:t>
      </w:r>
    </w:p>
    <w:p w14:paraId="5D0DC997">
      <w:pPr>
        <w:wordWrap w:val="0"/>
        <w:spacing w:before="55" w:line="360" w:lineRule="auto"/>
        <w:ind w:left="102" w:right="5174"/>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 址：</w:t>
      </w:r>
    </w:p>
    <w:p w14:paraId="3277820B">
      <w:pPr>
        <w:wordWrap w:val="0"/>
        <w:spacing w:before="55" w:line="360" w:lineRule="auto"/>
        <w:ind w:left="102" w:right="5174"/>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邮 编：</w:t>
      </w:r>
    </w:p>
    <w:p w14:paraId="7855779D">
      <w:pPr>
        <w:wordWrap w:val="0"/>
        <w:spacing w:before="55" w:line="360" w:lineRule="auto"/>
        <w:ind w:left="102" w:right="5174"/>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法定代表人或委托代理人：</w:t>
      </w:r>
    </w:p>
    <w:p w14:paraId="5776F9F2">
      <w:pPr>
        <w:wordWrap w:val="0"/>
        <w:spacing w:before="55" w:line="360" w:lineRule="auto"/>
        <w:ind w:left="102" w:right="5174"/>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项目（技术）负责人：</w:t>
      </w:r>
    </w:p>
    <w:p w14:paraId="12A19E36">
      <w:pPr>
        <w:wordWrap w:val="0"/>
        <w:spacing w:before="55" w:line="360" w:lineRule="auto"/>
        <w:ind w:left="102" w:right="5174"/>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 话：</w:t>
      </w:r>
    </w:p>
    <w:p w14:paraId="69DB0F4E">
      <w:pPr>
        <w:wordWrap w:val="0"/>
        <w:spacing w:before="55" w:line="360" w:lineRule="auto"/>
        <w:ind w:left="102" w:right="5174"/>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签订日期：</w:t>
      </w:r>
    </w:p>
    <w:p w14:paraId="5C791DF4">
      <w:pPr>
        <w:wordWrap w:val="0"/>
        <w:spacing w:before="220" w:line="360" w:lineRule="auto"/>
        <w:ind w:left="102"/>
        <w:jc w:val="left"/>
        <w:rPr>
          <w:rFonts w:cs="宋体" w:asciiTheme="minorEastAsia" w:hAnsiTheme="minorEastAsia" w:eastAsiaTheme="minorEastAsia"/>
          <w:sz w:val="24"/>
          <w:szCs w:val="24"/>
        </w:rPr>
      </w:pPr>
    </w:p>
    <w:p w14:paraId="397462AC">
      <w:pPr>
        <w:wordWrap w:val="0"/>
        <w:spacing w:before="220" w:line="360" w:lineRule="auto"/>
        <w:ind w:left="102"/>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乙方（供应商公章）名 称：</w:t>
      </w:r>
    </w:p>
    <w:p w14:paraId="0FA6720C">
      <w:pPr>
        <w:wordWrap w:val="0"/>
        <w:spacing w:before="55" w:line="360" w:lineRule="auto"/>
        <w:ind w:left="102" w:right="5174"/>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 址：</w:t>
      </w:r>
    </w:p>
    <w:p w14:paraId="756C55AF">
      <w:pPr>
        <w:wordWrap w:val="0"/>
        <w:spacing w:before="55" w:line="360" w:lineRule="auto"/>
        <w:ind w:left="102" w:right="5174"/>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邮 编：</w:t>
      </w:r>
    </w:p>
    <w:p w14:paraId="3013E8B1">
      <w:pPr>
        <w:wordWrap w:val="0"/>
        <w:spacing w:before="55" w:line="360" w:lineRule="auto"/>
        <w:ind w:left="102" w:right="5174"/>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法定代表人或委托代理人：</w:t>
      </w:r>
    </w:p>
    <w:p w14:paraId="54D57C31">
      <w:pPr>
        <w:wordWrap w:val="0"/>
        <w:spacing w:before="55" w:line="360" w:lineRule="auto"/>
        <w:ind w:left="102" w:right="5174"/>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经办人：</w:t>
      </w:r>
    </w:p>
    <w:p w14:paraId="344C832C">
      <w:pPr>
        <w:wordWrap w:val="0"/>
        <w:spacing w:before="55" w:line="360" w:lineRule="auto"/>
        <w:ind w:left="102" w:right="5174"/>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 话：</w:t>
      </w:r>
    </w:p>
    <w:p w14:paraId="638BD167">
      <w:pPr>
        <w:wordWrap w:val="0"/>
        <w:spacing w:before="55" w:line="360" w:lineRule="auto"/>
        <w:ind w:left="102" w:right="5174"/>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签订日期：</w:t>
      </w:r>
    </w:p>
    <w:p w14:paraId="4B173A42">
      <w:pPr>
        <w:wordWrap w:val="0"/>
        <w:rPr>
          <w:rFonts w:cs="宋体" w:asciiTheme="minorEastAsia" w:hAnsiTheme="minorEastAsia" w:eastAsiaTheme="minorEastAsia"/>
          <w:kern w:val="0"/>
          <w:sz w:val="24"/>
          <w:szCs w:val="24"/>
        </w:rPr>
      </w:pPr>
    </w:p>
    <w:p w14:paraId="2F4B39E9">
      <w:pPr>
        <w:wordWrap w:val="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丙方（鉴证方公章）名 称：</w:t>
      </w:r>
    </w:p>
    <w:p w14:paraId="0E58F043">
      <w:pPr>
        <w:wordWrap w:val="0"/>
        <w:spacing w:before="55" w:line="360" w:lineRule="auto"/>
        <w:ind w:left="102" w:right="5174"/>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 址：</w:t>
      </w:r>
    </w:p>
    <w:p w14:paraId="7486CF5F">
      <w:pPr>
        <w:wordWrap w:val="0"/>
        <w:spacing w:before="55" w:line="360" w:lineRule="auto"/>
        <w:ind w:left="102" w:right="5174"/>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邮 编：</w:t>
      </w:r>
    </w:p>
    <w:p w14:paraId="5DC11508">
      <w:pPr>
        <w:wordWrap w:val="0"/>
        <w:spacing w:before="55" w:line="360" w:lineRule="auto"/>
        <w:ind w:left="102" w:right="5174"/>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法定代表人或委托代理人：</w:t>
      </w:r>
    </w:p>
    <w:p w14:paraId="1145890E">
      <w:pPr>
        <w:wordWrap w:val="0"/>
        <w:spacing w:before="55" w:line="360" w:lineRule="auto"/>
        <w:ind w:left="102" w:right="5174"/>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经办人：</w:t>
      </w:r>
    </w:p>
    <w:p w14:paraId="5EFE033F">
      <w:pPr>
        <w:wordWrap w:val="0"/>
        <w:spacing w:before="55" w:line="360" w:lineRule="auto"/>
        <w:ind w:left="102" w:right="5174"/>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 话：</w:t>
      </w:r>
    </w:p>
    <w:p w14:paraId="5F0D0E46">
      <w:pPr>
        <w:wordWrap w:val="0"/>
        <w:spacing w:before="55" w:line="360" w:lineRule="auto"/>
        <w:ind w:left="102" w:right="5174"/>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签订日期：</w:t>
      </w:r>
    </w:p>
    <w:p w14:paraId="712D60CC">
      <w:pPr>
        <w:wordWrap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br w:type="page"/>
      </w:r>
    </w:p>
    <w:p w14:paraId="28427265">
      <w:pPr>
        <w:wordWrap w:val="0"/>
        <w:adjustRightInd w:val="0"/>
        <w:snapToGrid w:val="0"/>
        <w:spacing w:line="500" w:lineRule="exact"/>
        <w:jc w:val="center"/>
        <w:outlineLvl w:val="1"/>
        <w:rPr>
          <w:rFonts w:cs="仿宋" w:asciiTheme="minorEastAsia" w:hAnsiTheme="minorEastAsia" w:eastAsiaTheme="minorEastAsia"/>
          <w:b/>
          <w:bCs/>
          <w:kern w:val="0"/>
          <w:sz w:val="24"/>
          <w:szCs w:val="24"/>
        </w:rPr>
      </w:pPr>
      <w:bookmarkStart w:id="917" w:name="_Toc27146"/>
      <w:bookmarkStart w:id="918" w:name="_Toc8028"/>
      <w:bookmarkStart w:id="919" w:name="_Toc8819"/>
      <w:bookmarkStart w:id="920" w:name="_Toc193796089"/>
      <w:bookmarkStart w:id="921" w:name="_Toc32030"/>
      <w:bookmarkStart w:id="922" w:name="_Toc21800"/>
      <w:r>
        <w:rPr>
          <w:rFonts w:hint="eastAsia" w:cs="仿宋" w:asciiTheme="minorEastAsia" w:hAnsiTheme="minorEastAsia" w:eastAsiaTheme="minorEastAsia"/>
          <w:b/>
          <w:bCs/>
          <w:kern w:val="0"/>
          <w:sz w:val="24"/>
          <w:szCs w:val="24"/>
        </w:rPr>
        <w:t>第一部分 合同协议书</w:t>
      </w:r>
      <w:bookmarkEnd w:id="917"/>
      <w:bookmarkEnd w:id="918"/>
      <w:bookmarkEnd w:id="919"/>
      <w:bookmarkEnd w:id="920"/>
      <w:bookmarkEnd w:id="921"/>
    </w:p>
    <w:p w14:paraId="3AB20EBA">
      <w:pPr>
        <w:wordWrap w:val="0"/>
        <w:spacing w:line="500" w:lineRule="exact"/>
        <w:rPr>
          <w:rFonts w:cs="仿宋" w:asciiTheme="minorEastAsia" w:hAnsiTheme="minorEastAsia" w:eastAsiaTheme="minorEastAsia"/>
          <w:b/>
          <w:kern w:val="0"/>
          <w:sz w:val="24"/>
          <w:szCs w:val="24"/>
          <w:u w:val="single"/>
        </w:rPr>
      </w:pPr>
      <w:r>
        <w:rPr>
          <w:rFonts w:hint="eastAsia" w:cs="仿宋" w:asciiTheme="minorEastAsia" w:hAnsiTheme="minorEastAsia" w:eastAsiaTheme="minorEastAsia"/>
          <w:b/>
          <w:kern w:val="0"/>
          <w:sz w:val="24"/>
          <w:szCs w:val="24"/>
        </w:rPr>
        <w:t>发包人（全称）：</w:t>
      </w:r>
      <w:r>
        <w:rPr>
          <w:rFonts w:hint="eastAsia" w:cs="仿宋" w:asciiTheme="minorEastAsia" w:hAnsiTheme="minorEastAsia" w:eastAsiaTheme="minorEastAsia"/>
          <w:b/>
          <w:kern w:val="0"/>
          <w:sz w:val="24"/>
          <w:szCs w:val="24"/>
          <w:u w:val="single"/>
        </w:rPr>
        <w:fldChar w:fldCharType="begin"/>
      </w:r>
      <w:r>
        <w:rPr>
          <w:rFonts w:hint="eastAsia" w:cs="仿宋" w:asciiTheme="minorEastAsia" w:hAnsiTheme="minorEastAsia" w:eastAsiaTheme="minorEastAsia"/>
          <w:b/>
          <w:kern w:val="0"/>
          <w:sz w:val="24"/>
          <w:szCs w:val="24"/>
          <w:u w:val="single"/>
        </w:rPr>
        <w:instrText xml:space="preserve"> AUTOTEXT  input658 \* MERGEFORMAT </w:instrText>
      </w:r>
      <w:r>
        <w:rPr>
          <w:rFonts w:hint="eastAsia" w:cs="仿宋" w:asciiTheme="minorEastAsia" w:hAnsiTheme="minorEastAsia" w:eastAsiaTheme="minorEastAsia"/>
          <w:b/>
          <w:kern w:val="0"/>
          <w:sz w:val="24"/>
          <w:szCs w:val="24"/>
          <w:u w:val="single"/>
        </w:rPr>
        <w:fldChar w:fldCharType="separate"/>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b/>
          <w:kern w:val="0"/>
          <w:sz w:val="24"/>
          <w:szCs w:val="24"/>
          <w:u w:val="single"/>
        </w:rPr>
        <w:fldChar w:fldCharType="end"/>
      </w:r>
      <w:r>
        <w:rPr>
          <w:rFonts w:hint="eastAsia" w:cs="仿宋" w:asciiTheme="minorEastAsia" w:hAnsiTheme="minorEastAsia" w:eastAsiaTheme="minorEastAsia"/>
          <w:b/>
          <w:kern w:val="0"/>
          <w:sz w:val="24"/>
          <w:szCs w:val="24"/>
          <w:u w:val="single"/>
        </w:rPr>
        <w:t xml:space="preserve">                </w:t>
      </w:r>
    </w:p>
    <w:p w14:paraId="3BE2C662">
      <w:pPr>
        <w:wordWrap w:val="0"/>
        <w:spacing w:line="500" w:lineRule="exact"/>
        <w:rPr>
          <w:rFonts w:cs="仿宋" w:asciiTheme="minorEastAsia" w:hAnsiTheme="minorEastAsia" w:eastAsiaTheme="minorEastAsia"/>
          <w:b/>
          <w:kern w:val="0"/>
          <w:sz w:val="24"/>
          <w:szCs w:val="24"/>
          <w:u w:val="single"/>
        </w:rPr>
      </w:pPr>
      <w:r>
        <w:rPr>
          <w:rFonts w:hint="eastAsia" w:cs="仿宋" w:asciiTheme="minorEastAsia" w:hAnsiTheme="minorEastAsia" w:eastAsiaTheme="minorEastAsia"/>
          <w:b/>
          <w:kern w:val="0"/>
          <w:sz w:val="24"/>
          <w:szCs w:val="24"/>
        </w:rPr>
        <w:t>承包人（全称）：</w:t>
      </w:r>
      <w:r>
        <w:rPr>
          <w:rFonts w:hint="eastAsia" w:cs="仿宋" w:asciiTheme="minorEastAsia" w:hAnsiTheme="minorEastAsia" w:eastAsiaTheme="minorEastAsia"/>
          <w:b/>
          <w:kern w:val="0"/>
          <w:sz w:val="24"/>
          <w:szCs w:val="24"/>
          <w:u w:val="single"/>
        </w:rPr>
        <w:fldChar w:fldCharType="begin"/>
      </w:r>
      <w:r>
        <w:rPr>
          <w:rFonts w:hint="eastAsia" w:cs="仿宋" w:asciiTheme="minorEastAsia" w:hAnsiTheme="minorEastAsia" w:eastAsiaTheme="minorEastAsia"/>
          <w:b/>
          <w:kern w:val="0"/>
          <w:sz w:val="24"/>
          <w:szCs w:val="24"/>
          <w:u w:val="single"/>
        </w:rPr>
        <w:instrText xml:space="preserve"> AUTOTEXT  input659 \* MERGEFORMAT </w:instrText>
      </w:r>
      <w:r>
        <w:rPr>
          <w:rFonts w:hint="eastAsia" w:cs="仿宋" w:asciiTheme="minorEastAsia" w:hAnsiTheme="minorEastAsia" w:eastAsiaTheme="minorEastAsia"/>
          <w:b/>
          <w:kern w:val="0"/>
          <w:sz w:val="24"/>
          <w:szCs w:val="24"/>
          <w:u w:val="single"/>
        </w:rPr>
        <w:fldChar w:fldCharType="separate"/>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b/>
          <w:kern w:val="0"/>
          <w:sz w:val="24"/>
          <w:szCs w:val="24"/>
          <w:u w:val="single"/>
        </w:rPr>
        <w:fldChar w:fldCharType="end"/>
      </w:r>
    </w:p>
    <w:p w14:paraId="52356F9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根据《中华人民共和国民法典》《中华人民共和国建筑法》及有关法律规定，遵循平等、自愿、公平和诚实信用的原则，双方就本工程施工及有关事项协商一致，共同达成如下协议：</w:t>
      </w:r>
    </w:p>
    <w:p w14:paraId="7289963D">
      <w:pPr>
        <w:wordWrap w:val="0"/>
        <w:adjustRightInd w:val="0"/>
        <w:snapToGrid w:val="0"/>
        <w:spacing w:line="500" w:lineRule="exact"/>
        <w:jc w:val="left"/>
        <w:outlineLvl w:val="2"/>
        <w:rPr>
          <w:rFonts w:cs="仿宋" w:asciiTheme="minorEastAsia" w:hAnsiTheme="minorEastAsia" w:eastAsiaTheme="minorEastAsia"/>
          <w:bCs/>
          <w:kern w:val="0"/>
          <w:sz w:val="24"/>
          <w:szCs w:val="24"/>
        </w:rPr>
      </w:pPr>
      <w:r>
        <w:rPr>
          <w:rFonts w:hint="eastAsia" w:cs="仿宋" w:asciiTheme="minorEastAsia" w:hAnsiTheme="minorEastAsia" w:eastAsiaTheme="minorEastAsia"/>
          <w:b/>
          <w:kern w:val="0"/>
          <w:sz w:val="24"/>
          <w:szCs w:val="24"/>
        </w:rPr>
        <w:t xml:space="preserve">    </w:t>
      </w:r>
      <w:bookmarkStart w:id="923" w:name="_Toc17415"/>
      <w:bookmarkStart w:id="924" w:name="_Toc5431"/>
      <w:bookmarkStart w:id="925" w:name="_Toc25018"/>
      <w:bookmarkStart w:id="926" w:name="_Toc193796090"/>
      <w:bookmarkStart w:id="927" w:name="_Toc29668"/>
      <w:r>
        <w:rPr>
          <w:rFonts w:hint="eastAsia" w:cs="仿宋" w:asciiTheme="minorEastAsia" w:hAnsiTheme="minorEastAsia" w:eastAsiaTheme="minorEastAsia"/>
          <w:b/>
          <w:kern w:val="0"/>
          <w:sz w:val="24"/>
          <w:szCs w:val="24"/>
        </w:rPr>
        <w:t>一、工程概况</w:t>
      </w:r>
      <w:bookmarkEnd w:id="923"/>
      <w:bookmarkEnd w:id="924"/>
      <w:bookmarkEnd w:id="925"/>
      <w:bookmarkEnd w:id="926"/>
      <w:bookmarkEnd w:id="927"/>
    </w:p>
    <w:p w14:paraId="232E1E68">
      <w:pPr>
        <w:wordWrap w:val="0"/>
        <w:spacing w:line="500" w:lineRule="exact"/>
        <w:ind w:firstLine="470" w:firstLineChars="196"/>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bCs/>
          <w:kern w:val="0"/>
          <w:sz w:val="24"/>
          <w:szCs w:val="24"/>
        </w:rPr>
        <w:t>1.工程名称</w:t>
      </w:r>
      <w:r>
        <w:rPr>
          <w:rFonts w:hint="eastAsia" w:cs="仿宋" w:asciiTheme="minorEastAsia" w:hAnsiTheme="minorEastAsia" w:eastAsiaTheme="minorEastAsia"/>
          <w:kern w:val="0"/>
          <w:sz w:val="24"/>
          <w:szCs w:val="24"/>
        </w:rPr>
        <w:t>：</w:t>
      </w:r>
      <w:r>
        <w:rPr>
          <w:rFonts w:hint="eastAsia" w:cs="仿宋" w:asciiTheme="minorEastAsia" w:hAnsiTheme="minorEastAsia" w:eastAsiaTheme="minorEastAsia"/>
          <w:b/>
          <w:kern w:val="0"/>
          <w:sz w:val="24"/>
          <w:szCs w:val="24"/>
          <w:u w:val="single"/>
        </w:rPr>
        <w:t>西盟县勐梭镇2026年甘蔗地台面整形项目</w:t>
      </w:r>
      <w:r>
        <w:rPr>
          <w:rFonts w:hint="eastAsia" w:cs="仿宋" w:asciiTheme="minorEastAsia" w:hAnsiTheme="minorEastAsia" w:eastAsiaTheme="minorEastAsia"/>
          <w:kern w:val="0"/>
          <w:sz w:val="24"/>
          <w:szCs w:val="24"/>
          <w:u w:val="single"/>
        </w:rPr>
        <w:t>。</w:t>
      </w:r>
    </w:p>
    <w:p w14:paraId="0181B5CA">
      <w:pPr>
        <w:wordWrap w:val="0"/>
        <w:spacing w:line="500" w:lineRule="exact"/>
        <w:ind w:firstLine="470" w:firstLineChars="196"/>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2.工程地点：</w:t>
      </w:r>
      <w:r>
        <w:rPr>
          <w:rFonts w:hint="eastAsia" w:cs="仿宋" w:asciiTheme="minorEastAsia" w:hAnsiTheme="minorEastAsia" w:eastAsiaTheme="minorEastAsia"/>
          <w:b/>
          <w:kern w:val="0"/>
          <w:sz w:val="24"/>
          <w:szCs w:val="24"/>
          <w:u w:val="single"/>
        </w:rPr>
        <w:t>西盟县勐梭镇勐梭村</w:t>
      </w:r>
    </w:p>
    <w:p w14:paraId="1DEDF0B1">
      <w:pPr>
        <w:wordWrap w:val="0"/>
        <w:spacing w:line="500" w:lineRule="exact"/>
        <w:ind w:firstLine="470" w:firstLineChars="196"/>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3.工程立项批准文号：</w:t>
      </w:r>
      <w:r>
        <w:rPr>
          <w:rFonts w:hint="eastAsia" w:cs="仿宋" w:asciiTheme="minorEastAsia" w:hAnsiTheme="minorEastAsia" w:eastAsiaTheme="minorEastAsia"/>
          <w:b/>
          <w:kern w:val="0"/>
          <w:sz w:val="24"/>
          <w:szCs w:val="24"/>
          <w:u w:val="single"/>
        </w:rPr>
        <w:fldChar w:fldCharType="begin"/>
      </w:r>
      <w:r>
        <w:rPr>
          <w:rFonts w:hint="eastAsia" w:cs="仿宋" w:asciiTheme="minorEastAsia" w:hAnsiTheme="minorEastAsia" w:eastAsiaTheme="minorEastAsia"/>
          <w:b/>
          <w:kern w:val="0"/>
          <w:sz w:val="24"/>
          <w:szCs w:val="24"/>
          <w:u w:val="single"/>
        </w:rPr>
        <w:instrText xml:space="preserve"> AUTOTEXT  input663 \* MERGEFORMAT </w:instrText>
      </w:r>
      <w:r>
        <w:rPr>
          <w:rFonts w:hint="eastAsia" w:cs="仿宋" w:asciiTheme="minorEastAsia" w:hAnsiTheme="minorEastAsia" w:eastAsiaTheme="minorEastAsia"/>
          <w:b/>
          <w:kern w:val="0"/>
          <w:sz w:val="24"/>
          <w:szCs w:val="24"/>
          <w:u w:val="single"/>
        </w:rPr>
        <w:fldChar w:fldCharType="separate"/>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b/>
          <w:kern w:val="0"/>
          <w:sz w:val="24"/>
          <w:szCs w:val="24"/>
          <w:u w:val="single"/>
        </w:rPr>
        <w:fldChar w:fldCharType="end"/>
      </w:r>
      <w:r>
        <w:rPr>
          <w:rFonts w:hint="eastAsia" w:cs="仿宋" w:asciiTheme="minorEastAsia" w:hAnsiTheme="minorEastAsia" w:eastAsiaTheme="minorEastAsia"/>
          <w:bCs/>
          <w:kern w:val="0"/>
          <w:sz w:val="24"/>
          <w:szCs w:val="24"/>
        </w:rPr>
        <w:t>。</w:t>
      </w:r>
    </w:p>
    <w:p w14:paraId="2DE921C0">
      <w:pPr>
        <w:wordWrap w:val="0"/>
        <w:spacing w:line="500" w:lineRule="exact"/>
        <w:ind w:firstLine="470" w:firstLineChars="196"/>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4.资金来源：</w:t>
      </w:r>
      <w:r>
        <w:rPr>
          <w:rFonts w:hint="eastAsia" w:cs="仿宋" w:asciiTheme="minorEastAsia" w:hAnsiTheme="minorEastAsia" w:eastAsiaTheme="minorEastAsia"/>
          <w:b/>
          <w:kern w:val="0"/>
          <w:sz w:val="24"/>
          <w:szCs w:val="24"/>
          <w:u w:val="single"/>
        </w:rPr>
        <w:fldChar w:fldCharType="begin"/>
      </w:r>
      <w:r>
        <w:rPr>
          <w:rFonts w:hint="eastAsia" w:cs="仿宋" w:asciiTheme="minorEastAsia" w:hAnsiTheme="minorEastAsia" w:eastAsiaTheme="minorEastAsia"/>
          <w:b/>
          <w:kern w:val="0"/>
          <w:sz w:val="24"/>
          <w:szCs w:val="24"/>
          <w:u w:val="single"/>
        </w:rPr>
        <w:instrText xml:space="preserve"> AUTOTEXT  input664 \* MERGEFORMAT </w:instrText>
      </w:r>
      <w:r>
        <w:rPr>
          <w:rFonts w:hint="eastAsia" w:cs="仿宋" w:asciiTheme="minorEastAsia" w:hAnsiTheme="minorEastAsia" w:eastAsiaTheme="minorEastAsia"/>
          <w:b/>
          <w:kern w:val="0"/>
          <w:sz w:val="24"/>
          <w:szCs w:val="24"/>
          <w:u w:val="single"/>
        </w:rPr>
        <w:fldChar w:fldCharType="separate"/>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b/>
          <w:kern w:val="0"/>
          <w:sz w:val="24"/>
          <w:szCs w:val="24"/>
          <w:u w:val="single"/>
        </w:rPr>
        <w:fldChar w:fldCharType="end"/>
      </w:r>
      <w:r>
        <w:rPr>
          <w:rFonts w:hint="eastAsia" w:cs="仿宋" w:asciiTheme="minorEastAsia" w:hAnsiTheme="minorEastAsia" w:eastAsiaTheme="minorEastAsia"/>
          <w:bCs/>
          <w:kern w:val="0"/>
          <w:sz w:val="24"/>
          <w:szCs w:val="24"/>
        </w:rPr>
        <w:t>。</w:t>
      </w:r>
    </w:p>
    <w:p w14:paraId="6E5B488F">
      <w:pPr>
        <w:wordWrap w:val="0"/>
        <w:spacing w:line="500" w:lineRule="exact"/>
        <w:ind w:firstLine="470" w:firstLineChars="196"/>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5.工程内容：</w:t>
      </w:r>
      <w:r>
        <w:rPr>
          <w:rFonts w:hint="eastAsia" w:cs="仿宋" w:asciiTheme="minorEastAsia" w:hAnsiTheme="minorEastAsia" w:eastAsiaTheme="minorEastAsia"/>
          <w:b/>
          <w:kern w:val="0"/>
          <w:sz w:val="24"/>
          <w:szCs w:val="24"/>
          <w:u w:val="single"/>
        </w:rPr>
        <w:fldChar w:fldCharType="begin"/>
      </w:r>
      <w:r>
        <w:rPr>
          <w:rFonts w:hint="eastAsia" w:cs="仿宋" w:asciiTheme="minorEastAsia" w:hAnsiTheme="minorEastAsia" w:eastAsiaTheme="minorEastAsia"/>
          <w:b/>
          <w:kern w:val="0"/>
          <w:sz w:val="24"/>
          <w:szCs w:val="24"/>
          <w:u w:val="single"/>
        </w:rPr>
        <w:instrText xml:space="preserve"> AUTOTEXT  input665 \* MERGEFORMAT </w:instrText>
      </w:r>
      <w:r>
        <w:rPr>
          <w:rFonts w:hint="eastAsia" w:cs="仿宋" w:asciiTheme="minorEastAsia" w:hAnsiTheme="minorEastAsia" w:eastAsiaTheme="minorEastAsia"/>
          <w:b/>
          <w:kern w:val="0"/>
          <w:sz w:val="24"/>
          <w:szCs w:val="24"/>
          <w:u w:val="single"/>
        </w:rPr>
        <w:fldChar w:fldCharType="separate"/>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rPr>
        <w:t>。</w:t>
      </w:r>
      <w:r>
        <w:rPr>
          <w:rFonts w:hint="eastAsia" w:cs="仿宋" w:asciiTheme="minorEastAsia" w:hAnsiTheme="minorEastAsia" w:eastAsiaTheme="minorEastAsia"/>
          <w:b/>
          <w:kern w:val="0"/>
          <w:sz w:val="24"/>
          <w:szCs w:val="24"/>
          <w:u w:val="single"/>
        </w:rPr>
        <w:fldChar w:fldCharType="end"/>
      </w:r>
    </w:p>
    <w:p w14:paraId="40D490F9">
      <w:pPr>
        <w:wordWrap w:val="0"/>
        <w:spacing w:line="500" w:lineRule="exact"/>
        <w:ind w:firstLine="470" w:firstLineChars="196"/>
        <w:rPr>
          <w:rFonts w:cs="仿宋" w:asciiTheme="minorEastAsia" w:hAnsiTheme="minorEastAsia" w:eastAsiaTheme="minorEastAsia"/>
          <w:bCs/>
          <w:kern w:val="0"/>
          <w:sz w:val="24"/>
          <w:szCs w:val="24"/>
        </w:rPr>
      </w:pPr>
      <w:r>
        <w:rPr>
          <w:rFonts w:hint="eastAsia" w:cs="仿宋" w:asciiTheme="minorEastAsia" w:hAnsiTheme="minorEastAsia" w:eastAsiaTheme="minorEastAsia"/>
          <w:kern w:val="0"/>
          <w:sz w:val="24"/>
          <w:szCs w:val="24"/>
        </w:rPr>
        <w:t>群体工程应附《承包人承揽工程项目一览表》（附件1）。</w:t>
      </w:r>
    </w:p>
    <w:p w14:paraId="471873A1">
      <w:pPr>
        <w:wordWrap w:val="0"/>
        <w:spacing w:line="500" w:lineRule="exact"/>
        <w:ind w:firstLine="470" w:firstLineChars="196"/>
        <w:rPr>
          <w:rFonts w:cs="仿宋" w:asciiTheme="minorEastAsia" w:hAnsiTheme="minorEastAsia" w:eastAsiaTheme="minorEastAsia"/>
          <w:kern w:val="0"/>
          <w:sz w:val="24"/>
          <w:szCs w:val="24"/>
        </w:rPr>
      </w:pPr>
      <w:r>
        <w:rPr>
          <w:rFonts w:hint="eastAsia" w:cs="仿宋" w:asciiTheme="minorEastAsia" w:hAnsiTheme="minorEastAsia" w:eastAsiaTheme="minorEastAsia"/>
          <w:bCs/>
          <w:kern w:val="0"/>
          <w:sz w:val="24"/>
          <w:szCs w:val="24"/>
        </w:rPr>
        <w:t>6.工程承包范围：</w:t>
      </w:r>
      <w:r>
        <w:rPr>
          <w:rFonts w:hint="eastAsia" w:cs="仿宋" w:asciiTheme="minorEastAsia" w:hAnsiTheme="minorEastAsia" w:eastAsiaTheme="minorEastAsia"/>
          <w:b/>
          <w:kern w:val="0"/>
          <w:sz w:val="24"/>
          <w:szCs w:val="24"/>
          <w:u w:val="single"/>
        </w:rPr>
        <w:fldChar w:fldCharType="begin"/>
      </w:r>
      <w:r>
        <w:rPr>
          <w:rFonts w:hint="eastAsia" w:cs="仿宋" w:asciiTheme="minorEastAsia" w:hAnsiTheme="minorEastAsia" w:eastAsiaTheme="minorEastAsia"/>
          <w:b/>
          <w:kern w:val="0"/>
          <w:sz w:val="24"/>
          <w:szCs w:val="24"/>
          <w:u w:val="single"/>
        </w:rPr>
        <w:instrText xml:space="preserve"> AUTOTEXT  input666 \* MERGEFORMAT </w:instrText>
      </w:r>
      <w:r>
        <w:rPr>
          <w:rFonts w:hint="eastAsia" w:cs="仿宋" w:asciiTheme="minorEastAsia" w:hAnsiTheme="minorEastAsia" w:eastAsiaTheme="minorEastAsia"/>
          <w:b/>
          <w:kern w:val="0"/>
          <w:sz w:val="24"/>
          <w:szCs w:val="24"/>
          <w:u w:val="single"/>
        </w:rPr>
        <w:fldChar w:fldCharType="separate"/>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rPr>
        <w:t>。</w:t>
      </w:r>
      <w:r>
        <w:rPr>
          <w:rFonts w:hint="eastAsia" w:cs="仿宋" w:asciiTheme="minorEastAsia" w:hAnsiTheme="minorEastAsia" w:eastAsiaTheme="minorEastAsia"/>
          <w:b/>
          <w:kern w:val="0"/>
          <w:sz w:val="24"/>
          <w:szCs w:val="24"/>
          <w:u w:val="single"/>
        </w:rPr>
        <w:fldChar w:fldCharType="end"/>
      </w:r>
    </w:p>
    <w:p w14:paraId="5890FDB0">
      <w:pPr>
        <w:wordWrap w:val="0"/>
        <w:adjustRightInd w:val="0"/>
        <w:snapToGrid w:val="0"/>
        <w:spacing w:line="500" w:lineRule="exact"/>
        <w:jc w:val="left"/>
        <w:outlineLvl w:val="2"/>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 xml:space="preserve">   </w:t>
      </w:r>
      <w:bookmarkStart w:id="928" w:name="_Toc28290"/>
      <w:bookmarkStart w:id="929" w:name="_Toc193796091"/>
      <w:bookmarkStart w:id="930" w:name="_Toc13953"/>
      <w:bookmarkStart w:id="931" w:name="_Toc20847"/>
      <w:bookmarkStart w:id="932" w:name="_Toc20914"/>
      <w:r>
        <w:rPr>
          <w:rFonts w:hint="eastAsia" w:cs="仿宋" w:asciiTheme="minorEastAsia" w:hAnsiTheme="minorEastAsia" w:eastAsiaTheme="minorEastAsia"/>
          <w:b/>
          <w:kern w:val="0"/>
          <w:sz w:val="24"/>
          <w:szCs w:val="24"/>
        </w:rPr>
        <w:t>二、合同工期</w:t>
      </w:r>
      <w:bookmarkEnd w:id="928"/>
      <w:bookmarkEnd w:id="929"/>
      <w:bookmarkEnd w:id="930"/>
      <w:bookmarkEnd w:id="931"/>
      <w:bookmarkEnd w:id="932"/>
    </w:p>
    <w:p w14:paraId="4B8D5420">
      <w:pPr>
        <w:wordWrap w:val="0"/>
        <w:spacing w:line="500" w:lineRule="exact"/>
        <w:ind w:firstLine="459"/>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计划开工日期：</w:t>
      </w:r>
      <w:r>
        <w:rPr>
          <w:rFonts w:hint="eastAsia" w:cs="仿宋" w:asciiTheme="minorEastAsia" w:hAnsiTheme="minorEastAsia" w:eastAsiaTheme="minorEastAsia"/>
          <w:b/>
          <w:kern w:val="0"/>
          <w:sz w:val="24"/>
          <w:szCs w:val="24"/>
          <w:u w:val="single"/>
        </w:rPr>
        <w:fldChar w:fldCharType="begin"/>
      </w:r>
      <w:r>
        <w:rPr>
          <w:rFonts w:hint="eastAsia" w:cs="仿宋" w:asciiTheme="minorEastAsia" w:hAnsiTheme="minorEastAsia" w:eastAsiaTheme="minorEastAsia"/>
          <w:b/>
          <w:kern w:val="0"/>
          <w:sz w:val="24"/>
          <w:szCs w:val="24"/>
          <w:u w:val="single"/>
        </w:rPr>
        <w:instrText xml:space="preserve"> AUTOTEXT  input667 \* MERGEFORMAT </w:instrText>
      </w:r>
      <w:r>
        <w:rPr>
          <w:rFonts w:hint="eastAsia" w:cs="仿宋" w:asciiTheme="minorEastAsia" w:hAnsiTheme="minorEastAsia" w:eastAsiaTheme="minorEastAsia"/>
          <w:b/>
          <w:kern w:val="0"/>
          <w:sz w:val="24"/>
          <w:szCs w:val="24"/>
          <w:u w:val="single"/>
        </w:rPr>
        <w:fldChar w:fldCharType="separate"/>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b/>
          <w:kern w:val="0"/>
          <w:sz w:val="24"/>
          <w:szCs w:val="24"/>
          <w:u w:val="single"/>
        </w:rPr>
        <w:fldChar w:fldCharType="end"/>
      </w:r>
    </w:p>
    <w:p w14:paraId="601F17B5">
      <w:pPr>
        <w:wordWrap w:val="0"/>
        <w:spacing w:line="500" w:lineRule="exact"/>
        <w:ind w:firstLine="459"/>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计划竣工日期：</w:t>
      </w:r>
      <w:r>
        <w:rPr>
          <w:rFonts w:hint="eastAsia" w:cs="仿宋" w:asciiTheme="minorEastAsia" w:hAnsiTheme="minorEastAsia" w:eastAsiaTheme="minorEastAsia"/>
          <w:b/>
          <w:kern w:val="0"/>
          <w:sz w:val="24"/>
          <w:szCs w:val="24"/>
          <w:u w:val="single"/>
        </w:rPr>
        <w:fldChar w:fldCharType="begin"/>
      </w:r>
      <w:r>
        <w:rPr>
          <w:rFonts w:hint="eastAsia" w:cs="仿宋" w:asciiTheme="minorEastAsia" w:hAnsiTheme="minorEastAsia" w:eastAsiaTheme="minorEastAsia"/>
          <w:b/>
          <w:kern w:val="0"/>
          <w:sz w:val="24"/>
          <w:szCs w:val="24"/>
          <w:u w:val="single"/>
        </w:rPr>
        <w:instrText xml:space="preserve"> AUTOTEXT  input668 \* MERGEFORMAT </w:instrText>
      </w:r>
      <w:r>
        <w:rPr>
          <w:rFonts w:hint="eastAsia" w:cs="仿宋" w:asciiTheme="minorEastAsia" w:hAnsiTheme="minorEastAsia" w:eastAsiaTheme="minorEastAsia"/>
          <w:b/>
          <w:kern w:val="0"/>
          <w:sz w:val="24"/>
          <w:szCs w:val="24"/>
          <w:u w:val="single"/>
        </w:rPr>
        <w:fldChar w:fldCharType="separate"/>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b/>
          <w:kern w:val="0"/>
          <w:sz w:val="24"/>
          <w:szCs w:val="24"/>
          <w:u w:val="single"/>
        </w:rPr>
        <w:fldChar w:fldCharType="end"/>
      </w:r>
    </w:p>
    <w:p w14:paraId="0D86AD90">
      <w:pPr>
        <w:wordWrap w:val="0"/>
        <w:spacing w:line="500" w:lineRule="exact"/>
        <w:ind w:firstLine="459"/>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工期总日历天数：</w:t>
      </w:r>
      <w:r>
        <w:rPr>
          <w:rFonts w:hint="eastAsia" w:cs="仿宋" w:asciiTheme="minorEastAsia" w:hAnsiTheme="minorEastAsia" w:eastAsiaTheme="minorEastAsia"/>
          <w:b/>
          <w:kern w:val="0"/>
          <w:sz w:val="24"/>
          <w:szCs w:val="24"/>
          <w:u w:val="single"/>
        </w:rPr>
        <w:t xml:space="preserve">   日历 </w:t>
      </w:r>
      <w:r>
        <w:rPr>
          <w:rFonts w:hint="eastAsia" w:cs="仿宋" w:asciiTheme="minorEastAsia" w:hAnsiTheme="minorEastAsia" w:eastAsiaTheme="minorEastAsia"/>
          <w:kern w:val="0"/>
          <w:sz w:val="24"/>
          <w:szCs w:val="24"/>
        </w:rPr>
        <w:t>天。工期总日历天数与根据前述计划开竣工日期计算的工期天数不一致的，以工期总日历天数为准。</w:t>
      </w:r>
    </w:p>
    <w:p w14:paraId="1C640248">
      <w:pPr>
        <w:wordWrap w:val="0"/>
        <w:adjustRightInd w:val="0"/>
        <w:snapToGrid w:val="0"/>
        <w:spacing w:line="500" w:lineRule="exact"/>
        <w:jc w:val="left"/>
        <w:outlineLvl w:val="2"/>
        <w:rPr>
          <w:rFonts w:cs="仿宋" w:asciiTheme="minorEastAsia" w:hAnsiTheme="minorEastAsia" w:eastAsiaTheme="minorEastAsia"/>
          <w:bCs/>
          <w:kern w:val="0"/>
          <w:sz w:val="24"/>
          <w:szCs w:val="24"/>
        </w:rPr>
      </w:pPr>
      <w:r>
        <w:rPr>
          <w:rFonts w:hint="eastAsia" w:cs="仿宋" w:asciiTheme="minorEastAsia" w:hAnsiTheme="minorEastAsia" w:eastAsiaTheme="minorEastAsia"/>
          <w:b/>
          <w:kern w:val="0"/>
          <w:sz w:val="24"/>
          <w:szCs w:val="24"/>
        </w:rPr>
        <w:t xml:space="preserve">    </w:t>
      </w:r>
      <w:bookmarkStart w:id="933" w:name="_Toc193796092"/>
      <w:bookmarkStart w:id="934" w:name="_Toc23447"/>
      <w:bookmarkStart w:id="935" w:name="_Toc19354"/>
      <w:bookmarkStart w:id="936" w:name="_Toc16469"/>
      <w:bookmarkStart w:id="937" w:name="_Toc22689"/>
      <w:r>
        <w:rPr>
          <w:rFonts w:hint="eastAsia" w:cs="仿宋" w:asciiTheme="minorEastAsia" w:hAnsiTheme="minorEastAsia" w:eastAsiaTheme="minorEastAsia"/>
          <w:b/>
          <w:kern w:val="0"/>
          <w:sz w:val="24"/>
          <w:szCs w:val="24"/>
        </w:rPr>
        <w:t>三、质量标准</w:t>
      </w:r>
      <w:bookmarkEnd w:id="933"/>
      <w:bookmarkEnd w:id="934"/>
      <w:bookmarkEnd w:id="935"/>
      <w:bookmarkEnd w:id="936"/>
      <w:bookmarkEnd w:id="937"/>
    </w:p>
    <w:p w14:paraId="6F0B152E">
      <w:pPr>
        <w:wordWrap w:val="0"/>
        <w:spacing w:line="500" w:lineRule="exact"/>
        <w:ind w:firstLine="459"/>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u w:val="single"/>
        </w:rPr>
        <w:t>符合现行国家有关工程施工验收规范和标准的要求，一次性验收合格；</w:t>
      </w:r>
    </w:p>
    <w:p w14:paraId="522B050D">
      <w:pPr>
        <w:wordWrap w:val="0"/>
        <w:adjustRightInd w:val="0"/>
        <w:snapToGrid w:val="0"/>
        <w:spacing w:line="500" w:lineRule="exact"/>
        <w:jc w:val="left"/>
        <w:outlineLvl w:val="2"/>
        <w:rPr>
          <w:rFonts w:cs="仿宋" w:asciiTheme="minorEastAsia" w:hAnsiTheme="minorEastAsia" w:eastAsiaTheme="minorEastAsia"/>
          <w:kern w:val="0"/>
          <w:sz w:val="24"/>
          <w:szCs w:val="24"/>
        </w:rPr>
      </w:pPr>
      <w:r>
        <w:rPr>
          <w:rFonts w:hint="eastAsia" w:cs="仿宋" w:asciiTheme="minorEastAsia" w:hAnsiTheme="minorEastAsia" w:eastAsiaTheme="minorEastAsia"/>
          <w:b/>
          <w:kern w:val="0"/>
          <w:sz w:val="24"/>
          <w:szCs w:val="24"/>
        </w:rPr>
        <w:t xml:space="preserve">    </w:t>
      </w:r>
      <w:bookmarkStart w:id="938" w:name="_Toc25421"/>
      <w:bookmarkStart w:id="939" w:name="_Toc193796093"/>
      <w:bookmarkStart w:id="940" w:name="_Toc9972"/>
      <w:bookmarkStart w:id="941" w:name="_Toc29525"/>
      <w:bookmarkStart w:id="942" w:name="_Toc19767"/>
      <w:r>
        <w:rPr>
          <w:rFonts w:hint="eastAsia" w:cs="仿宋" w:asciiTheme="minorEastAsia" w:hAnsiTheme="minorEastAsia" w:eastAsiaTheme="minorEastAsia"/>
          <w:b/>
          <w:kern w:val="0"/>
          <w:sz w:val="24"/>
          <w:szCs w:val="24"/>
        </w:rPr>
        <w:t>四、签约合同价与合同价格形式</w:t>
      </w:r>
      <w:bookmarkEnd w:id="938"/>
      <w:bookmarkEnd w:id="939"/>
      <w:bookmarkEnd w:id="940"/>
      <w:bookmarkEnd w:id="941"/>
      <w:bookmarkEnd w:id="942"/>
      <w:r>
        <w:rPr>
          <w:rFonts w:hint="eastAsia" w:cs="仿宋" w:asciiTheme="minorEastAsia" w:hAnsiTheme="minorEastAsia" w:eastAsiaTheme="minorEastAsia"/>
          <w:b/>
          <w:kern w:val="0"/>
          <w:sz w:val="24"/>
          <w:szCs w:val="24"/>
        </w:rPr>
        <w:tab/>
      </w:r>
    </w:p>
    <w:p w14:paraId="054D29AE">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1.签约合同价为：</w:t>
      </w:r>
    </w:p>
    <w:p w14:paraId="2DF4904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暂定合同价款金额（成交价）：¥</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元（大写：人民币</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），=承包人完成本项目约定范围内的工作不再计取其他任何费用。包含国家规定的增值税税金，并按照发包人的要求提供增值税发票。</w:t>
      </w:r>
    </w:p>
    <w:p w14:paraId="40347DBB">
      <w:pPr>
        <w:wordWrap w:val="0"/>
        <w:spacing w:line="500" w:lineRule="exact"/>
        <w:ind w:firstLine="480" w:firstLineChars="200"/>
        <w:rPr>
          <w:rFonts w:cs="仿宋" w:asciiTheme="minorEastAsia" w:hAnsiTheme="minorEastAsia" w:eastAsiaTheme="minorEastAsia"/>
          <w:b/>
          <w:bCs/>
          <w:sz w:val="24"/>
          <w:szCs w:val="24"/>
          <w:u w:val="single"/>
        </w:rPr>
      </w:pPr>
      <w:r>
        <w:rPr>
          <w:rFonts w:hint="eastAsia" w:cs="仿宋" w:asciiTheme="minorEastAsia" w:hAnsiTheme="minorEastAsia" w:eastAsiaTheme="minorEastAsia"/>
          <w:kern w:val="0"/>
          <w:sz w:val="24"/>
          <w:szCs w:val="24"/>
        </w:rPr>
        <w:t>2.合同价格形式：</w:t>
      </w:r>
      <w:r>
        <w:rPr>
          <w:rFonts w:hint="eastAsia" w:cs="仿宋" w:asciiTheme="minorEastAsia" w:hAnsiTheme="minorEastAsia" w:eastAsiaTheme="minorEastAsia"/>
          <w:b/>
          <w:bCs/>
          <w:sz w:val="24"/>
          <w:szCs w:val="24"/>
          <w:u w:val="single"/>
        </w:rPr>
        <w:t>单价合同。</w:t>
      </w:r>
    </w:p>
    <w:p w14:paraId="7BDE6AC1">
      <w:pPr>
        <w:wordWrap w:val="0"/>
        <w:spacing w:line="500" w:lineRule="exact"/>
        <w:ind w:firstLine="482"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b/>
          <w:bCs/>
          <w:sz w:val="24"/>
          <w:szCs w:val="24"/>
        </w:rPr>
        <w:t>整个工程先根据竞争性磋商文件和承包人的响应文件，采用单价合同形式进行结算，经有资质的造价咨询单位审核完毕确定工程费结算价，并经发包人和承包人双方认可，再按成交工程费结算价下浮率下浮后，计算出最终工程费，计算公式：最终工程费=经造价咨询单位审定的工程费结算价×（1-成交工程费结算价下浮率）</w:t>
      </w:r>
      <w:r>
        <w:rPr>
          <w:rFonts w:hint="eastAsia" w:cs="仿宋" w:asciiTheme="minorEastAsia" w:hAnsiTheme="minorEastAsia" w:eastAsiaTheme="minorEastAsia"/>
          <w:kern w:val="0"/>
          <w:sz w:val="24"/>
          <w:szCs w:val="24"/>
        </w:rPr>
        <w:t>。</w:t>
      </w:r>
    </w:p>
    <w:p w14:paraId="1CC65D1C">
      <w:pPr>
        <w:wordWrap w:val="0"/>
        <w:adjustRightInd w:val="0"/>
        <w:snapToGrid w:val="0"/>
        <w:spacing w:line="500" w:lineRule="exact"/>
        <w:jc w:val="left"/>
        <w:outlineLvl w:val="2"/>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 xml:space="preserve">    </w:t>
      </w:r>
      <w:bookmarkStart w:id="943" w:name="_Toc16181"/>
      <w:bookmarkStart w:id="944" w:name="_Toc14575"/>
      <w:bookmarkStart w:id="945" w:name="_Toc7850"/>
      <w:bookmarkStart w:id="946" w:name="_Toc318"/>
      <w:bookmarkStart w:id="947" w:name="_Toc193796094"/>
      <w:r>
        <w:rPr>
          <w:rFonts w:hint="eastAsia" w:cs="仿宋" w:asciiTheme="minorEastAsia" w:hAnsiTheme="minorEastAsia" w:eastAsiaTheme="minorEastAsia"/>
          <w:b/>
          <w:kern w:val="0"/>
          <w:sz w:val="24"/>
          <w:szCs w:val="24"/>
        </w:rPr>
        <w:t>五、项目经理</w:t>
      </w:r>
      <w:bookmarkEnd w:id="943"/>
      <w:bookmarkEnd w:id="944"/>
      <w:bookmarkEnd w:id="945"/>
      <w:bookmarkEnd w:id="946"/>
      <w:bookmarkEnd w:id="947"/>
    </w:p>
    <w:p w14:paraId="5AD717AE">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承包人项目经理：</w:t>
      </w:r>
      <w:r>
        <w:rPr>
          <w:rFonts w:hint="eastAsia" w:cs="仿宋" w:asciiTheme="minorEastAsia" w:hAnsiTheme="minorEastAsia" w:eastAsiaTheme="minorEastAsia"/>
          <w:b/>
          <w:kern w:val="0"/>
          <w:sz w:val="24"/>
          <w:szCs w:val="24"/>
          <w:u w:val="single"/>
        </w:rPr>
        <w:fldChar w:fldCharType="begin"/>
      </w:r>
      <w:r>
        <w:rPr>
          <w:rFonts w:hint="eastAsia" w:cs="仿宋" w:asciiTheme="minorEastAsia" w:hAnsiTheme="minorEastAsia" w:eastAsiaTheme="minorEastAsia"/>
          <w:b/>
          <w:kern w:val="0"/>
          <w:sz w:val="24"/>
          <w:szCs w:val="24"/>
          <w:u w:val="single"/>
        </w:rPr>
        <w:instrText xml:space="preserve"> AUTOTEXT  input682 \* MERGEFORMAT </w:instrText>
      </w:r>
      <w:r>
        <w:rPr>
          <w:rFonts w:hint="eastAsia" w:cs="仿宋" w:asciiTheme="minorEastAsia" w:hAnsiTheme="minorEastAsia" w:eastAsiaTheme="minorEastAsia"/>
          <w:b/>
          <w:kern w:val="0"/>
          <w:sz w:val="24"/>
          <w:szCs w:val="24"/>
          <w:u w:val="single"/>
        </w:rPr>
        <w:fldChar w:fldCharType="separate"/>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b/>
          <w:kern w:val="0"/>
          <w:sz w:val="24"/>
          <w:szCs w:val="24"/>
          <w:u w:val="single"/>
        </w:rPr>
        <w:fldChar w:fldCharType="end"/>
      </w:r>
      <w:r>
        <w:rPr>
          <w:rFonts w:hint="eastAsia" w:cs="仿宋" w:asciiTheme="minorEastAsia" w:hAnsiTheme="minorEastAsia" w:eastAsiaTheme="minorEastAsia"/>
          <w:kern w:val="0"/>
          <w:sz w:val="24"/>
          <w:szCs w:val="24"/>
        </w:rPr>
        <w:t>。</w:t>
      </w:r>
    </w:p>
    <w:p w14:paraId="060EC493">
      <w:pPr>
        <w:wordWrap w:val="0"/>
        <w:adjustRightInd w:val="0"/>
        <w:snapToGrid w:val="0"/>
        <w:spacing w:line="500" w:lineRule="exact"/>
        <w:jc w:val="left"/>
        <w:outlineLvl w:val="2"/>
        <w:rPr>
          <w:rFonts w:cs="仿宋" w:asciiTheme="minorEastAsia" w:hAnsiTheme="minorEastAsia" w:eastAsiaTheme="minorEastAsia"/>
          <w:bCs/>
          <w:kern w:val="0"/>
          <w:sz w:val="24"/>
          <w:szCs w:val="24"/>
        </w:rPr>
      </w:pPr>
      <w:r>
        <w:rPr>
          <w:rFonts w:hint="eastAsia" w:cs="仿宋" w:asciiTheme="minorEastAsia" w:hAnsiTheme="minorEastAsia" w:eastAsiaTheme="minorEastAsia"/>
          <w:b/>
          <w:kern w:val="0"/>
          <w:sz w:val="24"/>
          <w:szCs w:val="24"/>
        </w:rPr>
        <w:t xml:space="preserve">    </w:t>
      </w:r>
      <w:bookmarkStart w:id="948" w:name="_Toc5060"/>
      <w:bookmarkStart w:id="949" w:name="_Toc193796095"/>
      <w:bookmarkStart w:id="950" w:name="_Toc14313"/>
      <w:bookmarkStart w:id="951" w:name="_Toc18630"/>
      <w:bookmarkStart w:id="952" w:name="_Toc1164"/>
      <w:r>
        <w:rPr>
          <w:rFonts w:hint="eastAsia" w:cs="仿宋" w:asciiTheme="minorEastAsia" w:hAnsiTheme="minorEastAsia" w:eastAsiaTheme="minorEastAsia"/>
          <w:b/>
          <w:kern w:val="0"/>
          <w:sz w:val="24"/>
          <w:szCs w:val="24"/>
        </w:rPr>
        <w:t>六、合同文件构成</w:t>
      </w:r>
      <w:bookmarkEnd w:id="948"/>
      <w:bookmarkEnd w:id="949"/>
      <w:bookmarkEnd w:id="950"/>
      <w:bookmarkEnd w:id="951"/>
      <w:bookmarkEnd w:id="952"/>
    </w:p>
    <w:p w14:paraId="40B1897C">
      <w:pPr>
        <w:wordWrap w:val="0"/>
        <w:spacing w:line="500" w:lineRule="exact"/>
        <w:ind w:firstLine="480" w:firstLineChars="200"/>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本协议书与下列文件一起构成合同文件：</w:t>
      </w:r>
    </w:p>
    <w:p w14:paraId="7271F541">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（1）项目实施期间签订的补充合同、补充协议、会议纪要；</w:t>
      </w:r>
    </w:p>
    <w:p w14:paraId="47D010A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（2）成交通知书（如果）；</w:t>
      </w:r>
    </w:p>
    <w:p w14:paraId="30B6CC4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（3）磋商函（如果）；</w:t>
      </w:r>
    </w:p>
    <w:p w14:paraId="4443034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（4）专用合同条款及其附件；</w:t>
      </w:r>
    </w:p>
    <w:p w14:paraId="0DD8033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（5）通用合同条款；</w:t>
      </w:r>
    </w:p>
    <w:p w14:paraId="44FEE76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（6）技术标准和要求；</w:t>
      </w:r>
    </w:p>
    <w:p w14:paraId="54B46FD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（7）图纸；</w:t>
      </w:r>
    </w:p>
    <w:p w14:paraId="5F39588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（8）已标价工程量清单或预算书；</w:t>
      </w:r>
    </w:p>
    <w:p w14:paraId="72B38C8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（9）其他合同文件。</w:t>
      </w:r>
    </w:p>
    <w:p w14:paraId="16D616C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在合同订立及履行过程中形成的与合同有关的文件均构成合同文件组成部分。</w:t>
      </w:r>
    </w:p>
    <w:p w14:paraId="45080FD3">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上述各项合同文件包括合同当事人就该项合同文件所作出的补充和修改，属于同一类内容的文件，应以最新签署的为准。专用合同条款及其附件须经合同当事人签字或盖章。</w:t>
      </w:r>
    </w:p>
    <w:p w14:paraId="5B282E9C">
      <w:pPr>
        <w:wordWrap w:val="0"/>
        <w:adjustRightInd w:val="0"/>
        <w:snapToGrid w:val="0"/>
        <w:spacing w:line="500" w:lineRule="exact"/>
        <w:jc w:val="left"/>
        <w:outlineLvl w:val="2"/>
        <w:rPr>
          <w:rFonts w:cs="仿宋" w:asciiTheme="minorEastAsia" w:hAnsiTheme="minorEastAsia" w:eastAsiaTheme="minorEastAsia"/>
          <w:b/>
          <w:bCs/>
          <w:kern w:val="0"/>
          <w:sz w:val="24"/>
          <w:szCs w:val="24"/>
        </w:rPr>
      </w:pPr>
      <w:r>
        <w:rPr>
          <w:rFonts w:hint="eastAsia" w:cs="仿宋" w:asciiTheme="minorEastAsia" w:hAnsiTheme="minorEastAsia" w:eastAsiaTheme="minorEastAsia"/>
          <w:b/>
          <w:kern w:val="0"/>
          <w:sz w:val="24"/>
          <w:szCs w:val="24"/>
        </w:rPr>
        <w:t xml:space="preserve">    </w:t>
      </w:r>
      <w:bookmarkStart w:id="953" w:name="_Toc7333"/>
      <w:bookmarkStart w:id="954" w:name="_Toc25506"/>
      <w:bookmarkStart w:id="955" w:name="_Toc20737"/>
      <w:bookmarkStart w:id="956" w:name="_Toc31241"/>
      <w:bookmarkStart w:id="957" w:name="_Toc193796096"/>
      <w:r>
        <w:rPr>
          <w:rFonts w:hint="eastAsia" w:cs="仿宋" w:asciiTheme="minorEastAsia" w:hAnsiTheme="minorEastAsia" w:eastAsiaTheme="minorEastAsia"/>
          <w:b/>
          <w:kern w:val="0"/>
          <w:sz w:val="24"/>
          <w:szCs w:val="24"/>
        </w:rPr>
        <w:t>七、承诺</w:t>
      </w:r>
      <w:bookmarkEnd w:id="953"/>
      <w:bookmarkEnd w:id="954"/>
      <w:bookmarkEnd w:id="955"/>
      <w:bookmarkEnd w:id="956"/>
      <w:bookmarkEnd w:id="957"/>
    </w:p>
    <w:p w14:paraId="4F20BD02">
      <w:pPr>
        <w:wordWrap w:val="0"/>
        <w:spacing w:line="500" w:lineRule="exact"/>
        <w:ind w:firstLine="480" w:firstLineChars="200"/>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1.发包人承诺按照法律规定履行项目审批手续、筹集工程建设资金并按照合同约定的期限和方式支付合同价款。</w:t>
      </w:r>
    </w:p>
    <w:p w14:paraId="38EA9B5B">
      <w:pPr>
        <w:wordWrap w:val="0"/>
        <w:spacing w:line="500" w:lineRule="exact"/>
        <w:ind w:firstLine="480" w:firstLineChars="200"/>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2.承包人承诺按照法律规定及合同约定组织完成工程施工，确保工程质量和安全，不进行转包及违法分包，并在缺陷责任期及保修期内承担相应的工程维修责任。</w:t>
      </w:r>
    </w:p>
    <w:p w14:paraId="69D4F7AF">
      <w:pPr>
        <w:wordWrap w:val="0"/>
        <w:spacing w:line="500" w:lineRule="exact"/>
        <w:rPr>
          <w:rFonts w:cs="仿宋" w:asciiTheme="minorEastAsia" w:hAnsiTheme="minorEastAsia" w:eastAsiaTheme="minorEastAsia"/>
          <w:bCs/>
          <w:kern w:val="0"/>
          <w:sz w:val="24"/>
          <w:szCs w:val="24"/>
        </w:rPr>
      </w:pPr>
      <w:r>
        <w:rPr>
          <w:rFonts w:hint="eastAsia" w:cs="仿宋" w:asciiTheme="minorEastAsia" w:hAnsiTheme="minorEastAsia" w:eastAsiaTheme="minorEastAsia"/>
          <w:b/>
          <w:kern w:val="0"/>
          <w:sz w:val="24"/>
          <w:szCs w:val="24"/>
        </w:rPr>
        <w:t xml:space="preserve">    八、词语含义</w:t>
      </w:r>
    </w:p>
    <w:p w14:paraId="19B495FF">
      <w:pPr>
        <w:wordWrap w:val="0"/>
        <w:spacing w:line="500" w:lineRule="exact"/>
        <w:ind w:firstLine="480" w:firstLineChars="200"/>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本协议书中词语含义与第二部分通用合同条款中赋予的含义相同。</w:t>
      </w:r>
    </w:p>
    <w:p w14:paraId="4D785463">
      <w:pPr>
        <w:wordWrap w:val="0"/>
        <w:adjustRightInd w:val="0"/>
        <w:snapToGrid w:val="0"/>
        <w:spacing w:line="500" w:lineRule="exact"/>
        <w:jc w:val="left"/>
        <w:outlineLvl w:val="2"/>
        <w:rPr>
          <w:rFonts w:cs="仿宋" w:asciiTheme="minorEastAsia" w:hAnsiTheme="minorEastAsia" w:eastAsiaTheme="minorEastAsia"/>
          <w:bCs/>
          <w:kern w:val="0"/>
          <w:sz w:val="24"/>
          <w:szCs w:val="24"/>
        </w:rPr>
      </w:pPr>
      <w:r>
        <w:rPr>
          <w:rFonts w:hint="eastAsia" w:cs="仿宋" w:asciiTheme="minorEastAsia" w:hAnsiTheme="minorEastAsia" w:eastAsiaTheme="minorEastAsia"/>
          <w:b/>
          <w:kern w:val="0"/>
          <w:sz w:val="24"/>
          <w:szCs w:val="24"/>
        </w:rPr>
        <w:t xml:space="preserve">    </w:t>
      </w:r>
      <w:bookmarkStart w:id="958" w:name="_Toc11728"/>
      <w:bookmarkStart w:id="959" w:name="_Toc193796097"/>
      <w:bookmarkStart w:id="960" w:name="_Toc24185"/>
      <w:bookmarkStart w:id="961" w:name="_Toc13753"/>
      <w:bookmarkStart w:id="962" w:name="_Toc1312"/>
      <w:r>
        <w:rPr>
          <w:rFonts w:hint="eastAsia" w:cs="仿宋" w:asciiTheme="minorEastAsia" w:hAnsiTheme="minorEastAsia" w:eastAsiaTheme="minorEastAsia"/>
          <w:b/>
          <w:kern w:val="0"/>
          <w:sz w:val="24"/>
          <w:szCs w:val="24"/>
        </w:rPr>
        <w:t>九、签订时间</w:t>
      </w:r>
      <w:bookmarkEnd w:id="958"/>
      <w:bookmarkEnd w:id="959"/>
      <w:bookmarkEnd w:id="960"/>
      <w:bookmarkEnd w:id="961"/>
      <w:bookmarkEnd w:id="962"/>
    </w:p>
    <w:p w14:paraId="178FACE2">
      <w:pPr>
        <w:wordWrap w:val="0"/>
        <w:spacing w:line="500" w:lineRule="exact"/>
        <w:ind w:firstLine="480" w:firstLineChars="200"/>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本合同于</w:t>
      </w:r>
      <w:r>
        <w:rPr>
          <w:rFonts w:hint="eastAsia" w:cs="仿宋" w:asciiTheme="minorEastAsia" w:hAnsiTheme="minorEastAsia" w:eastAsiaTheme="minorEastAsia"/>
          <w:b/>
          <w:kern w:val="0"/>
          <w:sz w:val="24"/>
          <w:szCs w:val="24"/>
          <w:u w:val="single"/>
        </w:rPr>
        <w:fldChar w:fldCharType="begin"/>
      </w:r>
      <w:r>
        <w:rPr>
          <w:rFonts w:hint="eastAsia" w:cs="仿宋" w:asciiTheme="minorEastAsia" w:hAnsiTheme="minorEastAsia" w:eastAsiaTheme="minorEastAsia"/>
          <w:b/>
          <w:kern w:val="0"/>
          <w:sz w:val="24"/>
          <w:szCs w:val="24"/>
          <w:u w:val="single"/>
        </w:rPr>
        <w:instrText xml:space="preserve"> AUTOTEXT  input683 \* MERGEFORMAT </w:instrText>
      </w:r>
      <w:r>
        <w:rPr>
          <w:rFonts w:hint="eastAsia" w:cs="仿宋" w:asciiTheme="minorEastAsia" w:hAnsiTheme="minorEastAsia" w:eastAsiaTheme="minorEastAsia"/>
          <w:b/>
          <w:kern w:val="0"/>
          <w:sz w:val="24"/>
          <w:szCs w:val="24"/>
          <w:u w:val="single"/>
        </w:rPr>
        <w:fldChar w:fldCharType="separate"/>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b/>
          <w:kern w:val="0"/>
          <w:sz w:val="24"/>
          <w:szCs w:val="24"/>
          <w:u w:val="single"/>
        </w:rPr>
        <w:fldChar w:fldCharType="end"/>
      </w:r>
      <w:r>
        <w:rPr>
          <w:rFonts w:hint="eastAsia" w:cs="仿宋" w:asciiTheme="minorEastAsia" w:hAnsiTheme="minorEastAsia" w:eastAsiaTheme="minorEastAsia"/>
          <w:bCs/>
          <w:kern w:val="0"/>
          <w:sz w:val="24"/>
          <w:szCs w:val="24"/>
        </w:rPr>
        <w:t>签订。</w:t>
      </w:r>
    </w:p>
    <w:p w14:paraId="70B515C1">
      <w:pPr>
        <w:wordWrap w:val="0"/>
        <w:adjustRightInd w:val="0"/>
        <w:snapToGrid w:val="0"/>
        <w:spacing w:line="500" w:lineRule="exact"/>
        <w:jc w:val="left"/>
        <w:outlineLvl w:val="2"/>
        <w:rPr>
          <w:rFonts w:cs="仿宋" w:asciiTheme="minorEastAsia" w:hAnsiTheme="minorEastAsia" w:eastAsiaTheme="minorEastAsia"/>
          <w:bCs/>
          <w:kern w:val="0"/>
          <w:sz w:val="24"/>
          <w:szCs w:val="24"/>
        </w:rPr>
      </w:pPr>
      <w:r>
        <w:rPr>
          <w:rFonts w:hint="eastAsia" w:cs="仿宋" w:asciiTheme="minorEastAsia" w:hAnsiTheme="minorEastAsia" w:eastAsiaTheme="minorEastAsia"/>
          <w:b/>
          <w:kern w:val="0"/>
          <w:sz w:val="24"/>
          <w:szCs w:val="24"/>
        </w:rPr>
        <w:t xml:space="preserve">    </w:t>
      </w:r>
      <w:bookmarkStart w:id="963" w:name="_Toc27739"/>
      <w:bookmarkStart w:id="964" w:name="_Toc193796098"/>
      <w:bookmarkStart w:id="965" w:name="_Toc918"/>
      <w:bookmarkStart w:id="966" w:name="_Toc2524"/>
      <w:bookmarkStart w:id="967" w:name="_Toc2760"/>
      <w:r>
        <w:rPr>
          <w:rFonts w:hint="eastAsia" w:cs="仿宋" w:asciiTheme="minorEastAsia" w:hAnsiTheme="minorEastAsia" w:eastAsiaTheme="minorEastAsia"/>
          <w:b/>
          <w:kern w:val="0"/>
          <w:sz w:val="24"/>
          <w:szCs w:val="24"/>
        </w:rPr>
        <w:t>十、签订地点</w:t>
      </w:r>
      <w:bookmarkEnd w:id="963"/>
      <w:bookmarkEnd w:id="964"/>
      <w:bookmarkEnd w:id="965"/>
      <w:bookmarkEnd w:id="966"/>
      <w:bookmarkEnd w:id="967"/>
    </w:p>
    <w:p w14:paraId="0F79A040">
      <w:pPr>
        <w:wordWrap w:val="0"/>
        <w:spacing w:line="500" w:lineRule="exact"/>
        <w:ind w:firstLine="480" w:firstLineChars="200"/>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本合同在</w:t>
      </w:r>
      <w:r>
        <w:rPr>
          <w:rFonts w:hint="eastAsia" w:cs="仿宋" w:asciiTheme="minorEastAsia" w:hAnsiTheme="minorEastAsia" w:eastAsiaTheme="minorEastAsia"/>
          <w:b/>
          <w:kern w:val="0"/>
          <w:sz w:val="24"/>
          <w:szCs w:val="24"/>
          <w:u w:val="single"/>
        </w:rPr>
        <w:fldChar w:fldCharType="begin"/>
      </w:r>
      <w:r>
        <w:rPr>
          <w:rFonts w:hint="eastAsia" w:cs="仿宋" w:asciiTheme="minorEastAsia" w:hAnsiTheme="minorEastAsia" w:eastAsiaTheme="minorEastAsia"/>
          <w:b/>
          <w:kern w:val="0"/>
          <w:sz w:val="24"/>
          <w:szCs w:val="24"/>
          <w:u w:val="single"/>
        </w:rPr>
        <w:instrText xml:space="preserve"> AUTOTEXT  input684 \* MERGEFORMAT </w:instrText>
      </w:r>
      <w:r>
        <w:rPr>
          <w:rFonts w:hint="eastAsia" w:cs="仿宋" w:asciiTheme="minorEastAsia" w:hAnsiTheme="minorEastAsia" w:eastAsiaTheme="minorEastAsia"/>
          <w:b/>
          <w:kern w:val="0"/>
          <w:sz w:val="24"/>
          <w:szCs w:val="24"/>
          <w:u w:val="single"/>
        </w:rPr>
        <w:fldChar w:fldCharType="separate"/>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b/>
          <w:kern w:val="0"/>
          <w:sz w:val="24"/>
          <w:szCs w:val="24"/>
          <w:u w:val="single"/>
        </w:rPr>
        <w:fldChar w:fldCharType="end"/>
      </w:r>
      <w:r>
        <w:rPr>
          <w:rFonts w:hint="eastAsia" w:cs="仿宋" w:asciiTheme="minorEastAsia" w:hAnsiTheme="minorEastAsia" w:eastAsiaTheme="minorEastAsia"/>
          <w:bCs/>
          <w:kern w:val="0"/>
          <w:sz w:val="24"/>
          <w:szCs w:val="24"/>
        </w:rPr>
        <w:t>签订。</w:t>
      </w:r>
    </w:p>
    <w:p w14:paraId="707099F1">
      <w:pPr>
        <w:wordWrap w:val="0"/>
        <w:adjustRightInd w:val="0"/>
        <w:snapToGrid w:val="0"/>
        <w:spacing w:line="500" w:lineRule="exact"/>
        <w:jc w:val="left"/>
        <w:outlineLvl w:val="2"/>
        <w:rPr>
          <w:rFonts w:cs="仿宋" w:asciiTheme="minorEastAsia" w:hAnsiTheme="minorEastAsia" w:eastAsiaTheme="minorEastAsia"/>
          <w:bCs/>
          <w:kern w:val="0"/>
          <w:sz w:val="24"/>
          <w:szCs w:val="24"/>
        </w:rPr>
      </w:pPr>
      <w:r>
        <w:rPr>
          <w:rFonts w:hint="eastAsia" w:cs="仿宋" w:asciiTheme="minorEastAsia" w:hAnsiTheme="minorEastAsia" w:eastAsiaTheme="minorEastAsia"/>
          <w:b/>
          <w:kern w:val="0"/>
          <w:sz w:val="24"/>
          <w:szCs w:val="24"/>
        </w:rPr>
        <w:t xml:space="preserve">    </w:t>
      </w:r>
      <w:bookmarkStart w:id="968" w:name="_Toc7731"/>
      <w:bookmarkStart w:id="969" w:name="_Toc23736"/>
      <w:bookmarkStart w:id="970" w:name="_Toc13120"/>
      <w:bookmarkStart w:id="971" w:name="_Toc20388"/>
      <w:bookmarkStart w:id="972" w:name="_Toc193796099"/>
      <w:r>
        <w:rPr>
          <w:rFonts w:hint="eastAsia" w:cs="仿宋" w:asciiTheme="minorEastAsia" w:hAnsiTheme="minorEastAsia" w:eastAsiaTheme="minorEastAsia"/>
          <w:b/>
          <w:kern w:val="0"/>
          <w:sz w:val="24"/>
          <w:szCs w:val="24"/>
        </w:rPr>
        <w:t>十一、补充协议</w:t>
      </w:r>
      <w:bookmarkEnd w:id="968"/>
      <w:bookmarkEnd w:id="969"/>
      <w:bookmarkEnd w:id="970"/>
      <w:bookmarkEnd w:id="971"/>
      <w:bookmarkEnd w:id="972"/>
    </w:p>
    <w:p w14:paraId="3FA2F39D">
      <w:pPr>
        <w:wordWrap w:val="0"/>
        <w:spacing w:line="500" w:lineRule="exact"/>
        <w:ind w:firstLine="480" w:firstLineChars="200"/>
        <w:rPr>
          <w:rFonts w:cs="仿宋" w:asciiTheme="minorEastAsia" w:hAnsiTheme="minorEastAsia" w:eastAsiaTheme="minorEastAsia"/>
          <w:b/>
          <w:bCs/>
          <w:kern w:val="0"/>
          <w:sz w:val="24"/>
          <w:szCs w:val="24"/>
        </w:rPr>
      </w:pPr>
      <w:r>
        <w:rPr>
          <w:rFonts w:hint="eastAsia" w:cs="仿宋" w:asciiTheme="minorEastAsia" w:hAnsiTheme="minorEastAsia" w:eastAsiaTheme="minorEastAsia"/>
          <w:bCs/>
          <w:kern w:val="0"/>
          <w:sz w:val="24"/>
          <w:szCs w:val="24"/>
        </w:rPr>
        <w:t>合同未尽事宜，合同当事人另行签订补充协议，补充协议是合同的组成部分。</w:t>
      </w:r>
    </w:p>
    <w:p w14:paraId="2CCA3916">
      <w:pPr>
        <w:wordWrap w:val="0"/>
        <w:adjustRightInd w:val="0"/>
        <w:snapToGrid w:val="0"/>
        <w:spacing w:line="500" w:lineRule="exact"/>
        <w:jc w:val="left"/>
        <w:outlineLvl w:val="2"/>
        <w:rPr>
          <w:rFonts w:cs="仿宋" w:asciiTheme="minorEastAsia" w:hAnsiTheme="minorEastAsia" w:eastAsiaTheme="minorEastAsia"/>
          <w:bCs/>
          <w:kern w:val="0"/>
          <w:sz w:val="24"/>
          <w:szCs w:val="24"/>
        </w:rPr>
      </w:pPr>
      <w:r>
        <w:rPr>
          <w:rFonts w:hint="eastAsia" w:cs="仿宋" w:asciiTheme="minorEastAsia" w:hAnsiTheme="minorEastAsia" w:eastAsiaTheme="minorEastAsia"/>
          <w:b/>
          <w:kern w:val="0"/>
          <w:sz w:val="24"/>
          <w:szCs w:val="24"/>
        </w:rPr>
        <w:t xml:space="preserve">    </w:t>
      </w:r>
      <w:bookmarkStart w:id="973" w:name="_Toc3046"/>
      <w:bookmarkStart w:id="974" w:name="_Toc30899"/>
      <w:bookmarkStart w:id="975" w:name="_Toc193796100"/>
      <w:bookmarkStart w:id="976" w:name="_Toc31213"/>
      <w:bookmarkStart w:id="977" w:name="_Toc12832"/>
      <w:r>
        <w:rPr>
          <w:rFonts w:hint="eastAsia" w:cs="仿宋" w:asciiTheme="minorEastAsia" w:hAnsiTheme="minorEastAsia" w:eastAsiaTheme="minorEastAsia"/>
          <w:b/>
          <w:kern w:val="0"/>
          <w:sz w:val="24"/>
          <w:szCs w:val="24"/>
        </w:rPr>
        <w:t>十二、合同生效</w:t>
      </w:r>
      <w:bookmarkEnd w:id="973"/>
      <w:bookmarkEnd w:id="974"/>
      <w:bookmarkEnd w:id="975"/>
      <w:bookmarkEnd w:id="976"/>
      <w:bookmarkEnd w:id="977"/>
    </w:p>
    <w:p w14:paraId="38F83255">
      <w:pPr>
        <w:wordWrap w:val="0"/>
        <w:spacing w:line="500" w:lineRule="exact"/>
        <w:ind w:firstLine="480" w:firstLineChars="200"/>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本合同自</w:t>
      </w:r>
      <w:r>
        <w:rPr>
          <w:rFonts w:hint="eastAsia" w:cs="仿宋" w:asciiTheme="minorEastAsia" w:hAnsiTheme="minorEastAsia" w:eastAsiaTheme="minorEastAsia"/>
          <w:b/>
          <w:kern w:val="0"/>
          <w:sz w:val="24"/>
          <w:szCs w:val="24"/>
          <w:u w:val="single"/>
        </w:rPr>
        <w:fldChar w:fldCharType="begin"/>
      </w:r>
      <w:r>
        <w:rPr>
          <w:rFonts w:hint="eastAsia" w:cs="仿宋" w:asciiTheme="minorEastAsia" w:hAnsiTheme="minorEastAsia" w:eastAsiaTheme="minorEastAsia"/>
          <w:b/>
          <w:kern w:val="0"/>
          <w:sz w:val="24"/>
          <w:szCs w:val="24"/>
          <w:u w:val="single"/>
        </w:rPr>
        <w:instrText xml:space="preserve"> AUTOTEXT  input685 \* MERGEFORMAT </w:instrText>
      </w:r>
      <w:r>
        <w:rPr>
          <w:rFonts w:hint="eastAsia" w:cs="仿宋" w:asciiTheme="minorEastAsia" w:hAnsiTheme="minorEastAsia" w:eastAsiaTheme="minorEastAsia"/>
          <w:b/>
          <w:kern w:val="0"/>
          <w:sz w:val="24"/>
          <w:szCs w:val="24"/>
          <w:u w:val="single"/>
        </w:rPr>
        <w:fldChar w:fldCharType="separate"/>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b/>
          <w:kern w:val="0"/>
          <w:sz w:val="24"/>
          <w:szCs w:val="24"/>
          <w:u w:val="single"/>
        </w:rPr>
        <w:fldChar w:fldCharType="end"/>
      </w:r>
      <w:r>
        <w:rPr>
          <w:rFonts w:hint="eastAsia" w:cs="仿宋" w:asciiTheme="minorEastAsia" w:hAnsiTheme="minorEastAsia" w:eastAsiaTheme="minorEastAsia"/>
          <w:bCs/>
          <w:kern w:val="0"/>
          <w:sz w:val="24"/>
          <w:szCs w:val="24"/>
        </w:rPr>
        <w:t>生效。</w:t>
      </w:r>
    </w:p>
    <w:p w14:paraId="6AB19C48">
      <w:pPr>
        <w:wordWrap w:val="0"/>
        <w:adjustRightInd w:val="0"/>
        <w:snapToGrid w:val="0"/>
        <w:spacing w:line="500" w:lineRule="exact"/>
        <w:jc w:val="left"/>
        <w:outlineLvl w:val="2"/>
        <w:rPr>
          <w:rFonts w:cs="仿宋" w:asciiTheme="minorEastAsia" w:hAnsiTheme="minorEastAsia" w:eastAsiaTheme="minorEastAsia"/>
          <w:bCs/>
          <w:kern w:val="0"/>
          <w:sz w:val="24"/>
          <w:szCs w:val="24"/>
        </w:rPr>
      </w:pPr>
      <w:r>
        <w:rPr>
          <w:rFonts w:hint="eastAsia" w:cs="仿宋" w:asciiTheme="minorEastAsia" w:hAnsiTheme="minorEastAsia" w:eastAsiaTheme="minorEastAsia"/>
          <w:b/>
          <w:kern w:val="0"/>
          <w:sz w:val="24"/>
          <w:szCs w:val="24"/>
        </w:rPr>
        <w:t xml:space="preserve">    </w:t>
      </w:r>
      <w:bookmarkStart w:id="978" w:name="_Toc193796101"/>
      <w:bookmarkStart w:id="979" w:name="_Toc11023"/>
      <w:bookmarkStart w:id="980" w:name="_Toc29137"/>
      <w:bookmarkStart w:id="981" w:name="_Toc32714"/>
      <w:bookmarkStart w:id="982" w:name="_Toc1579"/>
      <w:r>
        <w:rPr>
          <w:rFonts w:hint="eastAsia" w:cs="仿宋" w:asciiTheme="minorEastAsia" w:hAnsiTheme="minorEastAsia" w:eastAsiaTheme="minorEastAsia"/>
          <w:b/>
          <w:kern w:val="0"/>
          <w:sz w:val="24"/>
          <w:szCs w:val="24"/>
        </w:rPr>
        <w:t>十三、合同份数</w:t>
      </w:r>
      <w:bookmarkEnd w:id="978"/>
      <w:bookmarkEnd w:id="979"/>
      <w:bookmarkEnd w:id="980"/>
      <w:bookmarkEnd w:id="981"/>
      <w:bookmarkEnd w:id="982"/>
    </w:p>
    <w:p w14:paraId="756FA7E3">
      <w:pPr>
        <w:wordWrap w:val="0"/>
        <w:spacing w:line="500" w:lineRule="exact"/>
        <w:ind w:firstLine="480" w:firstLineChars="200"/>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本合同一式</w:t>
      </w: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input686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r>
        <w:rPr>
          <w:rFonts w:hint="eastAsia" w:cs="仿宋" w:asciiTheme="minorEastAsia" w:hAnsiTheme="minorEastAsia" w:eastAsiaTheme="minorEastAsia"/>
          <w:bCs/>
          <w:kern w:val="0"/>
          <w:sz w:val="24"/>
          <w:szCs w:val="24"/>
        </w:rPr>
        <w:t>份，均具有同等法律效力，发包人执</w:t>
      </w: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input687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r>
        <w:rPr>
          <w:rFonts w:hint="eastAsia" w:cs="仿宋" w:asciiTheme="minorEastAsia" w:hAnsiTheme="minorEastAsia" w:eastAsiaTheme="minorEastAsia"/>
          <w:bCs/>
          <w:kern w:val="0"/>
          <w:sz w:val="24"/>
          <w:szCs w:val="24"/>
        </w:rPr>
        <w:t>份，承包人执</w:t>
      </w: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input688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r>
        <w:rPr>
          <w:rFonts w:hint="eastAsia" w:cs="仿宋" w:asciiTheme="minorEastAsia" w:hAnsiTheme="minorEastAsia" w:eastAsiaTheme="minorEastAsia"/>
          <w:bCs/>
          <w:kern w:val="0"/>
          <w:sz w:val="24"/>
          <w:szCs w:val="24"/>
        </w:rPr>
        <w:t>份。</w:t>
      </w:r>
    </w:p>
    <w:p w14:paraId="463BDBB7">
      <w:pPr>
        <w:wordWrap w:val="0"/>
        <w:spacing w:line="500" w:lineRule="exac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br w:type="page"/>
      </w:r>
    </w:p>
    <w:tbl>
      <w:tblPr>
        <w:tblStyle w:val="35"/>
        <w:tblW w:w="0" w:type="auto"/>
        <w:jc w:val="center"/>
        <w:tblLayout w:type="fixed"/>
        <w:tblCellMar>
          <w:top w:w="0" w:type="dxa"/>
          <w:left w:w="108" w:type="dxa"/>
          <w:bottom w:w="0" w:type="dxa"/>
          <w:right w:w="108" w:type="dxa"/>
        </w:tblCellMar>
      </w:tblPr>
      <w:tblGrid>
        <w:gridCol w:w="2269"/>
        <w:gridCol w:w="2118"/>
        <w:gridCol w:w="2073"/>
        <w:gridCol w:w="2826"/>
      </w:tblGrid>
      <w:tr w14:paraId="0FEEE139">
        <w:tblPrEx>
          <w:tblCellMar>
            <w:top w:w="0" w:type="dxa"/>
            <w:left w:w="108" w:type="dxa"/>
            <w:bottom w:w="0" w:type="dxa"/>
            <w:right w:w="108" w:type="dxa"/>
          </w:tblCellMar>
        </w:tblPrEx>
        <w:trPr>
          <w:cantSplit/>
          <w:jc w:val="center"/>
        </w:trPr>
        <w:tc>
          <w:tcPr>
            <w:tcW w:w="2269" w:type="dxa"/>
            <w:vAlign w:val="center"/>
          </w:tcPr>
          <w:p w14:paraId="360B5026">
            <w:pPr>
              <w:wordWrap w:val="0"/>
              <w:topLinePunct/>
              <w:adjustRightInd w:val="0"/>
              <w:snapToGrid w:val="0"/>
              <w:spacing w:line="500" w:lineRule="exact"/>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w:t>
            </w:r>
          </w:p>
        </w:tc>
        <w:tc>
          <w:tcPr>
            <w:tcW w:w="2118" w:type="dxa"/>
            <w:vAlign w:val="center"/>
          </w:tcPr>
          <w:p w14:paraId="375D391B">
            <w:pPr>
              <w:wordWrap w:val="0"/>
              <w:topLinePunct/>
              <w:adjustRightInd w:val="0"/>
              <w:snapToGrid w:val="0"/>
              <w:spacing w:line="50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input689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r>
              <w:rPr>
                <w:rFonts w:hint="eastAsia" w:cs="仿宋" w:asciiTheme="minorEastAsia" w:hAnsiTheme="minorEastAsia" w:eastAsiaTheme="minorEastAsia"/>
                <w:kern w:val="0"/>
                <w:sz w:val="24"/>
                <w:szCs w:val="24"/>
              </w:rPr>
              <w:t>(公章)</w:t>
            </w:r>
          </w:p>
        </w:tc>
        <w:tc>
          <w:tcPr>
            <w:tcW w:w="2073" w:type="dxa"/>
            <w:vAlign w:val="center"/>
          </w:tcPr>
          <w:p w14:paraId="6842D33C">
            <w:pPr>
              <w:wordWrap w:val="0"/>
              <w:topLinePunct/>
              <w:adjustRightInd w:val="0"/>
              <w:snapToGrid w:val="0"/>
              <w:spacing w:line="500" w:lineRule="exact"/>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w:t>
            </w:r>
          </w:p>
        </w:tc>
        <w:tc>
          <w:tcPr>
            <w:tcW w:w="2826" w:type="dxa"/>
            <w:vAlign w:val="center"/>
          </w:tcPr>
          <w:p w14:paraId="532F8854">
            <w:pPr>
              <w:wordWrap w:val="0"/>
              <w:topLinePunct/>
              <w:adjustRightInd w:val="0"/>
              <w:snapToGrid w:val="0"/>
              <w:spacing w:line="50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input690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r>
              <w:rPr>
                <w:rFonts w:hint="eastAsia" w:cs="仿宋" w:asciiTheme="minorEastAsia" w:hAnsiTheme="minorEastAsia" w:eastAsiaTheme="minorEastAsia"/>
                <w:kern w:val="0"/>
                <w:sz w:val="24"/>
                <w:szCs w:val="24"/>
              </w:rPr>
              <w:t>(公章)</w:t>
            </w:r>
          </w:p>
        </w:tc>
      </w:tr>
      <w:tr w14:paraId="4E94B0AB">
        <w:tblPrEx>
          <w:tblCellMar>
            <w:top w:w="0" w:type="dxa"/>
            <w:left w:w="108" w:type="dxa"/>
            <w:bottom w:w="0" w:type="dxa"/>
            <w:right w:w="108" w:type="dxa"/>
          </w:tblCellMar>
        </w:tblPrEx>
        <w:trPr>
          <w:cantSplit/>
          <w:jc w:val="center"/>
        </w:trPr>
        <w:tc>
          <w:tcPr>
            <w:tcW w:w="2269" w:type="dxa"/>
            <w:vAlign w:val="center"/>
          </w:tcPr>
          <w:p w14:paraId="3E972E14">
            <w:pPr>
              <w:wordWrap w:val="0"/>
              <w:topLinePunct/>
              <w:adjustRightInd w:val="0"/>
              <w:snapToGrid w:val="0"/>
              <w:spacing w:line="500" w:lineRule="exact"/>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法定代表人或其委托代理人：</w:t>
            </w:r>
          </w:p>
        </w:tc>
        <w:tc>
          <w:tcPr>
            <w:tcW w:w="2118" w:type="dxa"/>
            <w:vAlign w:val="center"/>
          </w:tcPr>
          <w:p w14:paraId="665A27C8">
            <w:pPr>
              <w:wordWrap w:val="0"/>
              <w:topLinePunct/>
              <w:adjustRightInd w:val="0"/>
              <w:snapToGrid w:val="0"/>
              <w:spacing w:line="50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input691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r>
              <w:rPr>
                <w:rFonts w:hint="eastAsia" w:cs="仿宋" w:asciiTheme="minorEastAsia" w:hAnsiTheme="minorEastAsia" w:eastAsiaTheme="minorEastAsia"/>
                <w:kern w:val="0"/>
                <w:sz w:val="24"/>
                <w:szCs w:val="24"/>
              </w:rPr>
              <w:t>（签字）</w:t>
            </w:r>
          </w:p>
        </w:tc>
        <w:tc>
          <w:tcPr>
            <w:tcW w:w="2073" w:type="dxa"/>
            <w:vAlign w:val="center"/>
          </w:tcPr>
          <w:p w14:paraId="487ECE43">
            <w:pPr>
              <w:wordWrap w:val="0"/>
              <w:topLinePunct/>
              <w:adjustRightInd w:val="0"/>
              <w:snapToGrid w:val="0"/>
              <w:spacing w:line="500" w:lineRule="exact"/>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法定代表人或其委托代理人：</w:t>
            </w:r>
          </w:p>
        </w:tc>
        <w:tc>
          <w:tcPr>
            <w:tcW w:w="2826" w:type="dxa"/>
            <w:vAlign w:val="center"/>
          </w:tcPr>
          <w:p w14:paraId="1FDF7D4A">
            <w:pPr>
              <w:wordWrap w:val="0"/>
              <w:topLinePunct/>
              <w:adjustRightInd w:val="0"/>
              <w:snapToGrid w:val="0"/>
              <w:spacing w:line="500" w:lineRule="exact"/>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input692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r>
              <w:rPr>
                <w:rFonts w:hint="eastAsia" w:cs="仿宋" w:asciiTheme="minorEastAsia" w:hAnsiTheme="minorEastAsia" w:eastAsiaTheme="minorEastAsia"/>
                <w:kern w:val="0"/>
                <w:sz w:val="24"/>
                <w:szCs w:val="24"/>
              </w:rPr>
              <w:t>（签字）</w:t>
            </w:r>
          </w:p>
        </w:tc>
      </w:tr>
      <w:tr w14:paraId="793F495B">
        <w:tblPrEx>
          <w:tblCellMar>
            <w:top w:w="0" w:type="dxa"/>
            <w:left w:w="108" w:type="dxa"/>
            <w:bottom w:w="0" w:type="dxa"/>
            <w:right w:w="108" w:type="dxa"/>
          </w:tblCellMar>
        </w:tblPrEx>
        <w:trPr>
          <w:cantSplit/>
          <w:jc w:val="center"/>
        </w:trPr>
        <w:tc>
          <w:tcPr>
            <w:tcW w:w="2269" w:type="dxa"/>
            <w:vAlign w:val="center"/>
          </w:tcPr>
          <w:p w14:paraId="21B61FFC">
            <w:pPr>
              <w:wordWrap w:val="0"/>
              <w:topLinePunct/>
              <w:adjustRightInd w:val="0"/>
              <w:snapToGrid w:val="0"/>
              <w:spacing w:line="500" w:lineRule="exact"/>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统一社会信用代码：</w:t>
            </w:r>
          </w:p>
        </w:tc>
        <w:tc>
          <w:tcPr>
            <w:tcW w:w="2118" w:type="dxa"/>
            <w:vAlign w:val="center"/>
          </w:tcPr>
          <w:p w14:paraId="45A6CAAE">
            <w:pPr>
              <w:wordWrap w:val="0"/>
              <w:topLinePunct/>
              <w:adjustRightInd w:val="0"/>
              <w:snapToGrid w:val="0"/>
              <w:spacing w:line="50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input693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p>
        </w:tc>
        <w:tc>
          <w:tcPr>
            <w:tcW w:w="2073" w:type="dxa"/>
            <w:vAlign w:val="center"/>
          </w:tcPr>
          <w:p w14:paraId="3063889D">
            <w:pPr>
              <w:wordWrap w:val="0"/>
              <w:topLinePunct/>
              <w:adjustRightInd w:val="0"/>
              <w:snapToGrid w:val="0"/>
              <w:spacing w:line="500" w:lineRule="exact"/>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统一社会信用代码：</w:t>
            </w:r>
          </w:p>
        </w:tc>
        <w:tc>
          <w:tcPr>
            <w:tcW w:w="2826" w:type="dxa"/>
            <w:vAlign w:val="center"/>
          </w:tcPr>
          <w:p w14:paraId="172524B1">
            <w:pPr>
              <w:wordWrap w:val="0"/>
              <w:topLinePunct/>
              <w:adjustRightInd w:val="0"/>
              <w:snapToGrid w:val="0"/>
              <w:spacing w:line="50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input694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p>
        </w:tc>
      </w:tr>
      <w:tr w14:paraId="1E172C3B">
        <w:tblPrEx>
          <w:tblCellMar>
            <w:top w:w="0" w:type="dxa"/>
            <w:left w:w="108" w:type="dxa"/>
            <w:bottom w:w="0" w:type="dxa"/>
            <w:right w:w="108" w:type="dxa"/>
          </w:tblCellMar>
        </w:tblPrEx>
        <w:trPr>
          <w:cantSplit/>
          <w:jc w:val="center"/>
        </w:trPr>
        <w:tc>
          <w:tcPr>
            <w:tcW w:w="2269" w:type="dxa"/>
            <w:vAlign w:val="center"/>
          </w:tcPr>
          <w:p w14:paraId="4F537274">
            <w:pPr>
              <w:wordWrap w:val="0"/>
              <w:topLinePunct/>
              <w:adjustRightInd w:val="0"/>
              <w:snapToGrid w:val="0"/>
              <w:spacing w:line="500" w:lineRule="exact"/>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地    址：</w:t>
            </w:r>
          </w:p>
        </w:tc>
        <w:tc>
          <w:tcPr>
            <w:tcW w:w="2118" w:type="dxa"/>
            <w:vAlign w:val="center"/>
          </w:tcPr>
          <w:p w14:paraId="25154BBF">
            <w:pPr>
              <w:wordWrap w:val="0"/>
              <w:topLinePunct/>
              <w:adjustRightInd w:val="0"/>
              <w:snapToGrid w:val="0"/>
              <w:spacing w:line="50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input695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p>
        </w:tc>
        <w:tc>
          <w:tcPr>
            <w:tcW w:w="2073" w:type="dxa"/>
            <w:vAlign w:val="center"/>
          </w:tcPr>
          <w:p w14:paraId="03748ECF">
            <w:pPr>
              <w:wordWrap w:val="0"/>
              <w:topLinePunct/>
              <w:adjustRightInd w:val="0"/>
              <w:snapToGrid w:val="0"/>
              <w:spacing w:line="500" w:lineRule="exact"/>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地    址：</w:t>
            </w:r>
          </w:p>
        </w:tc>
        <w:tc>
          <w:tcPr>
            <w:tcW w:w="2826" w:type="dxa"/>
            <w:vAlign w:val="center"/>
          </w:tcPr>
          <w:p w14:paraId="6E9FE854">
            <w:pPr>
              <w:wordWrap w:val="0"/>
              <w:topLinePunct/>
              <w:adjustRightInd w:val="0"/>
              <w:snapToGrid w:val="0"/>
              <w:spacing w:line="50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input696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p>
        </w:tc>
      </w:tr>
      <w:tr w14:paraId="0A76E629">
        <w:tblPrEx>
          <w:tblCellMar>
            <w:top w:w="0" w:type="dxa"/>
            <w:left w:w="108" w:type="dxa"/>
            <w:bottom w:w="0" w:type="dxa"/>
            <w:right w:w="108" w:type="dxa"/>
          </w:tblCellMar>
        </w:tblPrEx>
        <w:trPr>
          <w:cantSplit/>
          <w:jc w:val="center"/>
        </w:trPr>
        <w:tc>
          <w:tcPr>
            <w:tcW w:w="2269" w:type="dxa"/>
            <w:vAlign w:val="center"/>
          </w:tcPr>
          <w:p w14:paraId="38D96416">
            <w:pPr>
              <w:wordWrap w:val="0"/>
              <w:topLinePunct/>
              <w:adjustRightInd w:val="0"/>
              <w:snapToGrid w:val="0"/>
              <w:spacing w:line="500" w:lineRule="exact"/>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邮政编码：</w:t>
            </w:r>
          </w:p>
        </w:tc>
        <w:tc>
          <w:tcPr>
            <w:tcW w:w="2118" w:type="dxa"/>
            <w:vAlign w:val="center"/>
          </w:tcPr>
          <w:p w14:paraId="6CBECACD">
            <w:pPr>
              <w:wordWrap w:val="0"/>
              <w:topLinePunct/>
              <w:adjustRightInd w:val="0"/>
              <w:snapToGrid w:val="0"/>
              <w:spacing w:line="50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input697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p>
        </w:tc>
        <w:tc>
          <w:tcPr>
            <w:tcW w:w="2073" w:type="dxa"/>
            <w:vAlign w:val="center"/>
          </w:tcPr>
          <w:p w14:paraId="09395374">
            <w:pPr>
              <w:wordWrap w:val="0"/>
              <w:topLinePunct/>
              <w:adjustRightInd w:val="0"/>
              <w:snapToGrid w:val="0"/>
              <w:spacing w:line="500" w:lineRule="exact"/>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邮政编码：</w:t>
            </w:r>
          </w:p>
        </w:tc>
        <w:tc>
          <w:tcPr>
            <w:tcW w:w="2826" w:type="dxa"/>
            <w:vAlign w:val="center"/>
          </w:tcPr>
          <w:p w14:paraId="2F0A972E">
            <w:pPr>
              <w:wordWrap w:val="0"/>
              <w:topLinePunct/>
              <w:adjustRightInd w:val="0"/>
              <w:snapToGrid w:val="0"/>
              <w:spacing w:line="50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input698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p>
        </w:tc>
      </w:tr>
      <w:tr w14:paraId="61214301">
        <w:tblPrEx>
          <w:tblCellMar>
            <w:top w:w="0" w:type="dxa"/>
            <w:left w:w="108" w:type="dxa"/>
            <w:bottom w:w="0" w:type="dxa"/>
            <w:right w:w="108" w:type="dxa"/>
          </w:tblCellMar>
        </w:tblPrEx>
        <w:trPr>
          <w:cantSplit/>
          <w:jc w:val="center"/>
        </w:trPr>
        <w:tc>
          <w:tcPr>
            <w:tcW w:w="2269" w:type="dxa"/>
            <w:vAlign w:val="center"/>
          </w:tcPr>
          <w:p w14:paraId="4C51B04D">
            <w:pPr>
              <w:wordWrap w:val="0"/>
              <w:topLinePunct/>
              <w:adjustRightInd w:val="0"/>
              <w:snapToGrid w:val="0"/>
              <w:spacing w:line="500" w:lineRule="exact"/>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法定代表人：</w:t>
            </w:r>
          </w:p>
        </w:tc>
        <w:tc>
          <w:tcPr>
            <w:tcW w:w="2118" w:type="dxa"/>
            <w:vAlign w:val="center"/>
          </w:tcPr>
          <w:p w14:paraId="689E26BD">
            <w:pPr>
              <w:wordWrap w:val="0"/>
              <w:topLinePunct/>
              <w:adjustRightInd w:val="0"/>
              <w:snapToGrid w:val="0"/>
              <w:spacing w:line="50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input699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p>
        </w:tc>
        <w:tc>
          <w:tcPr>
            <w:tcW w:w="2073" w:type="dxa"/>
            <w:vAlign w:val="center"/>
          </w:tcPr>
          <w:p w14:paraId="0FCB8318">
            <w:pPr>
              <w:wordWrap w:val="0"/>
              <w:topLinePunct/>
              <w:adjustRightInd w:val="0"/>
              <w:snapToGrid w:val="0"/>
              <w:spacing w:line="500" w:lineRule="exact"/>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法定代表人：</w:t>
            </w:r>
          </w:p>
        </w:tc>
        <w:tc>
          <w:tcPr>
            <w:tcW w:w="2826" w:type="dxa"/>
            <w:vAlign w:val="center"/>
          </w:tcPr>
          <w:p w14:paraId="75967D09">
            <w:pPr>
              <w:wordWrap w:val="0"/>
              <w:topLinePunct/>
              <w:adjustRightInd w:val="0"/>
              <w:snapToGrid w:val="0"/>
              <w:spacing w:line="50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input700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p>
        </w:tc>
      </w:tr>
      <w:tr w14:paraId="57F4D5DD">
        <w:tblPrEx>
          <w:tblCellMar>
            <w:top w:w="0" w:type="dxa"/>
            <w:left w:w="108" w:type="dxa"/>
            <w:bottom w:w="0" w:type="dxa"/>
            <w:right w:w="108" w:type="dxa"/>
          </w:tblCellMar>
        </w:tblPrEx>
        <w:trPr>
          <w:cantSplit/>
          <w:jc w:val="center"/>
        </w:trPr>
        <w:tc>
          <w:tcPr>
            <w:tcW w:w="2269" w:type="dxa"/>
            <w:vAlign w:val="center"/>
          </w:tcPr>
          <w:p w14:paraId="4EE02978">
            <w:pPr>
              <w:wordWrap w:val="0"/>
              <w:topLinePunct/>
              <w:adjustRightInd w:val="0"/>
              <w:snapToGrid w:val="0"/>
              <w:spacing w:line="500" w:lineRule="exact"/>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委托代理人：</w:t>
            </w:r>
          </w:p>
        </w:tc>
        <w:tc>
          <w:tcPr>
            <w:tcW w:w="2118" w:type="dxa"/>
            <w:vAlign w:val="center"/>
          </w:tcPr>
          <w:p w14:paraId="5FC0A88F">
            <w:pPr>
              <w:wordWrap w:val="0"/>
              <w:topLinePunct/>
              <w:adjustRightInd w:val="0"/>
              <w:snapToGrid w:val="0"/>
              <w:spacing w:line="500" w:lineRule="exact"/>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input701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p>
        </w:tc>
        <w:tc>
          <w:tcPr>
            <w:tcW w:w="2073" w:type="dxa"/>
            <w:vAlign w:val="center"/>
          </w:tcPr>
          <w:p w14:paraId="2BD205CB">
            <w:pPr>
              <w:wordWrap w:val="0"/>
              <w:topLinePunct/>
              <w:adjustRightInd w:val="0"/>
              <w:snapToGrid w:val="0"/>
              <w:spacing w:line="500" w:lineRule="exact"/>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委托代理人：</w:t>
            </w:r>
          </w:p>
        </w:tc>
        <w:tc>
          <w:tcPr>
            <w:tcW w:w="2826" w:type="dxa"/>
            <w:vAlign w:val="center"/>
          </w:tcPr>
          <w:p w14:paraId="1855A8A5">
            <w:pPr>
              <w:wordWrap w:val="0"/>
              <w:topLinePunct/>
              <w:adjustRightInd w:val="0"/>
              <w:snapToGrid w:val="0"/>
              <w:spacing w:line="500" w:lineRule="exact"/>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input702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p>
        </w:tc>
      </w:tr>
      <w:tr w14:paraId="1131C410">
        <w:tblPrEx>
          <w:tblCellMar>
            <w:top w:w="0" w:type="dxa"/>
            <w:left w:w="108" w:type="dxa"/>
            <w:bottom w:w="0" w:type="dxa"/>
            <w:right w:w="108" w:type="dxa"/>
          </w:tblCellMar>
        </w:tblPrEx>
        <w:trPr>
          <w:cantSplit/>
          <w:jc w:val="center"/>
        </w:trPr>
        <w:tc>
          <w:tcPr>
            <w:tcW w:w="2269" w:type="dxa"/>
            <w:vAlign w:val="center"/>
          </w:tcPr>
          <w:p w14:paraId="774380DE">
            <w:pPr>
              <w:wordWrap w:val="0"/>
              <w:topLinePunct/>
              <w:adjustRightInd w:val="0"/>
              <w:snapToGrid w:val="0"/>
              <w:spacing w:line="500" w:lineRule="exact"/>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电    话：</w:t>
            </w:r>
          </w:p>
        </w:tc>
        <w:tc>
          <w:tcPr>
            <w:tcW w:w="2118" w:type="dxa"/>
            <w:vAlign w:val="center"/>
          </w:tcPr>
          <w:p w14:paraId="0B73F736">
            <w:pPr>
              <w:wordWrap w:val="0"/>
              <w:topLinePunct/>
              <w:adjustRightInd w:val="0"/>
              <w:snapToGrid w:val="0"/>
              <w:spacing w:line="50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input703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p>
        </w:tc>
        <w:tc>
          <w:tcPr>
            <w:tcW w:w="2073" w:type="dxa"/>
            <w:vAlign w:val="center"/>
          </w:tcPr>
          <w:p w14:paraId="1490584C">
            <w:pPr>
              <w:wordWrap w:val="0"/>
              <w:topLinePunct/>
              <w:adjustRightInd w:val="0"/>
              <w:snapToGrid w:val="0"/>
              <w:spacing w:line="500" w:lineRule="exact"/>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电    话：</w:t>
            </w:r>
          </w:p>
        </w:tc>
        <w:tc>
          <w:tcPr>
            <w:tcW w:w="2826" w:type="dxa"/>
            <w:vAlign w:val="center"/>
          </w:tcPr>
          <w:p w14:paraId="2BF77062">
            <w:pPr>
              <w:wordWrap w:val="0"/>
              <w:topLinePunct/>
              <w:adjustRightInd w:val="0"/>
              <w:snapToGrid w:val="0"/>
              <w:spacing w:line="50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input704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p>
        </w:tc>
      </w:tr>
      <w:tr w14:paraId="66482E90">
        <w:tblPrEx>
          <w:tblCellMar>
            <w:top w:w="0" w:type="dxa"/>
            <w:left w:w="108" w:type="dxa"/>
            <w:bottom w:w="0" w:type="dxa"/>
            <w:right w:w="108" w:type="dxa"/>
          </w:tblCellMar>
        </w:tblPrEx>
        <w:trPr>
          <w:cantSplit/>
          <w:jc w:val="center"/>
        </w:trPr>
        <w:tc>
          <w:tcPr>
            <w:tcW w:w="2269" w:type="dxa"/>
            <w:vAlign w:val="center"/>
          </w:tcPr>
          <w:p w14:paraId="66C2BC51">
            <w:pPr>
              <w:wordWrap w:val="0"/>
              <w:topLinePunct/>
              <w:adjustRightInd w:val="0"/>
              <w:snapToGrid w:val="0"/>
              <w:spacing w:line="500" w:lineRule="exact"/>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传    真：</w:t>
            </w:r>
          </w:p>
        </w:tc>
        <w:tc>
          <w:tcPr>
            <w:tcW w:w="2118" w:type="dxa"/>
            <w:vAlign w:val="center"/>
          </w:tcPr>
          <w:p w14:paraId="40FBCCCF">
            <w:pPr>
              <w:wordWrap w:val="0"/>
              <w:topLinePunct/>
              <w:adjustRightInd w:val="0"/>
              <w:snapToGrid w:val="0"/>
              <w:spacing w:line="50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input705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p>
        </w:tc>
        <w:tc>
          <w:tcPr>
            <w:tcW w:w="2073" w:type="dxa"/>
            <w:vAlign w:val="center"/>
          </w:tcPr>
          <w:p w14:paraId="590D1D9C">
            <w:pPr>
              <w:wordWrap w:val="0"/>
              <w:topLinePunct/>
              <w:adjustRightInd w:val="0"/>
              <w:snapToGrid w:val="0"/>
              <w:spacing w:line="500" w:lineRule="exact"/>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传    真：</w:t>
            </w:r>
          </w:p>
        </w:tc>
        <w:tc>
          <w:tcPr>
            <w:tcW w:w="2826" w:type="dxa"/>
            <w:vAlign w:val="center"/>
          </w:tcPr>
          <w:p w14:paraId="3034142F">
            <w:pPr>
              <w:wordWrap w:val="0"/>
              <w:topLinePunct/>
              <w:adjustRightInd w:val="0"/>
              <w:snapToGrid w:val="0"/>
              <w:spacing w:line="50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input706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p>
        </w:tc>
      </w:tr>
      <w:tr w14:paraId="70583FCD">
        <w:tblPrEx>
          <w:tblCellMar>
            <w:top w:w="0" w:type="dxa"/>
            <w:left w:w="108" w:type="dxa"/>
            <w:bottom w:w="0" w:type="dxa"/>
            <w:right w:w="108" w:type="dxa"/>
          </w:tblCellMar>
        </w:tblPrEx>
        <w:trPr>
          <w:cantSplit/>
          <w:jc w:val="center"/>
        </w:trPr>
        <w:tc>
          <w:tcPr>
            <w:tcW w:w="2269" w:type="dxa"/>
            <w:vAlign w:val="center"/>
          </w:tcPr>
          <w:p w14:paraId="7FBD4819">
            <w:pPr>
              <w:wordWrap w:val="0"/>
              <w:topLinePunct/>
              <w:adjustRightInd w:val="0"/>
              <w:snapToGrid w:val="0"/>
              <w:spacing w:line="500" w:lineRule="exact"/>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电子信箱：</w:t>
            </w:r>
          </w:p>
        </w:tc>
        <w:tc>
          <w:tcPr>
            <w:tcW w:w="2118" w:type="dxa"/>
            <w:vAlign w:val="center"/>
          </w:tcPr>
          <w:p w14:paraId="2232867A">
            <w:pPr>
              <w:wordWrap w:val="0"/>
              <w:topLinePunct/>
              <w:adjustRightInd w:val="0"/>
              <w:snapToGrid w:val="0"/>
              <w:spacing w:line="50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input707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p>
        </w:tc>
        <w:tc>
          <w:tcPr>
            <w:tcW w:w="2073" w:type="dxa"/>
            <w:vAlign w:val="center"/>
          </w:tcPr>
          <w:p w14:paraId="09278FF1">
            <w:pPr>
              <w:wordWrap w:val="0"/>
              <w:topLinePunct/>
              <w:adjustRightInd w:val="0"/>
              <w:snapToGrid w:val="0"/>
              <w:spacing w:line="500" w:lineRule="exact"/>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电子信箱：</w:t>
            </w:r>
          </w:p>
        </w:tc>
        <w:tc>
          <w:tcPr>
            <w:tcW w:w="2826" w:type="dxa"/>
            <w:vAlign w:val="center"/>
          </w:tcPr>
          <w:p w14:paraId="41392A8F">
            <w:pPr>
              <w:wordWrap w:val="0"/>
              <w:topLinePunct/>
              <w:adjustRightInd w:val="0"/>
              <w:snapToGrid w:val="0"/>
              <w:spacing w:line="50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input708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p>
        </w:tc>
      </w:tr>
      <w:tr w14:paraId="3835C754">
        <w:tblPrEx>
          <w:tblCellMar>
            <w:top w:w="0" w:type="dxa"/>
            <w:left w:w="108" w:type="dxa"/>
            <w:bottom w:w="0" w:type="dxa"/>
            <w:right w:w="108" w:type="dxa"/>
          </w:tblCellMar>
        </w:tblPrEx>
        <w:trPr>
          <w:cantSplit/>
          <w:jc w:val="center"/>
        </w:trPr>
        <w:tc>
          <w:tcPr>
            <w:tcW w:w="2269" w:type="dxa"/>
            <w:vAlign w:val="center"/>
          </w:tcPr>
          <w:p w14:paraId="04C747C7">
            <w:pPr>
              <w:wordWrap w:val="0"/>
              <w:topLinePunct/>
              <w:adjustRightInd w:val="0"/>
              <w:snapToGrid w:val="0"/>
              <w:spacing w:line="500" w:lineRule="exact"/>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开户银行：</w:t>
            </w:r>
          </w:p>
        </w:tc>
        <w:tc>
          <w:tcPr>
            <w:tcW w:w="2118" w:type="dxa"/>
            <w:vAlign w:val="center"/>
          </w:tcPr>
          <w:p w14:paraId="3F7DD192">
            <w:pPr>
              <w:wordWrap w:val="0"/>
              <w:topLinePunct/>
              <w:adjustRightInd w:val="0"/>
              <w:snapToGrid w:val="0"/>
              <w:spacing w:line="50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input709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p>
        </w:tc>
        <w:tc>
          <w:tcPr>
            <w:tcW w:w="2073" w:type="dxa"/>
            <w:vAlign w:val="center"/>
          </w:tcPr>
          <w:p w14:paraId="014EFBBC">
            <w:pPr>
              <w:wordWrap w:val="0"/>
              <w:topLinePunct/>
              <w:adjustRightInd w:val="0"/>
              <w:snapToGrid w:val="0"/>
              <w:spacing w:line="500" w:lineRule="exact"/>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开户银行：</w:t>
            </w:r>
          </w:p>
        </w:tc>
        <w:tc>
          <w:tcPr>
            <w:tcW w:w="2826" w:type="dxa"/>
            <w:vAlign w:val="center"/>
          </w:tcPr>
          <w:p w14:paraId="02052783">
            <w:pPr>
              <w:wordWrap w:val="0"/>
              <w:topLinePunct/>
              <w:adjustRightInd w:val="0"/>
              <w:snapToGrid w:val="0"/>
              <w:spacing w:line="500" w:lineRule="exact"/>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input710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p>
        </w:tc>
      </w:tr>
      <w:tr w14:paraId="0E3AEC24">
        <w:tblPrEx>
          <w:tblCellMar>
            <w:top w:w="0" w:type="dxa"/>
            <w:left w:w="108" w:type="dxa"/>
            <w:bottom w:w="0" w:type="dxa"/>
            <w:right w:w="108" w:type="dxa"/>
          </w:tblCellMar>
        </w:tblPrEx>
        <w:trPr>
          <w:cantSplit/>
          <w:jc w:val="center"/>
        </w:trPr>
        <w:tc>
          <w:tcPr>
            <w:tcW w:w="2269" w:type="dxa"/>
            <w:vAlign w:val="center"/>
          </w:tcPr>
          <w:p w14:paraId="1F5E2C7F">
            <w:pPr>
              <w:wordWrap w:val="0"/>
              <w:topLinePunct/>
              <w:adjustRightInd w:val="0"/>
              <w:snapToGrid w:val="0"/>
              <w:spacing w:line="500" w:lineRule="exact"/>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账    号：</w:t>
            </w:r>
          </w:p>
        </w:tc>
        <w:tc>
          <w:tcPr>
            <w:tcW w:w="2118" w:type="dxa"/>
            <w:vAlign w:val="center"/>
          </w:tcPr>
          <w:p w14:paraId="4E981246">
            <w:pPr>
              <w:wordWrap w:val="0"/>
              <w:topLinePunct/>
              <w:adjustRightInd w:val="0"/>
              <w:snapToGrid w:val="0"/>
              <w:spacing w:line="50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input711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p>
        </w:tc>
        <w:tc>
          <w:tcPr>
            <w:tcW w:w="2073" w:type="dxa"/>
            <w:vAlign w:val="center"/>
          </w:tcPr>
          <w:p w14:paraId="09B4F733">
            <w:pPr>
              <w:wordWrap w:val="0"/>
              <w:topLinePunct/>
              <w:adjustRightInd w:val="0"/>
              <w:snapToGrid w:val="0"/>
              <w:spacing w:line="500" w:lineRule="exact"/>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账    号：</w:t>
            </w:r>
          </w:p>
        </w:tc>
        <w:tc>
          <w:tcPr>
            <w:tcW w:w="2826" w:type="dxa"/>
            <w:vAlign w:val="center"/>
          </w:tcPr>
          <w:p w14:paraId="1B179E59">
            <w:pPr>
              <w:wordWrap w:val="0"/>
              <w:topLinePunct/>
              <w:adjustRightInd w:val="0"/>
              <w:snapToGrid w:val="0"/>
              <w:spacing w:line="500" w:lineRule="exact"/>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u w:val="single"/>
              </w:rPr>
              <w:fldChar w:fldCharType="begin"/>
            </w:r>
            <w:r>
              <w:rPr>
                <w:rFonts w:hint="eastAsia" w:cs="仿宋" w:asciiTheme="minorEastAsia" w:hAnsiTheme="minorEastAsia" w:eastAsiaTheme="minorEastAsia"/>
                <w:kern w:val="0"/>
                <w:sz w:val="24"/>
                <w:szCs w:val="24"/>
                <w:u w:val="single"/>
              </w:rPr>
              <w:instrText xml:space="preserve"> AUTOTEXT  input719 \* MERGEFORMAT </w:instrText>
            </w:r>
            <w:r>
              <w:rPr>
                <w:rFonts w:hint="eastAsia" w:cs="仿宋" w:asciiTheme="minorEastAsia" w:hAnsiTheme="minorEastAsia" w:eastAsiaTheme="minorEastAsia"/>
                <w:kern w:val="0"/>
                <w:sz w:val="24"/>
                <w:szCs w:val="24"/>
                <w:u w:val="single"/>
              </w:rPr>
              <w:fldChar w:fldCharType="separate"/>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rPr>
              <w:fldChar w:fldCharType="end"/>
            </w:r>
          </w:p>
        </w:tc>
      </w:tr>
    </w:tbl>
    <w:p w14:paraId="544F64F5">
      <w:pPr>
        <w:widowControl/>
        <w:wordWrap w:val="0"/>
        <w:spacing w:line="500" w:lineRule="exact"/>
        <w:jc w:val="center"/>
        <w:outlineLvl w:val="1"/>
        <w:rPr>
          <w:rFonts w:cs="仿宋" w:asciiTheme="minorEastAsia" w:hAnsiTheme="minorEastAsia" w:eastAsiaTheme="minorEastAsia"/>
          <w:b/>
          <w:bCs/>
          <w:kern w:val="0"/>
          <w:sz w:val="24"/>
          <w:szCs w:val="24"/>
        </w:rPr>
      </w:pPr>
      <w:r>
        <w:rPr>
          <w:rFonts w:hint="eastAsia" w:cs="仿宋" w:asciiTheme="minorEastAsia" w:hAnsiTheme="minorEastAsia" w:eastAsiaTheme="minorEastAsia"/>
          <w:kern w:val="0"/>
          <w:sz w:val="24"/>
          <w:szCs w:val="24"/>
        </w:rPr>
        <w:br w:type="page"/>
      </w:r>
      <w:bookmarkStart w:id="983" w:name="_Toc193796102"/>
      <w:bookmarkStart w:id="984" w:name="_Toc9692"/>
      <w:r>
        <w:rPr>
          <w:rFonts w:hint="eastAsia" w:cs="仿宋" w:asciiTheme="minorEastAsia" w:hAnsiTheme="minorEastAsia" w:eastAsiaTheme="minorEastAsia"/>
          <w:b/>
          <w:bCs/>
          <w:kern w:val="0"/>
          <w:sz w:val="24"/>
          <w:szCs w:val="24"/>
        </w:rPr>
        <w:t>第二部分 通用合同条款</w:t>
      </w:r>
      <w:bookmarkEnd w:id="983"/>
      <w:bookmarkEnd w:id="984"/>
    </w:p>
    <w:p w14:paraId="057D06F9">
      <w:pPr>
        <w:wordWrap w:val="0"/>
        <w:adjustRightInd w:val="0"/>
        <w:snapToGrid w:val="0"/>
        <w:spacing w:line="500" w:lineRule="exact"/>
        <w:jc w:val="left"/>
        <w:outlineLvl w:val="2"/>
        <w:rPr>
          <w:rFonts w:cs="仿宋" w:asciiTheme="minorEastAsia" w:hAnsiTheme="minorEastAsia" w:eastAsiaTheme="minorEastAsia"/>
          <w:b/>
          <w:kern w:val="0"/>
          <w:sz w:val="24"/>
          <w:szCs w:val="24"/>
        </w:rPr>
      </w:pPr>
      <w:bookmarkStart w:id="985" w:name="_Toc24349"/>
      <w:bookmarkStart w:id="986" w:name="_Toc193796103"/>
      <w:bookmarkStart w:id="987" w:name="_Toc32365"/>
      <w:bookmarkStart w:id="988" w:name="_Toc23635"/>
      <w:bookmarkStart w:id="989" w:name="_Toc30216"/>
      <w:r>
        <w:rPr>
          <w:rFonts w:hint="eastAsia" w:cs="仿宋" w:asciiTheme="minorEastAsia" w:hAnsiTheme="minorEastAsia" w:eastAsiaTheme="minorEastAsia"/>
          <w:b/>
          <w:kern w:val="0"/>
          <w:sz w:val="24"/>
          <w:szCs w:val="24"/>
        </w:rPr>
        <w:t>1. 一般约定</w:t>
      </w:r>
      <w:bookmarkEnd w:id="985"/>
      <w:bookmarkEnd w:id="986"/>
      <w:bookmarkEnd w:id="987"/>
      <w:bookmarkEnd w:id="988"/>
      <w:bookmarkEnd w:id="989"/>
    </w:p>
    <w:p w14:paraId="2F0DACE2">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1.1词语定义与解释</w:t>
      </w:r>
    </w:p>
    <w:p w14:paraId="2D2509A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合同协议书、通用合同条款、专用合同条款中的下列词语具有本款所赋予的含义：</w:t>
      </w:r>
    </w:p>
    <w:p w14:paraId="6D4BF6B3">
      <w:pPr>
        <w:wordWrap w:val="0"/>
        <w:autoSpaceDE w:val="0"/>
        <w:autoSpaceDN w:val="0"/>
        <w:adjustRightInd w:val="0"/>
        <w:spacing w:line="500" w:lineRule="exact"/>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    1.1.1 合同</w:t>
      </w:r>
    </w:p>
    <w:p w14:paraId="1A548F13">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1.1.1.1 合同：是指根据法律规定和合同当事人约定具有约束力的文件，构成合同的文件包括合同协议书、成交通知书（如果）、磋商函（如果）、专用合同条款及其附件、通用合同条款、技术标准和要求、图纸、已标价工程量清单或预算书以及其他合同文件。</w:t>
      </w:r>
    </w:p>
    <w:p w14:paraId="089EA19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1.1.1.2 合同协议书：是指构成合同的由发包人和承包人共同签署的称为“合同协议书”的书面文件。</w:t>
      </w:r>
    </w:p>
    <w:p w14:paraId="626FEAC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1.1.1.3 成交通知书：是指构成合同的由发包人通知承包人成交的书面文件。</w:t>
      </w:r>
    </w:p>
    <w:p w14:paraId="10F12A0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1.1.1.4 磋商函：是指构成合同的由承包人填写并签署的用于投标的称为“磋商函”的文件。</w:t>
      </w:r>
    </w:p>
    <w:p w14:paraId="7DA7009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1.1.1.5 磋商函附录：是指构成合同的附在磋商函后的称为“磋商函附录”的文件。</w:t>
      </w:r>
    </w:p>
    <w:p w14:paraId="5552BB4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1.1.1.6 技术标准和要求：是指构成合同的施工应当遵守的或指导施工的国家、行业或地方的技术标准和要求，以及合同约定的技术标准和要求。</w:t>
      </w:r>
    </w:p>
    <w:p w14:paraId="72BB38AB">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14:paraId="272F8DEB">
      <w:pPr>
        <w:wordWrap w:val="0"/>
        <w:autoSpaceDE w:val="0"/>
        <w:autoSpaceDN w:val="0"/>
        <w:adjustRightInd w:val="0"/>
        <w:spacing w:line="500" w:lineRule="exact"/>
        <w:ind w:firstLine="468" w:firstLineChars="195"/>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1.1.1.8 已标价工程量清单：是指构成合同的由承包人按照规定的格式和要求填写并标明价格的工程量清单，包括说明和表格。</w:t>
      </w:r>
    </w:p>
    <w:p w14:paraId="700463C7">
      <w:pPr>
        <w:wordWrap w:val="0"/>
        <w:autoSpaceDE w:val="0"/>
        <w:autoSpaceDN w:val="0"/>
        <w:adjustRightInd w:val="0"/>
        <w:spacing w:line="500" w:lineRule="exact"/>
        <w:ind w:firstLine="468" w:firstLineChars="195"/>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1.1.1.9 预算书：是指构成合同的由承包人按照发包人规定的格式和要求编制的工程预算文件。</w:t>
      </w:r>
    </w:p>
    <w:p w14:paraId="7D1F68C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1.1.1.10 其他合同文件：是指经合同当事人约定的与工程施工有关的具有合同约束力的文件或书面协议。合同当事人可以在专用合同条款中进行约定。</w:t>
      </w:r>
    </w:p>
    <w:p w14:paraId="2EDAEAE3">
      <w:pPr>
        <w:wordWrap w:val="0"/>
        <w:autoSpaceDE w:val="0"/>
        <w:autoSpaceDN w:val="0"/>
        <w:adjustRightInd w:val="0"/>
        <w:spacing w:line="500" w:lineRule="exact"/>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    1.1.2 合同当事人及其他相关方</w:t>
      </w:r>
    </w:p>
    <w:p w14:paraId="34222C9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1.1.2.1 合同当事人：是指发包人和（或）承包人。</w:t>
      </w:r>
    </w:p>
    <w:p w14:paraId="781ADF5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1.1.2.2 发包人：是指与承包人签订合同协议书的当事人及取得该当事人资格的合法继承人。</w:t>
      </w:r>
    </w:p>
    <w:p w14:paraId="6405DD5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1.1.2.3 承包人：是指与发包人签订合同协议书的，具有相应工程施工承包资质的当事人及取得该当事人资格的合法继承人。</w:t>
      </w:r>
    </w:p>
    <w:p w14:paraId="73151AA1">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1.1.2.4 监理人：是指在专用合同条款中指明的，受发包人委托按照法律规定进行工程监督管理的法人或其他组织。</w:t>
      </w:r>
    </w:p>
    <w:p w14:paraId="1C093DC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1.1.2.5 设计人：是指在专用合同条款中指明的，受发包人委托负责工程设计并具备相应工程设计资质的法人或其他组织。</w:t>
      </w:r>
    </w:p>
    <w:p w14:paraId="6ED8E2F7">
      <w:pPr>
        <w:wordWrap w:val="0"/>
        <w:spacing w:line="500" w:lineRule="exact"/>
        <w:ind w:firstLine="468" w:firstLineChars="195"/>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1.1.2.6 分包人：是指按照法律规定和合同约定，分包部分工程或工作，并与承包人签订分包合同的具有相应资质的法人。</w:t>
      </w:r>
    </w:p>
    <w:p w14:paraId="2AB8D25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1.1.2.7 发包人代表：是指由发包人任命并派驻施工现场在发包人授权范围内行使发包人权利的人。</w:t>
      </w:r>
    </w:p>
    <w:p w14:paraId="47699A00">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1.1.2.8 项目经理：是指由承包人任命并派驻施工现场，在承包人授权范围内负责合同履行，且按照法律规定具有相应资格的项目负责人。</w:t>
      </w:r>
    </w:p>
    <w:p w14:paraId="183437BB">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1.1.2.9 总监理工程师：是指由监理人任命并派驻施工现场进行工程监理的总负责人。</w:t>
      </w:r>
    </w:p>
    <w:p w14:paraId="1654345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1.1.3 工程和设备</w:t>
      </w:r>
    </w:p>
    <w:p w14:paraId="32CD7D41">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1.1.3.1 工程：是指与合同协议书中工程承包范围对应的永久工程和（或）临时工程。</w:t>
      </w:r>
    </w:p>
    <w:p w14:paraId="528A89AE">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1.1.3.2 永久工程：是指按合同约定建造并移交给发包人的工程，包括工程设备。</w:t>
      </w:r>
    </w:p>
    <w:p w14:paraId="26373382">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1.1.3.3 临时工程：是指为完成合同约定的永久工程所修建的各类临时性工程，不包括施工设备。</w:t>
      </w:r>
    </w:p>
    <w:p w14:paraId="6B62351E">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1.1.3.4 单位工程：是指在合同协议书中指明的，具备独立施工条件并能形成独立使用功能的永久工程。</w:t>
      </w:r>
    </w:p>
    <w:p w14:paraId="681ED82C">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1.1.3.5 工程设备：是指构成永久工程的机电设备、金属结构设备、仪器及其他类似的设备和装置。</w:t>
      </w:r>
    </w:p>
    <w:p w14:paraId="4EDC8B83">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1.1.3.6 施工设备：是指为完成合同约定的各项工作所需的设备、器具和其他物品，但不包括工程设备、临时工程和材料。</w:t>
      </w:r>
    </w:p>
    <w:p w14:paraId="43AD276B">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1.1.3.7 施工现场：是指用于工程施工的场所，以及在专用合同条款中指明作为施工场所组成部分的其他场所，包括永久占地和临时占地。</w:t>
      </w:r>
    </w:p>
    <w:p w14:paraId="32C1ECE0">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1.1.3.8临时设施：是指为完成合同约定的各项工作所服务的临时性生产和生活设施。</w:t>
      </w:r>
    </w:p>
    <w:p w14:paraId="188E565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1.1.3.9 永久占地：是指专用合同条款中指明为实施工程需永久占用的土地。</w:t>
      </w:r>
    </w:p>
    <w:p w14:paraId="57B6F917">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1.1.3.10 临时占地：是指专用合同条款中指明为实施工程需要临时占用的土地。</w:t>
      </w:r>
    </w:p>
    <w:p w14:paraId="5B4784FB">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1.1.4 日期和期限</w:t>
      </w:r>
    </w:p>
    <w:p w14:paraId="54D21D15">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3B5E3A5C">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1.1.4.2 竣工日期：包括计划竣工日期和实际竣工日期。计划竣工日期是指合同协议书约定的竣工日期；实际竣工日期按照第13.2.3项〔竣工日期〕的约定确定。 </w:t>
      </w:r>
    </w:p>
    <w:p w14:paraId="55811E02">
      <w:pPr>
        <w:wordWrap w:val="0"/>
        <w:spacing w:line="500" w:lineRule="exact"/>
        <w:ind w:firstLine="487" w:firstLineChars="203"/>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1.1.4.3 工期：是指在合同协议书约定的承包人完成工程所需的期限，包括按照合同约定所作的期限变更。</w:t>
      </w:r>
    </w:p>
    <w:p w14:paraId="76A11ED5">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1.1.4.4 缺陷责任期：是指承包人按照合同约定承担缺陷修复义务，且发包人预留质量保证金（已缴纳履约保证金的除外）的期限，自工程实际竣工日期起计算。</w:t>
      </w:r>
    </w:p>
    <w:p w14:paraId="007F61BB">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1.1.4.5 保修期：是指承包人按照合同约定对工程承担保修责任的期限，从工程竣工验收合格之日起计算。</w:t>
      </w:r>
    </w:p>
    <w:p w14:paraId="2A557DFA">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1.1.4.6 基准日期：招标发包的工程以投标截止日前28天的日期为基准日期，直接发包的工程以合同签订日前28天的日期为基准日期。</w:t>
      </w:r>
    </w:p>
    <w:p w14:paraId="6E86C3C4">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1.1.4.7 天：除特别指明外，均指日历天。合同中按天计算时间的，开始当天不计入，从次日开始计算，期限最后一天的截止时间为当天24:00时。</w:t>
      </w:r>
    </w:p>
    <w:p w14:paraId="465AFFC2">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1.1.5 合同价格和费用</w:t>
      </w:r>
    </w:p>
    <w:p w14:paraId="2D37BDDF">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1.1.5.1 签约合同价：是指发包人和承包人在合同协议书中确定的总金额，包括安全文明施工费、暂估价及暂列金额等。</w:t>
      </w:r>
    </w:p>
    <w:p w14:paraId="75E9201A">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1.1.5.2 合同价格：是指发包人用于支付承包人按照合同约定完成承包范围内全部工作的金额，包括合同履行过程中按合同约定发生的价格变化。</w:t>
      </w:r>
    </w:p>
    <w:p w14:paraId="7BB290D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1.1.5.3 费用：是指为履行合同所发生的或将要发生的所有必需的开支，包括管理费和应分摊的其他费用，但不包括利润。</w:t>
      </w:r>
    </w:p>
    <w:p w14:paraId="521326D0">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1.1.5.4 暂估价：是指发包人在工程量清单或预算书中提供的用于支付必然发生但暂时不能确定价格的材料、工程设备的单价、专业工程以及服务工作的金额。</w:t>
      </w:r>
    </w:p>
    <w:p w14:paraId="33C68C86">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6E85E688">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1.1.5.6 计日工：是指合同履行过程中，承包人完成发包人提出的零星工作或需要采用计日工计价的变更工作时，按合同中约定的单价计价的一种方式。</w:t>
      </w:r>
    </w:p>
    <w:p w14:paraId="37AE2085">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1.1.5.7 质量保证金：是指按照第15.3款〔质量保证金〕约定承包人用于保证其在缺陷责任期内履行缺陷修补义务的担保。</w:t>
      </w:r>
    </w:p>
    <w:p w14:paraId="0F14E53C">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1.1.5.8 总价项目：是指在现行国家、行业以及地方的计量规则中无工程量计算规则，在已标价工程量清单或预算书中以总价或以费率形式计算的项目。</w:t>
      </w:r>
    </w:p>
    <w:p w14:paraId="2FE12191">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1.1.6 其他</w:t>
      </w:r>
    </w:p>
    <w:p w14:paraId="4F9C74B6">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1.1.6.1 书面形式：是指合同文件、信函、电报、传真等可以有形地表现所载内容的形式。</w:t>
      </w:r>
    </w:p>
    <w:p w14:paraId="2F5E9AD0">
      <w:pPr>
        <w:wordWrap w:val="0"/>
        <w:spacing w:before="120" w:after="120" w:line="500" w:lineRule="exact"/>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1.2语言文字</w:t>
      </w:r>
    </w:p>
    <w:p w14:paraId="10B0952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合同以中国的汉语简体文字编写、解释和说明。合同当事人在专用合同条款中约定使用两种以上语言时，汉语为优先解释和说明合同的语言。</w:t>
      </w:r>
    </w:p>
    <w:p w14:paraId="360DE118">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1.3法律</w:t>
      </w:r>
    </w:p>
    <w:p w14:paraId="23B5D4F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合同所称法律是指中华人民共和国法律、行政法规、部门规章，以及工程所在地的地方性法规、自治条例、单行条例和地方政府规章等。</w:t>
      </w:r>
    </w:p>
    <w:p w14:paraId="5019C78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合同当事人可以在专用合同条款中约定合同适用的其他规范性文件。</w:t>
      </w:r>
    </w:p>
    <w:p w14:paraId="72BCAD3F">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1.4 标准和规范</w:t>
      </w:r>
    </w:p>
    <w:p w14:paraId="4083E518">
      <w:pPr>
        <w:wordWrap w:val="0"/>
        <w:autoSpaceDE w:val="0"/>
        <w:autoSpaceDN w:val="0"/>
        <w:adjustRightInd w:val="0"/>
        <w:spacing w:line="500" w:lineRule="exact"/>
        <w:ind w:firstLine="64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1.4.1 适用于工程的国家标准、行业标准、工程所在地的地方性标准，以及相应的规范、规程等，合同当事人有特别要求的，应在专用合同条款中约定。</w:t>
      </w:r>
    </w:p>
    <w:p w14:paraId="3C781E7B">
      <w:pPr>
        <w:wordWrap w:val="0"/>
        <w:autoSpaceDE w:val="0"/>
        <w:autoSpaceDN w:val="0"/>
        <w:adjustRightInd w:val="0"/>
        <w:spacing w:line="500" w:lineRule="exact"/>
        <w:ind w:firstLine="64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1.4.2 发包人要求使用国外标准、规范的，发包人负责提供原文版本和中文译本，并在专用合同条款中约定提供标准规范的名称、份数和时间。</w:t>
      </w:r>
    </w:p>
    <w:p w14:paraId="5910D851">
      <w:pPr>
        <w:wordWrap w:val="0"/>
        <w:autoSpaceDE w:val="0"/>
        <w:autoSpaceDN w:val="0"/>
        <w:adjustRightInd w:val="0"/>
        <w:spacing w:line="500" w:lineRule="exact"/>
        <w:ind w:firstLine="64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17FB34E5">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1.5 合同文件的优先顺序</w:t>
      </w:r>
    </w:p>
    <w:p w14:paraId="0F1342A3">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组成合同的各项文件应互相解释，互为说明。除专用合同条款另有约定外，解释合同文件的优先顺序如下：</w:t>
      </w:r>
    </w:p>
    <w:p w14:paraId="0B1130F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（1）合同协议书；</w:t>
      </w:r>
    </w:p>
    <w:p w14:paraId="04C22880">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（2）成交通知书（如果）；</w:t>
      </w:r>
    </w:p>
    <w:p w14:paraId="773233A2">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（3）磋商函（如果）；</w:t>
      </w:r>
    </w:p>
    <w:p w14:paraId="1EFC064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（4）专用合同条款及其附件；</w:t>
      </w:r>
    </w:p>
    <w:p w14:paraId="7E285F7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（5）通用合同条款；</w:t>
      </w:r>
    </w:p>
    <w:p w14:paraId="00F644D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（6）技术标准和要求；</w:t>
      </w:r>
    </w:p>
    <w:p w14:paraId="6119D4C8">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（7）图纸；</w:t>
      </w:r>
    </w:p>
    <w:p w14:paraId="7E655B5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（8）已标价工程量清单或预算书；</w:t>
      </w:r>
    </w:p>
    <w:p w14:paraId="57170108">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（9）其他合同文件。</w:t>
      </w:r>
    </w:p>
    <w:p w14:paraId="70DCD027">
      <w:pPr>
        <w:wordWrap w:val="0"/>
        <w:spacing w:line="500" w:lineRule="exact"/>
        <w:ind w:firstLine="511" w:firstLineChars="213"/>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上述各项合同文件包括合同当事人就该项合同文件所作出的补充和修改，属于同一类内容的文件，应以最新签署的为准。</w:t>
      </w:r>
    </w:p>
    <w:p w14:paraId="642950A9">
      <w:pPr>
        <w:wordWrap w:val="0"/>
        <w:spacing w:line="500" w:lineRule="exact"/>
        <w:ind w:firstLine="511" w:firstLineChars="213"/>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在合同订立及履行过程中形成的与合同有关的文件均构成合同文件组成部分，并根据其性质确定优先解释顺序。</w:t>
      </w:r>
    </w:p>
    <w:p w14:paraId="125059E9">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1.6图纸和承包人文件</w:t>
      </w:r>
    </w:p>
    <w:p w14:paraId="6CEAC274">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1.6.1 图纸的提供和交底</w:t>
      </w:r>
    </w:p>
    <w:p w14:paraId="13DC7ADC">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2D5919F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因发包人未按合同约定提供图纸导致承包人费用增加和（或）工期延误的，按照第7.5.1项〔因发包人原因导致工期延误〕约定办理。</w:t>
      </w:r>
    </w:p>
    <w:p w14:paraId="2FD403BF">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1.6.2 图纸的错误</w:t>
      </w:r>
    </w:p>
    <w:p w14:paraId="591EA582">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25C976B5">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1.6.3 图纸的修改和补充</w:t>
      </w:r>
    </w:p>
    <w:p w14:paraId="49249463">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图纸需要修改和补充的，应经图纸原设计人及审批部门同意，并由监理人在工程或工程相应部位施工前将修改后的图纸或补充图纸提交给承包人，承包人应按修改或补充后的图纸施工。</w:t>
      </w:r>
    </w:p>
    <w:p w14:paraId="5AF019BC">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1.6.4 承包人文件</w:t>
      </w:r>
    </w:p>
    <w:p w14:paraId="3F5BF6B5">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承包人应按照专用合同条款的约定提供应当由其编制的与工程施工有关的文件，并按照专用合同条款约定的期限、数量和形式提交监理人，并由监理人报送发包人。</w:t>
      </w:r>
    </w:p>
    <w:p w14:paraId="7AF05095">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A3724DE">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1.6.5 图纸和承包人文件的保管</w:t>
      </w:r>
    </w:p>
    <w:p w14:paraId="38BD4F9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除专用合同条款另有约定外，承包人应在施工现场另外保存一套完整的图纸和承包人文件，供发包人、监理人及有关人员进行工程检查时使用。</w:t>
      </w:r>
    </w:p>
    <w:p w14:paraId="6CB4E659">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1.7联络</w:t>
      </w:r>
    </w:p>
    <w:p w14:paraId="100EAA9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1.7.1 与合同有关的通知、批准、证明、证书、指示、指令、要求、请求、同意、意见、确定和决定等，均应采用书面形式，并应在合同约定的期限内送达接收人和送达地点。</w:t>
      </w:r>
    </w:p>
    <w:p w14:paraId="007AC370">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1.7.2 发包人和承包人应在专用合同条款中约定各自的送达接收人和送达地点。任何一方合同当事人指定的接收人或送达地点发生变动的，应提前3天以书面形式通知对方。</w:t>
      </w:r>
    </w:p>
    <w:p w14:paraId="79FC5C20">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1.7.3 发包人和承包人应当及时签收另一方送达至送达地点和指定接收人的来往信函。拒不签收的，由此增加的费用和（或）延误的工期由拒绝接收一方承担。</w:t>
      </w:r>
    </w:p>
    <w:p w14:paraId="211281AE">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1.8严禁贿赂</w:t>
      </w:r>
    </w:p>
    <w:p w14:paraId="04245D1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合同当事人不得以贿赂或变相贿赂的方式，谋取非法利益或损害对方权益。因一方合同当事人的贿赂造成对方损失的，应赔偿损失，并承担相应的法律责任。</w:t>
      </w:r>
    </w:p>
    <w:p w14:paraId="06FFBBD8">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6BB767FD">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1.9化石、文物</w:t>
      </w:r>
    </w:p>
    <w:p w14:paraId="7EEEE458">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7CDFE12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发包人、监理人和承包人应按有关政府行政管理部门要求采取妥善的保护措施，由此增加的费用和（或）延误的工期由发包人承担。</w:t>
      </w:r>
    </w:p>
    <w:p w14:paraId="1D214ECE">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承包人发现文物后不及时报告或隐瞒不报，致使文物丢失或损坏的，应赔偿损失，并承担相应的法律责任。</w:t>
      </w:r>
    </w:p>
    <w:p w14:paraId="4269FE1C">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1.10交通运输</w:t>
      </w:r>
    </w:p>
    <w:p w14:paraId="28FFFF2E">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1.10.1 出入现场的权利</w:t>
      </w:r>
    </w:p>
    <w:p w14:paraId="77EA8D00">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46B1D8C7">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1CB8A67F">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1.10.2 场外交通</w:t>
      </w:r>
    </w:p>
    <w:p w14:paraId="25287A35">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5F6147C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1.10.3场内交通</w:t>
      </w:r>
    </w:p>
    <w:p w14:paraId="70F571AA">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3676A70">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152615B">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场外交通和场内交通的边界由合同当事人在专用合同条款中约定。</w:t>
      </w:r>
    </w:p>
    <w:p w14:paraId="3C029588">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1.10.4 超大件和超重件的运输</w:t>
      </w:r>
    </w:p>
    <w:p w14:paraId="7A7D59C0">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BCDC84C">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1.10.5 道路和桥梁的损坏责任</w:t>
      </w:r>
    </w:p>
    <w:p w14:paraId="098FCA54">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因承包人运输造成施工场地内外公共道路和桥梁损坏的，由承包人承担修复损坏的全部费用和可能引起的赔偿。</w:t>
      </w:r>
    </w:p>
    <w:p w14:paraId="058E54E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1.10.6 水路和航空运输</w:t>
      </w:r>
    </w:p>
    <w:p w14:paraId="36DE805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本款前述各项的内容适用于水路运输和航空运输，其中“道路”一词的涵义包括河道、航线、船闸、机场、码头、堤防以及水路或航空运输中其他相似结构物；“车辆”一词的涵义包括船舶和飞机等。</w:t>
      </w:r>
    </w:p>
    <w:p w14:paraId="0C42E1F7">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 xml:space="preserve">1.11知识产权 </w:t>
      </w:r>
    </w:p>
    <w:p w14:paraId="110F443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98D2E4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FA3D9F3">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648FD38E">
      <w:pPr>
        <w:wordWrap w:val="0"/>
        <w:spacing w:line="50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    1.11.4 除专用合同条款另有约定外，承包人在合同签订前和签订时已确定采用的专利、专有技术、技术秘密的使用费已包含在签约合同价中。</w:t>
      </w:r>
    </w:p>
    <w:p w14:paraId="36F796B8">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1.12保密</w:t>
      </w:r>
    </w:p>
    <w:p w14:paraId="4CFDD6F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除法律规定或合同另有约定外，未经发包人同意，承包人不得将发包人提供的图纸、文件以及声明需要保密的资料信息等商业秘密泄露给第三方。</w:t>
      </w:r>
    </w:p>
    <w:p w14:paraId="6BD6F18E">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除法律规定或合同另有约定外，未经承包人同意，发包人不得将承包人提供的技术秘密及声明需要保密的资料信息等商业秘密泄露给第三方。</w:t>
      </w:r>
    </w:p>
    <w:p w14:paraId="49965B28">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1.13工程量清单错误的修正</w:t>
      </w:r>
    </w:p>
    <w:p w14:paraId="1BE96E4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除专用合同条款另有约定外，发包人提供的工程量清单，应被认为是准确的和完整的。出现下列情形之一时，发包人应予以修正，并相应调整合同价格：</w:t>
      </w:r>
    </w:p>
    <w:p w14:paraId="7ACEF98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（1）工程量清单存在缺项、漏项的；</w:t>
      </w:r>
    </w:p>
    <w:p w14:paraId="42F85A52">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（2）工程量清单偏差超出专用合同条款约定的工程量偏差范围的；</w:t>
      </w:r>
    </w:p>
    <w:p w14:paraId="7672F69E">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（3）未按照国家现行计量规范强制性规定计量的。</w:t>
      </w:r>
    </w:p>
    <w:p w14:paraId="142159B5">
      <w:pPr>
        <w:wordWrap w:val="0"/>
        <w:adjustRightInd w:val="0"/>
        <w:snapToGrid w:val="0"/>
        <w:spacing w:line="500" w:lineRule="exact"/>
        <w:jc w:val="left"/>
        <w:outlineLvl w:val="2"/>
        <w:rPr>
          <w:rFonts w:cs="仿宋" w:asciiTheme="minorEastAsia" w:hAnsiTheme="minorEastAsia" w:eastAsiaTheme="minorEastAsia"/>
          <w:b/>
          <w:kern w:val="0"/>
          <w:sz w:val="24"/>
          <w:szCs w:val="24"/>
        </w:rPr>
      </w:pPr>
      <w:bookmarkStart w:id="990" w:name="_Toc10180"/>
      <w:bookmarkStart w:id="991" w:name="_Toc28380"/>
      <w:bookmarkStart w:id="992" w:name="_Toc193796104"/>
      <w:bookmarkStart w:id="993" w:name="_Toc12849"/>
      <w:bookmarkStart w:id="994" w:name="_Toc20516"/>
      <w:r>
        <w:rPr>
          <w:rFonts w:hint="eastAsia" w:cs="仿宋" w:asciiTheme="minorEastAsia" w:hAnsiTheme="minorEastAsia" w:eastAsiaTheme="minorEastAsia"/>
          <w:b/>
          <w:kern w:val="0"/>
          <w:sz w:val="24"/>
          <w:szCs w:val="24"/>
        </w:rPr>
        <w:t>2. 发包人</w:t>
      </w:r>
      <w:bookmarkEnd w:id="990"/>
      <w:bookmarkEnd w:id="991"/>
      <w:bookmarkEnd w:id="992"/>
      <w:bookmarkEnd w:id="993"/>
      <w:bookmarkEnd w:id="994"/>
    </w:p>
    <w:p w14:paraId="37E39CD3">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2.1 许可或批准</w:t>
      </w:r>
    </w:p>
    <w:p w14:paraId="579BFFD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EAB659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因发包人原因未能及时办理完毕前述许可、批准或备案，由发包人承担由此增加的费用和（或）延误的工期，并支付承包人合理的利润。</w:t>
      </w:r>
    </w:p>
    <w:p w14:paraId="3CF16807">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2.2 发包人代表</w:t>
      </w:r>
    </w:p>
    <w:p w14:paraId="1126EDF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3EB49D1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发包人代表不能按照合同约定履行其职责及义务，并导致合同无法继续正常履行的，承包人可以要求发包人撤换发包人代表。</w:t>
      </w:r>
    </w:p>
    <w:p w14:paraId="142C663F">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不属于法定必须监理的工程，监理人的职权可以由发包人代表或发包人指定的其他人员行使。</w:t>
      </w:r>
    </w:p>
    <w:p w14:paraId="634FAA63">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2.3 发包人人员</w:t>
      </w:r>
    </w:p>
    <w:p w14:paraId="08CC4E23">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发包人应要求在施工现场的发包人人员遵守法律及有关安全、质量、环境保护、文明施工等规定，并保障承包人免于承受因发包人人员未遵守上述要求给承包人造成的损失和责任。</w:t>
      </w:r>
    </w:p>
    <w:p w14:paraId="21E49903">
      <w:pPr>
        <w:wordWrap w:val="0"/>
        <w:spacing w:line="500" w:lineRule="exact"/>
        <w:ind w:firstLine="64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发包人人员包括发包人代表及其他由发包人派驻施工现场的人员。</w:t>
      </w:r>
    </w:p>
    <w:p w14:paraId="544A6D83">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 xml:space="preserve">2.4 施工现场、施工条件和基础资料的提供  </w:t>
      </w:r>
    </w:p>
    <w:p w14:paraId="6EFAFA2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2.4.1 提供施工现场</w:t>
      </w:r>
    </w:p>
    <w:p w14:paraId="1595F36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除专用合同条款另有约定外，发包人应最迟于开工日期7天前向承包人移交施工现场。</w:t>
      </w:r>
    </w:p>
    <w:p w14:paraId="592C5693">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2.4.2 提供施工条件</w:t>
      </w:r>
    </w:p>
    <w:p w14:paraId="6DE015E8">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除专用合同条款另有约定外，发包人应负责提供施工所需要的条件，包括：</w:t>
      </w:r>
    </w:p>
    <w:p w14:paraId="021D209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（1）将施工用水、电力、通讯线路等施工所必需的条件接至施工现场内；</w:t>
      </w:r>
    </w:p>
    <w:p w14:paraId="5AF852F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（2）保证向承包人提供正常施工所需要的进入施工现场的交通条件；</w:t>
      </w:r>
    </w:p>
    <w:p w14:paraId="3A72D4B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（3）协调处理施工现场周围地下管线和邻近建筑物、构筑物、古树名木的保护工作，并承担相关费用；</w:t>
      </w:r>
    </w:p>
    <w:p w14:paraId="68FDF7F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（4）按照专用合同条款约定应提供的其他设施和条件。</w:t>
      </w:r>
    </w:p>
    <w:p w14:paraId="7451C95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2.4.3 提供基础资料</w:t>
      </w:r>
    </w:p>
    <w:p w14:paraId="3E93112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6573D59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按照法律规定确需在开工后方能提供的基础资料，发包人应尽其努力及时地在相应工程施工前的合理期限内提供，合理期限应以不影响承包人的正常施工为限。</w:t>
      </w:r>
    </w:p>
    <w:p w14:paraId="3E416BE3">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2.4.4 逾期提供的责任</w:t>
      </w:r>
    </w:p>
    <w:p w14:paraId="719A3022">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因发包人原因未能按合同约定及时向承包人提供施工现场、施工条件、基础资料的，由发包人承担由此增加的费用和（或）延误的工期。</w:t>
      </w:r>
    </w:p>
    <w:p w14:paraId="2927E879">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2.5 资金来源证明及支付担保</w:t>
      </w:r>
    </w:p>
    <w:p w14:paraId="63CF97B7">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除专用合同条款另有约定外，发包人应在收到承包人要求提供资金来源证明的书面通知后28天内，向承包人提供能够按照合同约定支付合同价款的相应资金来源证明。</w:t>
      </w:r>
    </w:p>
    <w:p w14:paraId="782B41EC">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14:paraId="326F4007">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2.6 支付合同价款</w:t>
      </w:r>
    </w:p>
    <w:p w14:paraId="14D6933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发包人应按合同约定向承包人及时支付合同价款。</w:t>
      </w:r>
    </w:p>
    <w:p w14:paraId="75908FD5">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2.7 组织竣工验收</w:t>
      </w:r>
    </w:p>
    <w:p w14:paraId="70E9ED9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发包人应按合同约定及时组织竣工验收。</w:t>
      </w:r>
    </w:p>
    <w:p w14:paraId="7FA1EEF2">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2.8 现场统一管理协议</w:t>
      </w:r>
    </w:p>
    <w:p w14:paraId="4D1857F4">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发包人应与承包人、由发包人直接发包的专业工程的承包人签订施工现场统一管理协议，明确各方的权利义务。施工现场统一管理协议作为专用合同条款的附件。</w:t>
      </w:r>
    </w:p>
    <w:p w14:paraId="34617C6F">
      <w:pPr>
        <w:wordWrap w:val="0"/>
        <w:adjustRightInd w:val="0"/>
        <w:snapToGrid w:val="0"/>
        <w:spacing w:line="500" w:lineRule="exact"/>
        <w:jc w:val="left"/>
        <w:outlineLvl w:val="2"/>
        <w:rPr>
          <w:rFonts w:cs="仿宋" w:asciiTheme="minorEastAsia" w:hAnsiTheme="minorEastAsia" w:eastAsiaTheme="minorEastAsia"/>
          <w:b/>
          <w:kern w:val="0"/>
          <w:sz w:val="24"/>
          <w:szCs w:val="24"/>
        </w:rPr>
      </w:pPr>
      <w:bookmarkStart w:id="995" w:name="_Toc4204"/>
      <w:bookmarkStart w:id="996" w:name="_Toc15277"/>
      <w:bookmarkStart w:id="997" w:name="_Toc193796105"/>
      <w:bookmarkStart w:id="998" w:name="_Toc3084"/>
      <w:bookmarkStart w:id="999" w:name="_Toc17831"/>
      <w:r>
        <w:rPr>
          <w:rFonts w:hint="eastAsia" w:cs="仿宋" w:asciiTheme="minorEastAsia" w:hAnsiTheme="minorEastAsia" w:eastAsiaTheme="minorEastAsia"/>
          <w:b/>
          <w:kern w:val="0"/>
          <w:sz w:val="24"/>
          <w:szCs w:val="24"/>
        </w:rPr>
        <w:t>3. 承包人</w:t>
      </w:r>
      <w:bookmarkEnd w:id="995"/>
      <w:bookmarkEnd w:id="996"/>
      <w:bookmarkEnd w:id="997"/>
      <w:bookmarkEnd w:id="998"/>
      <w:bookmarkEnd w:id="999"/>
    </w:p>
    <w:p w14:paraId="4494957C">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3.1 承包人的一般义务</w:t>
      </w:r>
    </w:p>
    <w:p w14:paraId="5525E32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承包人在履行合同过程中应遵守法律和工程建设标准规范，并履行以下义务：</w:t>
      </w:r>
    </w:p>
    <w:p w14:paraId="41616F67">
      <w:pPr>
        <w:numPr>
          <w:ilvl w:val="0"/>
          <w:numId w:val="1"/>
        </w:num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办理法律规定应由承包人办理的许可和批准，并将办理结果书面报送发包人留存；</w:t>
      </w:r>
    </w:p>
    <w:p w14:paraId="3CAD364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（2）按法律规定和合同约定完成工程，并在保修期内承担保修义务；</w:t>
      </w:r>
    </w:p>
    <w:p w14:paraId="74C84B2E">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（3）按法律规定和合同约定采取施工安全和环境保护措施，办理工伤保险，确保工程及人员、材料、设备和设施的安全；</w:t>
      </w:r>
    </w:p>
    <w:p w14:paraId="245574E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（4）按合同约定的工作内容和施工进度要求，编制施工组织设计和施工措施计划，并对所有施工作业和施工方法的完备性和安全可靠性负责；</w:t>
      </w:r>
    </w:p>
    <w:p w14:paraId="6AD5D991">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4DE137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（6）按照第6.3款〔环境保护〕约定负责施工场地及其周边环境与生态的保护工作；</w:t>
      </w:r>
    </w:p>
    <w:p w14:paraId="6AE73EF2">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（7）按第6.1款〔安全文明施工〕约定采取施工安全措施，确保工程及其人员、材料、设备和设施的安全，防止因工程施工造成的人身伤害和财产损失；</w:t>
      </w:r>
    </w:p>
    <w:p w14:paraId="3EEA4C3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（8）将发包人按合同约定支付的各项价款专用于合同工程，且应及时支付其雇用人员工资，并及时向分包人支付合同价款；</w:t>
      </w:r>
    </w:p>
    <w:p w14:paraId="333C8961">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（9）按照法律规定和合同约定编制竣工资料，完成竣工资料立卷及归档，并按专用合同条款约定的竣工资料的套数、内容、时间等要求移交发包人；</w:t>
      </w:r>
    </w:p>
    <w:p w14:paraId="4004A4B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（10）应履行的其他义务。</w:t>
      </w:r>
    </w:p>
    <w:p w14:paraId="4EBB1A19">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3.2 项目经理</w:t>
      </w:r>
    </w:p>
    <w:p w14:paraId="4D25130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5824220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BD3520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承包人违反上述约定的，应按照专用合同条款的约定，承担违约责任。</w:t>
      </w:r>
    </w:p>
    <w:p w14:paraId="754AFA6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249C354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6E7A053">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57236241">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14:paraId="61FEFC82">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3.3 承包人人员</w:t>
      </w:r>
    </w:p>
    <w:p w14:paraId="464985C2">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3E3DAD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1132753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特殊工种作业人员均应持有相应的资格证明，监理人可以随时检查。</w:t>
      </w:r>
    </w:p>
    <w:p w14:paraId="3C8F655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7AA9854E">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3E14C85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3.3.5 承包人擅自更换主要施工管理人员，或前述人员未经监理人或发包人同意擅自离开施工现场的，应按照专用合同条款约定承担违约责任。</w:t>
      </w:r>
    </w:p>
    <w:p w14:paraId="678B8CE7">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3.4 承包人现场查勘</w:t>
      </w:r>
    </w:p>
    <w:p w14:paraId="4E0AD7E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承包人应对基于发包人按照第2.4.3项〔提供基础资料〕提交的基础资料所做出的解释和推断负责，但因基础资料存在错误、遗漏导致承包人解释或推断失实的，由发包人承担责任。</w:t>
      </w:r>
    </w:p>
    <w:p w14:paraId="0D1916B2">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69C78CC">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3.5 分包</w:t>
      </w:r>
    </w:p>
    <w:p w14:paraId="3F3B4B3F">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3.5.1 分包的一般约定</w:t>
      </w:r>
    </w:p>
    <w:p w14:paraId="1CAFF652">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42A9D126">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承包人不得以劳务分包的名义转包或违法分包工程。</w:t>
      </w:r>
    </w:p>
    <w:p w14:paraId="5B380FFA">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3.5.2 分包的确定</w:t>
      </w:r>
    </w:p>
    <w:p w14:paraId="0E36A49B">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9F1CF6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3.5.3 分包管理</w:t>
      </w:r>
    </w:p>
    <w:p w14:paraId="0A4295AB">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承包人应向监理人提交分包人的主要施工管理人员表，并对分包人的施工人员进行实名制管理，包括但不限于进出场管理、登记造册以及各种证照的办理。</w:t>
      </w:r>
    </w:p>
    <w:p w14:paraId="264F9DDB">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3.5.4 分包合同价款</w:t>
      </w:r>
    </w:p>
    <w:p w14:paraId="4193D46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（1）除本项第（2）目约定的情况或专用合同条款另有约定外，分包合同价款由承包人与分包人结算，未经承包人同意，发包人不得向分包人支付分包工程价款；</w:t>
      </w:r>
    </w:p>
    <w:p w14:paraId="349C10FA">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（2）生效法律文书要求发包人向分包人支付分包合同价款的，发包人有权从应付承包人工程款中扣除该部分款项。</w:t>
      </w:r>
    </w:p>
    <w:p w14:paraId="60643254">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3.5.5 分包合同权益的转让</w:t>
      </w:r>
    </w:p>
    <w:p w14:paraId="7ACD663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4578E15F">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3.6 工程照管与成品、半成品保护</w:t>
      </w:r>
    </w:p>
    <w:p w14:paraId="45244C0F">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（1）除专用合同条款另有约定外，自发包人向承包人移交施工现场之日起，承包人应负责照管工程及工程相关的材料、工程设备，直到颁发工程接收证书之日止。</w:t>
      </w:r>
    </w:p>
    <w:p w14:paraId="733F826A">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（2）在承包人负责照管期间，因承包人原因造成工程、材料、工程设备损坏的，由承包人负责修复或更换，并承担由此增加的费用和（或）延误的工期。</w:t>
      </w:r>
    </w:p>
    <w:p w14:paraId="7E1EB12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14:paraId="776D2D88">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3.7 履约担保</w:t>
      </w:r>
    </w:p>
    <w:p w14:paraId="4E227E8A">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51A6D610">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因承包人原因导致工期延长的，继续提供履约担保所增加的费用由承包人承担；非因承包人原因导致工期延长的，继续提供履约担保所增加的费用由发包人承担。</w:t>
      </w:r>
    </w:p>
    <w:p w14:paraId="21997C2D">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3.8 联合体</w:t>
      </w:r>
    </w:p>
    <w:p w14:paraId="69AA60A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3.8.1 联合体各方应共同与发包人签订合同协议书。联合体各方应为履行合同向发包人承担连带责任。</w:t>
      </w:r>
    </w:p>
    <w:p w14:paraId="4AC5016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3.8.2 联合体协议经发包人确认后作为合同附件。在履行合同过程中，未经发包人同意，不得修改联合体协议。</w:t>
      </w:r>
    </w:p>
    <w:p w14:paraId="7D29542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3.8.3 联合体牵头人负责与发包人和监理人联系，并接受指示，负责组织联合体各成员全面履行合同。</w:t>
      </w:r>
    </w:p>
    <w:p w14:paraId="0B6DB065">
      <w:pPr>
        <w:wordWrap w:val="0"/>
        <w:adjustRightInd w:val="0"/>
        <w:snapToGrid w:val="0"/>
        <w:spacing w:line="500" w:lineRule="exact"/>
        <w:jc w:val="left"/>
        <w:outlineLvl w:val="2"/>
        <w:rPr>
          <w:rFonts w:cs="仿宋" w:asciiTheme="minorEastAsia" w:hAnsiTheme="minorEastAsia" w:eastAsiaTheme="minorEastAsia"/>
          <w:b/>
          <w:kern w:val="0"/>
          <w:sz w:val="24"/>
          <w:szCs w:val="24"/>
        </w:rPr>
      </w:pPr>
      <w:bookmarkStart w:id="1000" w:name="_Toc22834"/>
      <w:bookmarkStart w:id="1001" w:name="_Toc17799"/>
      <w:bookmarkStart w:id="1002" w:name="_Toc193796106"/>
      <w:bookmarkStart w:id="1003" w:name="_Toc3157"/>
      <w:bookmarkStart w:id="1004" w:name="_Toc26281"/>
      <w:r>
        <w:rPr>
          <w:rFonts w:hint="eastAsia" w:cs="仿宋" w:asciiTheme="minorEastAsia" w:hAnsiTheme="minorEastAsia" w:eastAsiaTheme="minorEastAsia"/>
          <w:b/>
          <w:kern w:val="0"/>
          <w:sz w:val="24"/>
          <w:szCs w:val="24"/>
        </w:rPr>
        <w:t>4. 监理人</w:t>
      </w:r>
      <w:bookmarkEnd w:id="1000"/>
      <w:bookmarkEnd w:id="1001"/>
      <w:bookmarkEnd w:id="1002"/>
      <w:bookmarkEnd w:id="1003"/>
      <w:bookmarkEnd w:id="1004"/>
    </w:p>
    <w:p w14:paraId="75848E2F">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4.1监理人的一般规定</w:t>
      </w:r>
    </w:p>
    <w:p w14:paraId="6180BA5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865582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除专用合同条款另有约定外，监理人在施工现场的办公场所、生活场所由承包人提供，所发生的费用由发包人承担。</w:t>
      </w:r>
    </w:p>
    <w:p w14:paraId="1B4C1CDA">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4.2监理人员</w:t>
      </w:r>
    </w:p>
    <w:p w14:paraId="5A228F4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2651BE6C">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4.3监理人的指示</w:t>
      </w:r>
    </w:p>
    <w:p w14:paraId="6CEADF71">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278E617E">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266D3C3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承包人对监理人发出的指示有疑问的，应向监理人提出书面异议，监理人应在48小时内对该指示予以确认、更改或撤销，监理人逾期未回复的，承包人有权拒绝执行上述指示。</w:t>
      </w:r>
    </w:p>
    <w:p w14:paraId="27D6005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监理人对承包人的任何工作、工程或其采用的材料和工程设备未在约定的或合理期限内提出意见的，视为批准，但不免除或减轻承包人对该工作、工程、材料、工程设备等应承担的责任和义务。</w:t>
      </w:r>
    </w:p>
    <w:p w14:paraId="287AD8E9">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4.4 商定或确定</w:t>
      </w:r>
    </w:p>
    <w:p w14:paraId="57D29308">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合同当事人进行商定或确定时，总监理工程师应当会同合同当事人尽量通过协商达成一致，不能达成一致的，由总监理工程师按照合同约定审慎做出公正的确定。</w:t>
      </w:r>
    </w:p>
    <w:p w14:paraId="7E71B0A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1348F6C9">
      <w:pPr>
        <w:wordWrap w:val="0"/>
        <w:adjustRightInd w:val="0"/>
        <w:snapToGrid w:val="0"/>
        <w:spacing w:line="500" w:lineRule="exact"/>
        <w:jc w:val="left"/>
        <w:outlineLvl w:val="2"/>
        <w:rPr>
          <w:rFonts w:cs="仿宋" w:asciiTheme="minorEastAsia" w:hAnsiTheme="minorEastAsia" w:eastAsiaTheme="minorEastAsia"/>
          <w:b/>
          <w:kern w:val="0"/>
          <w:sz w:val="24"/>
          <w:szCs w:val="24"/>
        </w:rPr>
      </w:pPr>
      <w:bookmarkStart w:id="1005" w:name="_Toc29456"/>
      <w:bookmarkStart w:id="1006" w:name="_Toc26479"/>
      <w:bookmarkStart w:id="1007" w:name="_Toc193796107"/>
      <w:bookmarkStart w:id="1008" w:name="_Toc27348"/>
      <w:bookmarkStart w:id="1009" w:name="_Toc19290"/>
      <w:r>
        <w:rPr>
          <w:rFonts w:hint="eastAsia" w:cs="仿宋" w:asciiTheme="minorEastAsia" w:hAnsiTheme="minorEastAsia" w:eastAsiaTheme="minorEastAsia"/>
          <w:b/>
          <w:kern w:val="0"/>
          <w:sz w:val="24"/>
          <w:szCs w:val="24"/>
        </w:rPr>
        <w:t>5. 工程质量</w:t>
      </w:r>
      <w:bookmarkEnd w:id="1005"/>
      <w:bookmarkEnd w:id="1006"/>
      <w:bookmarkEnd w:id="1007"/>
      <w:bookmarkEnd w:id="1008"/>
      <w:bookmarkEnd w:id="1009"/>
    </w:p>
    <w:p w14:paraId="05AE3F86">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5.1质量要求</w:t>
      </w:r>
    </w:p>
    <w:p w14:paraId="3BACCF51">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5.1.1 工程质量标准必须符合现行国家有关工程施工质量验收规范和标准的要求。有关工程质量的特殊标准或要求由合同当事人在专用合同条款中约定。</w:t>
      </w:r>
    </w:p>
    <w:p w14:paraId="424ED563">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5.1.2 因发包人原因造成工程质量未达到合同约定标准的，由发包人承担由此增加的费用和（或）延误的工期，并支付承包人合理的利润。</w:t>
      </w:r>
    </w:p>
    <w:p w14:paraId="768BE2C2">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5.1.3 因承包人原因造成工程质量未达到合同约定标准的，发包人有权要求承包人返工直至工程质量达到合同约定的标准为止，并由承包人承担由此增加的费用和（或）延误的工期。</w:t>
      </w:r>
    </w:p>
    <w:p w14:paraId="4366874B">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5.2质量保证措施</w:t>
      </w:r>
    </w:p>
    <w:p w14:paraId="58F7A7A8">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5.2.1 发包人的质量管理</w:t>
      </w:r>
    </w:p>
    <w:p w14:paraId="25DC3B8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发包人应按照法律规定及合同约定完成与工程质量有关的各项工作。</w:t>
      </w:r>
    </w:p>
    <w:p w14:paraId="523D1B5A">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5.2.2 承包人的质量管理</w:t>
      </w:r>
    </w:p>
    <w:p w14:paraId="596545D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C38C33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承包人应对施工人员进行质量教育和技术培训，定期考核施工人员的劳动技能，严格执行施工规范和操作规程。</w:t>
      </w:r>
    </w:p>
    <w:p w14:paraId="02AAB352">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1670FEA0">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5.2.3 监理人的质量检查和检验</w:t>
      </w:r>
    </w:p>
    <w:p w14:paraId="398D13F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A38F07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772E712">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5.3 隐蔽工程检查</w:t>
      </w:r>
    </w:p>
    <w:p w14:paraId="3A1C10E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5.3.1承包人自检</w:t>
      </w:r>
    </w:p>
    <w:p w14:paraId="15F30E23">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承包人应当对工程隐蔽部位进行自检，并经自检确认是否具备覆盖条件。</w:t>
      </w:r>
    </w:p>
    <w:p w14:paraId="6C70288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5.3.2检查程序</w:t>
      </w:r>
    </w:p>
    <w:p w14:paraId="38221556">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8F91426">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7B2089A3">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045B3238">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5.3.3 重新检查</w:t>
      </w:r>
    </w:p>
    <w:p w14:paraId="3B3CD0F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743D1FF">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5.3.4 承包人私自覆盖</w:t>
      </w:r>
    </w:p>
    <w:p w14:paraId="5A29A6A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14:paraId="2F11EA73">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5.4不合格工程的处理</w:t>
      </w:r>
    </w:p>
    <w:p w14:paraId="3BE7723C">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5.4.1 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14:paraId="210164F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5.4.2因发包人原因造成工程不合格的，由此增加的费用和（或）延误的工期由发包人承担，并支付承包人合理的利润。</w:t>
      </w:r>
    </w:p>
    <w:p w14:paraId="5E8749A8">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5.5质量争议检测</w:t>
      </w:r>
    </w:p>
    <w:p w14:paraId="0BD2716A">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合同当事人对工程质量有争议的，由双方协商确定的工程质量检测机构鉴定，由此产生的费用及因此造成的损失，由责任方承担。</w:t>
      </w:r>
    </w:p>
    <w:p w14:paraId="2BEA8154">
      <w:pPr>
        <w:wordWrap w:val="0"/>
        <w:autoSpaceDE w:val="0"/>
        <w:autoSpaceDN w:val="0"/>
        <w:adjustRightInd w:val="0"/>
        <w:spacing w:line="500" w:lineRule="exact"/>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合同当事人均有责任的，由双方根据其责任分别承担。合同当事人无法达成一致的，按照第4.4款〔商定或确定〕执行。</w:t>
      </w:r>
    </w:p>
    <w:p w14:paraId="6462625E">
      <w:pPr>
        <w:wordWrap w:val="0"/>
        <w:adjustRightInd w:val="0"/>
        <w:snapToGrid w:val="0"/>
        <w:spacing w:line="500" w:lineRule="exact"/>
        <w:jc w:val="left"/>
        <w:outlineLvl w:val="2"/>
        <w:rPr>
          <w:rFonts w:cs="仿宋" w:asciiTheme="minorEastAsia" w:hAnsiTheme="minorEastAsia" w:eastAsiaTheme="minorEastAsia"/>
          <w:b/>
          <w:kern w:val="0"/>
          <w:sz w:val="24"/>
          <w:szCs w:val="24"/>
        </w:rPr>
      </w:pPr>
      <w:bookmarkStart w:id="1010" w:name="_Toc11577"/>
      <w:bookmarkStart w:id="1011" w:name="_Toc193796108"/>
      <w:bookmarkStart w:id="1012" w:name="_Toc31504"/>
      <w:bookmarkStart w:id="1013" w:name="_Toc14097"/>
      <w:bookmarkStart w:id="1014" w:name="_Toc8457"/>
      <w:r>
        <w:rPr>
          <w:rFonts w:hint="eastAsia" w:cs="仿宋" w:asciiTheme="minorEastAsia" w:hAnsiTheme="minorEastAsia" w:eastAsiaTheme="minorEastAsia"/>
          <w:b/>
          <w:kern w:val="0"/>
          <w:sz w:val="24"/>
          <w:szCs w:val="24"/>
        </w:rPr>
        <w:t>6. 安全文明施工与环境保护</w:t>
      </w:r>
      <w:bookmarkEnd w:id="1010"/>
      <w:bookmarkEnd w:id="1011"/>
      <w:bookmarkEnd w:id="1012"/>
      <w:bookmarkEnd w:id="1013"/>
      <w:bookmarkEnd w:id="1014"/>
    </w:p>
    <w:p w14:paraId="7B3A43C7">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6.1安全文明施工</w:t>
      </w:r>
    </w:p>
    <w:p w14:paraId="6EF403F5">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6.1.1安全生产要求</w:t>
      </w:r>
    </w:p>
    <w:p w14:paraId="23394BF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5A68C2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14:paraId="3F187BF5">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因安全生产需要暂停施工的，按照第7.8款〔暂停施工〕的约定执行。</w:t>
      </w:r>
    </w:p>
    <w:p w14:paraId="64CA214F">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6.1.2安全生产保证措施</w:t>
      </w:r>
    </w:p>
    <w:p w14:paraId="0AE6630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67A9355B">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6.1.3特别安全生产事项</w:t>
      </w:r>
    </w:p>
    <w:p w14:paraId="4A5ABCE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FBB95B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承包人在动力设备、输电线路、地下管道、密封防震车间、易燃易爆地段以及临街交通要道附近施工时，施工开始前应向发包人和监理人提出安全防护措施，经发包人认可后实施。 </w:t>
      </w:r>
    </w:p>
    <w:p w14:paraId="7B01E3FE">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14:paraId="65BE7A1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需单独编制危险性较大分部分项专项工程施工方案的，及要求进行专家论证的超过一定规模的危险性较大的分部分项工程，承包人应及时编制和组织论证。</w:t>
      </w:r>
    </w:p>
    <w:p w14:paraId="03F4C46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6.1.4 治安保卫</w:t>
      </w:r>
    </w:p>
    <w:p w14:paraId="6085C189">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除专用合同条款另有约定外，发包人应与当地公安部门协商，在现场建立治安管理机构或联防组织，统一管理施工场地的治安保卫事项，履行合同工程的治安保卫职责。</w:t>
      </w:r>
    </w:p>
    <w:p w14:paraId="0C028F1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发包人和承包人除应协助现场治安管理机构或联防组织维护施工场地的社会治安外，还应做好包括生活区在内的各自管辖区的治安保卫工作。</w:t>
      </w:r>
    </w:p>
    <w:p w14:paraId="12E6096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384BB4E5">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6.1.5 文明施工</w:t>
      </w:r>
    </w:p>
    <w:p w14:paraId="7C3E56D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3AF3755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74F06370">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6.1.6 安全文明施工费</w:t>
      </w:r>
    </w:p>
    <w:p w14:paraId="16074323">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安全文明施工费由发包人承担，发包人不得以任何形式扣减该部分费用。因基准日期后合同所适用的法律或政府有关规定发生变化，增加的安全文明施工费由发包人承担。</w:t>
      </w:r>
    </w:p>
    <w:p w14:paraId="3E9BB15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683C4393">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1AECD1B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374D57F">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6.1.7 紧急情况处理</w:t>
      </w:r>
    </w:p>
    <w:p w14:paraId="07F135AF">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77575D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6.1.8 事故处理</w:t>
      </w:r>
    </w:p>
    <w:p w14:paraId="3366349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9A88FC3">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6.1.9 安全生产责任</w:t>
      </w:r>
    </w:p>
    <w:p w14:paraId="204F89E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6.1.9.1 发包人的安全责任</w:t>
      </w:r>
    </w:p>
    <w:p w14:paraId="0EE44D0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发包人应负责赔偿以下各种情况造成的损失：</w:t>
      </w:r>
    </w:p>
    <w:p w14:paraId="16DA56F6">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（1）工程或工程的任何部分对土地的占用所造成的第三者财产损失；</w:t>
      </w:r>
    </w:p>
    <w:p w14:paraId="561D5780">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（2）由于发包人原因在施工场地及其毗邻地带造成的第三者人身伤亡和财产损失；</w:t>
      </w:r>
    </w:p>
    <w:p w14:paraId="55546973">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（3）由于发包人原因对承包人、监理人造成的人员人身伤亡和财产损失；</w:t>
      </w:r>
    </w:p>
    <w:p w14:paraId="483D2426">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（4）由于发包人原因造成的发包人自身人员的人身伤害以及财产损失。</w:t>
      </w:r>
    </w:p>
    <w:p w14:paraId="3C96342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6.1.9.2 承包人的安全责任</w:t>
      </w:r>
    </w:p>
    <w:p w14:paraId="32A91F80">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由于承包人原因在施工场地内及其毗邻地带造成的发包人、监理人以及第三者人员伤亡和财产损失，由承包人负责赔偿。</w:t>
      </w:r>
    </w:p>
    <w:p w14:paraId="7409BF50">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6.2 职业健康</w:t>
      </w:r>
    </w:p>
    <w:p w14:paraId="4F9F77B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6.2.1 劳动保护</w:t>
      </w:r>
    </w:p>
    <w:p w14:paraId="44571B8E">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1909F9B3">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08AA431">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14:paraId="2080A07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6.2.2 生活条件</w:t>
      </w:r>
    </w:p>
    <w:p w14:paraId="7D4C8581">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117C3ACA">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6.3 环境保护</w:t>
      </w:r>
    </w:p>
    <w:p w14:paraId="147CABE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B3F519A">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承包人应当承担因其原因引起的环境污染侵权损害赔偿责任，因上述环境污染引起纠纷而导致暂停施工的，由此增加的费用和（或）延误的工期由承包人承担。</w:t>
      </w:r>
    </w:p>
    <w:p w14:paraId="2F6E0E97">
      <w:pPr>
        <w:wordWrap w:val="0"/>
        <w:adjustRightInd w:val="0"/>
        <w:snapToGrid w:val="0"/>
        <w:spacing w:line="500" w:lineRule="exact"/>
        <w:jc w:val="left"/>
        <w:outlineLvl w:val="2"/>
        <w:rPr>
          <w:rFonts w:cs="仿宋" w:asciiTheme="minorEastAsia" w:hAnsiTheme="minorEastAsia" w:eastAsiaTheme="minorEastAsia"/>
          <w:b/>
          <w:kern w:val="0"/>
          <w:sz w:val="24"/>
          <w:szCs w:val="24"/>
        </w:rPr>
      </w:pPr>
      <w:bookmarkStart w:id="1015" w:name="_Toc1125"/>
      <w:bookmarkStart w:id="1016" w:name="_Toc193796109"/>
      <w:bookmarkStart w:id="1017" w:name="_Toc23825"/>
      <w:bookmarkStart w:id="1018" w:name="_Toc13995"/>
      <w:bookmarkStart w:id="1019" w:name="_Toc23833"/>
      <w:r>
        <w:rPr>
          <w:rFonts w:hint="eastAsia" w:cs="仿宋" w:asciiTheme="minorEastAsia" w:hAnsiTheme="minorEastAsia" w:eastAsiaTheme="minorEastAsia"/>
          <w:b/>
          <w:kern w:val="0"/>
          <w:sz w:val="24"/>
          <w:szCs w:val="24"/>
        </w:rPr>
        <w:t>7. 工期和进度</w:t>
      </w:r>
      <w:bookmarkEnd w:id="1015"/>
      <w:bookmarkEnd w:id="1016"/>
      <w:bookmarkEnd w:id="1017"/>
      <w:bookmarkEnd w:id="1018"/>
      <w:bookmarkEnd w:id="1019"/>
    </w:p>
    <w:p w14:paraId="31EC0EFE">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7.1施工组织设计</w:t>
      </w:r>
    </w:p>
    <w:p w14:paraId="2B54DFB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7.1.1 施工组织设计的内容</w:t>
      </w:r>
    </w:p>
    <w:p w14:paraId="79444C60">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施工组织设计应包含以下内容：</w:t>
      </w:r>
    </w:p>
    <w:p w14:paraId="6D39D00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（1）施工方案； </w:t>
      </w:r>
    </w:p>
    <w:p w14:paraId="781774E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（2）施工现场平面布置图；</w:t>
      </w:r>
    </w:p>
    <w:p w14:paraId="2C72EE6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（3）施工进度计划和保证措施； </w:t>
      </w:r>
    </w:p>
    <w:p w14:paraId="1DE51C31">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（4）劳动力及材料供应计划；</w:t>
      </w:r>
    </w:p>
    <w:p w14:paraId="678EC20A">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（5）施工机械设备的选用；</w:t>
      </w:r>
    </w:p>
    <w:p w14:paraId="687940B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（6）质量保证体系及措施；</w:t>
      </w:r>
    </w:p>
    <w:p w14:paraId="48B7701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（7）安全生产、文明施工措施；</w:t>
      </w:r>
    </w:p>
    <w:p w14:paraId="3604B7C0">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（8）环境保护、成本控制措施；</w:t>
      </w:r>
    </w:p>
    <w:p w14:paraId="469B4FF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（9）合同当事人约定的其他内容。</w:t>
      </w:r>
    </w:p>
    <w:p w14:paraId="6EA7481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7.1.2 施工组织设计的提交和修改</w:t>
      </w:r>
    </w:p>
    <w:p w14:paraId="7F7C101E">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45B1832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施工进度计划的编制和修改按照第7.2款〔施工进度计划〕执行。</w:t>
      </w:r>
    </w:p>
    <w:p w14:paraId="2C403B58">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7.2 施工进度计划</w:t>
      </w:r>
    </w:p>
    <w:p w14:paraId="796BDCC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7.2.1 施工进度计划的编制</w:t>
      </w:r>
    </w:p>
    <w:p w14:paraId="53579E6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88DC69E">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7.2.2 施工进度计划的修订</w:t>
      </w:r>
    </w:p>
    <w:p w14:paraId="2EB6585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7A205501">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7.3 开工</w:t>
      </w:r>
    </w:p>
    <w:p w14:paraId="0709803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7.3.1 开工准备</w:t>
      </w:r>
    </w:p>
    <w:p w14:paraId="7D2B2E65">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D26E9E3">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除专用合同条款另有约定外，合同当事人应按约定完成开工准备工作。</w:t>
      </w:r>
    </w:p>
    <w:p w14:paraId="1185BAF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7.3.2 开工通知</w:t>
      </w:r>
    </w:p>
    <w:p w14:paraId="68AE38B1">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9671F5F">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370DD649">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7.4测量放线</w:t>
      </w:r>
    </w:p>
    <w:p w14:paraId="1DEC535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33C59F8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14026F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4535398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施工过程中对施工现场内水准点等测量标志物的保护工作由承包人负责。</w:t>
      </w:r>
    </w:p>
    <w:p w14:paraId="31A3AEBD">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7.5 工期延误</w:t>
      </w:r>
    </w:p>
    <w:p w14:paraId="1A7C113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7.5.1 因发包人原因导致工期延误</w:t>
      </w:r>
    </w:p>
    <w:p w14:paraId="4897B4D3">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在合同履行过程中，因下列情况导致工期延误和（或）费用增加的，由发包人承担由此延误的工期和（或）增加的费用，且发包人应支付承包人合理的利润： </w:t>
      </w:r>
    </w:p>
    <w:p w14:paraId="2A522DC2">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（1）发包人未能按合同约定提供图纸或所提供图纸不符合合同约定的；</w:t>
      </w:r>
    </w:p>
    <w:p w14:paraId="06531D81">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（2）发包人未能按合同约定提供施工现场、施工条件、基础资料、许可、批准等开工条件的；</w:t>
      </w:r>
    </w:p>
    <w:p w14:paraId="764DA9AE">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（3）发包人提供的测量基准点、基准线和水准点及其书面资料存在错误或疏漏的；</w:t>
      </w:r>
    </w:p>
    <w:p w14:paraId="0CE2CC8B">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（4）发包人未能在计划开工日期之日起7天内同意下达开工通知的；</w:t>
      </w:r>
    </w:p>
    <w:p w14:paraId="4435819A">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（5）发包人未能按合同约定日期支付工程预付款、进度款或竣工结算款的；</w:t>
      </w:r>
    </w:p>
    <w:p w14:paraId="172C90C4">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（6）监理人未按合同约定发出指示、批准等文件的；</w:t>
      </w:r>
    </w:p>
    <w:p w14:paraId="17749C6A">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（7）专用合同条款中约定的其他情形。</w:t>
      </w:r>
    </w:p>
    <w:p w14:paraId="6F97B126">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05876C62">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7.5.2 因承包人原因导致工期延误</w:t>
      </w:r>
    </w:p>
    <w:p w14:paraId="5025E7C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因承包人原因造成工期延误的，可以在专用合同条款中约定逾期竣工违约金的计算方法和逾期竣工违约金的上限。承包人支付逾期竣工违约金后，不免除承包人继续完成工程及修补缺陷的义务。</w:t>
      </w:r>
    </w:p>
    <w:p w14:paraId="383FFE92">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7.6 不利物质条件</w:t>
      </w:r>
    </w:p>
    <w:p w14:paraId="6BA1465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734263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0E5010CD">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7.7 异常恶劣的气候条件</w:t>
      </w:r>
    </w:p>
    <w:p w14:paraId="234B2A9A">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2C288D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3B5202B2">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7.8 暂停施工</w:t>
      </w:r>
    </w:p>
    <w:p w14:paraId="31A29CB7">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7.8.1发包人原因引起的暂停施工</w:t>
      </w:r>
    </w:p>
    <w:p w14:paraId="539E4D3A">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因发包人原因引起暂停施工的，监理人经发包人同意后，应及时下达暂停施工指示。情况紧急且监理人未及时下达暂停施工指示的，按照第7.8.4项〔紧急情况下的暂停施工〕执行。</w:t>
      </w:r>
    </w:p>
    <w:p w14:paraId="5450F085">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因发包人原因引起的暂停施工，发包人应承担由此增加的费用和（或）延误的工期，并支付承包人合理的利润。</w:t>
      </w:r>
    </w:p>
    <w:p w14:paraId="75CABED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7.8.2 承包人原因引起的暂停施工</w:t>
      </w:r>
    </w:p>
    <w:p w14:paraId="65F68065">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53A2D25C">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7.8.3 指示暂停施工</w:t>
      </w:r>
    </w:p>
    <w:p w14:paraId="493C4574">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监理人认为有必要时，并经发包人批准后，可向承包人作出暂停施工的指示，承包人应按监理人指示暂停施工。</w:t>
      </w:r>
    </w:p>
    <w:p w14:paraId="7614F105">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7.8.4 紧急情况下的暂停施工</w:t>
      </w:r>
    </w:p>
    <w:p w14:paraId="7185F184">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0813ED4C">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7.8.5 暂停施工后的复工</w:t>
      </w:r>
    </w:p>
    <w:p w14:paraId="123C0121">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4E7183EF">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承包人无故拖延和拒绝复工的，承包人承担由此增加的费用和（或）延误的工期；因发包人原因无法按时复工的，按照第7.5.1项〔因发包人原因导致工期延误〕约定办理。</w:t>
      </w:r>
    </w:p>
    <w:p w14:paraId="7FCE308C">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7.8.6 暂停施工持续56天以上</w:t>
      </w:r>
    </w:p>
    <w:p w14:paraId="554D6E46">
      <w:pPr>
        <w:wordWrap w:val="0"/>
        <w:spacing w:line="500" w:lineRule="exact"/>
        <w:ind w:firstLine="468" w:firstLineChars="195"/>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0AB624F">
      <w:pPr>
        <w:wordWrap w:val="0"/>
        <w:spacing w:line="500" w:lineRule="exact"/>
        <w:ind w:firstLine="468" w:firstLineChars="195"/>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6E030EC2">
      <w:pPr>
        <w:wordWrap w:val="0"/>
        <w:spacing w:line="500" w:lineRule="exact"/>
        <w:ind w:left="16" w:firstLine="468" w:firstLineChars="195"/>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7.8.7 暂停施工期间的工程照管</w:t>
      </w:r>
    </w:p>
    <w:p w14:paraId="6ABC52C1">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暂停施工期间，承包人应负责妥善照管工程并提供安全保障，由此增加的费用由责任方承担。</w:t>
      </w:r>
    </w:p>
    <w:p w14:paraId="6C2D4F87">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7.8.8 暂停施工的措施</w:t>
      </w:r>
    </w:p>
    <w:p w14:paraId="63FB6943">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暂停施工期间，发包人和承包人均应采取必要的措施确保工程质量及安全，防止因暂停施工扩大损失。</w:t>
      </w:r>
    </w:p>
    <w:p w14:paraId="2DCDA2A7">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7.9提前竣工</w:t>
      </w:r>
    </w:p>
    <w:p w14:paraId="117A380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545729A7">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7.9.2 发包人要求承包人提前竣工，或承包人提出提前竣工的建议能够给发包人带来效益的，合同当事人可以在专用合同条款中约定提前竣工的奖励。</w:t>
      </w:r>
    </w:p>
    <w:p w14:paraId="65A989A2">
      <w:pPr>
        <w:wordWrap w:val="0"/>
        <w:adjustRightInd w:val="0"/>
        <w:snapToGrid w:val="0"/>
        <w:spacing w:line="500" w:lineRule="exact"/>
        <w:jc w:val="left"/>
        <w:outlineLvl w:val="2"/>
        <w:rPr>
          <w:rFonts w:cs="仿宋" w:asciiTheme="minorEastAsia" w:hAnsiTheme="minorEastAsia" w:eastAsiaTheme="minorEastAsia"/>
          <w:b/>
          <w:kern w:val="0"/>
          <w:sz w:val="24"/>
          <w:szCs w:val="24"/>
        </w:rPr>
      </w:pPr>
      <w:bookmarkStart w:id="1020" w:name="_Toc193796110"/>
      <w:bookmarkStart w:id="1021" w:name="_Toc3042"/>
      <w:bookmarkStart w:id="1022" w:name="_Toc32086"/>
      <w:bookmarkStart w:id="1023" w:name="_Toc3820"/>
      <w:bookmarkStart w:id="1024" w:name="_Toc22294"/>
      <w:r>
        <w:rPr>
          <w:rFonts w:hint="eastAsia" w:cs="仿宋" w:asciiTheme="minorEastAsia" w:hAnsiTheme="minorEastAsia" w:eastAsiaTheme="minorEastAsia"/>
          <w:b/>
          <w:kern w:val="0"/>
          <w:sz w:val="24"/>
          <w:szCs w:val="24"/>
        </w:rPr>
        <w:t>8. 材料与设备</w:t>
      </w:r>
      <w:bookmarkEnd w:id="1020"/>
      <w:bookmarkEnd w:id="1021"/>
      <w:bookmarkEnd w:id="1022"/>
      <w:bookmarkEnd w:id="1023"/>
      <w:bookmarkEnd w:id="1024"/>
    </w:p>
    <w:p w14:paraId="1C1D68E9">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8.1发包人供应材料与工程设备</w:t>
      </w:r>
    </w:p>
    <w:p w14:paraId="474D6708">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发包人自行供应材料、工程设备的，应在签订合同时在专用合同条款的附件《发包人供应材料设备一览表》中明确材料、工程设备的品种、规格、型号、数量、单价、质量等级和送达地点。</w:t>
      </w:r>
    </w:p>
    <w:p w14:paraId="2BF05B7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371BC638">
      <w:pPr>
        <w:wordWrap w:val="0"/>
        <w:spacing w:before="120" w:after="120" w:line="500" w:lineRule="exact"/>
        <w:ind w:firstLine="480" w:firstLineChars="200"/>
        <w:outlineLvl w:val="4"/>
        <w:rPr>
          <w:rFonts w:cs="仿宋" w:asciiTheme="minorEastAsia" w:hAnsiTheme="minorEastAsia" w:eastAsiaTheme="minorEastAsia"/>
          <w:b/>
          <w:bCs/>
          <w:sz w:val="24"/>
          <w:szCs w:val="24"/>
        </w:rPr>
      </w:pPr>
      <w:r>
        <w:rPr>
          <w:rFonts w:hint="eastAsia" w:cs="仿宋" w:asciiTheme="minorEastAsia" w:hAnsiTheme="minorEastAsia" w:eastAsiaTheme="minorEastAsia"/>
          <w:bCs/>
          <w:sz w:val="24"/>
          <w:szCs w:val="24"/>
        </w:rPr>
        <w:t>8.2承包人采购材料与工程设备</w:t>
      </w:r>
    </w:p>
    <w:p w14:paraId="7D386B62">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6344965">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8.3材料与工程设备的接收与拒收</w:t>
      </w:r>
    </w:p>
    <w:p w14:paraId="326288D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7F55A40E">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发包人提供的材料和工程设备的规格、数量或质量不符合合同约定的，或因发包人原因导致交货日期延误或交货地点变更等情况的，按照第16.1款〔发包人违约〕约定办理。</w:t>
      </w:r>
    </w:p>
    <w:p w14:paraId="1AA35133">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4E16CD64">
      <w:pPr>
        <w:wordWrap w:val="0"/>
        <w:autoSpaceDE w:val="0"/>
        <w:autoSpaceDN w:val="0"/>
        <w:adjustRightInd w:val="0"/>
        <w:spacing w:line="500" w:lineRule="exact"/>
        <w:ind w:firstLine="360" w:firstLineChars="15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6F1B0F23">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8.4材料与工程设备的保管与使用</w:t>
      </w:r>
    </w:p>
    <w:p w14:paraId="1FE49D7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8.4.1 发包人供应材料与工程设备的保管与使用</w:t>
      </w:r>
    </w:p>
    <w:p w14:paraId="59C76C3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4C3648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发包人供应的材料和工程设备使用前，由承包人负责检验，检验费用由发包人承担，不合格的不得使用。</w:t>
      </w:r>
    </w:p>
    <w:p w14:paraId="4B7FAE6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8.4.2 承包人采购材料与工程设备的保管与使用</w:t>
      </w:r>
    </w:p>
    <w:p w14:paraId="0F08525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3E13D43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发包人或监理人发现承包人使用不符合设计或有关标准要求的材料和工程设备时，有权要求承包人进行修复、拆除或重新采购，由此增加的费用和（或）延误的工期，由承包人承担。</w:t>
      </w:r>
    </w:p>
    <w:p w14:paraId="717E9ADF">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8.5禁止使用不合格的材料和工程设备</w:t>
      </w:r>
    </w:p>
    <w:p w14:paraId="1DB31D7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8.5.1 监理人有权拒绝承包人提供的不合格材料或工程设备，并要求承包人立即进行更换。监理人应在更换后再次进行检查和检验，由此增加的费用和（或）延误的工期由承包人承担。</w:t>
      </w:r>
    </w:p>
    <w:p w14:paraId="20E4F8F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8.5.2 监理人发现承包人使用了不合格的材料和工程设备，承包人应按照监理人的指示立即改正，并禁止在工程中继续使用不合格的材料和工程设备。</w:t>
      </w:r>
    </w:p>
    <w:p w14:paraId="081BF4E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8.5.3 发包人提供的材料或工程设备不符合合同要求的，承包人有权拒绝，并可要求发包人更换，由此增加的费用和（或）延误的工期由发包人承担，并支付承包人合理的利润。</w:t>
      </w:r>
    </w:p>
    <w:p w14:paraId="1BE5D48A">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8.6 样品</w:t>
      </w:r>
    </w:p>
    <w:p w14:paraId="09D8ADF2">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8.6.1 样品的报送与封存</w:t>
      </w:r>
    </w:p>
    <w:p w14:paraId="4B779E9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需要承包人报送样品的材料或工程设备，样品的种类、名称、规格、数量等要求均应在专用合同条款中约定。样品的报送程序如下：</w:t>
      </w:r>
    </w:p>
    <w:p w14:paraId="5C06FBB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0F0D9E3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48E0893">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（3）经发包人和监理人审批确认的样品应按约定的方法封样，封存的样品作为检验工程相关部分的标准之一。承包人在施工过程中不得使用与样品不符的材料或工程设备。</w:t>
      </w:r>
    </w:p>
    <w:p w14:paraId="579A050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3FDFE09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8.6.2 样品的保管</w:t>
      </w:r>
    </w:p>
    <w:p w14:paraId="7D6FA8D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经批准的样品应由监理人负责封存于现场，承包人应在现场为保存样品提供适当和固定的场所并保持适当和良好的存储环境条件。</w:t>
      </w:r>
    </w:p>
    <w:p w14:paraId="438ECB8E">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8.7材料与工程设备的替代</w:t>
      </w:r>
    </w:p>
    <w:p w14:paraId="7DC9E33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8.7.1 出现下列情况需要使用替代材料和工程设备的，承包人应按照第8.7.2项约定的程序执行：</w:t>
      </w:r>
    </w:p>
    <w:p w14:paraId="5EA5CF5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（1）基准日期后生效的法律规定禁止使用的；</w:t>
      </w:r>
    </w:p>
    <w:p w14:paraId="24D54FC8">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（2）发包人要求使用替代品的；</w:t>
      </w:r>
    </w:p>
    <w:p w14:paraId="321D32F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（3）因其他原因必须使用替代品的。</w:t>
      </w:r>
    </w:p>
    <w:p w14:paraId="6FF6EBA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8.7.2 承包人应在使用替代材料和工程设备28天前书面通知监理人，并附下列文件：</w:t>
      </w:r>
    </w:p>
    <w:p w14:paraId="57A81AC2">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（1）被替代的材料和工程设备的名称、数量、规格、型号、品牌、性能、价格及其他相关资料；</w:t>
      </w:r>
    </w:p>
    <w:p w14:paraId="0EE423A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（2）替代品的名称、数量、规格、型号、品牌、性能、价格及其他相关资料；</w:t>
      </w:r>
    </w:p>
    <w:p w14:paraId="2E4CDEEA">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（3）替代品与被替代产品之间的差异以及使用替代品可能对工程产生的影响；</w:t>
      </w:r>
    </w:p>
    <w:p w14:paraId="4219C2D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（4）替代品与被替代产品的价格差异；</w:t>
      </w:r>
    </w:p>
    <w:p w14:paraId="044234C1">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（5）使用替代品的理由和原因说明；</w:t>
      </w:r>
    </w:p>
    <w:p w14:paraId="76EA4001">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（6）监理人要求的其他文件。</w:t>
      </w:r>
    </w:p>
    <w:p w14:paraId="51B8100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监理人应在收到通知后14天内向承包人发出经发包人签认的书面指示；监理人逾期发出书面指示的，视为发包人和监理人同意使用替代品。</w:t>
      </w:r>
    </w:p>
    <w:p w14:paraId="47A7EFAE">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774493EB">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8.8施工设备和临时设施</w:t>
      </w:r>
    </w:p>
    <w:p w14:paraId="3DBDFD60">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8.8.1 承包人提供的施工设备和临时设施</w:t>
      </w:r>
    </w:p>
    <w:p w14:paraId="6CC09F3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承包人应按合同进度计划的要求，及时配置施工设备和修建临时设施。进入施工场地的承包人设备需经监理人核查后才能投入使用。承包人更换合同约定的承包人设备的，应报监理人批准。</w:t>
      </w:r>
    </w:p>
    <w:p w14:paraId="7E729672">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除专用合同条款另有约定外，承包人应自行承担修建临时设施的费用，需要临时占地的，应由发包人办理申请手续并承担相应费用。</w:t>
      </w:r>
    </w:p>
    <w:p w14:paraId="79981EA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8.8.2发包人提供的施工设备和临时设施</w:t>
      </w:r>
    </w:p>
    <w:p w14:paraId="5AB0F59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发包人提供的施工设备或临时设施在专用合同条款中约定。</w:t>
      </w:r>
    </w:p>
    <w:p w14:paraId="5254A41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8.8.3要求承包人增加或更换施工设备</w:t>
      </w:r>
    </w:p>
    <w:p w14:paraId="05436188">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承包人使用的施工设备不能满足合同进度计划和（或）质量要求时，监理人有权要求承包人增加或更换施工设备，承包人应及时增加或更换，由此增加的费用和（或）延误的工期由承包人承担。</w:t>
      </w:r>
    </w:p>
    <w:p w14:paraId="0E49D016">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8.9材料与设备专用要求</w:t>
      </w:r>
    </w:p>
    <w:p w14:paraId="3E3E9821">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1368EBED">
      <w:pPr>
        <w:wordWrap w:val="0"/>
        <w:adjustRightInd w:val="0"/>
        <w:snapToGrid w:val="0"/>
        <w:spacing w:line="500" w:lineRule="exact"/>
        <w:jc w:val="left"/>
        <w:outlineLvl w:val="2"/>
        <w:rPr>
          <w:rFonts w:cs="仿宋" w:asciiTheme="minorEastAsia" w:hAnsiTheme="minorEastAsia" w:eastAsiaTheme="minorEastAsia"/>
          <w:b/>
          <w:kern w:val="0"/>
          <w:sz w:val="24"/>
          <w:szCs w:val="24"/>
        </w:rPr>
      </w:pPr>
      <w:bookmarkStart w:id="1025" w:name="_Toc13020"/>
      <w:bookmarkStart w:id="1026" w:name="_Toc10647"/>
      <w:bookmarkStart w:id="1027" w:name="_Toc193796111"/>
      <w:bookmarkStart w:id="1028" w:name="_Toc31573"/>
      <w:bookmarkStart w:id="1029" w:name="_Toc23249"/>
      <w:r>
        <w:rPr>
          <w:rFonts w:hint="eastAsia" w:cs="仿宋" w:asciiTheme="minorEastAsia" w:hAnsiTheme="minorEastAsia" w:eastAsiaTheme="minorEastAsia"/>
          <w:b/>
          <w:kern w:val="0"/>
          <w:sz w:val="24"/>
          <w:szCs w:val="24"/>
        </w:rPr>
        <w:t>9. 试验与检验</w:t>
      </w:r>
      <w:bookmarkEnd w:id="1025"/>
      <w:bookmarkEnd w:id="1026"/>
      <w:bookmarkEnd w:id="1027"/>
      <w:bookmarkEnd w:id="1028"/>
      <w:bookmarkEnd w:id="1029"/>
    </w:p>
    <w:p w14:paraId="6DE0A462">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9.1试验设备与试验人员</w:t>
      </w:r>
    </w:p>
    <w:p w14:paraId="3433A085">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41C45CF">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9.1.2 承包人应按专用合同条款的约定提供试验设备、取样装置、试验场所和试验条件，并向监理人提交相应进场计划表。</w:t>
      </w:r>
    </w:p>
    <w:p w14:paraId="00B6677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承包人配置的试验设备要符合相应试验规程的要求并经过具有资质的检测单位检测，且在正式使用该试验设备前，需要经过监理人与承包人共同校定。</w:t>
      </w:r>
    </w:p>
    <w:p w14:paraId="3268C768">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9.1.3 承包人应向监理人提交试验人员的名单及其岗位、资格等证明资料，试验人员必须能够熟练进行相应的检测试验，承包人对试验人员的试验程序和试验结果的正确性负责。</w:t>
      </w:r>
    </w:p>
    <w:p w14:paraId="7C13002D">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9.2取样</w:t>
      </w:r>
    </w:p>
    <w:p w14:paraId="4C1947F1">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试验属于自检性质的，承包人可以单独取样。试验属于监理人抽检性质的，可由监理人取样，也可由承包人的试验人员在监理人的监督下取样。</w:t>
      </w:r>
    </w:p>
    <w:p w14:paraId="38EDB134">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9.3材料、工程设备和工程的试验和检验</w:t>
      </w:r>
    </w:p>
    <w:p w14:paraId="0B4FE915">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19F60B3">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0CE5CAE6">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7AD7EE76">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9.4现场工艺试验</w:t>
      </w:r>
    </w:p>
    <w:p w14:paraId="0522193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承包人应按合同约定或监理人指示进行现场工艺试验。对大型的现场工艺试验，监理人认为必要时，承包人应根据监理人提出的工艺试验要求，编制工艺试验措施计划，报送监理人审查。</w:t>
      </w:r>
    </w:p>
    <w:p w14:paraId="51C029B9">
      <w:pPr>
        <w:wordWrap w:val="0"/>
        <w:adjustRightInd w:val="0"/>
        <w:snapToGrid w:val="0"/>
        <w:spacing w:line="500" w:lineRule="exact"/>
        <w:jc w:val="left"/>
        <w:outlineLvl w:val="2"/>
        <w:rPr>
          <w:rFonts w:cs="仿宋" w:asciiTheme="minorEastAsia" w:hAnsiTheme="minorEastAsia" w:eastAsiaTheme="minorEastAsia"/>
          <w:b/>
          <w:kern w:val="0"/>
          <w:sz w:val="24"/>
          <w:szCs w:val="24"/>
        </w:rPr>
      </w:pPr>
      <w:bookmarkStart w:id="1030" w:name="_Toc14440"/>
      <w:bookmarkStart w:id="1031" w:name="_Toc2918"/>
      <w:bookmarkStart w:id="1032" w:name="_Toc3819"/>
      <w:bookmarkStart w:id="1033" w:name="_Toc21432"/>
      <w:bookmarkStart w:id="1034" w:name="_Toc193796112"/>
      <w:r>
        <w:rPr>
          <w:rFonts w:hint="eastAsia" w:cs="仿宋" w:asciiTheme="minorEastAsia" w:hAnsiTheme="minorEastAsia" w:eastAsiaTheme="minorEastAsia"/>
          <w:b/>
          <w:kern w:val="0"/>
          <w:sz w:val="24"/>
          <w:szCs w:val="24"/>
        </w:rPr>
        <w:t>10. 变更</w:t>
      </w:r>
      <w:bookmarkEnd w:id="1030"/>
      <w:bookmarkEnd w:id="1031"/>
      <w:bookmarkEnd w:id="1032"/>
      <w:bookmarkEnd w:id="1033"/>
      <w:bookmarkEnd w:id="1034"/>
    </w:p>
    <w:p w14:paraId="20FB88D6">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10.1变更的范围</w:t>
      </w:r>
    </w:p>
    <w:p w14:paraId="55E0F111">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除专用合同条款另有约定外，合同履行过程中发生以下情形的，应按照本条约定进行变更：</w:t>
      </w:r>
    </w:p>
    <w:p w14:paraId="1120F9DE">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（1）增加或减少合同中任何工作，或追加额外的工作；</w:t>
      </w:r>
    </w:p>
    <w:p w14:paraId="2EACBF6A">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（2）取消合同中任何工作，但转由他人实施的工作除外；</w:t>
      </w:r>
    </w:p>
    <w:p w14:paraId="14E5E27E">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（3）改变合同中任何工作的质量标准或其他特性；</w:t>
      </w:r>
    </w:p>
    <w:p w14:paraId="0E86F70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（4）改变工程的基线、标高、位置和尺寸；</w:t>
      </w:r>
    </w:p>
    <w:p w14:paraId="40A3E28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（5）改变工程的时间安排或实施顺序。</w:t>
      </w:r>
    </w:p>
    <w:p w14:paraId="16CCAA7D">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10.2变更权</w:t>
      </w:r>
    </w:p>
    <w:p w14:paraId="49A08178">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23EB9128">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涉及设计变更的，应由设计人提供变更后的图纸和说明。如变更超过原设计标准或批准的建设规模时，发包人应及时办理规划、设计变更等审批手续。</w:t>
      </w:r>
    </w:p>
    <w:p w14:paraId="4A8C4E8D">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10.3变更程序</w:t>
      </w:r>
    </w:p>
    <w:p w14:paraId="355B3DA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10.3.1 发包人提出变更</w:t>
      </w:r>
    </w:p>
    <w:p w14:paraId="6A01EC5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发包人提出变更的，应通过监理人向承包人发出变更指示，变更指示应说明计划变更的工程范围和变更的内容。</w:t>
      </w:r>
    </w:p>
    <w:p w14:paraId="310FACD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10.3.2 监理人提出变更建议</w:t>
      </w:r>
    </w:p>
    <w:p w14:paraId="486A81E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07E38CA">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10.3.3 变更执行</w:t>
      </w:r>
    </w:p>
    <w:p w14:paraId="77FA2E2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36D58BE4">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10.4变更估价</w:t>
      </w:r>
    </w:p>
    <w:p w14:paraId="12DA71F2">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10.4.1 变更估价原则</w:t>
      </w:r>
    </w:p>
    <w:p w14:paraId="362583F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除专用合同条款另有约定外，变更估价按照本款约定处理：</w:t>
      </w:r>
    </w:p>
    <w:p w14:paraId="1FFE3328">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（1）已标价工程量清单或预算书有相同项目的，按照相同项目单价认定；</w:t>
      </w:r>
    </w:p>
    <w:p w14:paraId="67CB74D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（2）已标价工程量清单或预算书中无相同项目，但有类似项目的，参照类似项目的单价认定；</w:t>
      </w:r>
    </w:p>
    <w:p w14:paraId="57F9644A">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10C6B36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10.4.2 变更估价程序</w:t>
      </w:r>
    </w:p>
    <w:p w14:paraId="2F211F3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2AF99BB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因变更引起的价格调整应计入最近一期的进度款中支付。</w:t>
      </w:r>
    </w:p>
    <w:p w14:paraId="46B4E6A8">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10.5承包人的合理化建议</w:t>
      </w:r>
    </w:p>
    <w:p w14:paraId="3C2A457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承包人提出合理化建议的，应向监理人提交合理化建议说明，说明建议的内容和理由，以及实施该建议对合同价格和工期的影响。</w:t>
      </w:r>
    </w:p>
    <w:p w14:paraId="13D901B8">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6262E320">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合理化建议降低了合同价格或者提高了工程经济效益的，发包人可对承包人给予奖励，奖励的方法和金额在专用合同条款中约定。</w:t>
      </w:r>
    </w:p>
    <w:p w14:paraId="152CA541">
      <w:pPr>
        <w:wordWrap w:val="0"/>
        <w:spacing w:before="120" w:after="120" w:line="500" w:lineRule="exact"/>
        <w:ind w:firstLine="480" w:firstLineChars="200"/>
        <w:outlineLvl w:val="4"/>
        <w:rPr>
          <w:rFonts w:cs="仿宋" w:asciiTheme="minorEastAsia" w:hAnsiTheme="minorEastAsia" w:eastAsiaTheme="minorEastAsia"/>
          <w:b/>
          <w:bCs/>
          <w:sz w:val="24"/>
          <w:szCs w:val="24"/>
        </w:rPr>
      </w:pPr>
      <w:r>
        <w:rPr>
          <w:rFonts w:hint="eastAsia" w:cs="仿宋" w:asciiTheme="minorEastAsia" w:hAnsiTheme="minorEastAsia" w:eastAsiaTheme="minorEastAsia"/>
          <w:bCs/>
          <w:sz w:val="24"/>
          <w:szCs w:val="24"/>
        </w:rPr>
        <w:t xml:space="preserve">10.6变更引起的工期调整  </w:t>
      </w:r>
      <w:r>
        <w:rPr>
          <w:rFonts w:hint="eastAsia" w:cs="仿宋" w:asciiTheme="minorEastAsia" w:hAnsiTheme="minorEastAsia" w:eastAsiaTheme="minorEastAsia"/>
          <w:b/>
          <w:bCs/>
          <w:sz w:val="24"/>
          <w:szCs w:val="24"/>
        </w:rPr>
        <w:t xml:space="preserve"> </w:t>
      </w:r>
    </w:p>
    <w:p w14:paraId="4F10CC03">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因变更引起工期变化的，合同当事人均可要求调整合同工期，由合同当事人按照第4.4款〔商定或确定〕并参考工程所在地的工期定额标准确定增减工期天数。</w:t>
      </w:r>
    </w:p>
    <w:p w14:paraId="58CABFB7">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10.7暂估价</w:t>
      </w:r>
    </w:p>
    <w:p w14:paraId="0FF75A50">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暂估价专业分包工程、服务、材料和工程设备的明细由合同当事人在专用合同条款中约定。</w:t>
      </w:r>
    </w:p>
    <w:p w14:paraId="791EFD2B">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10.7.1 依法必须招标的暂估价项目</w:t>
      </w:r>
    </w:p>
    <w:p w14:paraId="7E69ED18">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对于依法必须招标的暂估价项目，采取以下第1种方式确定。合同当事人也可以在专用合同条款中选择其他招标方式。</w:t>
      </w:r>
    </w:p>
    <w:p w14:paraId="65DBB37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第1种方式：对于依法必须招标的暂估价项目，由承包人招标，对该暂估价项目的确认和批准按照以下约定执行：</w:t>
      </w:r>
    </w:p>
    <w:p w14:paraId="1364F751">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0F43F29C">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承包人应当根据施工进度计划，提前14天将竞争性磋商文件通过监理人报送发包人审批，发包人应当在收到承包人报送的相关文件后7天内完成审批或提出修改意见；发包人有权确定招标控制价并按照法律规定参加评标；</w:t>
      </w:r>
    </w:p>
    <w:p w14:paraId="59399AFF">
      <w:pPr>
        <w:wordWrap w:val="0"/>
        <w:spacing w:line="500" w:lineRule="exact"/>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    （3）承包人与供应商、分包人在签订暂估价合同前，应当提前7天将确定的中标候选人或中标候选分包人的资料报送发包人，发包人应在收到资料后3天内与承包人共同确定成交人；承包人应当在签订合同后7天内，将暂估价合同副本报送发包人留存。</w:t>
      </w:r>
    </w:p>
    <w:p w14:paraId="5A57C9E1">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成交人后，由发包人、承包人与成交人共同签订暂估价合同。</w:t>
      </w:r>
    </w:p>
    <w:p w14:paraId="695A9A61">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10.7.2不属于依法必须招标的暂估价项目</w:t>
      </w:r>
    </w:p>
    <w:p w14:paraId="69012A44">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除专用合同条款另有约定外，对于不属于依法必须招标的暂估价项目，采取以下第1种方式确定： </w:t>
      </w:r>
    </w:p>
    <w:p w14:paraId="5CA93FB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第1种方式：对于不属于依法必须招标的暂估价项目，按本项约定确认和批准：</w:t>
      </w:r>
    </w:p>
    <w:p w14:paraId="014B0A61">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04A64D7F">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（2）发包人认为承包人确定的供应商、分包人无法满足工程质量或合同要求的，发包人可以要求承包人重新确定暂估价项目的供应商、分包人;</w:t>
      </w:r>
    </w:p>
    <w:p w14:paraId="227D0B03">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（3）承包人应当在签订暂估价合同后7天内，将暂估价合同副本报送发包人留存。</w:t>
      </w:r>
    </w:p>
    <w:p w14:paraId="0666BC31">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第2种方式：承包人按照第10.7.1项〔依法必须招标的暂估价项目〕约定的第1种方式确定暂估价项目。</w:t>
      </w:r>
    </w:p>
    <w:p w14:paraId="0672C47E">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第3种方式：承包人直接实施的暂估价项目</w:t>
      </w:r>
    </w:p>
    <w:p w14:paraId="5558E94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承包人具备实施暂估价项目的资格和条件的，经发包人和承包人协商一致后，可由承包人自行实施暂估价项目，合同当事人可以在专用合同条款约定具体事项。</w:t>
      </w:r>
    </w:p>
    <w:p w14:paraId="00410444">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3BB6D69">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10.8暂列金额</w:t>
      </w:r>
    </w:p>
    <w:p w14:paraId="6076327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暂列金额应按照发包人的要求使用，发包人的要求应通过监理人发出。合同当事人可以在专用合同条款中协商确定有关事项。</w:t>
      </w:r>
    </w:p>
    <w:p w14:paraId="3DB5F2B8">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 xml:space="preserve">10.9计日工 </w:t>
      </w:r>
    </w:p>
    <w:p w14:paraId="78999CB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522329BE">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采用计日工计价的任何一项工作，承包人应在该项工作实施过程中，每天提交以下报表和有关凭证报送监理人审查：</w:t>
      </w:r>
    </w:p>
    <w:p w14:paraId="3A6FC34B">
      <w:pPr>
        <w:wordWrap w:val="0"/>
        <w:spacing w:line="500" w:lineRule="exact"/>
        <w:ind w:firstLine="360" w:firstLineChars="15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（1）工作名称、内容和数量；</w:t>
      </w:r>
    </w:p>
    <w:p w14:paraId="4775D4EC">
      <w:pPr>
        <w:wordWrap w:val="0"/>
        <w:spacing w:line="500" w:lineRule="exact"/>
        <w:ind w:firstLine="360" w:firstLineChars="15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（2）投入该工作的所有人员的姓名、专业、工种、级别和耗用工时；</w:t>
      </w:r>
    </w:p>
    <w:p w14:paraId="49804ECF">
      <w:pPr>
        <w:wordWrap w:val="0"/>
        <w:spacing w:line="500" w:lineRule="exact"/>
        <w:ind w:firstLine="360" w:firstLineChars="15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（3）投入该工作的材料类别和数量；</w:t>
      </w:r>
    </w:p>
    <w:p w14:paraId="34E37673">
      <w:pPr>
        <w:wordWrap w:val="0"/>
        <w:spacing w:line="500" w:lineRule="exact"/>
        <w:ind w:firstLine="360" w:firstLineChars="15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（4）投入该工作的施工设备型号、台数和耗用台时；</w:t>
      </w:r>
    </w:p>
    <w:p w14:paraId="4CF2D7B2">
      <w:pPr>
        <w:wordWrap w:val="0"/>
        <w:spacing w:line="500" w:lineRule="exact"/>
        <w:ind w:firstLine="360" w:firstLineChars="15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（5）其他有关资料和凭证。</w:t>
      </w:r>
    </w:p>
    <w:p w14:paraId="70AB8B77">
      <w:pPr>
        <w:wordWrap w:val="0"/>
        <w:spacing w:line="500" w:lineRule="exact"/>
        <w:ind w:firstLine="360" w:firstLineChars="15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 计日工由承包人汇总后，列入最近一期进度付款申请单，由监理人审查并经发包人批准后列入进度付款。</w:t>
      </w:r>
    </w:p>
    <w:p w14:paraId="6328D230">
      <w:pPr>
        <w:wordWrap w:val="0"/>
        <w:adjustRightInd w:val="0"/>
        <w:snapToGrid w:val="0"/>
        <w:spacing w:line="500" w:lineRule="exact"/>
        <w:jc w:val="left"/>
        <w:outlineLvl w:val="2"/>
        <w:rPr>
          <w:rFonts w:cs="仿宋" w:asciiTheme="minorEastAsia" w:hAnsiTheme="minorEastAsia" w:eastAsiaTheme="minorEastAsia"/>
          <w:b/>
          <w:kern w:val="0"/>
          <w:sz w:val="24"/>
          <w:szCs w:val="24"/>
        </w:rPr>
      </w:pPr>
      <w:bookmarkStart w:id="1035" w:name="_Toc13547"/>
      <w:bookmarkStart w:id="1036" w:name="_Toc193796113"/>
      <w:bookmarkStart w:id="1037" w:name="_Toc23729"/>
      <w:bookmarkStart w:id="1038" w:name="_Toc24462"/>
      <w:bookmarkStart w:id="1039" w:name="_Toc31972"/>
      <w:r>
        <w:rPr>
          <w:rFonts w:hint="eastAsia" w:cs="仿宋" w:asciiTheme="minorEastAsia" w:hAnsiTheme="minorEastAsia" w:eastAsiaTheme="minorEastAsia"/>
          <w:b/>
          <w:kern w:val="0"/>
          <w:sz w:val="24"/>
          <w:szCs w:val="24"/>
        </w:rPr>
        <w:t>11. 价格调整</w:t>
      </w:r>
      <w:bookmarkEnd w:id="1035"/>
      <w:bookmarkEnd w:id="1036"/>
      <w:bookmarkEnd w:id="1037"/>
      <w:bookmarkEnd w:id="1038"/>
      <w:bookmarkEnd w:id="1039"/>
    </w:p>
    <w:p w14:paraId="0B132D73">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11.1市场价格波动引起的调整</w:t>
      </w:r>
    </w:p>
    <w:p w14:paraId="54B99404">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除专用合同条款另有约定外，市场价格波动超过合同当事人约定的范围，合同价格应当调整。合同当事人可以在专用合同条款中约定选择以下一种方式对合同价格进行调整：</w:t>
      </w:r>
    </w:p>
    <w:p w14:paraId="75D5CF60">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第1种方式：采用价格指数进行价格调整。</w:t>
      </w:r>
    </w:p>
    <w:p w14:paraId="03213DB3">
      <w:pPr>
        <w:tabs>
          <w:tab w:val="left" w:pos="0"/>
          <w:tab w:val="left" w:pos="360"/>
          <w:tab w:val="left" w:pos="540"/>
        </w:tabs>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（1）价格调整公式</w:t>
      </w:r>
    </w:p>
    <w:p w14:paraId="5820DE0E">
      <w:pPr>
        <w:tabs>
          <w:tab w:val="left" w:pos="0"/>
          <w:tab w:val="left" w:pos="360"/>
          <w:tab w:val="left" w:pos="540"/>
        </w:tabs>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因人工、材料和设备等价格波动影响合同价格时，根据专用合同条款中约定的数据，按以下公式计算差额并调整合同价格：</w:t>
      </w:r>
    </w:p>
    <w:p w14:paraId="56F55E66">
      <w:pPr>
        <w:tabs>
          <w:tab w:val="left" w:pos="0"/>
          <w:tab w:val="left" w:pos="360"/>
          <w:tab w:val="left" w:pos="540"/>
        </w:tabs>
        <w:wordWrap w:val="0"/>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position w:val="-30"/>
          <w:sz w:val="24"/>
          <w:szCs w:val="24"/>
        </w:rPr>
        <w:object>
          <v:shape id="_x0000_i1025" o:spt="75" type="#_x0000_t75" style="height:43.5pt;width:359.9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p w14:paraId="7CA089FE">
      <w:pPr>
        <w:tabs>
          <w:tab w:val="left" w:pos="0"/>
          <w:tab w:val="left" w:pos="360"/>
          <w:tab w:val="left" w:pos="540"/>
        </w:tabs>
        <w:wordWrap w:val="0"/>
        <w:spacing w:line="500" w:lineRule="exact"/>
        <w:ind w:firstLine="64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公式中：ΔP——需调整的价格差额；</w:t>
      </w:r>
    </w:p>
    <w:p w14:paraId="5DF6181F">
      <w:pPr>
        <w:tabs>
          <w:tab w:val="left" w:pos="0"/>
          <w:tab w:val="left" w:pos="360"/>
          <w:tab w:val="left" w:pos="540"/>
        </w:tabs>
        <w:wordWrap w:val="0"/>
        <w:spacing w:line="500" w:lineRule="exact"/>
        <w:ind w:firstLine="1440" w:firstLineChars="6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position w:val="-6"/>
          <w:sz w:val="24"/>
          <w:szCs w:val="24"/>
        </w:rPr>
        <w:object>
          <v:shape id="_x0000_i1026" o:spt="75" type="#_x0000_t75" style="height:14.25pt;width:14.2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cs="仿宋" w:asciiTheme="minorEastAsia" w:hAnsiTheme="minorEastAsia" w:eastAsiaTheme="minorEastAsia"/>
          <w:kern w:val="0"/>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14:paraId="413D573E">
      <w:pPr>
        <w:tabs>
          <w:tab w:val="left" w:pos="0"/>
          <w:tab w:val="left" w:pos="360"/>
          <w:tab w:val="left" w:pos="540"/>
        </w:tabs>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A——定值权重（即不调部分的权重）；</w:t>
      </w:r>
    </w:p>
    <w:p w14:paraId="2DF9C274">
      <w:pPr>
        <w:tabs>
          <w:tab w:val="left" w:pos="0"/>
          <w:tab w:val="left" w:pos="360"/>
          <w:tab w:val="left" w:pos="540"/>
        </w:tabs>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position w:val="-10"/>
          <w:sz w:val="24"/>
          <w:szCs w:val="24"/>
        </w:rPr>
        <w:object>
          <v:shape id="_x0000_i1027" o:spt="75" type="#_x0000_t75" style="height:21.75pt;width:100.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cs="仿宋" w:asciiTheme="minorEastAsia" w:hAnsiTheme="minorEastAsia" w:eastAsiaTheme="minorEastAsia"/>
          <w:kern w:val="0"/>
          <w:sz w:val="24"/>
          <w:szCs w:val="24"/>
        </w:rPr>
        <w:t>——各可调因子的变值权重（即可调部分的权重），为各可调因子在签约合同价中所占的比例；</w:t>
      </w:r>
    </w:p>
    <w:p w14:paraId="16C50A50">
      <w:pPr>
        <w:tabs>
          <w:tab w:val="left" w:pos="0"/>
          <w:tab w:val="left" w:pos="360"/>
          <w:tab w:val="left" w:pos="540"/>
        </w:tabs>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position w:val="-10"/>
          <w:sz w:val="24"/>
          <w:szCs w:val="24"/>
        </w:rPr>
        <w:object>
          <v:shape id="_x0000_i1028" o:spt="75" type="#_x0000_t75" style="height:21.75pt;width:100.5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20">
            <o:LockedField>false</o:LockedField>
          </o:OLEObject>
        </w:object>
      </w:r>
      <w:r>
        <w:rPr>
          <w:rFonts w:hint="eastAsia" w:cs="仿宋" w:asciiTheme="minorEastAsia" w:hAnsiTheme="minorEastAsia" w:eastAsiaTheme="minorEastAsia"/>
          <w:kern w:val="0"/>
          <w:sz w:val="24"/>
          <w:szCs w:val="24"/>
        </w:rPr>
        <w:t>——各可调因子的现行价格指数，指约定的付款证书相关周期最后一天的前42天的各可调因子的价格指数；</w:t>
      </w:r>
    </w:p>
    <w:p w14:paraId="428B9797">
      <w:pPr>
        <w:tabs>
          <w:tab w:val="left" w:pos="0"/>
          <w:tab w:val="left" w:pos="360"/>
          <w:tab w:val="left" w:pos="540"/>
        </w:tabs>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position w:val="-10"/>
          <w:sz w:val="24"/>
          <w:szCs w:val="24"/>
        </w:rPr>
        <w:object>
          <v:shape id="_x0000_i1029" o:spt="75" type="#_x0000_t75" style="height:21.75pt;width:107.95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29" r:id="rId22">
            <o:LockedField>false</o:LockedField>
          </o:OLEObject>
        </w:object>
      </w:r>
      <w:r>
        <w:rPr>
          <w:rFonts w:hint="eastAsia" w:cs="仿宋" w:asciiTheme="minorEastAsia" w:hAnsiTheme="minorEastAsia" w:eastAsiaTheme="minorEastAsia"/>
          <w:kern w:val="0"/>
          <w:sz w:val="24"/>
          <w:szCs w:val="24"/>
        </w:rPr>
        <w:t>——各可调因子的基本价格指数，指基准日期的各可调因子的价格指数。</w:t>
      </w:r>
    </w:p>
    <w:p w14:paraId="13A3B601">
      <w:pPr>
        <w:tabs>
          <w:tab w:val="left" w:pos="0"/>
          <w:tab w:val="left" w:pos="360"/>
          <w:tab w:val="left" w:pos="540"/>
        </w:tabs>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以上价格调整公式中的各可调因子、定值和变值权重，以及基本价格指数及其来源在磋商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9519691">
      <w:pPr>
        <w:tabs>
          <w:tab w:val="left" w:pos="0"/>
          <w:tab w:val="left" w:pos="360"/>
          <w:tab w:val="left" w:pos="540"/>
        </w:tabs>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（2）暂时确定调整差额</w:t>
      </w:r>
    </w:p>
    <w:p w14:paraId="5347251E">
      <w:pPr>
        <w:tabs>
          <w:tab w:val="left" w:pos="0"/>
          <w:tab w:val="left" w:pos="360"/>
          <w:tab w:val="left" w:pos="540"/>
        </w:tabs>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在计算调整差额时无现行价格指数的，合同当事人同意暂用前次价格指数计算。实际价格指数有调整的，合同当事人进行相应调整。</w:t>
      </w:r>
    </w:p>
    <w:p w14:paraId="5D59F0BF">
      <w:pPr>
        <w:tabs>
          <w:tab w:val="left" w:pos="0"/>
          <w:tab w:val="left" w:pos="360"/>
          <w:tab w:val="left" w:pos="540"/>
        </w:tabs>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（3）权重的调整</w:t>
      </w:r>
    </w:p>
    <w:p w14:paraId="34E9EB45">
      <w:pPr>
        <w:tabs>
          <w:tab w:val="left" w:pos="0"/>
          <w:tab w:val="left" w:pos="360"/>
          <w:tab w:val="left" w:pos="540"/>
        </w:tabs>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因变更导致合同约定的权重不合理时，按照第4.4款〔商定或确定〕执行。</w:t>
      </w:r>
    </w:p>
    <w:p w14:paraId="1E5AAAA5">
      <w:pPr>
        <w:tabs>
          <w:tab w:val="left" w:pos="0"/>
          <w:tab w:val="left" w:pos="360"/>
          <w:tab w:val="left" w:pos="540"/>
        </w:tabs>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（4）因承包人原因工期延误后的价格调整</w:t>
      </w:r>
    </w:p>
    <w:p w14:paraId="7A48FC83">
      <w:pPr>
        <w:tabs>
          <w:tab w:val="left" w:pos="0"/>
          <w:tab w:val="left" w:pos="360"/>
          <w:tab w:val="left" w:pos="540"/>
        </w:tabs>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因承包人原因未按期竣工的，对合同约定的竣工日期后继续施工的工程，在使用价格调整公式时，应采用计划竣工日期与实际竣工日期的两个价格指数中较低的一个作为现行价格指数。</w:t>
      </w:r>
    </w:p>
    <w:p w14:paraId="620880F7">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第2种方式：采用造价信息进行价格调整。</w:t>
      </w:r>
    </w:p>
    <w:p w14:paraId="6CBDD1F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DD6E865">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CDB6141">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（2）材料、工程设备价格变化的价款调整按照发包人提供的基准价格，按以下风险范围规定执行:</w:t>
      </w:r>
    </w:p>
    <w:p w14:paraId="359457D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18BD4BAE">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41DD79AA">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③承包人在已标价工程量清单或预算书中载明材料单价等于基准价格的：除专用合同条款另有约定外，合同履行期间材料单价涨跌幅以基准价格为基础超过±5%时，其超过部分据实调整。</w:t>
      </w:r>
    </w:p>
    <w:p w14:paraId="6830C197">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0146BA8F">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前述基准价格是指由发包人在竞争性磋商文件或专用合同条款中给定的材料、工程设备的价格，该价格原则上应当按照省级或行业建设主管部门或其授权的工程造价管理机构发布的信息价编制。</w:t>
      </w:r>
    </w:p>
    <w:p w14:paraId="0CF0898E">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（3）施工机械台班单价或施工机械使用费发生变化超过省级或行业建设主管部门或其授权的工程造价管理机构规定的范围时，按规定调整合同价格。</w:t>
      </w:r>
    </w:p>
    <w:p w14:paraId="39B5715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第3种方式：专用合同条款约定的其他方式。</w:t>
      </w:r>
    </w:p>
    <w:p w14:paraId="688234BD">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11.2法律变化引起的调整</w:t>
      </w:r>
    </w:p>
    <w:p w14:paraId="5F4BCC5A">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7F2B3E3F">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因法律变化引起的合同价格和工期调整，合同当事人无法达成一致的，由总监理工程师按第4.4款〔商定或确定〕的约定处理。</w:t>
      </w:r>
    </w:p>
    <w:p w14:paraId="509CB467">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因承包人原因造成工期延误，在工期延误期间出现法律变化的，由此增加的费用和（或）延误的工期由承包人承担。</w:t>
      </w:r>
    </w:p>
    <w:p w14:paraId="67B0A67B">
      <w:pPr>
        <w:wordWrap w:val="0"/>
        <w:adjustRightInd w:val="0"/>
        <w:snapToGrid w:val="0"/>
        <w:spacing w:line="500" w:lineRule="exact"/>
        <w:jc w:val="left"/>
        <w:outlineLvl w:val="2"/>
        <w:rPr>
          <w:rFonts w:cs="仿宋" w:asciiTheme="minorEastAsia" w:hAnsiTheme="minorEastAsia" w:eastAsiaTheme="minorEastAsia"/>
          <w:b/>
          <w:kern w:val="0"/>
          <w:sz w:val="24"/>
          <w:szCs w:val="24"/>
        </w:rPr>
      </w:pPr>
      <w:bookmarkStart w:id="1040" w:name="_Toc6336"/>
      <w:bookmarkStart w:id="1041" w:name="_Toc19592"/>
      <w:bookmarkStart w:id="1042" w:name="_Toc193796114"/>
      <w:bookmarkStart w:id="1043" w:name="_Toc32081"/>
      <w:bookmarkStart w:id="1044" w:name="_Toc13353"/>
      <w:r>
        <w:rPr>
          <w:rFonts w:hint="eastAsia" w:cs="仿宋" w:asciiTheme="minorEastAsia" w:hAnsiTheme="minorEastAsia" w:eastAsiaTheme="minorEastAsia"/>
          <w:b/>
          <w:kern w:val="0"/>
          <w:sz w:val="24"/>
          <w:szCs w:val="24"/>
        </w:rPr>
        <w:t>12. 合同价格、计量与支付</w:t>
      </w:r>
      <w:bookmarkEnd w:id="1040"/>
      <w:bookmarkEnd w:id="1041"/>
      <w:bookmarkEnd w:id="1042"/>
      <w:bookmarkEnd w:id="1043"/>
      <w:bookmarkEnd w:id="1044"/>
    </w:p>
    <w:p w14:paraId="0EBD16F2">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12.1 合同价格形式</w:t>
      </w:r>
    </w:p>
    <w:p w14:paraId="22104C83">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发包人和承包人应在合同协议书中选择下列一种合同价格形式： </w:t>
      </w:r>
    </w:p>
    <w:p w14:paraId="6C9492DA">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1.单价合同</w:t>
      </w:r>
    </w:p>
    <w:p w14:paraId="79EE0E0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4D3F02C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2.总价合同</w:t>
      </w:r>
    </w:p>
    <w:p w14:paraId="53F3D45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47F4715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3.其它价格形式</w:t>
      </w:r>
    </w:p>
    <w:p w14:paraId="01666B80">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合同当事人可在专用合同条款中约定其他合同价格形式。</w:t>
      </w:r>
    </w:p>
    <w:p w14:paraId="5F3B975E">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12.2预付款</w:t>
      </w:r>
    </w:p>
    <w:p w14:paraId="0C764B01">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12.2.1预付款的支付</w:t>
      </w:r>
    </w:p>
    <w:p w14:paraId="64876452">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预付款的支付按照专用合同条款约定执行，但至迟应在开工通知载明的开工日期7天前支付。预付款应当用于材料、工程设备、施工设备的采购及修建临时工程、组织施工队伍进场等。</w:t>
      </w:r>
    </w:p>
    <w:p w14:paraId="32782E84">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除专用合同条款另有约定外，预付款在进度付款中同比例扣回。在颁发工程接收证书前，提前解除合同的，尚未扣完的预付款应与合同价款一并结算。</w:t>
      </w:r>
    </w:p>
    <w:p w14:paraId="7966F273">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发包人逾期支付预付款超过7天的，承包人有权向发包人发出要求预付的催告通知，发包人收到通知后7天内仍未支付的，承包人有权暂停施工，并按第16.1.1项〔发包人违约的情形〕执行。</w:t>
      </w:r>
    </w:p>
    <w:p w14:paraId="217D14F1">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12.2.2 预付款担保</w:t>
      </w:r>
    </w:p>
    <w:p w14:paraId="787C0D3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36D93EF0">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发包人在工程款中逐期扣回预付款后，预付款担保额度应相应减少，但剩余的预付款担保金额不得低于未被扣回的预付款金额。</w:t>
      </w:r>
    </w:p>
    <w:p w14:paraId="4A262CB1">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12.3计量</w:t>
      </w:r>
    </w:p>
    <w:p w14:paraId="5C7D7CAA">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12.3.1 计量原则</w:t>
      </w:r>
    </w:p>
    <w:p w14:paraId="708CD1C0">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工程量计量按照合同约定的工程量计算规则、图纸及变更指示等进行计量。工程量计算规则应以相关的国家标准、行业标准等为依据，由合同当事人在专用合同条款中约定。</w:t>
      </w:r>
    </w:p>
    <w:p w14:paraId="739C08B8">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12.3.2 计量周期</w:t>
      </w:r>
    </w:p>
    <w:p w14:paraId="5B4BD31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除专用合同条款另有约定外，工程量的计量按月进行。</w:t>
      </w:r>
    </w:p>
    <w:p w14:paraId="4F370752">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12.3.3 单价合同的计量</w:t>
      </w:r>
    </w:p>
    <w:p w14:paraId="3F32B0E8">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除专用合同条款另有约定外，单价合同的计量按照本项约定执行：</w:t>
      </w:r>
    </w:p>
    <w:p w14:paraId="0ECD8C02">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（1）承包人应于每月25日向监理人报送上月20日至当月19日已完成的工程量报告，并附具进度付款申请单、已完成工程量报表和有关资料。</w:t>
      </w:r>
    </w:p>
    <w:p w14:paraId="6F20854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75D604FB">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（3）监理人未在收到承包人提交的工程量报表后的7天内完成审核的，承包人报送的工程量报告中的工程量视为承包人实际完成的工程量，据此计算工程价款。</w:t>
      </w:r>
    </w:p>
    <w:p w14:paraId="69D73832">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12.3.4 总价合同的计量</w:t>
      </w:r>
    </w:p>
    <w:p w14:paraId="451EE34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除专用合同条款另有约定外，按月计量支付的总价合同，按照本项约定执行：</w:t>
      </w:r>
    </w:p>
    <w:p w14:paraId="2684915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（1）承包人应于每月25日向监理人报送上月20日至当月19日已完成的工程量报告，并附具进度付款申请单、已完成工程量报表和有关资料。</w:t>
      </w:r>
    </w:p>
    <w:p w14:paraId="3D89C63C">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7F005B6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（3）监理人未在收到承包人提交的工程量报表后的7天内完成复核的，承包人提交的工程量报告中的工程量视为承包人实际完成的工程量。</w:t>
      </w:r>
    </w:p>
    <w:p w14:paraId="14B7C1D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12.3.5 总价合同采用支付分解表计量支付的，可以按照第12.3.4项〔总价合同的计量〕约定进行计量，但合同价款按照支付分解表进行支付。</w:t>
      </w:r>
    </w:p>
    <w:p w14:paraId="728A6664">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12.3.6 其他价格形式合同的计量</w:t>
      </w:r>
    </w:p>
    <w:p w14:paraId="20B14B33">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合同当事人可在专用合同条款中约定其他价格形式合同的计量方式和程序。</w:t>
      </w:r>
    </w:p>
    <w:p w14:paraId="69C19503">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12.4工程进度款支付</w:t>
      </w:r>
    </w:p>
    <w:p w14:paraId="29C4ABE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12.4.1 付款周期</w:t>
      </w:r>
    </w:p>
    <w:p w14:paraId="7B732480">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除专用合同条款另有约定外，付款周期应按照第12.3.2项〔计量周期〕的约定与计量周期保持一致。</w:t>
      </w:r>
    </w:p>
    <w:p w14:paraId="3AC3199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12.4.2 进度付款申请单的编制</w:t>
      </w:r>
    </w:p>
    <w:p w14:paraId="3B3FEA3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除专用合同条款另有约定外，进度付款申请单应包括下列内容：</w:t>
      </w:r>
    </w:p>
    <w:p w14:paraId="5ACA9FF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（1）截至本次付款周期已完成工作对应的金额；</w:t>
      </w:r>
    </w:p>
    <w:p w14:paraId="34B76D1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（2）根据第10条〔变更〕应增加和扣减的变更金额；</w:t>
      </w:r>
    </w:p>
    <w:p w14:paraId="0361B9B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（3）根据第12.2款〔预付款〕约定应支付的预付款和扣减的返还预付款；</w:t>
      </w:r>
    </w:p>
    <w:p w14:paraId="6CC2C12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（4）根据第15.3款〔质量保证金〕约定应扣减的质量保证金；</w:t>
      </w:r>
    </w:p>
    <w:p w14:paraId="1B4A0E1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（5）根据第19条〔索赔〕应增加和扣减的索赔金额；</w:t>
      </w:r>
    </w:p>
    <w:p w14:paraId="3D95342E">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（6）对已签发的进度款支付证书中出现错误的修正，应在本次进度付款中支付或扣除的金额；</w:t>
      </w:r>
    </w:p>
    <w:p w14:paraId="23E58E9E">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（7）根据合同约定应增加和扣减的其他金额。</w:t>
      </w:r>
    </w:p>
    <w:p w14:paraId="293FB26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12.4.3 进度付款申请单的提交</w:t>
      </w:r>
    </w:p>
    <w:p w14:paraId="4D73535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（1）单价合同进度付款申请单的提交</w:t>
      </w:r>
    </w:p>
    <w:p w14:paraId="38BD9D40">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1D2CFC3A">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（2）总价合同进度付款申请单的提交</w:t>
      </w:r>
    </w:p>
    <w:p w14:paraId="4D20549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总价合同按月计量支付的，承包人按照第12.3.4项〔总价合同的计量〕约定的时间按月向监理人提交进度付款申请单，并附上已完成工程量报表和有关资料。</w:t>
      </w:r>
    </w:p>
    <w:p w14:paraId="5A3925E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总价合同按支付分解表支付的，承包人应按照第12.4.6项〔支付分解表〕及第12.4.2项〔进度付款申请单的编制〕的约定向监理人提交进度付款申请单。</w:t>
      </w:r>
    </w:p>
    <w:p w14:paraId="4EA3852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（3）其他价格形式合同的进度付款申请单的提交</w:t>
      </w:r>
    </w:p>
    <w:p w14:paraId="1963ED71">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合同当事人可在专用合同条款中约定其他价格形式合同的进度付款申请单的编制和提交程序。</w:t>
      </w:r>
    </w:p>
    <w:p w14:paraId="6D8BDE92">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12.4.4 进度款审核和支付</w:t>
      </w:r>
    </w:p>
    <w:p w14:paraId="13DBFA93">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74A67A1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29356AA3">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14:paraId="3164A44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（3）发包人签发进度款支付证书或临时进度款支付证书，不表明发包人已同意、批准或接受了承包人完成的相应部分的工作。</w:t>
      </w:r>
    </w:p>
    <w:p w14:paraId="36FC800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12.4.5 进度付款的修正</w:t>
      </w:r>
    </w:p>
    <w:p w14:paraId="120BBF1A">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在对已签发的进度款支付证书进行阶段汇总和复核中发现错误、遗漏或重复的，发包人和承包人均有权提出修正申请。经发包人和承包人同意的修正，应在下期进度付款中支付或扣除。</w:t>
      </w:r>
    </w:p>
    <w:p w14:paraId="1C6A3CD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12.4.6 支付分解表</w:t>
      </w:r>
    </w:p>
    <w:p w14:paraId="7E91FE32">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1.支付分解表的编制要求</w:t>
      </w:r>
    </w:p>
    <w:p w14:paraId="0EA071A6">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（1）支付分解表中所列的每期付款金额，应为第12.4.2项〔进度付款申请单的编制〕第（1）目的估算金额；</w:t>
      </w:r>
    </w:p>
    <w:p w14:paraId="66B1716B">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（2）实际进度与施工进度计划不一致的，合同当事人可按照第4.4款〔商定或确定〕修改支付分解表；</w:t>
      </w:r>
    </w:p>
    <w:p w14:paraId="09263140">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（3）不采用支付分解表的，承包人应向发包人和监理人提交按季度编制的支付估算分解表，用于支付参考。</w:t>
      </w:r>
    </w:p>
    <w:p w14:paraId="7D639F7C">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2.总价合同支付分解表的编制与审批</w:t>
      </w:r>
    </w:p>
    <w:p w14:paraId="41F69768">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9D9CC71">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（2）监理人应在收到支付分解表后7天内完成审核并报送发包人。发包人应在收到经监理人审核的支付分解表后7天内完成审批，经发包人批准的支付分解表为有约束力的支付分解表。</w:t>
      </w:r>
    </w:p>
    <w:p w14:paraId="62794174">
      <w:pPr>
        <w:wordWrap w:val="0"/>
        <w:spacing w:line="500" w:lineRule="exact"/>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    （3）发包人逾期未完成支付分解表审批的，也未及时要求承包人进行修正和提供补充资料的，则承包人提交的支付分解表视为已经获得发包人批准。</w:t>
      </w:r>
    </w:p>
    <w:p w14:paraId="06830BEB">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3.单价合同的总价项目支付分解表的编制与审批</w:t>
      </w:r>
    </w:p>
    <w:p w14:paraId="3F8DF451">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C1EB685">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12.5支付账户</w:t>
      </w:r>
    </w:p>
    <w:p w14:paraId="5C05BEE0">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发包人应将合同价款支付至合同协议书中约定的承包人账户。</w:t>
      </w:r>
    </w:p>
    <w:p w14:paraId="2D2CCB8A">
      <w:pPr>
        <w:wordWrap w:val="0"/>
        <w:adjustRightInd w:val="0"/>
        <w:snapToGrid w:val="0"/>
        <w:spacing w:line="500" w:lineRule="exact"/>
        <w:jc w:val="left"/>
        <w:outlineLvl w:val="2"/>
        <w:rPr>
          <w:rFonts w:cs="仿宋" w:asciiTheme="minorEastAsia" w:hAnsiTheme="minorEastAsia" w:eastAsiaTheme="minorEastAsia"/>
          <w:b/>
          <w:kern w:val="0"/>
          <w:sz w:val="24"/>
          <w:szCs w:val="24"/>
        </w:rPr>
      </w:pPr>
      <w:bookmarkStart w:id="1045" w:name="_Toc25863"/>
      <w:bookmarkStart w:id="1046" w:name="_Toc7997"/>
      <w:bookmarkStart w:id="1047" w:name="_Toc193796115"/>
      <w:bookmarkStart w:id="1048" w:name="_Toc18697"/>
      <w:bookmarkStart w:id="1049" w:name="_Toc5555"/>
      <w:r>
        <w:rPr>
          <w:rFonts w:hint="eastAsia" w:cs="仿宋" w:asciiTheme="minorEastAsia" w:hAnsiTheme="minorEastAsia" w:eastAsiaTheme="minorEastAsia"/>
          <w:b/>
          <w:kern w:val="0"/>
          <w:sz w:val="24"/>
          <w:szCs w:val="24"/>
        </w:rPr>
        <w:t>13. 验收和工程试车</w:t>
      </w:r>
      <w:bookmarkEnd w:id="1045"/>
      <w:bookmarkEnd w:id="1046"/>
      <w:bookmarkEnd w:id="1047"/>
      <w:bookmarkEnd w:id="1048"/>
      <w:bookmarkEnd w:id="1049"/>
    </w:p>
    <w:p w14:paraId="2357154D">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13.1分部分项工程验收</w:t>
      </w:r>
    </w:p>
    <w:p w14:paraId="4B9CB6D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13.1.1 分部分项工程质量应符合国家有关工程施工验收规范、标准及合同约定，承包人应按照施工组织设计的要求完成分部分项工程施工。</w:t>
      </w:r>
    </w:p>
    <w:p w14:paraId="3ABB0055">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726ECC19">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分部分项工程的验收资料应当作为竣工资料的组成部分。</w:t>
      </w:r>
    </w:p>
    <w:p w14:paraId="7540C332">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13.2竣工验收</w:t>
      </w:r>
    </w:p>
    <w:p w14:paraId="7AF1AAB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13.2.1竣工验收条件</w:t>
      </w:r>
    </w:p>
    <w:p w14:paraId="53D02EA5">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工程具备以下条件的，承包人可以申请竣工验收：</w:t>
      </w:r>
    </w:p>
    <w:p w14:paraId="3A52ACC1">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（1）除发包人同意的甩项工作和缺陷修补工作外，合同范围内的全部工程以及有关工作，包括合同要求的试验、试运行以及检验均已完成，并符合合同要求；</w:t>
      </w:r>
    </w:p>
    <w:p w14:paraId="2F8B02A1">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（2）已按合同约定编制了甩项工作和缺陷修补工作清单以及相应的施工计划；</w:t>
      </w:r>
    </w:p>
    <w:p w14:paraId="732461C6">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（3）已按合同约定的内容和份数备齐竣工资料。</w:t>
      </w:r>
    </w:p>
    <w:p w14:paraId="71B0BAF7">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13.2.2竣工验收程序</w:t>
      </w:r>
    </w:p>
    <w:p w14:paraId="1534C231">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除专用合同条款另有约定外，承包人申请竣工验收的，应当按照以下程序进行：</w:t>
      </w:r>
    </w:p>
    <w:p w14:paraId="373CAA92">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39859460">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2B6132B2">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（3）竣工验收合格的，发包人应在验收合格后14天内向承包人签发工程接收证书。发包人无正当理由逾期不颁发工程接收证书的，自验收合格后第15天起视为已颁发工程接收证书。</w:t>
      </w:r>
    </w:p>
    <w:p w14:paraId="08D4808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1EFFBD0F">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E2F00F4">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14:paraId="37090DF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13.2.3竣工日期</w:t>
      </w:r>
    </w:p>
    <w:p w14:paraId="35D67D5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7D51DC32">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13.2.4 拒绝接收全部或部分工程</w:t>
      </w:r>
    </w:p>
    <w:p w14:paraId="0DCC31C3">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EB4F49A">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13.2.5 移交、接收全部与部分工程</w:t>
      </w:r>
    </w:p>
    <w:p w14:paraId="1AD8712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除专用合同条款另有约定外，合同当事人应当在颁发工程接收证书后7天内完成工程的移交。</w:t>
      </w:r>
    </w:p>
    <w:p w14:paraId="373EFED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14:paraId="62256AB3">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承包人无正当理由不移交工程的，承包人应承担工程照管、成品保护、保管等与工程有关的各项费用，合同当事人可以在专用合同条款中另行约定承包人无正当理由不移交工程的违约责任。</w:t>
      </w:r>
    </w:p>
    <w:p w14:paraId="49906EED">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13.3工程试车</w:t>
      </w:r>
    </w:p>
    <w:p w14:paraId="0DDA2D4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13.3.1试车程序</w:t>
      </w:r>
    </w:p>
    <w:p w14:paraId="0D12EB91">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工程需要试车的，除专用合同条款另有约定外，试车内容应与承包人承包范围相一致，试车费用由承包人承担。工程试车应按如下程序进行：</w:t>
      </w:r>
    </w:p>
    <w:p w14:paraId="5360E726">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4B7EEA4B">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6DB00FCB">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7058F34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13.3.2 试车中的责任</w:t>
      </w:r>
    </w:p>
    <w:p w14:paraId="75480795">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43036D0C">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2BD57CD2">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13.3.3 投料试车</w:t>
      </w:r>
    </w:p>
    <w:p w14:paraId="6A753103">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如需进行投料试车的，发包人应在工程竣工验收后组织投料试车。发包人要求在工程竣工验收前进行或需要承包人配合时，应征得承包人同意，并在专用合同条款中约定有关事项。</w:t>
      </w:r>
    </w:p>
    <w:p w14:paraId="6023B85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63D23A8F">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13.4提前交付单位工程的验收</w:t>
      </w:r>
    </w:p>
    <w:p w14:paraId="1DB2330A">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13.4.1 发包人需要在工程竣工前使用单位工程的，或承包人提出提前交付已经竣工的单位工程且经发包人同意的，可进行单位工程验收，验收的程序按照第13.2款〔竣工验收〕的约定进行。</w:t>
      </w:r>
    </w:p>
    <w:p w14:paraId="1EE65D15">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5C135198">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13.4.2 发包人要求在工程竣工前交付单位工程，由此导致承包人费用增加和（或）工期延误的，由发包人承担由此增加的费用和（或）延误的工期，并支付承包人合理的利润。</w:t>
      </w:r>
    </w:p>
    <w:p w14:paraId="6757FDC8">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13.5 施工期运行</w:t>
      </w:r>
    </w:p>
    <w:p w14:paraId="018186D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0C570E80">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13.5.2 在施工期运行中发现工程或工程设备损坏或存在缺陷的，由承包人按第15.2款〔缺陷责任期〕约定进行修复。</w:t>
      </w:r>
    </w:p>
    <w:p w14:paraId="540BABD2">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13.6 竣工退场</w:t>
      </w:r>
    </w:p>
    <w:p w14:paraId="02DE1E64">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13.6.1 竣工退场</w:t>
      </w:r>
    </w:p>
    <w:p w14:paraId="678ECCE7">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颁发工程接收证书后，承包人应按以下要求对施工现场进行清理：</w:t>
      </w:r>
    </w:p>
    <w:p w14:paraId="14921DE7">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（1）施工现场内残留的垃圾已全部清除出场；</w:t>
      </w:r>
    </w:p>
    <w:p w14:paraId="3F2C53A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（2）临时工程已拆除，场地已进行清理、平整或复原；</w:t>
      </w:r>
    </w:p>
    <w:p w14:paraId="4541E62C">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（3）按合同约定应撤离的人员、承包人施工设备和剩余的材料，包括废弃的施工设备和材料，已按计划撤离施工现场；</w:t>
      </w:r>
    </w:p>
    <w:p w14:paraId="1A64AB87">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（4）施工现场周边及其附近道路、河道的施工堆积物，已全部清理；</w:t>
      </w:r>
    </w:p>
    <w:p w14:paraId="683F2526">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（5）施工现场其他场地清理工作已全部完成。</w:t>
      </w:r>
    </w:p>
    <w:p w14:paraId="32D843A0">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14A2B1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13.6.2 地表还原</w:t>
      </w:r>
    </w:p>
    <w:p w14:paraId="04BFA58F">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14:paraId="16FE4DCA">
      <w:pPr>
        <w:wordWrap w:val="0"/>
        <w:adjustRightInd w:val="0"/>
        <w:snapToGrid w:val="0"/>
        <w:spacing w:line="500" w:lineRule="exact"/>
        <w:jc w:val="left"/>
        <w:outlineLvl w:val="2"/>
        <w:rPr>
          <w:rFonts w:cs="仿宋" w:asciiTheme="minorEastAsia" w:hAnsiTheme="minorEastAsia" w:eastAsiaTheme="minorEastAsia"/>
          <w:b/>
          <w:kern w:val="0"/>
          <w:sz w:val="24"/>
          <w:szCs w:val="24"/>
        </w:rPr>
      </w:pPr>
      <w:bookmarkStart w:id="1050" w:name="_Toc5535"/>
      <w:bookmarkStart w:id="1051" w:name="_Toc23803"/>
      <w:bookmarkStart w:id="1052" w:name="_Toc25763"/>
      <w:bookmarkStart w:id="1053" w:name="_Toc193796116"/>
      <w:bookmarkStart w:id="1054" w:name="_Toc16333"/>
      <w:r>
        <w:rPr>
          <w:rFonts w:hint="eastAsia" w:cs="仿宋" w:asciiTheme="minorEastAsia" w:hAnsiTheme="minorEastAsia" w:eastAsiaTheme="minorEastAsia"/>
          <w:b/>
          <w:kern w:val="0"/>
          <w:sz w:val="24"/>
          <w:szCs w:val="24"/>
        </w:rPr>
        <w:t>14. 竣工结算</w:t>
      </w:r>
      <w:bookmarkEnd w:id="1050"/>
      <w:bookmarkEnd w:id="1051"/>
      <w:bookmarkEnd w:id="1052"/>
      <w:bookmarkEnd w:id="1053"/>
      <w:bookmarkEnd w:id="1054"/>
    </w:p>
    <w:p w14:paraId="398BF478">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14.1 竣工结算申请</w:t>
      </w:r>
    </w:p>
    <w:p w14:paraId="56722DD2">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5A940A3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除专用合同条款另有约定外，竣工结算申请单应包括以下内容：</w:t>
      </w:r>
    </w:p>
    <w:p w14:paraId="1523D63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（1）竣工结算合同价格；</w:t>
      </w:r>
    </w:p>
    <w:p w14:paraId="51CE9DBE">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（2）发包人已支付承包人的款项；</w:t>
      </w:r>
    </w:p>
    <w:p w14:paraId="47AB5522">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（3）应扣留的质量保证金。已缴纳履约保证金的或提供其他工程质量担保方式的除外； </w:t>
      </w:r>
    </w:p>
    <w:p w14:paraId="1311EC3A">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（4）发包人应支付承包人的合同价款。</w:t>
      </w:r>
    </w:p>
    <w:p w14:paraId="7F23F4D6">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14.2 竣工结算审核</w:t>
      </w:r>
    </w:p>
    <w:p w14:paraId="5A79455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0E68A5E3">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11C7C2CA">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018F57C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7B2414F0">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14.3 甩项竣工协议</w:t>
      </w:r>
    </w:p>
    <w:p w14:paraId="50A6289A">
      <w:pPr>
        <w:wordWrap w:val="0"/>
        <w:autoSpaceDE w:val="0"/>
        <w:autoSpaceDN w:val="0"/>
        <w:adjustRightInd w:val="0"/>
        <w:spacing w:line="500" w:lineRule="exact"/>
        <w:ind w:firstLine="470" w:firstLineChars="196"/>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14:paraId="537CE034">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14.4 最终结清</w:t>
      </w:r>
    </w:p>
    <w:p w14:paraId="52F9DEF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14.4.1 最终结清申请单</w:t>
      </w:r>
    </w:p>
    <w:p w14:paraId="34E4EF6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（1）除专用合同条款另有约定外，承包人应在缺陷责任期终止证书颁发后7天内，按专用合同条款约定的份数向发包人提交最终结清申请单，并提供相关证明材料。</w:t>
      </w:r>
    </w:p>
    <w:p w14:paraId="55C5E46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除专用合同条款另有约定外，最终结清申请单应列明质量保证金、应扣除的质量保证金、缺陷责任期内发生的增减费用。</w:t>
      </w:r>
    </w:p>
    <w:p w14:paraId="49128EB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（2）发包人对最终结清申请单内容有异议的，有权要求承包人进行修正和提供补充资料，承包人应向发包人提交修正后的最终结清申请单。</w:t>
      </w:r>
    </w:p>
    <w:p w14:paraId="57E6AF1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14.4.2 最终结清证书和支付</w:t>
      </w:r>
    </w:p>
    <w:p w14:paraId="1D5E8A5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0946DDC1">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484385AA">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（3）承包人对发包人颁发的最终结清证书有异议的，按第20条〔争议解决〕的约定办理。</w:t>
      </w:r>
    </w:p>
    <w:p w14:paraId="791CD6F6">
      <w:pPr>
        <w:wordWrap w:val="0"/>
        <w:adjustRightInd w:val="0"/>
        <w:snapToGrid w:val="0"/>
        <w:spacing w:line="500" w:lineRule="exact"/>
        <w:jc w:val="left"/>
        <w:outlineLvl w:val="2"/>
        <w:rPr>
          <w:rFonts w:cs="仿宋" w:asciiTheme="minorEastAsia" w:hAnsiTheme="minorEastAsia" w:eastAsiaTheme="minorEastAsia"/>
          <w:b/>
          <w:kern w:val="0"/>
          <w:sz w:val="24"/>
          <w:szCs w:val="24"/>
        </w:rPr>
      </w:pPr>
      <w:bookmarkStart w:id="1055" w:name="_Toc1057"/>
      <w:bookmarkStart w:id="1056" w:name="_Toc16495"/>
      <w:bookmarkStart w:id="1057" w:name="_Toc26594"/>
      <w:bookmarkStart w:id="1058" w:name="_Toc13256"/>
      <w:bookmarkStart w:id="1059" w:name="_Toc193796117"/>
      <w:r>
        <w:rPr>
          <w:rFonts w:hint="eastAsia" w:cs="仿宋" w:asciiTheme="minorEastAsia" w:hAnsiTheme="minorEastAsia" w:eastAsiaTheme="minorEastAsia"/>
          <w:b/>
          <w:kern w:val="0"/>
          <w:sz w:val="24"/>
          <w:szCs w:val="24"/>
        </w:rPr>
        <w:t>15. 缺陷责任与保修</w:t>
      </w:r>
      <w:bookmarkEnd w:id="1055"/>
      <w:bookmarkEnd w:id="1056"/>
      <w:bookmarkEnd w:id="1057"/>
      <w:bookmarkEnd w:id="1058"/>
      <w:bookmarkEnd w:id="1059"/>
    </w:p>
    <w:p w14:paraId="169420DB">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15.1 工程保修的原则</w:t>
      </w:r>
    </w:p>
    <w:p w14:paraId="68A3A8C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在工程移交发包人后，因承包人原因产生的质量缺陷，承包人应承担质量缺陷责任和保修义务。缺陷责任期届满，承包人仍应按合同约定的工程各部位保修年限承担保修义务。</w:t>
      </w:r>
    </w:p>
    <w:p w14:paraId="70A51FAC">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15.2 缺陷责任期</w:t>
      </w:r>
    </w:p>
    <w:p w14:paraId="7361B568">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15.2.1 缺陷责任期从工程通过竣工验收之日起计算，合同当事人应在专用合同条款约定缺陷责任期的具体期限，但该期限最长不超过24个月。</w:t>
      </w:r>
    </w:p>
    <w:p w14:paraId="294200C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621FDF0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cs="仿宋" w:asciiTheme="minorEastAsia" w:hAnsiTheme="minorEastAsia" w:eastAsiaTheme="minorEastAsia"/>
          <w:bCs/>
          <w:kern w:val="0"/>
          <w:sz w:val="24"/>
          <w:szCs w:val="24"/>
        </w:rPr>
        <w:t>包人延长缺陷责任期，</w:t>
      </w:r>
      <w:r>
        <w:rPr>
          <w:rFonts w:hint="eastAsia" w:cs="仿宋" w:asciiTheme="minorEastAsia" w:hAnsiTheme="minorEastAsia" w:eastAsiaTheme="minorEastAsia"/>
          <w:kern w:val="0"/>
          <w:sz w:val="24"/>
          <w:szCs w:val="24"/>
        </w:rPr>
        <w:t>并应在原缺陷责任期届满前发出延长通知。</w:t>
      </w:r>
      <w:r>
        <w:rPr>
          <w:rFonts w:hint="eastAsia" w:cs="仿宋" w:asciiTheme="minorEastAsia" w:hAnsiTheme="minorEastAsia" w:eastAsiaTheme="minorEastAsia"/>
          <w:bCs/>
          <w:kern w:val="0"/>
          <w:sz w:val="24"/>
          <w:szCs w:val="24"/>
        </w:rPr>
        <w:t>但缺陷责任期（含延长部分）最长</w:t>
      </w:r>
      <w:r>
        <w:rPr>
          <w:rFonts w:hint="eastAsia" w:cs="仿宋" w:asciiTheme="minorEastAsia" w:hAnsiTheme="minorEastAsia" w:eastAsiaTheme="minorEastAsia"/>
          <w:kern w:val="0"/>
          <w:sz w:val="24"/>
          <w:szCs w:val="24"/>
        </w:rPr>
        <w:t>不能超过24个月。</w:t>
      </w:r>
    </w:p>
    <w:p w14:paraId="5F570CA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由他人原因造成的缺陷，发包人负责组织维修，承包人不承担费用，且发包人不得从保证金中扣除费用。</w:t>
      </w:r>
    </w:p>
    <w:p w14:paraId="69DB1AB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15.2.3 任何一项缺陷或损坏修复后，经检查证明其影响了工程或工程设备的使用性能，承包人应重新进行合同约定的试验和试运行，试验和试运行的全部费用应由责任方承担。</w:t>
      </w:r>
    </w:p>
    <w:p w14:paraId="151CA0C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3B344CEE">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15.3 质量保证金</w:t>
      </w:r>
    </w:p>
    <w:p w14:paraId="29DB89EE">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经合同当事人协商一致扣留质量保证金的，应在专用合同条款中予以明确。</w:t>
      </w:r>
    </w:p>
    <w:p w14:paraId="3CAB2933">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在工程项目竣工前，承包人已经提供履约担保的，发包人不得同时预留工程质量保证金。</w:t>
      </w:r>
    </w:p>
    <w:p w14:paraId="470888F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15.3.1 承包人提供质量保证金的方式</w:t>
      </w:r>
    </w:p>
    <w:p w14:paraId="28C82442">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承包人提供质量保证金有以下三种方式：</w:t>
      </w:r>
    </w:p>
    <w:p w14:paraId="2475593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（1）质量保证金保函； </w:t>
      </w:r>
    </w:p>
    <w:p w14:paraId="095992C0">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（2）相应比例的工程款；</w:t>
      </w:r>
    </w:p>
    <w:p w14:paraId="43E7D990">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（3）双方约定的其他方式。</w:t>
      </w:r>
    </w:p>
    <w:p w14:paraId="531E36D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除专用合同条款另有约定外，质量保证金原则上采用上述第（1）种方式。</w:t>
      </w:r>
    </w:p>
    <w:p w14:paraId="5EED90F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15.3.2 质量保证金的扣留</w:t>
      </w:r>
    </w:p>
    <w:p w14:paraId="26F05F53">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质量保证金的扣留有以下三种方式：</w:t>
      </w:r>
    </w:p>
    <w:p w14:paraId="18D1577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（1）在支付工程进度款时逐次扣留，在此情形下，质量保证金的计算基数不包括预付款的支付、扣回以及价格调整的金额；</w:t>
      </w:r>
    </w:p>
    <w:p w14:paraId="11C2E40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（2）工程竣工结算时一次性扣留质量保证金；</w:t>
      </w:r>
    </w:p>
    <w:p w14:paraId="42632410">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（3）双方约定的其他扣留方式。</w:t>
      </w:r>
    </w:p>
    <w:p w14:paraId="7AD240B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除专用合同条款另有约定外，质量保证金的扣留原则上采用上述第（1）种方式。</w:t>
      </w:r>
    </w:p>
    <w:p w14:paraId="3B8F1AA8">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累计扣留的质量保证金不得超过最终工程费的3%。如承包人在发包人签发竣工付款证书后28天内提交质量保证金保函，发包人应同时退还扣留的作为质量保证金的工程价款；保函金额不得超过最终工程费的3%。</w:t>
      </w:r>
    </w:p>
    <w:p w14:paraId="4EC21CB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发包人在退还质量保证金的同时按照中国人民银行发布的同期同类贷款基准利率支付利息。</w:t>
      </w:r>
    </w:p>
    <w:p w14:paraId="09AF8D31">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15.3.3 质量保证金的退还</w:t>
      </w:r>
    </w:p>
    <w:p w14:paraId="3857EF3E">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缺陷责任期内，承包人认真履行合同约定的责任，到期后，承包人可向发包人申请返还保证金。</w:t>
      </w:r>
    </w:p>
    <w:p w14:paraId="74458620">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2BFCB3E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发包人和承包人对保证金预留、返还以及工程维修质量、费用有争议的，按本合同第20条约定的争议和纠纷解决程序处理。</w:t>
      </w:r>
    </w:p>
    <w:p w14:paraId="15FD8F8C">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15.4 保修</w:t>
      </w:r>
    </w:p>
    <w:p w14:paraId="469B49BF">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15.4.1保修责任</w:t>
      </w:r>
    </w:p>
    <w:p w14:paraId="67EC69F8">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5154C04">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发包人未经竣工验收擅自使用工程的，保修期自转移占有之日起算。</w:t>
      </w:r>
    </w:p>
    <w:p w14:paraId="2BD358C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15.4.2 修复费用</w:t>
      </w:r>
    </w:p>
    <w:p w14:paraId="3EFBF8FE">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保修期内，修复的费用按照以下约定处理：</w:t>
      </w:r>
    </w:p>
    <w:p w14:paraId="0F99013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（1）保修期内，因承包人原因造成工程的缺陷、损坏，承包人应负责修复，并承担修复的费用以及因工程的缺陷、损坏造成的人身伤害和财产损失；</w:t>
      </w:r>
    </w:p>
    <w:p w14:paraId="02617A1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（2）保修期内，因发包人使用不当造成工程的缺陷、损坏，可以委托承包人修复，但发包人应承担修复的费用，并支付承包人合理利润；</w:t>
      </w:r>
    </w:p>
    <w:p w14:paraId="27C82AF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（3）因其他原因造成工程的缺陷、损坏，可以委托承包人修复，发包人应承担修复的费用，并支付承包人合理的利润，因工程的缺陷、损坏造成的人身伤害和财产损失由责任方承担。</w:t>
      </w:r>
    </w:p>
    <w:p w14:paraId="13367823">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15.4.3 修复通知</w:t>
      </w:r>
    </w:p>
    <w:p w14:paraId="627D9B4F">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7D6C600B">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15.4.4 未能修复</w:t>
      </w:r>
    </w:p>
    <w:p w14:paraId="36D0388C">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3A0B4AD0">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15.4.5 承包人出入权</w:t>
      </w:r>
    </w:p>
    <w:p w14:paraId="25CFBC7B">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76083170">
      <w:pPr>
        <w:wordWrap w:val="0"/>
        <w:adjustRightInd w:val="0"/>
        <w:snapToGrid w:val="0"/>
        <w:spacing w:line="500" w:lineRule="exact"/>
        <w:jc w:val="left"/>
        <w:outlineLvl w:val="2"/>
        <w:rPr>
          <w:rFonts w:cs="仿宋" w:asciiTheme="minorEastAsia" w:hAnsiTheme="minorEastAsia" w:eastAsiaTheme="minorEastAsia"/>
          <w:b/>
          <w:kern w:val="0"/>
          <w:sz w:val="24"/>
          <w:szCs w:val="24"/>
        </w:rPr>
      </w:pPr>
      <w:bookmarkStart w:id="1060" w:name="_Toc9653"/>
      <w:bookmarkStart w:id="1061" w:name="_Toc9093"/>
      <w:bookmarkStart w:id="1062" w:name="_Toc193796118"/>
      <w:bookmarkStart w:id="1063" w:name="_Toc15205"/>
      <w:bookmarkStart w:id="1064" w:name="_Toc23026"/>
      <w:r>
        <w:rPr>
          <w:rFonts w:hint="eastAsia" w:cs="仿宋" w:asciiTheme="minorEastAsia" w:hAnsiTheme="minorEastAsia" w:eastAsiaTheme="minorEastAsia"/>
          <w:b/>
          <w:kern w:val="0"/>
          <w:sz w:val="24"/>
          <w:szCs w:val="24"/>
        </w:rPr>
        <w:t>16. 违约</w:t>
      </w:r>
      <w:bookmarkEnd w:id="1060"/>
      <w:bookmarkEnd w:id="1061"/>
      <w:bookmarkEnd w:id="1062"/>
      <w:bookmarkEnd w:id="1063"/>
      <w:bookmarkEnd w:id="1064"/>
    </w:p>
    <w:p w14:paraId="77D1842A">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16.1 发包人违约</w:t>
      </w:r>
    </w:p>
    <w:p w14:paraId="497FAB8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16.1.1 发包人违约的情形</w:t>
      </w:r>
    </w:p>
    <w:p w14:paraId="6372155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在合同履行过程中发生的下列情形，属于发包人违约：</w:t>
      </w:r>
    </w:p>
    <w:p w14:paraId="0BAEDD98">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（1）因发包人原因未能在计划开工日期前7天内下达开工通知的；</w:t>
      </w:r>
    </w:p>
    <w:p w14:paraId="285E0BF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（2）因发包人原因未能按合同约定支付合同价款的；</w:t>
      </w:r>
    </w:p>
    <w:p w14:paraId="5F98AB83">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（3）发包人违反第10.1款〔变更的范围〕第（2）项约定，自行实施被取消的工作或转由他人实施的；</w:t>
      </w:r>
    </w:p>
    <w:p w14:paraId="3238CB4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（4）发包人提供的材料、工程设备的规格、数量或质量不符合合同约定，或因发包人原因导致交货日期延误或交货地点变更等情况的；</w:t>
      </w:r>
    </w:p>
    <w:p w14:paraId="5CFB2960">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（5）因发包人违反合同约定造成暂停施工的；</w:t>
      </w:r>
    </w:p>
    <w:p w14:paraId="375F9DCA">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（6）发包人无正当理由没有在约定期限内发出复工指示，导致承包人无法复工的；</w:t>
      </w:r>
    </w:p>
    <w:p w14:paraId="6B2A998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（7）发包人明确表示或者以其行为表明不履行合同主要义务的；</w:t>
      </w:r>
    </w:p>
    <w:p w14:paraId="183D17F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（8）发包人未能按照合同约定履行其他义务的。</w:t>
      </w:r>
    </w:p>
    <w:p w14:paraId="12A48D4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6CECBDA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16.1.2 发包人违约的责任</w:t>
      </w:r>
    </w:p>
    <w:p w14:paraId="6058241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发包人应承担因其违约给承包人增加的费用和（或）延误的工期，并支付承包人合理的利润。此外，合同当事人可在专用合同条款中另行约定发包人违约责任的承担方式和计算方法。</w:t>
      </w:r>
    </w:p>
    <w:p w14:paraId="66F56A6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16.1.3 因发包人违约解除合同</w:t>
      </w:r>
    </w:p>
    <w:p w14:paraId="0420D3A2">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7E5AE7C0">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16.1.4 因发包人违约解除合同后的付款</w:t>
      </w:r>
    </w:p>
    <w:p w14:paraId="3AD69C11">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承包人按照本款约定解除合同的，发包人应在解除合同后28天内支付下列款项，并解除履约担保：</w:t>
      </w:r>
    </w:p>
    <w:p w14:paraId="506C1A2B">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（1）合同解除前所完成工作的价款；</w:t>
      </w:r>
    </w:p>
    <w:p w14:paraId="26E448E1">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（2）承包人为工程施工订购并已付款的材料、工程设备和其他物品的价款；</w:t>
      </w:r>
    </w:p>
    <w:p w14:paraId="29A7719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（3）承包人撤离施工现场以及遣散承包人人员的款项；</w:t>
      </w:r>
    </w:p>
    <w:p w14:paraId="5AD185D6">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（4）按照合同约定在合同解除前应支付的违约金；</w:t>
      </w:r>
    </w:p>
    <w:p w14:paraId="083E9B32">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（5）按照合同约定应当支付给承包人的其他款项；</w:t>
      </w:r>
    </w:p>
    <w:p w14:paraId="0746708A">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（6）按照合同约定应退还的质量保证金；</w:t>
      </w:r>
    </w:p>
    <w:p w14:paraId="68D8F4E2">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（7）因解除合同给承包人造成的损失。</w:t>
      </w:r>
    </w:p>
    <w:p w14:paraId="706DAFA8">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合同当事人未能就解除合同后的结清达成一致的，按照第20条〔争议解决〕的约定处理。</w:t>
      </w:r>
    </w:p>
    <w:p w14:paraId="78ECA1AE">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承包人应妥善做好已完工程和与工程有关的已购材料、工程设备的保护和移交工作，并将施工设备和人员撤出施工现场，发包人应为承包人撤出提供必要条件。</w:t>
      </w:r>
    </w:p>
    <w:p w14:paraId="04B4219D">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16.2 承包人违约</w:t>
      </w:r>
    </w:p>
    <w:p w14:paraId="1FDD305A">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16.2.1 承包人违约的情形</w:t>
      </w:r>
    </w:p>
    <w:p w14:paraId="54630F0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在合同履行过程中发生的下列情形，属于承包人违约：</w:t>
      </w:r>
    </w:p>
    <w:p w14:paraId="5EE4BF41">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（1）承包人违反合同约定进行转包或违法分包的；</w:t>
      </w:r>
    </w:p>
    <w:p w14:paraId="3E119B1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（2）承包人违反合同约定采购和使用不合格的材料和工程设备的；</w:t>
      </w:r>
    </w:p>
    <w:p w14:paraId="6FE874D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（3）因承包人原因导致工程质量不符合合同要求的； </w:t>
      </w:r>
    </w:p>
    <w:p w14:paraId="516EC35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（4）承包人违反第8.9款〔材料与设备专用要求〕的约定，未经批准，私自将已按照合同约定进入施工现场的材料或设备撤离施工现场的；</w:t>
      </w:r>
    </w:p>
    <w:p w14:paraId="697032B1">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（5）承包人未能按施工进度计划及时完成合同约定的工作，造成工期延误的；</w:t>
      </w:r>
    </w:p>
    <w:p w14:paraId="3B8AE0D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（6）承包人在缺陷责任期及保修期内，未能在合理期限对工程缺陷进行修复，或拒绝按发包人要求进行修复的；</w:t>
      </w:r>
    </w:p>
    <w:p w14:paraId="2CD7465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（7）承包人明确表示或者以其行为表明不履行合同主要义务的；</w:t>
      </w:r>
    </w:p>
    <w:p w14:paraId="597F7AD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（8）承包人未能按照合同约定履行其他义务的。</w:t>
      </w:r>
    </w:p>
    <w:p w14:paraId="32C2FBD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承包人发生除本项第（7）目约定以外的其他违约情况时，监理人可向承包人发出整改通知，要求其在指定的期限内改正。</w:t>
      </w:r>
    </w:p>
    <w:p w14:paraId="71BB48B0">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16.2.2 承包人违约的责任</w:t>
      </w:r>
    </w:p>
    <w:p w14:paraId="70A69E9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承包人应承担因其违约行为而增加的费用和（或）延误的工期。此外，合同当事人可在专用合同条款中另行约定承包人违约责任的承担方式和计算方法。</w:t>
      </w:r>
    </w:p>
    <w:p w14:paraId="4321900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16.2.3 因承包人违约解除合同</w:t>
      </w:r>
    </w:p>
    <w:p w14:paraId="2436310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79C679B3">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16.2.4因承包人违约解除合同后的处理</w:t>
      </w:r>
    </w:p>
    <w:p w14:paraId="03356F6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因承包人原因导致合同解除的，则合同当事人应在合同解除后28天内完成估价、付款和清算，并按以下约定执行：</w:t>
      </w:r>
    </w:p>
    <w:p w14:paraId="1D3BBE1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（1）合同解除后，按第4.4款〔商定或确定〕商定或确定承包人实际完成工作对应的合同价款，以及承包人已提供的材料、工程设备、施工设备和临时工程等的价值；</w:t>
      </w:r>
    </w:p>
    <w:p w14:paraId="02E3468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（2）合同解除后，承包人应支付的违约金；</w:t>
      </w:r>
    </w:p>
    <w:p w14:paraId="25CB2962">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（3）合同解除后，因解除合同给发包人造成的损失；</w:t>
      </w:r>
    </w:p>
    <w:p w14:paraId="27B20D0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（4）合同解除后，承包人应按照发包人要求和监理人的指示完成现场的清理和撤离；</w:t>
      </w:r>
    </w:p>
    <w:p w14:paraId="7C24C905">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（5）发包人和承包人应在合同解除后进行清算，出具最终结清付款证书，结清全部款项。</w:t>
      </w:r>
    </w:p>
    <w:p w14:paraId="740E7DA8">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因承包人违约解除合同的，发包人有权暂停对承包人的付款，查清各项付款和已扣款项。发包人和承包人未能就合同解除后的清算和款项支付达成一致的，按照第20条〔争议解决〕的约定处理。</w:t>
      </w:r>
    </w:p>
    <w:p w14:paraId="2E2EBC1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16.2.5采购合同权益转让</w:t>
      </w:r>
    </w:p>
    <w:p w14:paraId="6B57B37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5B9E5293">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16.3 第三人造成的违约</w:t>
      </w:r>
    </w:p>
    <w:p w14:paraId="3D4055A8">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在履行合同过程中，一方当事人因第三人的原因造成违约的，应当向对方当事人承担违约责任。一方当事人和第三人之间的纠纷，依照法律规定或者按照约定解决。</w:t>
      </w:r>
    </w:p>
    <w:p w14:paraId="533748C0">
      <w:pPr>
        <w:wordWrap w:val="0"/>
        <w:adjustRightInd w:val="0"/>
        <w:snapToGrid w:val="0"/>
        <w:spacing w:line="500" w:lineRule="exact"/>
        <w:jc w:val="left"/>
        <w:outlineLvl w:val="2"/>
        <w:rPr>
          <w:rFonts w:cs="仿宋" w:asciiTheme="minorEastAsia" w:hAnsiTheme="minorEastAsia" w:eastAsiaTheme="minorEastAsia"/>
          <w:b/>
          <w:kern w:val="0"/>
          <w:sz w:val="24"/>
          <w:szCs w:val="24"/>
        </w:rPr>
      </w:pPr>
      <w:bookmarkStart w:id="1065" w:name="_Toc193796119"/>
      <w:bookmarkStart w:id="1066" w:name="_Toc29836"/>
      <w:bookmarkStart w:id="1067" w:name="_Toc27142"/>
      <w:bookmarkStart w:id="1068" w:name="_Toc8771"/>
      <w:bookmarkStart w:id="1069" w:name="_Toc9953"/>
      <w:r>
        <w:rPr>
          <w:rFonts w:hint="eastAsia" w:cs="仿宋" w:asciiTheme="minorEastAsia" w:hAnsiTheme="minorEastAsia" w:eastAsiaTheme="minorEastAsia"/>
          <w:b/>
          <w:kern w:val="0"/>
          <w:sz w:val="24"/>
          <w:szCs w:val="24"/>
        </w:rPr>
        <w:t>17. 不可抗力</w:t>
      </w:r>
      <w:bookmarkEnd w:id="1065"/>
      <w:bookmarkEnd w:id="1066"/>
      <w:bookmarkEnd w:id="1067"/>
      <w:bookmarkEnd w:id="1068"/>
      <w:bookmarkEnd w:id="1069"/>
      <w:r>
        <w:rPr>
          <w:rFonts w:hint="eastAsia" w:cs="仿宋" w:asciiTheme="minorEastAsia" w:hAnsiTheme="minorEastAsia" w:eastAsiaTheme="minorEastAsia"/>
          <w:b/>
          <w:kern w:val="0"/>
          <w:sz w:val="24"/>
          <w:szCs w:val="24"/>
        </w:rPr>
        <w:t xml:space="preserve"> </w:t>
      </w:r>
    </w:p>
    <w:p w14:paraId="53EAB94E">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17.1 不可抗力的确认</w:t>
      </w:r>
    </w:p>
    <w:p w14:paraId="1F8A52D1">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14:paraId="1603C048">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67966351">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17.2 不可抗力的通知</w:t>
      </w:r>
    </w:p>
    <w:p w14:paraId="7F79B52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合同一方当事人遇到不可抗力事件，使其履行合同义务受到阻碍时，应立即通知合同另一方当事人和监理人，书面说明不可抗力和受阻碍的详细情况，并提供必要的证明。</w:t>
      </w:r>
    </w:p>
    <w:p w14:paraId="7519210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14:paraId="25861FDB">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17.3 不可抗力后果的承担</w:t>
      </w:r>
    </w:p>
    <w:p w14:paraId="08C321C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17.3.1 不可抗力引起的后果及造成的损失由合同当事人按照法律规定及合同约定各自承担。不可抗力发生前已完成的工程应当按照合同约定进行计量支付。</w:t>
      </w:r>
    </w:p>
    <w:p w14:paraId="0331CC82">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17.3.2 不可抗力导致的人员伤亡、财产损失、费用增加和（或）工期延误等后果，由合同当事人按以下原则承担：</w:t>
      </w:r>
    </w:p>
    <w:p w14:paraId="22C92BA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（1）永久工程、已运至施工现场的材料和工程设备的损坏，以及因工程损坏造成的第三人人员伤亡和财产损失由发包人承担；</w:t>
      </w:r>
    </w:p>
    <w:p w14:paraId="54EEBDD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（2）承包人施工设备的损坏由承包人承担；</w:t>
      </w:r>
    </w:p>
    <w:p w14:paraId="377313C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（3）发包人和承包人承担各自人员伤亡和财产的损失；</w:t>
      </w:r>
    </w:p>
    <w:p w14:paraId="5C03E0AA">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5F28F2C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（5）因不可抗力引起或将引起工期延误，发包人要求赶工的，由此增加的赶工费用由发包人承担；</w:t>
      </w:r>
    </w:p>
    <w:p w14:paraId="5678937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（6）承包人在停工期间按照发包人要求照管、清理和修复工程的费用由发包人承担。</w:t>
      </w:r>
    </w:p>
    <w:p w14:paraId="66AB5F3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不可抗力发生后，合同当事人均应采取措施尽量避免和减少损失的扩大，任何一方当事人没有采取有效措施导致损失扩大的，应对扩大的损失承担责任。</w:t>
      </w:r>
    </w:p>
    <w:p w14:paraId="251ED1E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因合同一方迟延履行合同义务，在迟延履行期间遭遇不可抗力的，不免除其违约责任。</w:t>
      </w:r>
    </w:p>
    <w:p w14:paraId="4FC7CECB">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17.4 因不可抗力解除合同</w:t>
      </w:r>
    </w:p>
    <w:p w14:paraId="27B81530">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14:paraId="51E968CB">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（1）合同解除前承包人已完成工作的价款；</w:t>
      </w:r>
    </w:p>
    <w:p w14:paraId="2DADD643">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（2）承包人为工程订购的并已交付给承包人，或承包人有责任接受交付的材料、工程设备和其他物品的价款；</w:t>
      </w:r>
    </w:p>
    <w:p w14:paraId="23A6DB98">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（3）发包人要求承包人退货或解除订货合同而产生的费用，或因不能退货或解除合同而产生的损失；</w:t>
      </w:r>
    </w:p>
    <w:p w14:paraId="33E3FCDC">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（4）承包人撤离施工现场以及遣散承包人人员的费用；</w:t>
      </w:r>
    </w:p>
    <w:p w14:paraId="68ABC857">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（5）按照合同约定在合同解除前应支付给承包人的其他款项；</w:t>
      </w:r>
    </w:p>
    <w:p w14:paraId="3776B02F">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（6）扣减承包人按照合同约定应向发包人支付的款项；</w:t>
      </w:r>
    </w:p>
    <w:p w14:paraId="6DC182C6">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（7）双方商定或确定的其他款项。</w:t>
      </w:r>
    </w:p>
    <w:p w14:paraId="42A415F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除专用合同条款另有约定外，合同解除后，发包人应在商定或确定上述款项后28天内完成上述款项的支付。</w:t>
      </w:r>
    </w:p>
    <w:p w14:paraId="68CFD814">
      <w:pPr>
        <w:wordWrap w:val="0"/>
        <w:adjustRightInd w:val="0"/>
        <w:snapToGrid w:val="0"/>
        <w:spacing w:line="500" w:lineRule="exact"/>
        <w:jc w:val="left"/>
        <w:outlineLvl w:val="2"/>
        <w:rPr>
          <w:rFonts w:cs="仿宋" w:asciiTheme="minorEastAsia" w:hAnsiTheme="minorEastAsia" w:eastAsiaTheme="minorEastAsia"/>
          <w:b/>
          <w:kern w:val="0"/>
          <w:sz w:val="24"/>
          <w:szCs w:val="24"/>
        </w:rPr>
      </w:pPr>
      <w:bookmarkStart w:id="1070" w:name="_Toc24905"/>
      <w:bookmarkStart w:id="1071" w:name="_Toc16841"/>
      <w:bookmarkStart w:id="1072" w:name="_Toc193796120"/>
      <w:bookmarkStart w:id="1073" w:name="_Toc14389"/>
      <w:bookmarkStart w:id="1074" w:name="_Toc30978"/>
      <w:r>
        <w:rPr>
          <w:rFonts w:hint="eastAsia" w:cs="仿宋" w:asciiTheme="minorEastAsia" w:hAnsiTheme="minorEastAsia" w:eastAsiaTheme="minorEastAsia"/>
          <w:b/>
          <w:kern w:val="0"/>
          <w:sz w:val="24"/>
          <w:szCs w:val="24"/>
        </w:rPr>
        <w:t>18. 保险</w:t>
      </w:r>
      <w:bookmarkEnd w:id="1070"/>
      <w:bookmarkEnd w:id="1071"/>
      <w:bookmarkEnd w:id="1072"/>
      <w:bookmarkEnd w:id="1073"/>
      <w:bookmarkEnd w:id="1074"/>
    </w:p>
    <w:p w14:paraId="3AF542FA">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18.1 工程保险</w:t>
      </w:r>
    </w:p>
    <w:p w14:paraId="20105AA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除专用合同条款另有约定外，发包人应投保建筑工程一切险或安装工程一切险；发包人委托承包人投保的，因投保产生的保险费和其他相关费用由发包人承担。</w:t>
      </w:r>
    </w:p>
    <w:p w14:paraId="689E37AC">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18.2 工伤保险</w:t>
      </w:r>
    </w:p>
    <w:p w14:paraId="1B0E0C7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18.2.1 发包人应依照法律规定参加工伤保险，并为在施工现场的全部员工办理工伤保险，缴纳工伤保险费，并要求监理人及由发包人为履行合同聘请的第三方依法参加工伤保险。</w:t>
      </w:r>
    </w:p>
    <w:p w14:paraId="73F55600">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18.2.2 承包人应依照法律规定参加工伤保险，并为其履行合同的全部员工办理工伤保险，缴纳工伤保险费，并要求分包人及由承包人为履行合同聘请的第三方依法参加工伤保险。</w:t>
      </w:r>
    </w:p>
    <w:p w14:paraId="3591109E">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18.3其他保险</w:t>
      </w:r>
    </w:p>
    <w:p w14:paraId="0110394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发包人和承包人可以为其施工现场的全部人员办理意外伤害保险并支付保险费，包括其员工及为履行合同聘请的第三方的人员，具体事项由合同当事人在专用合同条款约定。</w:t>
      </w:r>
    </w:p>
    <w:p w14:paraId="518BC2F4">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除专用合同条款另有约定外，承包人应为其施工设备等办理财产保险。</w:t>
      </w:r>
    </w:p>
    <w:p w14:paraId="20CDE4C7">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18.4持续保险</w:t>
      </w:r>
    </w:p>
    <w:p w14:paraId="7E52F864">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合同当事人应与保险人保持联系，使保险人能够随时了解工程实施中的变动，并确保按保险合同条款要求持续保险。</w:t>
      </w:r>
    </w:p>
    <w:p w14:paraId="1039AC2E">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18.5 保险凭证</w:t>
      </w:r>
    </w:p>
    <w:p w14:paraId="5668F4F8">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合同当事人应及时向另一方当事人提交其已投保的各项保险的凭证和保险单复印件或扫描件。</w:t>
      </w:r>
    </w:p>
    <w:p w14:paraId="13971542">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18.6 未按约定投保的补救</w:t>
      </w:r>
    </w:p>
    <w:p w14:paraId="156C383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18.6.1发包人未按合同约定办理保险，或未能使保险持续有效的，则承包人可代为办理，所需费用由发包人承担。发包人未按合同约定办理保险，导致未能得到足额赔偿的，由发包人负责补足。</w:t>
      </w:r>
    </w:p>
    <w:p w14:paraId="37C38BCD">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18.6.2承包人未按合同约定办理保险，或未能使保险持续有效的，则发包人可代为办理，所需费用由承包人承担。承包人未按合同约定办理保险，导致未能得到足额赔偿的，由承包人负责补足。</w:t>
      </w:r>
    </w:p>
    <w:p w14:paraId="35FA53AE">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18.7 通知义务</w:t>
      </w:r>
    </w:p>
    <w:p w14:paraId="3BD900C0">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14:paraId="39CBC928">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保险事故发生时，投保人应按照保险合同规定的条件和期限及时向保险人报告。发包人和承包人应当在知道保险事故发生后及时通知对方。</w:t>
      </w:r>
    </w:p>
    <w:p w14:paraId="37255759">
      <w:pPr>
        <w:wordWrap w:val="0"/>
        <w:adjustRightInd w:val="0"/>
        <w:snapToGrid w:val="0"/>
        <w:spacing w:line="500" w:lineRule="exact"/>
        <w:jc w:val="left"/>
        <w:outlineLvl w:val="2"/>
        <w:rPr>
          <w:rFonts w:cs="仿宋" w:asciiTheme="minorEastAsia" w:hAnsiTheme="minorEastAsia" w:eastAsiaTheme="minorEastAsia"/>
          <w:b/>
          <w:kern w:val="0"/>
          <w:sz w:val="24"/>
          <w:szCs w:val="24"/>
        </w:rPr>
      </w:pPr>
      <w:bookmarkStart w:id="1075" w:name="_Toc193796121"/>
      <w:bookmarkStart w:id="1076" w:name="_Toc16150"/>
      <w:bookmarkStart w:id="1077" w:name="_Toc32456"/>
      <w:bookmarkStart w:id="1078" w:name="_Toc2004"/>
      <w:bookmarkStart w:id="1079" w:name="_Toc29537"/>
      <w:r>
        <w:rPr>
          <w:rFonts w:hint="eastAsia" w:cs="仿宋" w:asciiTheme="minorEastAsia" w:hAnsiTheme="minorEastAsia" w:eastAsiaTheme="minorEastAsia"/>
          <w:b/>
          <w:kern w:val="0"/>
          <w:sz w:val="24"/>
          <w:szCs w:val="24"/>
        </w:rPr>
        <w:t>19. 索赔</w:t>
      </w:r>
      <w:bookmarkEnd w:id="1075"/>
      <w:bookmarkEnd w:id="1076"/>
      <w:bookmarkEnd w:id="1077"/>
      <w:bookmarkEnd w:id="1078"/>
      <w:bookmarkEnd w:id="1079"/>
    </w:p>
    <w:p w14:paraId="2107640E">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19.1承包人的索赔</w:t>
      </w:r>
    </w:p>
    <w:p w14:paraId="144F617A">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根据合同约定，承包人认为有权得到追加付款和（或）延长工期的，应按以下程序向发包人提出索赔：</w:t>
      </w:r>
    </w:p>
    <w:p w14:paraId="03BFD180">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1D06270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（2）承包人应在发出索赔意向通知书后28天内，向监理人正式递交索赔报告；索赔报告应详细说明索赔理由以及要求追加的付款金额和（或）延长的工期，并附必要的记录和证明材料；</w:t>
      </w:r>
    </w:p>
    <w:p w14:paraId="551CCF2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（3）索赔事件具有持续影响的，承包人应按合理时间间隔继续递交延续索赔通知，说明持续影响的实际情况和记录，列出累计的追加付款金额和（或）工期延长天数；</w:t>
      </w:r>
    </w:p>
    <w:p w14:paraId="5C0DFA8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（4）在索赔事件影响结束后28天内，承包人应向监理人递交最终索赔报告，说明最终要求索赔的追加付款金额和（或）延长的工期，并附必要的记录和证明材料。</w:t>
      </w:r>
    </w:p>
    <w:p w14:paraId="6FB365E0">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19.2 对承包人索赔的处理</w:t>
      </w:r>
    </w:p>
    <w:p w14:paraId="47188F01">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对承包人索赔的处理如下：</w:t>
      </w:r>
    </w:p>
    <w:p w14:paraId="06D16B62">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（1）监理人应在收到索赔报告后14天内完成审查并报送发包人。监理人对索赔报告存在异议的，有权要求承包人提交全部原始记录副本；</w:t>
      </w:r>
    </w:p>
    <w:p w14:paraId="21B674C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（2）发包人应在监理人收到索赔报告或有关索赔的进一步证明材料后的28天内，由监理人向承包人出具经发包人签认的索赔处理结果。发包人逾期答复的，则视为认可承包人的索赔要求；</w:t>
      </w:r>
    </w:p>
    <w:p w14:paraId="4EA9DD4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（3）承包人接受索赔处理结果的，索赔款项在当期进度款中进行支付；承包人不接受索赔处理结果的，按照第20条〔争议解决〕约定处理。</w:t>
      </w:r>
    </w:p>
    <w:p w14:paraId="01842B40">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19.3发包人的索赔</w:t>
      </w:r>
    </w:p>
    <w:p w14:paraId="3D4AE4A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根据合同约定，发包人认为有权得到赔付金额和（或）延长缺陷责任期的，监理人应向承包人发出通知并附有详细的证明。</w:t>
      </w:r>
    </w:p>
    <w:p w14:paraId="1049EE21">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56CC9807">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19.4 对发包人索赔的处理</w:t>
      </w:r>
    </w:p>
    <w:p w14:paraId="1B36770E">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对发包人索赔的处理如下：</w:t>
      </w:r>
    </w:p>
    <w:p w14:paraId="09F78B5F">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（1）承包人收到发包人提交的索赔报告后，应及时审查索赔报告的内容、查验发包人证明材料；</w:t>
      </w:r>
    </w:p>
    <w:p w14:paraId="4B8E1AE3">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（2）承包人应在收到索赔报告或有关索赔的进一步证明材料后28天内，将索赔处理结果答复发包人。如果承包人未在上述期限内作出答复的，则视为对发包人索赔要求的认可；</w:t>
      </w:r>
    </w:p>
    <w:p w14:paraId="382B8F4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（3）承包人接受索赔处理结果的，发包人可从应支付给承包人的合同价款中扣除赔付的金额或延长缺陷责任期；发包人不接受索赔处理结果的，按第20条〔争议解决〕约定处理。</w:t>
      </w:r>
    </w:p>
    <w:p w14:paraId="49178078">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19.5 提出索赔的期限</w:t>
      </w:r>
    </w:p>
    <w:p w14:paraId="6FFB1497">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（1）承包人按第14.2款〔竣工结算审核〕约定接收竣工付款证书后，应被视为已无权再提出在工程接收证书颁发前所发生的任何索赔。</w:t>
      </w:r>
    </w:p>
    <w:p w14:paraId="136B27C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（2）承包人按第14.4款〔最终结清〕提交的最终结清申请单中，只限于提出工程接收证书颁发后发生的索赔。提出索赔的期限自接受最终结清证书时终止。</w:t>
      </w:r>
    </w:p>
    <w:p w14:paraId="532BE966">
      <w:pPr>
        <w:wordWrap w:val="0"/>
        <w:adjustRightInd w:val="0"/>
        <w:snapToGrid w:val="0"/>
        <w:spacing w:line="500" w:lineRule="exact"/>
        <w:jc w:val="left"/>
        <w:outlineLvl w:val="2"/>
        <w:rPr>
          <w:rFonts w:cs="仿宋" w:asciiTheme="minorEastAsia" w:hAnsiTheme="minorEastAsia" w:eastAsiaTheme="minorEastAsia"/>
          <w:b/>
          <w:kern w:val="0"/>
          <w:sz w:val="24"/>
          <w:szCs w:val="24"/>
        </w:rPr>
      </w:pPr>
      <w:bookmarkStart w:id="1080" w:name="_Toc5405"/>
      <w:bookmarkStart w:id="1081" w:name="_Toc193796122"/>
      <w:bookmarkStart w:id="1082" w:name="_Toc19035"/>
      <w:bookmarkStart w:id="1083" w:name="_Toc17138"/>
      <w:bookmarkStart w:id="1084" w:name="_Toc8512"/>
      <w:r>
        <w:rPr>
          <w:rFonts w:hint="eastAsia" w:cs="仿宋" w:asciiTheme="minorEastAsia" w:hAnsiTheme="minorEastAsia" w:eastAsiaTheme="minorEastAsia"/>
          <w:b/>
          <w:kern w:val="0"/>
          <w:sz w:val="24"/>
          <w:szCs w:val="24"/>
        </w:rPr>
        <w:t>20. 争议解决</w:t>
      </w:r>
      <w:bookmarkEnd w:id="1080"/>
      <w:bookmarkEnd w:id="1081"/>
      <w:bookmarkEnd w:id="1082"/>
      <w:bookmarkEnd w:id="1083"/>
      <w:bookmarkEnd w:id="1084"/>
    </w:p>
    <w:p w14:paraId="0497407C">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20.1和解</w:t>
      </w:r>
    </w:p>
    <w:p w14:paraId="53467AB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合同当事人可以就争议自行和解，自行和解达成协议的经双方签字并盖章后作为合同补充文件，双方均应遵照执行。</w:t>
      </w:r>
    </w:p>
    <w:p w14:paraId="212E0D8F">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20.2调解</w:t>
      </w:r>
    </w:p>
    <w:p w14:paraId="44724389">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合同当事人可以就争议请求建设行政主管部门、行业协会或其他第三方进行调解，调解达成协议的，经双方签字并盖章后作为合同补充文件，双方均应遵照执行。</w:t>
      </w:r>
    </w:p>
    <w:p w14:paraId="3C18AE59">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20.3争议评审</w:t>
      </w:r>
    </w:p>
    <w:p w14:paraId="65F6B534">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合同当事人在专用合同条款中约定采取争议评审方式解决争议以及评审规则，并按下列约定执行： </w:t>
      </w:r>
    </w:p>
    <w:p w14:paraId="16C3EF4E">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20.3.1 争议评审小组的确定</w:t>
      </w:r>
    </w:p>
    <w:p w14:paraId="2A4BC170">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合同当事人可以共同选择一名或三名争议评审员，组成争议评审小组。除专用合同条款另有约定外，合同当事人应当自合同签订后28天内，或者争议发生后14天内，选定争议评审员。</w:t>
      </w:r>
    </w:p>
    <w:p w14:paraId="5346CC6D">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0A41BBD1">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除专用合同条款另有约定外，评审员报酬由发包人和承包人各承担一半。</w:t>
      </w:r>
    </w:p>
    <w:p w14:paraId="5F7FCA85">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20.3.2 争议评审小组的决定</w:t>
      </w:r>
    </w:p>
    <w:p w14:paraId="4103116E">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7C91F6B">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20.3.3 争议评审小组决定的效力</w:t>
      </w:r>
    </w:p>
    <w:p w14:paraId="06D488B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争议评审小组作出的书面决定经合同当事人签字确认后，对双方具有约束力，双方应遵照执行。</w:t>
      </w:r>
    </w:p>
    <w:p w14:paraId="7E2D55DA">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任何一方当事人不接受争议评审小组决定或不履行争议评审小组决定的，双方可选择采用其他争议解决方式。</w:t>
      </w:r>
    </w:p>
    <w:p w14:paraId="3E244FD0">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20.4仲裁或诉讼</w:t>
      </w:r>
    </w:p>
    <w:p w14:paraId="00FE638C">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因合同及合同有关事项产生的争议，合同当事人可以在专用合同条款中约定以下一种方式解决争议：</w:t>
      </w:r>
    </w:p>
    <w:p w14:paraId="0F90A84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（1）向约定的仲裁委员会申请仲裁；</w:t>
      </w:r>
    </w:p>
    <w:p w14:paraId="65081AB6">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（2）向有管辖权的人民法院起诉。</w:t>
      </w:r>
    </w:p>
    <w:p w14:paraId="7541CE95">
      <w:pPr>
        <w:wordWrap w:val="0"/>
        <w:spacing w:before="120" w:after="120" w:line="500" w:lineRule="exact"/>
        <w:ind w:firstLine="480" w:firstLineChars="200"/>
        <w:outlineLvl w:val="4"/>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20.5争议解决条款效力</w:t>
      </w:r>
    </w:p>
    <w:p w14:paraId="3D7AC09C">
      <w:pPr>
        <w:wordWrap w:val="0"/>
        <w:autoSpaceDE w:val="0"/>
        <w:autoSpaceDN w:val="0"/>
        <w:adjustRightInd w:val="0"/>
        <w:spacing w:line="500" w:lineRule="exact"/>
        <w:ind w:firstLine="480" w:firstLineChars="200"/>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kern w:val="0"/>
          <w:sz w:val="24"/>
          <w:szCs w:val="24"/>
        </w:rPr>
        <w:t>合同有关争议解决的条款独立存在，合同的变更、解除、终止、无效或者被撤销均不影响其效力。</w:t>
      </w:r>
    </w:p>
    <w:p w14:paraId="2C1EA2BF">
      <w:pPr>
        <w:wordWrap w:val="0"/>
        <w:spacing w:line="500" w:lineRule="exact"/>
        <w:ind w:firstLine="482" w:firstLineChars="200"/>
        <w:jc w:val="center"/>
        <w:outlineLvl w:val="3"/>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br w:type="page"/>
      </w:r>
      <w:r>
        <w:rPr>
          <w:rFonts w:hint="eastAsia" w:cs="仿宋" w:asciiTheme="minorEastAsia" w:hAnsiTheme="minorEastAsia" w:eastAsiaTheme="minorEastAsia"/>
          <w:b/>
          <w:kern w:val="0"/>
          <w:sz w:val="24"/>
          <w:szCs w:val="24"/>
        </w:rPr>
        <w:t>第三部分 专用合同条款</w:t>
      </w:r>
    </w:p>
    <w:p w14:paraId="7439B932">
      <w:pPr>
        <w:wordWrap w:val="0"/>
        <w:spacing w:line="500" w:lineRule="exact"/>
        <w:ind w:firstLine="480" w:firstLineChars="200"/>
        <w:rPr>
          <w:rFonts w:cs="仿宋" w:asciiTheme="minorEastAsia" w:hAnsiTheme="minorEastAsia" w:eastAsiaTheme="minorEastAsia"/>
          <w:kern w:val="0"/>
          <w:sz w:val="24"/>
          <w:szCs w:val="24"/>
        </w:rPr>
      </w:pPr>
      <w:bookmarkStart w:id="1085" w:name="_Toc351203652_0"/>
    </w:p>
    <w:p w14:paraId="67015C3F">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本合同专用合同条款与本合同通用合同条款不一致或相抵触的，按本合同专用合同条款执行。本工程专用合同条款编号与通用合同条款编号是一致的，如果两者的规定发生抵触，以专用合同条款的规定为准。专用合同条款中未做明确规定的条款执行通用合同条款。</w:t>
      </w:r>
    </w:p>
    <w:p w14:paraId="5DBBEEA8">
      <w:pPr>
        <w:wordWrap w:val="0"/>
        <w:spacing w:line="500" w:lineRule="exact"/>
        <w:ind w:firstLine="480" w:firstLineChars="200"/>
        <w:rPr>
          <w:rFonts w:cs="仿宋" w:asciiTheme="minorEastAsia" w:hAnsiTheme="minorEastAsia" w:eastAsiaTheme="minorEastAsia"/>
          <w:kern w:val="0"/>
          <w:sz w:val="24"/>
          <w:szCs w:val="24"/>
        </w:rPr>
      </w:pPr>
    </w:p>
    <w:p w14:paraId="4ED1CEE1">
      <w:pPr>
        <w:wordWrap w:val="0"/>
        <w:spacing w:line="500" w:lineRule="exact"/>
        <w:ind w:firstLine="480" w:firstLineChars="200"/>
        <w:outlineLvl w:val="3"/>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w:t>
      </w:r>
      <w:bookmarkStart w:id="1086" w:name="_Toc296347155"/>
      <w:bookmarkStart w:id="1087" w:name="_Toc296890984"/>
      <w:bookmarkStart w:id="1088" w:name="_Toc292559361"/>
      <w:bookmarkStart w:id="1089" w:name="_Toc296944495"/>
      <w:bookmarkStart w:id="1090" w:name="_Toc296503156"/>
      <w:bookmarkStart w:id="1091" w:name="_Toc297048342"/>
      <w:bookmarkStart w:id="1092" w:name="_Toc297120456"/>
      <w:bookmarkStart w:id="1093" w:name="_Toc296346657"/>
      <w:bookmarkStart w:id="1094" w:name="_Toc292559866"/>
      <w:bookmarkStart w:id="1095" w:name="_Toc296891196"/>
      <w:r>
        <w:rPr>
          <w:rFonts w:hint="eastAsia" w:cs="仿宋" w:asciiTheme="minorEastAsia" w:hAnsiTheme="minorEastAsia" w:eastAsiaTheme="minorEastAsia"/>
          <w:kern w:val="0"/>
          <w:sz w:val="24"/>
          <w:szCs w:val="24"/>
        </w:rPr>
        <w:t>.一般约定</w:t>
      </w:r>
    </w:p>
    <w:bookmarkEnd w:id="1086"/>
    <w:bookmarkEnd w:id="1087"/>
    <w:bookmarkEnd w:id="1088"/>
    <w:bookmarkEnd w:id="1089"/>
    <w:bookmarkEnd w:id="1090"/>
    <w:bookmarkEnd w:id="1091"/>
    <w:bookmarkEnd w:id="1092"/>
    <w:bookmarkEnd w:id="1093"/>
    <w:bookmarkEnd w:id="1094"/>
    <w:bookmarkEnd w:id="1095"/>
    <w:p w14:paraId="64631F7A">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1.1词语定义</w:t>
      </w:r>
    </w:p>
    <w:p w14:paraId="584DD0AB">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1.1.1合同</w:t>
      </w:r>
    </w:p>
    <w:p w14:paraId="2C229F62">
      <w:pPr>
        <w:wordWrap w:val="0"/>
        <w:spacing w:line="500" w:lineRule="exact"/>
        <w:ind w:firstLine="480" w:firstLineChars="200"/>
        <w:rPr>
          <w:rFonts w:cs="仿宋" w:asciiTheme="minorEastAsia" w:hAnsiTheme="minorEastAsia" w:eastAsiaTheme="minorEastAsia"/>
          <w:b/>
          <w:kern w:val="0"/>
          <w:sz w:val="24"/>
          <w:szCs w:val="24"/>
        </w:rPr>
      </w:pPr>
      <w:r>
        <w:rPr>
          <w:rFonts w:hint="eastAsia" w:cs="仿宋" w:asciiTheme="minorEastAsia" w:hAnsiTheme="minorEastAsia" w:eastAsiaTheme="minorEastAsia"/>
          <w:kern w:val="0"/>
          <w:sz w:val="24"/>
          <w:szCs w:val="24"/>
        </w:rPr>
        <w:t>1.1.1.10其他合同文件包括：</w:t>
      </w:r>
      <w:r>
        <w:rPr>
          <w:rFonts w:hint="eastAsia" w:cs="仿宋" w:asciiTheme="minorEastAsia" w:hAnsiTheme="minorEastAsia" w:eastAsiaTheme="minorEastAsia"/>
          <w:b/>
          <w:kern w:val="0"/>
          <w:sz w:val="24"/>
          <w:szCs w:val="24"/>
          <w:u w:val="single"/>
        </w:rPr>
        <w:t>履行合同过程中双方确认的对合同有影响的会议纪要、签证、及设计变更等相关资料。</w:t>
      </w:r>
    </w:p>
    <w:p w14:paraId="0E483B6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1.1.2 合同当事人及其他相关方</w:t>
      </w:r>
    </w:p>
    <w:p w14:paraId="34C451A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1.1.2.4监理人：</w:t>
      </w:r>
    </w:p>
    <w:p w14:paraId="2A3C9E46">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名    称：</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2C73CAC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资质类别和等级：</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7AE723AB">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联系电话：</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6ECF6605">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电子信箱：</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0D5607F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通信地址：</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1566236B">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1.1.2.5设计人：</w:t>
      </w:r>
    </w:p>
    <w:p w14:paraId="6037F07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名    称：</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716CFD97">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资质类别和等级：</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7E17A5D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联系电话：</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2AD68C8F">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电子信箱：</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7660FAD7">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通信地址：</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rPr>
        <w:t>。</w:t>
      </w:r>
    </w:p>
    <w:p w14:paraId="484250B6">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1.1.2.10造价咨询人：</w:t>
      </w:r>
    </w:p>
    <w:p w14:paraId="7584E2A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名    称：</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2AEEACC6">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资质类别和等级：</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0D7A80AE">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联系电话：</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5D4B8B1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电子信箱：</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6C4C030B">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通信地址：</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rPr>
        <w:t>。</w:t>
      </w:r>
    </w:p>
    <w:p w14:paraId="1CF2D949">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1.1.3工程和设备</w:t>
      </w:r>
    </w:p>
    <w:p w14:paraId="2BC0811C">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1.1.3.7作为施工现场组成部分的其他场所包括：</w:t>
      </w:r>
      <w:r>
        <w:rPr>
          <w:rFonts w:hint="eastAsia" w:cs="仿宋" w:asciiTheme="minorEastAsia" w:hAnsiTheme="minorEastAsia" w:eastAsiaTheme="minorEastAsia"/>
          <w:b/>
          <w:kern w:val="0"/>
          <w:sz w:val="24"/>
          <w:szCs w:val="24"/>
          <w:u w:val="single"/>
        </w:rPr>
        <w:t>现场临时办公及施工场地</w:t>
      </w:r>
      <w:r>
        <w:rPr>
          <w:rFonts w:hint="eastAsia" w:cs="仿宋" w:asciiTheme="minorEastAsia" w:hAnsiTheme="minorEastAsia" w:eastAsiaTheme="minorEastAsia"/>
          <w:kern w:val="0"/>
          <w:sz w:val="24"/>
          <w:szCs w:val="24"/>
        </w:rPr>
        <w:t>。</w:t>
      </w:r>
    </w:p>
    <w:p w14:paraId="50CB176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1.1.3.9永久占地包括：</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按照设计图纸确定</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4A0CBA0F">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1.1.3.10临时占地包括：</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合同履行中确定 </w:t>
      </w:r>
      <w:r>
        <w:rPr>
          <w:rFonts w:hint="eastAsia" w:cs="仿宋" w:asciiTheme="minorEastAsia" w:hAnsiTheme="minorEastAsia" w:eastAsiaTheme="minorEastAsia"/>
          <w:kern w:val="0"/>
          <w:sz w:val="24"/>
          <w:szCs w:val="24"/>
        </w:rPr>
        <w:t>。</w:t>
      </w:r>
    </w:p>
    <w:p w14:paraId="5A585E2B">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1.3法律 </w:t>
      </w:r>
    </w:p>
    <w:p w14:paraId="57F85D95">
      <w:pPr>
        <w:wordWrap w:val="0"/>
        <w:autoSpaceDE w:val="0"/>
        <w:autoSpaceDN w:val="0"/>
        <w:adjustRightInd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适用于合同的其他规范性文件：</w:t>
      </w:r>
      <w:r>
        <w:rPr>
          <w:rFonts w:hint="eastAsia" w:cs="仿宋" w:asciiTheme="minorEastAsia" w:hAnsiTheme="minorEastAsia" w:eastAsiaTheme="minorEastAsia"/>
          <w:b/>
          <w:kern w:val="0"/>
          <w:sz w:val="24"/>
          <w:szCs w:val="24"/>
          <w:u w:val="single" w:color="000000"/>
        </w:rPr>
        <w:t>《中华人民共和国民法典》《中华人民共和国建筑法》《中华人民共和国政府采购法》《中华人民共和国安全生产法》《建设工程质量管理条例》，以及其他有关法律、法规。</w:t>
      </w:r>
    </w:p>
    <w:p w14:paraId="7B6FCC83">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1.4 标准和规范</w:t>
      </w:r>
    </w:p>
    <w:p w14:paraId="6E93ED8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1.4.1适用于工程的标准规范包括：</w:t>
      </w:r>
      <w:r>
        <w:rPr>
          <w:rFonts w:hint="eastAsia" w:cs="仿宋" w:asciiTheme="minorEastAsia" w:hAnsiTheme="minorEastAsia" w:eastAsiaTheme="minorEastAsia"/>
          <w:b/>
          <w:kern w:val="0"/>
          <w:sz w:val="24"/>
          <w:szCs w:val="24"/>
          <w:u w:val="single" w:color="000000"/>
        </w:rPr>
        <w:t>国家和地方现行的有关标准、规范、详细施工图</w:t>
      </w:r>
      <w:r>
        <w:rPr>
          <w:rFonts w:hint="eastAsia" w:cs="仿宋" w:asciiTheme="minorEastAsia" w:hAnsiTheme="minorEastAsia" w:eastAsiaTheme="minorEastAsia"/>
          <w:kern w:val="0"/>
          <w:sz w:val="24"/>
          <w:szCs w:val="24"/>
          <w:u w:val="single" w:color="000000"/>
        </w:rPr>
        <w:t>。</w:t>
      </w:r>
    </w:p>
    <w:p w14:paraId="4DDADA77">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1.4.2 发包人提供国外标准、规范的名称：</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无</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6541628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发包人提供国外标准、规范的份数：</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无</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6EC75B8F">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发包人提供国外标准、规范的名称：</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无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06D0EDE2">
      <w:pPr>
        <w:wordWrap w:val="0"/>
        <w:spacing w:line="500" w:lineRule="exact"/>
        <w:ind w:firstLine="480" w:firstLineChars="200"/>
        <w:rPr>
          <w:rFonts w:cs="仿宋" w:asciiTheme="minorEastAsia" w:hAnsiTheme="minorEastAsia" w:eastAsiaTheme="minorEastAsia"/>
          <w:b/>
          <w:kern w:val="0"/>
          <w:sz w:val="24"/>
          <w:szCs w:val="24"/>
          <w:u w:val="single"/>
        </w:rPr>
      </w:pPr>
      <w:r>
        <w:rPr>
          <w:rFonts w:hint="eastAsia" w:cs="仿宋" w:asciiTheme="minorEastAsia" w:hAnsiTheme="minorEastAsia" w:eastAsiaTheme="minorEastAsia"/>
          <w:kern w:val="0"/>
          <w:sz w:val="24"/>
          <w:szCs w:val="24"/>
        </w:rPr>
        <w:t>1.4.3发包人对工程的技术标准和功能要求的特殊要求：</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无  </w:t>
      </w:r>
      <w:r>
        <w:rPr>
          <w:rFonts w:hint="eastAsia" w:cs="仿宋" w:asciiTheme="minorEastAsia" w:hAnsiTheme="minorEastAsia" w:eastAsiaTheme="minorEastAsia"/>
          <w:b/>
          <w:kern w:val="0"/>
          <w:sz w:val="24"/>
          <w:szCs w:val="24"/>
        </w:rPr>
        <w:t>。</w:t>
      </w:r>
    </w:p>
    <w:p w14:paraId="5CE0E6AE">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1.5 合同文件的优先顺序</w:t>
      </w:r>
    </w:p>
    <w:p w14:paraId="7922216E">
      <w:pPr>
        <w:wordWrap w:val="0"/>
        <w:autoSpaceDE w:val="0"/>
        <w:autoSpaceDN w:val="0"/>
        <w:adjustRightInd w:val="0"/>
        <w:spacing w:line="500" w:lineRule="exact"/>
        <w:ind w:firstLine="480" w:firstLineChars="200"/>
        <w:rPr>
          <w:rFonts w:cs="仿宋" w:asciiTheme="minorEastAsia" w:hAnsiTheme="minorEastAsia" w:eastAsiaTheme="minorEastAsia"/>
          <w:b/>
          <w:kern w:val="0"/>
          <w:sz w:val="24"/>
          <w:szCs w:val="24"/>
          <w:u w:val="single"/>
        </w:rPr>
      </w:pPr>
      <w:r>
        <w:rPr>
          <w:rFonts w:hint="eastAsia" w:cs="仿宋" w:asciiTheme="minorEastAsia" w:hAnsiTheme="minorEastAsia" w:eastAsiaTheme="minorEastAsia"/>
          <w:kern w:val="0"/>
          <w:sz w:val="24"/>
          <w:szCs w:val="24"/>
        </w:rPr>
        <w:t>合同文件组成及优先顺序为：</w:t>
      </w:r>
      <w:r>
        <w:rPr>
          <w:rFonts w:hint="eastAsia" w:cs="仿宋" w:asciiTheme="minorEastAsia" w:hAnsiTheme="minorEastAsia" w:eastAsiaTheme="minorEastAsia"/>
          <w:b/>
          <w:bCs/>
          <w:kern w:val="0"/>
          <w:sz w:val="24"/>
          <w:szCs w:val="24"/>
          <w:u w:val="single"/>
        </w:rPr>
        <w:t>（1）项目实施期间签订的补充合同、补充协议、会议纪要；（2）合同协议书；（3）成交通知书；（4）磋商函；（5）专用合同条款及其附件；（6）通用合同条款；（7）技术标准和要求；（8）图纸；（9）已标价工程量清单；（10）其他合同文件。</w:t>
      </w:r>
    </w:p>
    <w:p w14:paraId="53BAD76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 图纸和承包人文件</w:t>
      </w:r>
      <w:r>
        <w:rPr>
          <w:rFonts w:hint="eastAsia" w:cs="仿宋" w:asciiTheme="minorEastAsia" w:hAnsiTheme="minorEastAsia" w:eastAsiaTheme="minorEastAsia"/>
          <w:kern w:val="0"/>
          <w:sz w:val="24"/>
          <w:szCs w:val="24"/>
        </w:rPr>
        <w:tab/>
      </w:r>
    </w:p>
    <w:p w14:paraId="1A86AA4A">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1.6.1 图纸的提供</w:t>
      </w:r>
    </w:p>
    <w:p w14:paraId="3BDC1527">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发包人向承包人提供图纸的期限：</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按发包人要求</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13ED5C8F">
      <w:pPr>
        <w:wordWrap w:val="0"/>
        <w:autoSpaceDE w:val="0"/>
        <w:autoSpaceDN w:val="0"/>
        <w:adjustRightInd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发包人向承包人提供图纸的数量：</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提供施工图4套</w:t>
      </w:r>
      <w:r>
        <w:rPr>
          <w:rFonts w:hint="eastAsia" w:cs="仿宋" w:asciiTheme="minorEastAsia" w:hAnsiTheme="minorEastAsia" w:eastAsiaTheme="minorEastAsia"/>
          <w:kern w:val="0"/>
          <w:sz w:val="24"/>
          <w:szCs w:val="24"/>
          <w:u w:val="single"/>
        </w:rPr>
        <w:t>；</w:t>
      </w:r>
    </w:p>
    <w:p w14:paraId="3753432E">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发包人向承包人提供图纸的内容：</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全部施工图纸</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5B4093E3">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1.6.4 承包人文件</w:t>
      </w:r>
    </w:p>
    <w:p w14:paraId="7A72BDB5">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需要由承包人提供的文件，包括：</w:t>
      </w:r>
      <w:r>
        <w:rPr>
          <w:rFonts w:hint="eastAsia" w:cs="仿宋" w:asciiTheme="minorEastAsia" w:hAnsiTheme="minorEastAsia" w:eastAsiaTheme="minorEastAsia"/>
          <w:b/>
          <w:kern w:val="0"/>
          <w:sz w:val="24"/>
          <w:szCs w:val="24"/>
          <w:u w:val="single"/>
        </w:rPr>
        <w:t>实施性施工组织设计及方案</w:t>
      </w:r>
      <w:r>
        <w:rPr>
          <w:rFonts w:hint="eastAsia" w:cs="仿宋" w:asciiTheme="minorEastAsia" w:hAnsiTheme="minorEastAsia" w:eastAsiaTheme="minorEastAsia"/>
          <w:kern w:val="0"/>
          <w:sz w:val="24"/>
          <w:szCs w:val="24"/>
        </w:rPr>
        <w:t>；</w:t>
      </w:r>
    </w:p>
    <w:p w14:paraId="54C44121">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承包人提供的文件的期限为：</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开工前</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61B1C9C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承包人提供的文件的数量为：</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肆份</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20063AD0">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承包人提供的文件的形式为：</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书面文件</w:t>
      </w:r>
      <w:r>
        <w:rPr>
          <w:rFonts w:hint="eastAsia" w:cs="仿宋" w:asciiTheme="minorEastAsia" w:hAnsiTheme="minorEastAsia" w:eastAsiaTheme="minorEastAsia"/>
          <w:kern w:val="0"/>
          <w:sz w:val="24"/>
          <w:szCs w:val="24"/>
        </w:rPr>
        <w:t>；</w:t>
      </w:r>
    </w:p>
    <w:p w14:paraId="4556A9EA">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发包人审批承包人文件的期限：</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收到文件后7天内审查完毕</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6C4AFEB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1.6.5现场图纸准备</w:t>
      </w:r>
    </w:p>
    <w:p w14:paraId="75F05071">
      <w:pPr>
        <w:wordWrap w:val="0"/>
        <w:spacing w:line="500" w:lineRule="exact"/>
        <w:ind w:firstLine="480" w:firstLineChars="200"/>
        <w:rPr>
          <w:rFonts w:cs="仿宋" w:asciiTheme="minorEastAsia" w:hAnsiTheme="minorEastAsia" w:eastAsiaTheme="minorEastAsia"/>
          <w:b/>
          <w:kern w:val="0"/>
          <w:sz w:val="24"/>
          <w:szCs w:val="24"/>
          <w:u w:val="single"/>
        </w:rPr>
      </w:pPr>
      <w:r>
        <w:rPr>
          <w:rFonts w:hint="eastAsia" w:cs="仿宋" w:asciiTheme="minorEastAsia" w:hAnsiTheme="minorEastAsia" w:eastAsiaTheme="minorEastAsia"/>
          <w:kern w:val="0"/>
          <w:sz w:val="24"/>
          <w:szCs w:val="24"/>
        </w:rPr>
        <w:t>关于现场图纸准备的约定：</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承包人应在施工现场另外保存一套完整的图纸和承包人文件，供发包人、监理人及有关人员进行工程检查时使用</w:t>
      </w:r>
      <w:r>
        <w:rPr>
          <w:rFonts w:hint="eastAsia" w:cs="仿宋" w:asciiTheme="minorEastAsia" w:hAnsiTheme="minorEastAsia" w:eastAsiaTheme="minorEastAsia"/>
          <w:bCs/>
          <w:kern w:val="0"/>
          <w:sz w:val="24"/>
          <w:szCs w:val="24"/>
        </w:rPr>
        <w:t>。</w:t>
      </w:r>
    </w:p>
    <w:p w14:paraId="2767F88E">
      <w:pPr>
        <w:wordWrap w:val="0"/>
        <w:spacing w:line="500" w:lineRule="exact"/>
        <w:ind w:firstLine="480" w:firstLineChars="200"/>
        <w:rPr>
          <w:rFonts w:cs="仿宋" w:asciiTheme="minorEastAsia" w:hAnsiTheme="minorEastAsia" w:eastAsiaTheme="minorEastAsia"/>
          <w:b/>
          <w:kern w:val="0"/>
          <w:sz w:val="24"/>
          <w:szCs w:val="24"/>
          <w:u w:val="single"/>
        </w:rPr>
      </w:pPr>
      <w:r>
        <w:rPr>
          <w:rFonts w:hint="eastAsia" w:cs="仿宋" w:asciiTheme="minorEastAsia" w:hAnsiTheme="minorEastAsia" w:eastAsiaTheme="minorEastAsia"/>
          <w:kern w:val="0"/>
          <w:sz w:val="24"/>
          <w:szCs w:val="24"/>
        </w:rPr>
        <w:t>1.7联络</w:t>
      </w:r>
    </w:p>
    <w:p w14:paraId="0C759F26">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1.7.1发包人和承包人应当在</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5</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天内将与合同有关的通知、批准、证明、证书、指示、指令、要求、请求、同意、意见、确定和决定等书面函件送达对方当事人。</w:t>
      </w:r>
    </w:p>
    <w:p w14:paraId="31BD3C2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1.7.2发包人接收文件的地点：</w:t>
      </w:r>
      <w:r>
        <w:rPr>
          <w:rFonts w:hint="eastAsia" w:cs="仿宋" w:asciiTheme="minorEastAsia" w:hAnsiTheme="minorEastAsia" w:eastAsiaTheme="minorEastAsia"/>
          <w:b/>
          <w:kern w:val="0"/>
          <w:sz w:val="24"/>
          <w:szCs w:val="24"/>
          <w:u w:val="single"/>
        </w:rPr>
        <w:t>发包人另行通知</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046B1A7F">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发包人指定的接收人为：</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43662C46">
      <w:pPr>
        <w:wordWrap w:val="0"/>
        <w:spacing w:line="500" w:lineRule="exact"/>
        <w:ind w:firstLine="480" w:firstLineChars="200"/>
        <w:rPr>
          <w:rFonts w:cs="仿宋" w:asciiTheme="minorEastAsia" w:hAnsiTheme="minorEastAsia" w:eastAsiaTheme="minorEastAsia"/>
          <w:b/>
          <w:kern w:val="0"/>
          <w:sz w:val="24"/>
          <w:szCs w:val="24"/>
          <w:u w:val="single"/>
        </w:rPr>
      </w:pPr>
      <w:r>
        <w:rPr>
          <w:rFonts w:hint="eastAsia" w:cs="仿宋" w:asciiTheme="minorEastAsia" w:hAnsiTheme="minorEastAsia" w:eastAsiaTheme="minorEastAsia"/>
          <w:kern w:val="0"/>
          <w:sz w:val="24"/>
          <w:szCs w:val="24"/>
        </w:rPr>
        <w:t>承包人接收文件的地点：</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现场项目部 </w:t>
      </w:r>
      <w:r>
        <w:rPr>
          <w:rFonts w:hint="eastAsia" w:cs="仿宋" w:asciiTheme="minorEastAsia" w:hAnsiTheme="minorEastAsia" w:eastAsiaTheme="minorEastAsia"/>
          <w:b/>
          <w:kern w:val="0"/>
          <w:sz w:val="24"/>
          <w:szCs w:val="24"/>
        </w:rPr>
        <w:t>；</w:t>
      </w:r>
    </w:p>
    <w:p w14:paraId="0B22843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承包人指定的接收人为：</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0FF1C1E9">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监理人接收文件的地点：</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现场监理部 </w:t>
      </w:r>
      <w:r>
        <w:rPr>
          <w:rFonts w:hint="eastAsia" w:cs="仿宋" w:asciiTheme="minorEastAsia" w:hAnsiTheme="minorEastAsia" w:eastAsiaTheme="minorEastAsia"/>
          <w:b/>
          <w:kern w:val="0"/>
          <w:sz w:val="24"/>
          <w:szCs w:val="24"/>
        </w:rPr>
        <w:t>；</w:t>
      </w:r>
    </w:p>
    <w:p w14:paraId="790C187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监理人指定的接收人为：</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5A2543C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1.10交通运输</w:t>
      </w:r>
    </w:p>
    <w:p w14:paraId="2AFB8A2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w:t>
      </w:r>
      <w:bookmarkStart w:id="1096" w:name="_Toc300934943"/>
      <w:bookmarkStart w:id="1097" w:name="_Toc304295521"/>
      <w:bookmarkStart w:id="1098" w:name="_Toc318581155"/>
      <w:bookmarkStart w:id="1099" w:name="_Toc303539100"/>
      <w:bookmarkStart w:id="1100" w:name="_Toc312677986"/>
      <w:r>
        <w:rPr>
          <w:rFonts w:hint="eastAsia" w:cs="仿宋" w:asciiTheme="minorEastAsia" w:hAnsiTheme="minorEastAsia" w:eastAsiaTheme="minorEastAsia"/>
          <w:kern w:val="0"/>
          <w:sz w:val="24"/>
          <w:szCs w:val="24"/>
        </w:rPr>
        <w:t>.10.1出入现场的权利</w:t>
      </w:r>
    </w:p>
    <w:p w14:paraId="5CCB4DC2">
      <w:pPr>
        <w:wordWrap w:val="0"/>
        <w:spacing w:line="500" w:lineRule="exact"/>
        <w:ind w:firstLine="480" w:firstLineChars="200"/>
        <w:rPr>
          <w:rFonts w:cs="仿宋" w:asciiTheme="minorEastAsia" w:hAnsiTheme="minorEastAsia" w:eastAsiaTheme="minorEastAsia"/>
          <w:b/>
          <w:kern w:val="0"/>
          <w:sz w:val="24"/>
          <w:szCs w:val="24"/>
          <w:u w:val="single"/>
        </w:rPr>
      </w:pPr>
      <w:r>
        <w:rPr>
          <w:rFonts w:hint="eastAsia" w:cs="仿宋" w:asciiTheme="minorEastAsia" w:hAnsiTheme="minorEastAsia" w:eastAsiaTheme="minorEastAsia"/>
          <w:kern w:val="0"/>
          <w:sz w:val="24"/>
          <w:szCs w:val="24"/>
        </w:rPr>
        <w:t>关于出入现场的权利的约定：</w:t>
      </w:r>
      <w:r>
        <w:rPr>
          <w:rFonts w:hint="eastAsia" w:cs="仿宋" w:asciiTheme="minorEastAsia" w:hAnsiTheme="minorEastAsia" w:eastAsiaTheme="minorEastAsia"/>
          <w:b/>
          <w:kern w:val="0"/>
          <w:sz w:val="24"/>
          <w:szCs w:val="24"/>
          <w:u w:val="single"/>
        </w:rPr>
        <w:t>由承包人按照发包人要求负责取得出入施工现场所需的批准手续和全部权利</w:t>
      </w:r>
      <w:r>
        <w:rPr>
          <w:rFonts w:hint="eastAsia" w:cs="仿宋" w:asciiTheme="minorEastAsia" w:hAnsiTheme="minorEastAsia" w:eastAsiaTheme="minorEastAsia"/>
          <w:bCs/>
          <w:kern w:val="0"/>
          <w:sz w:val="24"/>
          <w:szCs w:val="24"/>
        </w:rPr>
        <w:t>。</w:t>
      </w:r>
    </w:p>
    <w:bookmarkEnd w:id="1096"/>
    <w:bookmarkEnd w:id="1097"/>
    <w:bookmarkEnd w:id="1098"/>
    <w:bookmarkEnd w:id="1099"/>
    <w:bookmarkEnd w:id="1100"/>
    <w:p w14:paraId="410B181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w:t>
      </w:r>
      <w:bookmarkStart w:id="1101" w:name="_Toc304295522"/>
      <w:bookmarkStart w:id="1102" w:name="_Toc303539101"/>
      <w:bookmarkStart w:id="1103" w:name="_Toc300934944"/>
      <w:bookmarkStart w:id="1104" w:name="_Toc318581156"/>
      <w:bookmarkStart w:id="1105" w:name="_Toc312677987"/>
      <w:r>
        <w:rPr>
          <w:rFonts w:hint="eastAsia" w:cs="仿宋" w:asciiTheme="minorEastAsia" w:hAnsiTheme="minorEastAsia" w:eastAsiaTheme="minorEastAsia"/>
          <w:kern w:val="0"/>
          <w:sz w:val="24"/>
          <w:szCs w:val="24"/>
        </w:rPr>
        <w:t>.10.3场内交通</w:t>
      </w:r>
    </w:p>
    <w:p w14:paraId="4A83AFBA">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关于场外交通和场内交通的边界的约定：</w:t>
      </w:r>
      <w:r>
        <w:rPr>
          <w:rFonts w:hint="eastAsia" w:cs="仿宋" w:asciiTheme="minorEastAsia" w:hAnsiTheme="minorEastAsia" w:eastAsiaTheme="minorEastAsia"/>
          <w:b/>
          <w:kern w:val="0"/>
          <w:sz w:val="24"/>
          <w:szCs w:val="24"/>
          <w:u w:val="single"/>
        </w:rPr>
        <w:t>以现场实际施工条件为准</w:t>
      </w:r>
      <w:r>
        <w:rPr>
          <w:rFonts w:hint="eastAsia" w:cs="仿宋" w:asciiTheme="minorEastAsia" w:hAnsiTheme="minorEastAsia" w:eastAsiaTheme="minorEastAsia"/>
          <w:kern w:val="0"/>
          <w:sz w:val="24"/>
          <w:szCs w:val="24"/>
        </w:rPr>
        <w:t>。</w:t>
      </w:r>
    </w:p>
    <w:p w14:paraId="4A89014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关于发包人向承包人免费提供满足工程施工需要的场内道路和交通设施的约定：</w:t>
      </w:r>
      <w:r>
        <w:rPr>
          <w:rFonts w:hint="eastAsia" w:cs="仿宋" w:asciiTheme="minorEastAsia" w:hAnsiTheme="minorEastAsia" w:eastAsiaTheme="minorEastAsia"/>
          <w:b/>
          <w:kern w:val="0"/>
          <w:sz w:val="24"/>
          <w:szCs w:val="24"/>
          <w:u w:val="single"/>
        </w:rPr>
        <w:t>以现场实际施工条件为准</w:t>
      </w:r>
      <w:r>
        <w:rPr>
          <w:rFonts w:hint="eastAsia" w:cs="仿宋" w:asciiTheme="minorEastAsia" w:hAnsiTheme="minorEastAsia" w:eastAsiaTheme="minorEastAsia"/>
          <w:kern w:val="0"/>
          <w:sz w:val="24"/>
          <w:szCs w:val="24"/>
        </w:rPr>
        <w:t>。</w:t>
      </w:r>
      <w:bookmarkEnd w:id="1101"/>
      <w:bookmarkEnd w:id="1102"/>
      <w:bookmarkEnd w:id="1103"/>
      <w:bookmarkEnd w:id="1104"/>
      <w:bookmarkEnd w:id="1105"/>
      <w:r>
        <w:rPr>
          <w:rFonts w:hint="eastAsia" w:cs="仿宋" w:asciiTheme="minorEastAsia" w:hAnsiTheme="minorEastAsia" w:eastAsiaTheme="minorEastAsia"/>
          <w:kern w:val="0"/>
          <w:sz w:val="24"/>
          <w:szCs w:val="24"/>
        </w:rPr>
        <w:t xml:space="preserve">  </w:t>
      </w:r>
      <w:bookmarkStart w:id="1106" w:name="_Toc318581157"/>
    </w:p>
    <w:p w14:paraId="52CC1855">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1.10.4超大件和超重件的运输</w:t>
      </w:r>
    </w:p>
    <w:p w14:paraId="18A191B9">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运输超大件或超重件所需的道路和桥梁临时加固改造费用和其他有关费用由</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承包人 </w:t>
      </w:r>
      <w:r>
        <w:rPr>
          <w:rFonts w:hint="eastAsia" w:cs="仿宋" w:asciiTheme="minorEastAsia" w:hAnsiTheme="minorEastAsia" w:eastAsiaTheme="minorEastAsia"/>
          <w:kern w:val="0"/>
          <w:sz w:val="24"/>
          <w:szCs w:val="24"/>
        </w:rPr>
        <w:t>承担。</w:t>
      </w:r>
    </w:p>
    <w:bookmarkEnd w:id="1106"/>
    <w:p w14:paraId="0C916DD1">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1.11知识产权</w:t>
      </w:r>
    </w:p>
    <w:p w14:paraId="3B52BD9F">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1.11.1关于发包人提供给承包人的图纸、发包人为实施工程自行编制或委托编制的技术规范以及反映发包人关于合同要求或其他类似性质的文件的著作权的归属：</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属于发包人</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079E90B3">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关于发包人提供的上述文件的使用限制的要求：</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按通用合同条款执行</w:t>
      </w:r>
      <w:r>
        <w:rPr>
          <w:rFonts w:hint="eastAsia" w:cs="仿宋" w:asciiTheme="minorEastAsia" w:hAnsiTheme="minorEastAsia" w:eastAsiaTheme="minorEastAsia"/>
          <w:kern w:val="0"/>
          <w:sz w:val="24"/>
          <w:szCs w:val="24"/>
        </w:rPr>
        <w:t>。</w:t>
      </w:r>
    </w:p>
    <w:p w14:paraId="40DBBC0F">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1.11.2关于承包人为实施工程所编制文件的著作权的归属：</w:t>
      </w:r>
      <w:r>
        <w:rPr>
          <w:rFonts w:hint="eastAsia" w:cs="仿宋" w:asciiTheme="minorEastAsia" w:hAnsiTheme="minorEastAsia" w:eastAsiaTheme="minorEastAsia"/>
          <w:b/>
          <w:kern w:val="0"/>
          <w:sz w:val="24"/>
          <w:szCs w:val="24"/>
          <w:u w:val="single"/>
        </w:rPr>
        <w:t>除署名权以外的著作权属于发包人</w:t>
      </w:r>
      <w:r>
        <w:rPr>
          <w:rFonts w:hint="eastAsia" w:cs="仿宋" w:asciiTheme="minorEastAsia" w:hAnsiTheme="minorEastAsia" w:eastAsiaTheme="minorEastAsia"/>
          <w:kern w:val="0"/>
          <w:sz w:val="24"/>
          <w:szCs w:val="24"/>
        </w:rPr>
        <w:t>。</w:t>
      </w:r>
    </w:p>
    <w:p w14:paraId="5236F5A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关于承包人提供的上述文件的使用限制的要求：</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按通用合同条款执行</w:t>
      </w:r>
      <w:r>
        <w:rPr>
          <w:rFonts w:hint="eastAsia" w:cs="仿宋" w:asciiTheme="minorEastAsia" w:hAnsiTheme="minorEastAsia" w:eastAsiaTheme="minorEastAsia"/>
          <w:kern w:val="0"/>
          <w:sz w:val="24"/>
          <w:szCs w:val="24"/>
        </w:rPr>
        <w:t>。</w:t>
      </w:r>
    </w:p>
    <w:p w14:paraId="08404F33">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1.11.4承包人在施工过程中所采用的专利、专有技术、技术秘密的使用费的承担方式：</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按通用合同条款执行</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206604E6">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1.13工程量清单错误的修正</w:t>
      </w:r>
    </w:p>
    <w:p w14:paraId="555C5EF8">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出现工程量清单错误时，是否调整合同价格：</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bCs/>
          <w:kern w:val="0"/>
          <w:sz w:val="24"/>
          <w:szCs w:val="24"/>
          <w:u w:val="single"/>
        </w:rPr>
        <w:t>见变更估价条款约定</w:t>
      </w:r>
      <w:r>
        <w:rPr>
          <w:rFonts w:hint="eastAsia" w:cs="仿宋" w:asciiTheme="minorEastAsia" w:hAnsiTheme="minorEastAsia" w:eastAsiaTheme="minorEastAsia"/>
          <w:kern w:val="0"/>
          <w:sz w:val="24"/>
          <w:szCs w:val="24"/>
        </w:rPr>
        <w:t>。</w:t>
      </w:r>
    </w:p>
    <w:p w14:paraId="332C08FF">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允许调整合同价格的工程量偏差范围：</w:t>
      </w:r>
      <w:r>
        <w:rPr>
          <w:rFonts w:hint="eastAsia" w:cs="仿宋" w:asciiTheme="minorEastAsia" w:hAnsiTheme="minorEastAsia" w:eastAsiaTheme="minorEastAsia"/>
          <w:b/>
          <w:bCs/>
          <w:kern w:val="0"/>
          <w:sz w:val="24"/>
          <w:szCs w:val="24"/>
          <w:u w:val="single"/>
        </w:rPr>
        <w:t>见变更估价条款约定</w:t>
      </w:r>
      <w:r>
        <w:rPr>
          <w:rFonts w:hint="eastAsia" w:cs="仿宋" w:asciiTheme="minorEastAsia" w:hAnsiTheme="minorEastAsia" w:eastAsiaTheme="minorEastAsia"/>
          <w:kern w:val="0"/>
          <w:sz w:val="24"/>
          <w:szCs w:val="24"/>
        </w:rPr>
        <w:t>。</w:t>
      </w:r>
    </w:p>
    <w:p w14:paraId="49F3AA0E">
      <w:pPr>
        <w:numPr>
          <w:ilvl w:val="0"/>
          <w:numId w:val="2"/>
        </w:numPr>
        <w:wordWrap w:val="0"/>
        <w:spacing w:line="500" w:lineRule="exact"/>
        <w:ind w:firstLine="480" w:firstLineChars="200"/>
        <w:outlineLvl w:val="3"/>
        <w:rPr>
          <w:rFonts w:cs="仿宋" w:asciiTheme="minorEastAsia" w:hAnsiTheme="minorEastAsia" w:eastAsiaTheme="minorEastAsia"/>
          <w:kern w:val="0"/>
          <w:sz w:val="24"/>
          <w:szCs w:val="24"/>
        </w:rPr>
      </w:pPr>
      <w:bookmarkStart w:id="1107" w:name="_Toc351203634"/>
      <w:bookmarkStart w:id="1108" w:name="_Toc297120457"/>
      <w:bookmarkStart w:id="1109" w:name="_Toc296346658"/>
      <w:bookmarkStart w:id="1110" w:name="_Toc296944496"/>
      <w:bookmarkStart w:id="1111" w:name="_Toc296890985"/>
      <w:bookmarkStart w:id="1112" w:name="_Toc296503157"/>
      <w:bookmarkStart w:id="1113" w:name="_Toc292559362"/>
      <w:bookmarkStart w:id="1114" w:name="_Toc292559867"/>
      <w:bookmarkStart w:id="1115" w:name="_Toc296347156"/>
      <w:bookmarkStart w:id="1116" w:name="_Toc297048343"/>
      <w:bookmarkStart w:id="1117" w:name="_Toc296891197"/>
      <w:r>
        <w:rPr>
          <w:rFonts w:hint="eastAsia" w:cs="仿宋" w:asciiTheme="minorEastAsia" w:hAnsiTheme="minorEastAsia" w:eastAsiaTheme="minorEastAsia"/>
          <w:kern w:val="0"/>
          <w:sz w:val="24"/>
          <w:szCs w:val="24"/>
        </w:rPr>
        <w:t>发包人</w:t>
      </w:r>
      <w:bookmarkEnd w:id="1107"/>
    </w:p>
    <w:p w14:paraId="09554C6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2.1许可或批准</w:t>
      </w:r>
    </w:p>
    <w:p w14:paraId="315F2B3A">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4D1E71D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因发包人原因未能及时办理完毕前述许可、批准或备案，由此增加的费用和（或）延误的工期，承包人自行考虑计入报价中，发包人不再另行支付。</w:t>
      </w:r>
    </w:p>
    <w:bookmarkEnd w:id="1108"/>
    <w:bookmarkEnd w:id="1109"/>
    <w:bookmarkEnd w:id="1110"/>
    <w:bookmarkEnd w:id="1111"/>
    <w:bookmarkEnd w:id="1112"/>
    <w:bookmarkEnd w:id="1113"/>
    <w:bookmarkEnd w:id="1114"/>
    <w:bookmarkEnd w:id="1115"/>
    <w:bookmarkEnd w:id="1116"/>
    <w:bookmarkEnd w:id="1117"/>
    <w:p w14:paraId="13455BF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2.2发包人代表</w:t>
      </w:r>
    </w:p>
    <w:p w14:paraId="3C43C92C">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发包人代表：</w:t>
      </w:r>
    </w:p>
    <w:p w14:paraId="3CF2D467">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姓    名：</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02C5766E">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身份证号：</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37CDCF1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职    务：</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307270F5">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联系电话：</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27E3BEE6">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电子信箱：</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1AB00AFF">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通信地址：</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5F517F7C">
      <w:pPr>
        <w:wordWrap w:val="0"/>
        <w:spacing w:line="500" w:lineRule="exact"/>
        <w:ind w:firstLine="480" w:firstLineChars="200"/>
        <w:rPr>
          <w:rFonts w:cs="仿宋" w:asciiTheme="minorEastAsia" w:hAnsiTheme="minorEastAsia" w:eastAsiaTheme="minorEastAsia"/>
          <w:b/>
          <w:kern w:val="0"/>
          <w:sz w:val="24"/>
          <w:szCs w:val="24"/>
          <w:u w:val="single"/>
        </w:rPr>
      </w:pPr>
      <w:r>
        <w:rPr>
          <w:rFonts w:hint="eastAsia" w:cs="仿宋" w:asciiTheme="minorEastAsia" w:hAnsiTheme="minorEastAsia" w:eastAsiaTheme="minorEastAsia"/>
          <w:kern w:val="0"/>
          <w:sz w:val="24"/>
          <w:szCs w:val="24"/>
        </w:rPr>
        <w:t>发包人对发包人代表的授权范围如下：</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b/>
          <w:kern w:val="0"/>
          <w:sz w:val="24"/>
          <w:szCs w:val="24"/>
          <w:u w:val="single" w:color="000000"/>
        </w:rPr>
        <w:t>(1)确认承包人提出的顺延工期的签证；(2)对发生的不可抗力造成工程无法施工的处置；(3)设计变更及施工条件变更等有关签证的确认；(4)工程竣工验收报告的确认；(5)工程预付款和进度款的审批；(6)处理和协调外部施工条件；(7)代表发包人行使本合同约定的其它权利和义务。</w:t>
      </w:r>
    </w:p>
    <w:p w14:paraId="624DFF2E">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2.4施工现场、施工条件和基础资料的提供</w:t>
      </w:r>
    </w:p>
    <w:p w14:paraId="5CA542FA">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2.4.1提供施工现场</w:t>
      </w:r>
    </w:p>
    <w:p w14:paraId="5E0D6BA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关于发包人移交施工现场的期限要求：</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开工前7天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7C69C17E">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2.4.2提供施工条件</w:t>
      </w:r>
    </w:p>
    <w:p w14:paraId="42BD2454">
      <w:pPr>
        <w:wordWrap w:val="0"/>
        <w:autoSpaceDE w:val="0"/>
        <w:autoSpaceDN w:val="0"/>
        <w:adjustRightInd w:val="0"/>
        <w:spacing w:line="500" w:lineRule="exact"/>
        <w:ind w:firstLine="480" w:firstLineChars="200"/>
        <w:rPr>
          <w:rFonts w:cs="仿宋" w:asciiTheme="minorEastAsia" w:hAnsiTheme="minorEastAsia" w:eastAsiaTheme="minorEastAsia"/>
          <w:b/>
          <w:kern w:val="0"/>
          <w:sz w:val="24"/>
          <w:szCs w:val="24"/>
          <w:u w:val="single"/>
        </w:rPr>
      </w:pPr>
      <w:r>
        <w:rPr>
          <w:rFonts w:hint="eastAsia" w:cs="仿宋" w:asciiTheme="minorEastAsia" w:hAnsiTheme="minorEastAsia" w:eastAsiaTheme="minorEastAsia"/>
          <w:kern w:val="0"/>
          <w:sz w:val="24"/>
          <w:szCs w:val="24"/>
        </w:rPr>
        <w:t>关于发包人应负责提供施工所需要的条件，包括：</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bCs/>
          <w:kern w:val="0"/>
          <w:sz w:val="24"/>
          <w:szCs w:val="24"/>
          <w:u w:val="single"/>
        </w:rPr>
        <w:t>/</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rPr>
        <w:t>。</w:t>
      </w:r>
    </w:p>
    <w:p w14:paraId="712546C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2.5资金来源证明及支付担保</w:t>
      </w:r>
    </w:p>
    <w:p w14:paraId="5349B77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发包人提供资金来源证明的期限要求：</w:t>
      </w:r>
      <w:r>
        <w:rPr>
          <w:rFonts w:hint="eastAsia" w:cs="仿宋" w:asciiTheme="minorEastAsia" w:hAnsiTheme="minorEastAsia" w:eastAsiaTheme="minorEastAsia"/>
          <w:kern w:val="0"/>
          <w:sz w:val="24"/>
          <w:szCs w:val="24"/>
          <w:u w:val="single"/>
        </w:rPr>
        <w:t xml:space="preserve"> /   </w:t>
      </w:r>
      <w:r>
        <w:rPr>
          <w:rFonts w:hint="eastAsia" w:cs="仿宋" w:asciiTheme="minorEastAsia" w:hAnsiTheme="minorEastAsia" w:eastAsiaTheme="minorEastAsia"/>
          <w:kern w:val="0"/>
          <w:sz w:val="24"/>
          <w:szCs w:val="24"/>
        </w:rPr>
        <w:t>。</w:t>
      </w:r>
    </w:p>
    <w:p w14:paraId="2BD4AEBA">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发包人是否提供支付担保：</w:t>
      </w:r>
      <w:r>
        <w:rPr>
          <w:rFonts w:hint="eastAsia" w:cs="仿宋" w:asciiTheme="minorEastAsia" w:hAnsiTheme="minorEastAsia" w:eastAsiaTheme="minorEastAsia"/>
          <w:kern w:val="0"/>
          <w:sz w:val="24"/>
          <w:szCs w:val="24"/>
          <w:u w:val="single"/>
        </w:rPr>
        <w:t>否</w:t>
      </w:r>
      <w:r>
        <w:rPr>
          <w:rFonts w:hint="eastAsia" w:cs="仿宋" w:asciiTheme="minorEastAsia" w:hAnsiTheme="minorEastAsia" w:eastAsiaTheme="minorEastAsia"/>
          <w:kern w:val="0"/>
          <w:sz w:val="24"/>
          <w:szCs w:val="24"/>
        </w:rPr>
        <w:t>。</w:t>
      </w:r>
    </w:p>
    <w:p w14:paraId="4476A784">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发包人提供支付担保的形式：</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1464D5C3">
      <w:pPr>
        <w:wordWrap w:val="0"/>
        <w:spacing w:line="500" w:lineRule="exact"/>
        <w:ind w:firstLine="480" w:firstLineChars="200"/>
        <w:outlineLvl w:val="3"/>
        <w:rPr>
          <w:rFonts w:cs="仿宋" w:asciiTheme="minorEastAsia" w:hAnsiTheme="minorEastAsia" w:eastAsiaTheme="minorEastAsia"/>
          <w:kern w:val="0"/>
          <w:sz w:val="24"/>
          <w:szCs w:val="24"/>
        </w:rPr>
      </w:pPr>
      <w:bookmarkStart w:id="1118" w:name="_Toc351203635"/>
      <w:r>
        <w:rPr>
          <w:rFonts w:hint="eastAsia" w:cs="仿宋" w:asciiTheme="minorEastAsia" w:hAnsiTheme="minorEastAsia" w:eastAsiaTheme="minorEastAsia"/>
          <w:kern w:val="0"/>
          <w:sz w:val="24"/>
          <w:szCs w:val="24"/>
        </w:rPr>
        <w:t>3</w:t>
      </w:r>
      <w:bookmarkStart w:id="1119" w:name="_Toc292559363"/>
      <w:bookmarkStart w:id="1120" w:name="_Toc297120458"/>
      <w:bookmarkStart w:id="1121" w:name="_Toc296891198"/>
      <w:bookmarkStart w:id="1122" w:name="_Toc296347157"/>
      <w:bookmarkStart w:id="1123" w:name="_Toc296944497"/>
      <w:bookmarkStart w:id="1124" w:name="_Toc292559868"/>
      <w:bookmarkStart w:id="1125" w:name="_Toc296503158"/>
      <w:bookmarkStart w:id="1126" w:name="_Toc296890986"/>
      <w:bookmarkStart w:id="1127" w:name="_Toc297048344"/>
      <w:bookmarkStart w:id="1128" w:name="_Toc296346659"/>
      <w:r>
        <w:rPr>
          <w:rFonts w:hint="eastAsia" w:cs="仿宋" w:asciiTheme="minorEastAsia" w:hAnsiTheme="minorEastAsia" w:eastAsiaTheme="minorEastAsia"/>
          <w:kern w:val="0"/>
          <w:sz w:val="24"/>
          <w:szCs w:val="24"/>
        </w:rPr>
        <w:t>.承包人</w:t>
      </w:r>
      <w:bookmarkEnd w:id="1118"/>
    </w:p>
    <w:bookmarkEnd w:id="1119"/>
    <w:bookmarkEnd w:id="1120"/>
    <w:bookmarkEnd w:id="1121"/>
    <w:bookmarkEnd w:id="1122"/>
    <w:bookmarkEnd w:id="1123"/>
    <w:bookmarkEnd w:id="1124"/>
    <w:bookmarkEnd w:id="1125"/>
    <w:bookmarkEnd w:id="1126"/>
    <w:bookmarkEnd w:id="1127"/>
    <w:bookmarkEnd w:id="1128"/>
    <w:p w14:paraId="6F562280">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3.1承包人的一般义务</w:t>
      </w:r>
    </w:p>
    <w:p w14:paraId="4BD44BD2">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（9）承包人提交的竣工资料的内容：</w:t>
      </w:r>
      <w:r>
        <w:rPr>
          <w:rFonts w:hint="eastAsia" w:cs="仿宋" w:asciiTheme="minorEastAsia" w:hAnsiTheme="minorEastAsia" w:eastAsiaTheme="minorEastAsia"/>
          <w:b/>
          <w:kern w:val="0"/>
          <w:sz w:val="24"/>
          <w:szCs w:val="24"/>
          <w:u w:val="single" w:color="000000"/>
        </w:rPr>
        <w:t>提供符合城建档案部门和行政质检监督部门要求的竣工图及竣工资料</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rPr>
        <w:t>。</w:t>
      </w:r>
    </w:p>
    <w:p w14:paraId="54B6196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承包人需要提交的竣工资料套数：</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color="000000"/>
        </w:rPr>
        <w:t>按发包人和城建档案馆要求</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03A40D7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承包人提交的竣工资料的费用承担：</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承包人承担</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6F114EE0">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承包人提交的竣工资料移交时间：</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color="000000"/>
        </w:rPr>
        <w:t>本工程验收后28日内</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2A9225A7">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承包人提交的竣工资料形式要求：</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书面及电子文档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3CA726A8">
      <w:pPr>
        <w:wordWrap w:val="0"/>
        <w:autoSpaceDE w:val="0"/>
        <w:autoSpaceDN w:val="0"/>
        <w:adjustRightInd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（10）承包人应履行的其他义务：</w:t>
      </w:r>
    </w:p>
    <w:p w14:paraId="3FC566A6">
      <w:pPr>
        <w:wordWrap w:val="0"/>
        <w:autoSpaceDE w:val="0"/>
        <w:autoSpaceDN w:val="0"/>
        <w:adjustRightInd w:val="0"/>
        <w:spacing w:line="500" w:lineRule="exact"/>
        <w:ind w:firstLine="482" w:firstLineChars="200"/>
        <w:rPr>
          <w:rFonts w:cs="仿宋" w:asciiTheme="minorEastAsia" w:hAnsiTheme="minorEastAsia" w:eastAsiaTheme="minorEastAsia"/>
          <w:b/>
          <w:kern w:val="0"/>
          <w:sz w:val="24"/>
          <w:szCs w:val="24"/>
          <w:u w:val="single" w:color="000000"/>
        </w:rPr>
      </w:pPr>
      <w:r>
        <w:rPr>
          <w:rFonts w:hint="eastAsia" w:cs="仿宋" w:asciiTheme="minorEastAsia" w:hAnsiTheme="minorEastAsia" w:eastAsiaTheme="minorEastAsia"/>
          <w:b/>
          <w:kern w:val="0"/>
          <w:sz w:val="24"/>
          <w:szCs w:val="24"/>
          <w:u w:val="single" w:color="000000"/>
        </w:rPr>
        <w:t>①承包人应按发包人的指令，完成发包人要求的对工程内容的任何增加和删减。</w:t>
      </w:r>
    </w:p>
    <w:p w14:paraId="463B3087">
      <w:pPr>
        <w:wordWrap w:val="0"/>
        <w:autoSpaceDE w:val="0"/>
        <w:autoSpaceDN w:val="0"/>
        <w:adjustRightInd w:val="0"/>
        <w:spacing w:line="500" w:lineRule="exact"/>
        <w:ind w:firstLine="482"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b/>
          <w:kern w:val="0"/>
          <w:sz w:val="24"/>
          <w:szCs w:val="24"/>
          <w:u w:val="single" w:color="000000"/>
        </w:rPr>
        <w:t>②承包人应积极主动核对图纸中的标高、轴线等技术数据，充分理解设计意图。若由于明显的设计图纸问题（例如尺寸标注不闭合、文字标识相互矛盾等）和发包人（包括监理）不正确的指令，承包人发现后有口头或书面告知义务，否则造成工程质量、安全、进度损失，也不能免除承包人的责任。</w:t>
      </w:r>
    </w:p>
    <w:p w14:paraId="40053FA7">
      <w:pPr>
        <w:wordWrap w:val="0"/>
        <w:autoSpaceDE w:val="0"/>
        <w:autoSpaceDN w:val="0"/>
        <w:adjustRightInd w:val="0"/>
        <w:spacing w:line="500" w:lineRule="exact"/>
        <w:ind w:firstLine="482" w:firstLineChars="200"/>
        <w:rPr>
          <w:rFonts w:cs="仿宋" w:asciiTheme="minorEastAsia" w:hAnsiTheme="minorEastAsia" w:eastAsiaTheme="minorEastAsia"/>
          <w:b/>
          <w:kern w:val="0"/>
          <w:sz w:val="24"/>
          <w:szCs w:val="24"/>
          <w:u w:val="single"/>
        </w:rPr>
      </w:pPr>
      <w:r>
        <w:rPr>
          <w:rFonts w:hint="eastAsia" w:cs="仿宋" w:asciiTheme="minorEastAsia" w:hAnsiTheme="minorEastAsia" w:eastAsiaTheme="minorEastAsia"/>
          <w:b/>
          <w:kern w:val="0"/>
          <w:sz w:val="24"/>
          <w:szCs w:val="24"/>
          <w:u w:val="single" w:color="000000"/>
        </w:rPr>
        <w:t>③承包人使用的临时用水、临时用电等设施在合同执行期间，如发包人要求为其他承包人提供分表接口的，承包人应予无条件同意。</w:t>
      </w:r>
    </w:p>
    <w:p w14:paraId="58D76727">
      <w:pPr>
        <w:wordWrap w:val="0"/>
        <w:spacing w:line="500" w:lineRule="exact"/>
        <w:ind w:firstLine="482" w:firstLineChars="200"/>
        <w:rPr>
          <w:rFonts w:cs="仿宋" w:asciiTheme="minorEastAsia" w:hAnsiTheme="minorEastAsia" w:eastAsiaTheme="minorEastAsia"/>
          <w:b/>
          <w:kern w:val="0"/>
          <w:sz w:val="24"/>
          <w:szCs w:val="24"/>
          <w:u w:val="single"/>
        </w:rPr>
      </w:pPr>
      <w:r>
        <w:rPr>
          <w:rFonts w:hint="eastAsia" w:cs="仿宋" w:asciiTheme="minorEastAsia" w:hAnsiTheme="minorEastAsia" w:eastAsiaTheme="minorEastAsia"/>
          <w:b/>
          <w:kern w:val="0"/>
          <w:sz w:val="24"/>
          <w:szCs w:val="24"/>
          <w:u w:val="single" w:color="000000"/>
        </w:rPr>
        <w:t>④</w:t>
      </w:r>
      <w:r>
        <w:rPr>
          <w:rFonts w:hint="eastAsia" w:cs="仿宋" w:asciiTheme="minorEastAsia" w:hAnsiTheme="minorEastAsia" w:eastAsiaTheme="minorEastAsia"/>
          <w:b/>
          <w:kern w:val="0"/>
          <w:sz w:val="24"/>
          <w:szCs w:val="24"/>
          <w:u w:val="single"/>
        </w:rPr>
        <w:t>承包人应做好现场安全文明施工及已有成品保护工作。必须制定和执行有效的扬尘处理措施。现场运输材料、堆放材料等造成的路面的污染；现场施工及生活产生的垃圾应该每天有人清除。</w:t>
      </w:r>
    </w:p>
    <w:p w14:paraId="69A48286">
      <w:pPr>
        <w:wordWrap w:val="0"/>
        <w:spacing w:line="500" w:lineRule="exact"/>
        <w:ind w:firstLine="482" w:firstLineChars="200"/>
        <w:rPr>
          <w:rFonts w:cs="仿宋" w:asciiTheme="minorEastAsia" w:hAnsiTheme="minorEastAsia" w:eastAsiaTheme="minorEastAsia"/>
          <w:b/>
          <w:kern w:val="0"/>
          <w:sz w:val="24"/>
          <w:szCs w:val="24"/>
          <w:u w:val="single"/>
        </w:rPr>
      </w:pPr>
      <w:r>
        <w:rPr>
          <w:rFonts w:hint="eastAsia" w:cs="仿宋" w:asciiTheme="minorEastAsia" w:hAnsiTheme="minorEastAsia" w:eastAsiaTheme="minorEastAsia"/>
          <w:b/>
          <w:kern w:val="0"/>
          <w:sz w:val="24"/>
          <w:szCs w:val="24"/>
          <w:u w:val="single"/>
        </w:rPr>
        <w:t>⑤必须遵守建设单位的相关制度，服从管理。</w:t>
      </w:r>
    </w:p>
    <w:p w14:paraId="1E560929">
      <w:pPr>
        <w:wordWrap w:val="0"/>
        <w:spacing w:line="500" w:lineRule="exact"/>
        <w:ind w:firstLine="482" w:firstLineChars="200"/>
        <w:rPr>
          <w:rFonts w:cs="仿宋" w:asciiTheme="minorEastAsia" w:hAnsiTheme="minorEastAsia" w:eastAsiaTheme="minorEastAsia"/>
          <w:b/>
          <w:kern w:val="0"/>
          <w:sz w:val="24"/>
          <w:szCs w:val="24"/>
          <w:u w:val="single" w:color="000000"/>
        </w:rPr>
      </w:pPr>
      <w:r>
        <w:rPr>
          <w:rFonts w:hint="eastAsia" w:cs="仿宋" w:asciiTheme="minorEastAsia" w:hAnsiTheme="minorEastAsia" w:eastAsiaTheme="minorEastAsia"/>
          <w:b/>
          <w:kern w:val="0"/>
          <w:sz w:val="24"/>
          <w:szCs w:val="24"/>
          <w:u w:val="single"/>
        </w:rPr>
        <w:t>⑥</w:t>
      </w:r>
      <w:r>
        <w:rPr>
          <w:rFonts w:hint="eastAsia" w:cs="仿宋" w:asciiTheme="minorEastAsia" w:hAnsiTheme="minorEastAsia" w:eastAsiaTheme="minorEastAsia"/>
          <w:b/>
          <w:kern w:val="0"/>
          <w:sz w:val="24"/>
          <w:szCs w:val="24"/>
          <w:u w:val="single" w:color="000000"/>
        </w:rPr>
        <w:t>承包人应在工地配备一定容量的备用电源，作为施工供电中断时的应急电源。</w:t>
      </w:r>
    </w:p>
    <w:p w14:paraId="18F46983">
      <w:pPr>
        <w:wordWrap w:val="0"/>
        <w:spacing w:line="500" w:lineRule="exact"/>
        <w:ind w:firstLine="482" w:firstLineChars="200"/>
        <w:rPr>
          <w:rFonts w:cs="仿宋" w:asciiTheme="minorEastAsia" w:hAnsiTheme="minorEastAsia" w:eastAsiaTheme="minorEastAsia"/>
          <w:b/>
          <w:kern w:val="0"/>
          <w:sz w:val="24"/>
          <w:szCs w:val="24"/>
          <w:u w:val="single" w:color="000000"/>
        </w:rPr>
      </w:pPr>
      <w:r>
        <w:rPr>
          <w:rFonts w:hint="eastAsia" w:cs="仿宋" w:asciiTheme="minorEastAsia" w:hAnsiTheme="minorEastAsia" w:eastAsiaTheme="minorEastAsia"/>
          <w:b/>
          <w:kern w:val="0"/>
          <w:sz w:val="24"/>
          <w:szCs w:val="24"/>
          <w:u w:val="single" w:color="000000"/>
        </w:rPr>
        <w:t>⑦承包人应按照政府相关规定，建立健全的雇员工资发放和劳动保障制度。</w:t>
      </w:r>
    </w:p>
    <w:p w14:paraId="64BF3FC8">
      <w:pPr>
        <w:wordWrap w:val="0"/>
        <w:spacing w:line="500" w:lineRule="exact"/>
        <w:ind w:firstLine="482" w:firstLineChars="200"/>
        <w:rPr>
          <w:rFonts w:cs="仿宋" w:asciiTheme="minorEastAsia" w:hAnsiTheme="minorEastAsia" w:eastAsiaTheme="minorEastAsia"/>
          <w:b/>
          <w:bCs/>
          <w:kern w:val="0"/>
          <w:sz w:val="24"/>
          <w:szCs w:val="24"/>
          <w:u w:val="single"/>
        </w:rPr>
      </w:pPr>
      <w:r>
        <w:rPr>
          <w:rFonts w:hint="eastAsia" w:cs="仿宋" w:asciiTheme="minorEastAsia" w:hAnsiTheme="minorEastAsia" w:eastAsiaTheme="minorEastAsia"/>
          <w:b/>
          <w:bCs/>
          <w:kern w:val="0"/>
          <w:sz w:val="24"/>
          <w:szCs w:val="24"/>
          <w:u w:val="single"/>
        </w:rPr>
        <w:t>⑧承包人签订合同后，应</w:t>
      </w:r>
      <w:r>
        <w:rPr>
          <w:rFonts w:hint="eastAsia" w:cs="仿宋" w:asciiTheme="minorEastAsia" w:hAnsiTheme="minorEastAsia" w:eastAsiaTheme="minorEastAsia"/>
          <w:b/>
          <w:bCs/>
          <w:kern w:val="0"/>
          <w:sz w:val="24"/>
          <w:szCs w:val="24"/>
          <w:u w:val="single"/>
          <w:shd w:val="clear" w:color="auto" w:fill="FFFFFF"/>
        </w:rPr>
        <w:t>按照有关规定</w:t>
      </w:r>
      <w:r>
        <w:rPr>
          <w:rFonts w:hint="eastAsia" w:cs="仿宋" w:asciiTheme="minorEastAsia" w:hAnsiTheme="minorEastAsia" w:eastAsiaTheme="minorEastAsia"/>
          <w:b/>
          <w:bCs/>
          <w:kern w:val="0"/>
          <w:sz w:val="24"/>
          <w:szCs w:val="24"/>
          <w:u w:val="single"/>
        </w:rPr>
        <w:t>在项目所在地银行开设农民工工资专用账户，专项用于支付本项目农民工工资。承包人委托开户银行负责日常监管，并向开户银行书面承诺该账户资金只能用于支付农民工工资，不得挪作他用。发包人直接将人工费用拨付至农民工工资专用账户，并对承包人按时足额支付农民工工资进行监督。</w:t>
      </w:r>
    </w:p>
    <w:p w14:paraId="274E9833">
      <w:pPr>
        <w:wordWrap w:val="0"/>
        <w:spacing w:line="500" w:lineRule="exact"/>
        <w:ind w:firstLine="482" w:firstLineChars="200"/>
        <w:rPr>
          <w:rFonts w:cs="仿宋" w:asciiTheme="minorEastAsia" w:hAnsiTheme="minorEastAsia" w:eastAsiaTheme="minorEastAsia"/>
          <w:b/>
          <w:bCs/>
          <w:kern w:val="0"/>
          <w:sz w:val="24"/>
          <w:szCs w:val="24"/>
          <w:u w:val="single"/>
        </w:rPr>
      </w:pPr>
      <w:r>
        <w:rPr>
          <w:rFonts w:hint="eastAsia" w:cs="仿宋" w:asciiTheme="minorEastAsia" w:hAnsiTheme="minorEastAsia" w:eastAsiaTheme="minorEastAsia"/>
          <w:b/>
          <w:bCs/>
          <w:kern w:val="0"/>
          <w:sz w:val="24"/>
          <w:szCs w:val="24"/>
          <w:u w:val="single"/>
        </w:rPr>
        <w:t>⑨承包人应按照《保障农民工工资支付条例》的有关规定存储工资保证金，专项用于支付为所承包工程提供劳动的农民工被拖欠的工资。承包人应当对建设工程各环节的农民工工资支付情况履行监控义务，对所承包建设工程的农民工工资支付负总责，在工程项目竣工通过验收并已结清和足额支付农民工工资前不得支取农民工工资保证金。</w:t>
      </w:r>
    </w:p>
    <w:p w14:paraId="4DCF4648">
      <w:pPr>
        <w:wordWrap w:val="0"/>
        <w:spacing w:line="500" w:lineRule="exact"/>
        <w:ind w:firstLine="482" w:firstLineChars="200"/>
        <w:rPr>
          <w:rFonts w:cs="仿宋" w:asciiTheme="minorEastAsia" w:hAnsiTheme="minorEastAsia" w:eastAsiaTheme="minorEastAsia"/>
          <w:b/>
          <w:bCs/>
          <w:kern w:val="0"/>
          <w:sz w:val="24"/>
          <w:szCs w:val="24"/>
          <w:u w:val="single"/>
        </w:rPr>
      </w:pPr>
      <w:r>
        <w:rPr>
          <w:rFonts w:hint="eastAsia" w:cs="仿宋" w:asciiTheme="minorEastAsia" w:hAnsiTheme="minorEastAsia" w:eastAsiaTheme="minorEastAsia"/>
          <w:b/>
          <w:bCs/>
          <w:kern w:val="0"/>
          <w:sz w:val="24"/>
          <w:szCs w:val="24"/>
          <w:u w:val="single"/>
        </w:rPr>
        <w:t>⑩承包人应按合同约定的工作内容和施工进度的要求，编制施工组织设计和施工措施计划，并对所有施工作业和施工方法的完备性和安全可靠性负责；施工组织设计虽经监理工程师审查确认，但不免除承包人的责任，承包人为满足施工而对施工组织设计和施工措施进行调整与修改所增加的费用不能作为追加合同价款的理由和依据。</w:t>
      </w:r>
    </w:p>
    <w:p w14:paraId="565157A3">
      <w:pPr>
        <w:wordWrap w:val="0"/>
        <w:spacing w:line="500" w:lineRule="exact"/>
        <w:ind w:firstLine="482" w:firstLineChars="200"/>
        <w:rPr>
          <w:rFonts w:cs="仿宋" w:asciiTheme="minorEastAsia" w:hAnsiTheme="minorEastAsia" w:eastAsiaTheme="minorEastAsia"/>
          <w:b/>
          <w:bCs/>
          <w:kern w:val="0"/>
          <w:sz w:val="24"/>
          <w:szCs w:val="24"/>
          <w:u w:val="single"/>
        </w:rPr>
      </w:pPr>
      <w:r>
        <w:rPr>
          <w:rFonts w:ascii="Cambria Math" w:hAnsi="Cambria Math" w:cs="Cambria Math" w:eastAsiaTheme="minorEastAsia"/>
          <w:b/>
          <w:bCs/>
          <w:kern w:val="0"/>
          <w:sz w:val="24"/>
          <w:szCs w:val="24"/>
          <w:u w:val="single"/>
        </w:rPr>
        <w:t>⑪</w:t>
      </w:r>
      <w:r>
        <w:rPr>
          <w:rFonts w:hint="eastAsia" w:ascii="宋体" w:hAnsi="宋体" w:cs="宋体"/>
          <w:b/>
          <w:bCs/>
          <w:kern w:val="0"/>
          <w:sz w:val="24"/>
          <w:szCs w:val="24"/>
          <w:u w:val="single"/>
        </w:rPr>
        <w:t>承包人应从“对所有施工作业和施工方法的完备性和安全可靠性负责”的工程施工目标</w:t>
      </w:r>
      <w:r>
        <w:rPr>
          <w:rFonts w:hint="eastAsia" w:cs="仿宋" w:asciiTheme="minorEastAsia" w:hAnsiTheme="minorEastAsia" w:eastAsiaTheme="minorEastAsia"/>
          <w:b/>
          <w:bCs/>
          <w:kern w:val="0"/>
          <w:sz w:val="24"/>
          <w:szCs w:val="24"/>
          <w:u w:val="single"/>
        </w:rPr>
        <w:t>出发，认真对施工现场和周围环境进行实地踏勘，充分了解工地位置、情况、道路、储存空间、装卸限制及任何其他足以影响承包价的情况，并收集有关地质、水文、气象条件、交通条件、风俗习惯以及其他为完成合同工作有关的当地资料。承包人不能因为发包人在采购阶段提供的相关资料的某些不足而推卸自己按本项约定应承担的责任和风险，要求推延工期和增加费用。在全部合同工作中，视为承包人已充分估计了应承担的责任和风险，任何因忽视或误解工地情况而导致的索赔或工期延长申请将不被批准。</w:t>
      </w:r>
    </w:p>
    <w:p w14:paraId="1AE2AB99">
      <w:pPr>
        <w:wordWrap w:val="0"/>
        <w:spacing w:line="500" w:lineRule="exact"/>
        <w:ind w:firstLine="482" w:firstLineChars="200"/>
        <w:rPr>
          <w:rFonts w:cs="仿宋" w:asciiTheme="minorEastAsia" w:hAnsiTheme="minorEastAsia" w:eastAsiaTheme="minorEastAsia"/>
          <w:b/>
          <w:bCs/>
          <w:kern w:val="0"/>
          <w:sz w:val="24"/>
          <w:szCs w:val="24"/>
          <w:u w:val="single" w:color="000000"/>
        </w:rPr>
      </w:pPr>
      <w:r>
        <w:rPr>
          <w:rFonts w:ascii="Cambria Math" w:hAnsi="Cambria Math" w:cs="Cambria Math" w:eastAsiaTheme="minorEastAsia"/>
          <w:b/>
          <w:bCs/>
          <w:kern w:val="0"/>
          <w:sz w:val="24"/>
          <w:szCs w:val="24"/>
          <w:u w:val="single"/>
        </w:rPr>
        <w:t>⑫</w:t>
      </w:r>
      <w:r>
        <w:rPr>
          <w:rFonts w:hint="eastAsia" w:ascii="宋体" w:hAnsi="宋体" w:cs="宋体"/>
          <w:b/>
          <w:bCs/>
          <w:kern w:val="0"/>
          <w:sz w:val="24"/>
          <w:szCs w:val="24"/>
          <w:u w:val="single"/>
        </w:rPr>
        <w:t>施工中若出现交叉作业，承包人应无条件服从发包人安排，影响</w:t>
      </w:r>
      <w:r>
        <w:rPr>
          <w:rFonts w:hint="eastAsia" w:cs="仿宋" w:asciiTheme="minorEastAsia" w:hAnsiTheme="minorEastAsia" w:eastAsiaTheme="minorEastAsia"/>
          <w:b/>
          <w:bCs/>
          <w:kern w:val="0"/>
          <w:sz w:val="24"/>
          <w:szCs w:val="24"/>
          <w:u w:val="single"/>
        </w:rPr>
        <w:t>的工期予以相应顺延，由此产生的误工费承包人自行承担。</w:t>
      </w:r>
    </w:p>
    <w:p w14:paraId="312D23BF">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3.2项目经理</w:t>
      </w:r>
    </w:p>
    <w:p w14:paraId="602A2FB0">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3.2.1项目经理：</w:t>
      </w:r>
    </w:p>
    <w:p w14:paraId="2B6F5ED9">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姓    名：</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0D44136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身份证号：</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476BD71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建造师执业资格等级：</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2BBE7DFF">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建造师注册证书号：</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20F05111">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建造师执业印章号：</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6B34106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安全生产考核合格证书号：</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2E528189">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联系电话：</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3E70AD8B">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电子信箱：</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00D984D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通信地址：</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6C5C0A11">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承包人对项目经理的授权范围如下：</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全权处理本项目的一切事务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4F305EEE">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关于项目经理每月在施工现场的时间要求：</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color="000000"/>
        </w:rPr>
        <w:t>常驻工地。</w:t>
      </w:r>
    </w:p>
    <w:p w14:paraId="3211FE16">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承包人未提交劳动合同，以及没有为项目经理缴纳社会保险证明的违约责任：</w:t>
      </w:r>
      <w:r>
        <w:rPr>
          <w:rFonts w:hint="eastAsia" w:cs="仿宋" w:asciiTheme="minorEastAsia" w:hAnsiTheme="minorEastAsia" w:eastAsiaTheme="minorEastAsia"/>
          <w:b/>
          <w:kern w:val="0"/>
          <w:sz w:val="24"/>
          <w:szCs w:val="24"/>
          <w:u w:val="single" w:color="000000"/>
        </w:rPr>
        <w:t xml:space="preserve">承包人无条件承担由此产生的风险、负责及经济损失，发包人有权无条件解除合同 </w:t>
      </w:r>
      <w:r>
        <w:rPr>
          <w:rFonts w:hint="eastAsia" w:cs="仿宋" w:asciiTheme="minorEastAsia" w:hAnsiTheme="minorEastAsia" w:eastAsiaTheme="minorEastAsia"/>
          <w:kern w:val="0"/>
          <w:sz w:val="24"/>
          <w:szCs w:val="24"/>
        </w:rPr>
        <w:t>。</w:t>
      </w:r>
    </w:p>
    <w:p w14:paraId="1D3AC271">
      <w:pPr>
        <w:wordWrap w:val="0"/>
        <w:spacing w:line="500" w:lineRule="exact"/>
        <w:ind w:firstLine="480" w:firstLineChars="200"/>
        <w:rPr>
          <w:rFonts w:cs="仿宋" w:asciiTheme="minorEastAsia" w:hAnsiTheme="minorEastAsia" w:eastAsiaTheme="minorEastAsia"/>
          <w:b/>
          <w:kern w:val="0"/>
          <w:sz w:val="24"/>
          <w:szCs w:val="24"/>
          <w:u w:val="single" w:color="000000"/>
        </w:rPr>
      </w:pPr>
      <w:r>
        <w:rPr>
          <w:rFonts w:hint="eastAsia" w:cs="仿宋" w:asciiTheme="minorEastAsia" w:hAnsiTheme="minorEastAsia" w:eastAsiaTheme="minorEastAsia"/>
          <w:kern w:val="0"/>
          <w:sz w:val="24"/>
          <w:szCs w:val="24"/>
        </w:rPr>
        <w:t>项目经理未经批准，擅自离开施工现场的违约责任：</w:t>
      </w:r>
      <w:r>
        <w:rPr>
          <w:rFonts w:hint="eastAsia" w:cs="仿宋" w:asciiTheme="minorEastAsia" w:hAnsiTheme="minorEastAsia" w:eastAsiaTheme="minorEastAsia"/>
          <w:b/>
          <w:kern w:val="0"/>
          <w:sz w:val="24"/>
          <w:szCs w:val="24"/>
          <w:u w:val="single" w:color="000000"/>
        </w:rPr>
        <w:t>承包人向发包人支付   元/天的违约金。</w:t>
      </w:r>
    </w:p>
    <w:p w14:paraId="6938A2F1">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3.2.3承包人擅自更换项目经理的违约责任：</w:t>
      </w:r>
      <w:r>
        <w:rPr>
          <w:rFonts w:hint="eastAsia" w:cs="仿宋" w:asciiTheme="minorEastAsia" w:hAnsiTheme="minorEastAsia" w:eastAsiaTheme="minorEastAsia"/>
          <w:b/>
          <w:kern w:val="0"/>
          <w:sz w:val="24"/>
          <w:szCs w:val="24"/>
          <w:u w:val="single" w:color="000000"/>
        </w:rPr>
        <w:t>承包人向发包人支付违约金   元，并承担由此产生的一切经济风险、责任及经济损失。</w:t>
      </w:r>
    </w:p>
    <w:p w14:paraId="242668D8">
      <w:pPr>
        <w:wordWrap w:val="0"/>
        <w:spacing w:line="500" w:lineRule="exact"/>
        <w:ind w:firstLine="480" w:firstLineChars="200"/>
        <w:rPr>
          <w:rFonts w:cs="仿宋" w:asciiTheme="minorEastAsia" w:hAnsiTheme="minorEastAsia" w:eastAsiaTheme="minorEastAsia"/>
          <w:b/>
          <w:kern w:val="0"/>
          <w:sz w:val="24"/>
          <w:szCs w:val="24"/>
          <w:u w:val="single" w:color="000000"/>
        </w:rPr>
      </w:pPr>
      <w:r>
        <w:rPr>
          <w:rFonts w:hint="eastAsia" w:cs="仿宋" w:asciiTheme="minorEastAsia" w:hAnsiTheme="minorEastAsia" w:eastAsiaTheme="minorEastAsia"/>
          <w:kern w:val="0"/>
          <w:sz w:val="24"/>
          <w:szCs w:val="24"/>
        </w:rPr>
        <w:t>3.2.4承包人无正当理由拒绝更换项目经理的违约责任：</w:t>
      </w:r>
      <w:r>
        <w:rPr>
          <w:rFonts w:hint="eastAsia" w:cs="仿宋" w:asciiTheme="minorEastAsia" w:hAnsiTheme="minorEastAsia" w:eastAsiaTheme="minorEastAsia"/>
          <w:b/>
          <w:kern w:val="0"/>
          <w:sz w:val="24"/>
          <w:szCs w:val="24"/>
          <w:u w:val="single" w:color="000000"/>
        </w:rPr>
        <w:t>承包人向发包人支付违约金    元，并承担由此产生的一切经济风险、责任及经济损失。</w:t>
      </w:r>
    </w:p>
    <w:p w14:paraId="45604840">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3.3承包人人员</w:t>
      </w:r>
    </w:p>
    <w:p w14:paraId="718A519A">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3.3.1承包人提交项目管理机构及施工现场管理人员安排报告的期限：</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开工前2天内</w:t>
      </w:r>
      <w:r>
        <w:rPr>
          <w:rFonts w:hint="eastAsia" w:cs="仿宋" w:asciiTheme="minorEastAsia" w:hAnsiTheme="minorEastAsia" w:eastAsiaTheme="minorEastAsia"/>
          <w:kern w:val="0"/>
          <w:sz w:val="24"/>
          <w:szCs w:val="24"/>
        </w:rPr>
        <w:t>。</w:t>
      </w:r>
    </w:p>
    <w:p w14:paraId="6C567984">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3.3.3承包人无正当理由拒绝撤换主要施工管理人员的违约责任：</w:t>
      </w:r>
      <w:r>
        <w:rPr>
          <w:rFonts w:hint="eastAsia" w:cs="仿宋" w:asciiTheme="minorEastAsia" w:hAnsiTheme="minorEastAsia" w:eastAsiaTheme="minorEastAsia"/>
          <w:b/>
          <w:bCs/>
          <w:kern w:val="0"/>
          <w:sz w:val="24"/>
          <w:szCs w:val="24"/>
          <w:u w:val="single"/>
        </w:rPr>
        <w:t>若项目主要施工管理人员不能胜任本项目工作，发包人有权要求更换，承包人应在2天内及时更换能力胜任的项目主要施工管理人员，承包人拒不更换的处以    元/次的罚款，并且需承担由于承包人未及时更换项目主要施工管理人员造成的一切经济损失</w:t>
      </w:r>
      <w:r>
        <w:rPr>
          <w:rFonts w:hint="eastAsia" w:cs="仿宋" w:asciiTheme="minorEastAsia" w:hAnsiTheme="minorEastAsia" w:eastAsiaTheme="minorEastAsia"/>
          <w:kern w:val="0"/>
          <w:sz w:val="24"/>
          <w:szCs w:val="24"/>
        </w:rPr>
        <w:t>。</w:t>
      </w:r>
    </w:p>
    <w:p w14:paraId="3AE5946D">
      <w:pPr>
        <w:wordWrap w:val="0"/>
        <w:spacing w:line="500" w:lineRule="exact"/>
        <w:ind w:firstLine="480" w:firstLineChars="200"/>
        <w:rPr>
          <w:rFonts w:cs="仿宋" w:asciiTheme="minorEastAsia" w:hAnsiTheme="minorEastAsia" w:eastAsiaTheme="minorEastAsia"/>
          <w:b/>
          <w:kern w:val="0"/>
          <w:sz w:val="24"/>
          <w:szCs w:val="24"/>
          <w:u w:val="single"/>
        </w:rPr>
      </w:pPr>
      <w:r>
        <w:rPr>
          <w:rFonts w:hint="eastAsia" w:cs="仿宋" w:asciiTheme="minorEastAsia" w:hAnsiTheme="minorEastAsia" w:eastAsiaTheme="minorEastAsia"/>
          <w:kern w:val="0"/>
          <w:sz w:val="24"/>
          <w:szCs w:val="24"/>
        </w:rPr>
        <w:t>3.3.4承包人主要施工管理人员离开施工现场的批准要求：</w:t>
      </w:r>
      <w:r>
        <w:rPr>
          <w:rFonts w:hint="eastAsia" w:cs="仿宋" w:asciiTheme="minorEastAsia" w:hAnsiTheme="minorEastAsia" w:eastAsiaTheme="minorEastAsia"/>
          <w:b/>
          <w:kern w:val="0"/>
          <w:sz w:val="24"/>
          <w:szCs w:val="24"/>
          <w:u w:val="single"/>
        </w:rPr>
        <w:t xml:space="preserve"> 由总监理工程师批准，发包人认可方可离开。</w:t>
      </w:r>
    </w:p>
    <w:p w14:paraId="798C3DCB">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3.3.5承包人擅自更换主要施工管理人员的违约责任：</w:t>
      </w:r>
      <w:r>
        <w:rPr>
          <w:rFonts w:hint="eastAsia" w:cs="仿宋" w:asciiTheme="minorEastAsia" w:hAnsiTheme="minorEastAsia" w:eastAsiaTheme="minorEastAsia"/>
          <w:b/>
          <w:kern w:val="0"/>
          <w:sz w:val="24"/>
          <w:szCs w:val="24"/>
          <w:u w:val="single" w:color="000000"/>
        </w:rPr>
        <w:t>承包人向发包人支付违约金   元/人</w:t>
      </w:r>
      <w:r>
        <w:rPr>
          <w:rFonts w:hint="eastAsia" w:cs="仿宋" w:asciiTheme="minorEastAsia" w:hAnsiTheme="minorEastAsia" w:eastAsiaTheme="minorEastAsia"/>
          <w:kern w:val="0"/>
          <w:sz w:val="24"/>
          <w:szCs w:val="24"/>
        </w:rPr>
        <w:t>。</w:t>
      </w:r>
    </w:p>
    <w:p w14:paraId="3E75CAC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承包人主要施工管理人员擅自离开施工现场的违约责任：</w:t>
      </w:r>
      <w:r>
        <w:rPr>
          <w:rFonts w:hint="eastAsia" w:cs="仿宋" w:asciiTheme="minorEastAsia" w:hAnsiTheme="minorEastAsia" w:eastAsiaTheme="minorEastAsia"/>
          <w:b/>
          <w:kern w:val="0"/>
          <w:sz w:val="24"/>
          <w:szCs w:val="24"/>
          <w:u w:val="single" w:color="000000"/>
        </w:rPr>
        <w:t>承包人向发包人支付   元/人/天的违约金</w:t>
      </w:r>
      <w:r>
        <w:rPr>
          <w:rFonts w:hint="eastAsia" w:cs="仿宋" w:asciiTheme="minorEastAsia" w:hAnsiTheme="minorEastAsia" w:eastAsiaTheme="minorEastAsia"/>
          <w:kern w:val="0"/>
          <w:sz w:val="24"/>
          <w:szCs w:val="24"/>
        </w:rPr>
        <w:t>。</w:t>
      </w:r>
    </w:p>
    <w:p w14:paraId="7E0A29A1">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w:t>
      </w:r>
      <w:bookmarkStart w:id="1129" w:name="_Toc304295523"/>
      <w:bookmarkStart w:id="1130" w:name="_Toc297216151"/>
      <w:bookmarkStart w:id="1131" w:name="_Toc297120459"/>
      <w:bookmarkStart w:id="1132" w:name="_Toc296346660"/>
      <w:bookmarkStart w:id="1133" w:name="_Toc296503159"/>
      <w:bookmarkStart w:id="1134" w:name="_Toc292559869"/>
      <w:bookmarkStart w:id="1135" w:name="_Toc296891199"/>
      <w:bookmarkStart w:id="1136" w:name="_Toc300934945"/>
      <w:bookmarkStart w:id="1137" w:name="_Toc303539102"/>
      <w:bookmarkStart w:id="1138" w:name="_Toc296890987"/>
      <w:bookmarkStart w:id="1139" w:name="_Toc292559364"/>
      <w:bookmarkStart w:id="1140" w:name="_Toc297048345"/>
      <w:bookmarkStart w:id="1141" w:name="_Toc312677988"/>
      <w:bookmarkStart w:id="1142" w:name="_Toc297123492"/>
      <w:bookmarkStart w:id="1143" w:name="_Toc296347158"/>
      <w:bookmarkStart w:id="1144" w:name="_Toc296944498"/>
      <w:r>
        <w:rPr>
          <w:rFonts w:hint="eastAsia" w:cs="仿宋" w:asciiTheme="minorEastAsia" w:hAnsiTheme="minorEastAsia" w:eastAsiaTheme="minorEastAsia"/>
          <w:kern w:val="0"/>
          <w:sz w:val="24"/>
          <w:szCs w:val="24"/>
        </w:rPr>
        <w:t>.5 分包</w:t>
      </w:r>
    </w:p>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p w14:paraId="58116A7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w:t>
      </w:r>
      <w:bookmarkStart w:id="1145" w:name="_Toc296944499"/>
      <w:bookmarkStart w:id="1146" w:name="_Toc312677989"/>
      <w:bookmarkStart w:id="1147" w:name="_Toc296503160"/>
      <w:bookmarkStart w:id="1148" w:name="_Toc297123493"/>
      <w:bookmarkStart w:id="1149" w:name="_Toc297120460"/>
      <w:bookmarkStart w:id="1150" w:name="_Toc296347159"/>
      <w:bookmarkStart w:id="1151" w:name="_Toc292559870"/>
      <w:bookmarkStart w:id="1152" w:name="_Toc318581158"/>
      <w:bookmarkStart w:id="1153" w:name="_Toc304295524"/>
      <w:bookmarkStart w:id="1154" w:name="_Toc297216152"/>
      <w:bookmarkStart w:id="1155" w:name="_Toc300934946"/>
      <w:bookmarkStart w:id="1156" w:name="_Toc296346661"/>
      <w:bookmarkStart w:id="1157" w:name="_Toc296890988"/>
      <w:bookmarkStart w:id="1158" w:name="_Toc296891200"/>
      <w:bookmarkStart w:id="1159" w:name="_Toc292559365"/>
      <w:bookmarkStart w:id="1160" w:name="_Toc303539103"/>
      <w:bookmarkStart w:id="1161" w:name="_Toc297048346"/>
      <w:r>
        <w:rPr>
          <w:rFonts w:hint="eastAsia" w:cs="仿宋" w:asciiTheme="minorEastAsia" w:hAnsiTheme="minorEastAsia" w:eastAsiaTheme="minorEastAsia"/>
          <w:kern w:val="0"/>
          <w:sz w:val="24"/>
          <w:szCs w:val="24"/>
        </w:rPr>
        <w:t>.5.1 分包的一般约定</w:t>
      </w:r>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Start w:id="1162" w:name="_Toc318581159"/>
      <w:bookmarkStart w:id="1163" w:name="_Toc312677990"/>
      <w:r>
        <w:rPr>
          <w:rFonts w:hint="eastAsia" w:cs="仿宋" w:asciiTheme="minorEastAsia" w:hAnsiTheme="minorEastAsia" w:eastAsiaTheme="minorEastAsia"/>
          <w:kern w:val="0"/>
          <w:sz w:val="24"/>
          <w:szCs w:val="24"/>
        </w:rPr>
        <w:t>：</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bCs/>
          <w:kern w:val="0"/>
          <w:sz w:val="24"/>
          <w:szCs w:val="24"/>
          <w:u w:val="single"/>
        </w:rPr>
        <w:t xml:space="preserve">/ </w:t>
      </w:r>
      <w:r>
        <w:rPr>
          <w:rFonts w:hint="eastAsia" w:cs="仿宋" w:asciiTheme="minorEastAsia" w:hAnsiTheme="minorEastAsia" w:eastAsiaTheme="minorEastAsia"/>
          <w:kern w:val="0"/>
          <w:sz w:val="24"/>
          <w:szCs w:val="24"/>
        </w:rPr>
        <w:t>。</w:t>
      </w:r>
    </w:p>
    <w:p w14:paraId="48477C4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3.5.2分包的确定</w:t>
      </w:r>
    </w:p>
    <w:p w14:paraId="796916FA">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允许分包的专业工程包括：</w:t>
      </w:r>
      <w:r>
        <w:rPr>
          <w:rFonts w:hint="eastAsia" w:cs="仿宋" w:asciiTheme="minorEastAsia" w:hAnsiTheme="minorEastAsia" w:eastAsiaTheme="minorEastAsia"/>
          <w:b/>
          <w:kern w:val="0"/>
          <w:sz w:val="24"/>
          <w:szCs w:val="24"/>
          <w:u w:val="single"/>
        </w:rPr>
        <w:t xml:space="preserve">   /   </w:t>
      </w:r>
      <w:r>
        <w:rPr>
          <w:rFonts w:hint="eastAsia" w:cs="仿宋" w:asciiTheme="minorEastAsia" w:hAnsiTheme="minorEastAsia" w:eastAsiaTheme="minorEastAsia"/>
          <w:kern w:val="0"/>
          <w:sz w:val="24"/>
          <w:szCs w:val="24"/>
        </w:rPr>
        <w:t>。</w:t>
      </w:r>
    </w:p>
    <w:p w14:paraId="3D64F31A">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其他关于分包的约定：</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bCs/>
          <w:kern w:val="0"/>
          <w:sz w:val="24"/>
          <w:szCs w:val="24"/>
          <w:u w:val="single"/>
        </w:rPr>
        <w:t xml:space="preserve">/ </w:t>
      </w:r>
      <w:r>
        <w:rPr>
          <w:rFonts w:hint="eastAsia" w:cs="仿宋" w:asciiTheme="minorEastAsia" w:hAnsiTheme="minorEastAsia" w:eastAsiaTheme="minorEastAsia"/>
          <w:kern w:val="0"/>
          <w:sz w:val="24"/>
          <w:szCs w:val="24"/>
        </w:rPr>
        <w:t>。</w:t>
      </w:r>
    </w:p>
    <w:p w14:paraId="6B8DE947">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3.5.4 分包合同价款</w:t>
      </w:r>
    </w:p>
    <w:p w14:paraId="3BB854C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关于分包合同价款支付的约定：</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   </w:t>
      </w:r>
      <w:r>
        <w:rPr>
          <w:rFonts w:hint="eastAsia" w:cs="仿宋" w:asciiTheme="minorEastAsia" w:hAnsiTheme="minorEastAsia" w:eastAsiaTheme="minorEastAsia"/>
          <w:kern w:val="0"/>
          <w:sz w:val="24"/>
          <w:szCs w:val="24"/>
        </w:rPr>
        <w:t>。</w:t>
      </w:r>
    </w:p>
    <w:bookmarkEnd w:id="1162"/>
    <w:bookmarkEnd w:id="1163"/>
    <w:p w14:paraId="3B31B2D3">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3.6 工程照管与成品、半成品保护</w:t>
      </w:r>
    </w:p>
    <w:p w14:paraId="5E84E1DC">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承包人负责照管工程及工程相关的材料、工程设备的起始时间：</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按通用合同条款执行</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4BF8020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3.7 履约担保</w:t>
      </w:r>
    </w:p>
    <w:p w14:paraId="31B6313E">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承包人是否提供履约担保：</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bCs/>
          <w:kern w:val="0"/>
          <w:sz w:val="24"/>
          <w:szCs w:val="24"/>
          <w:u w:val="single"/>
        </w:rPr>
        <w:t>是</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68A880C7">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承包人提供履约担保的形式、金额及期限的：</w:t>
      </w:r>
    </w:p>
    <w:p w14:paraId="499222BC">
      <w:pPr>
        <w:wordWrap w:val="0"/>
        <w:spacing w:line="500" w:lineRule="exact"/>
        <w:ind w:firstLine="482" w:firstLineChars="200"/>
        <w:rPr>
          <w:rFonts w:cs="仿宋" w:asciiTheme="minorEastAsia" w:hAnsiTheme="minorEastAsia" w:eastAsiaTheme="minorEastAsia"/>
          <w:b/>
          <w:bCs/>
          <w:kern w:val="0"/>
          <w:sz w:val="24"/>
          <w:szCs w:val="24"/>
          <w:lang w:val="zh-CN"/>
        </w:rPr>
      </w:pPr>
      <w:r>
        <w:rPr>
          <w:rFonts w:hint="eastAsia" w:cs="仿宋" w:asciiTheme="minorEastAsia" w:hAnsiTheme="minorEastAsia" w:eastAsiaTheme="minorEastAsia"/>
          <w:b/>
          <w:bCs/>
          <w:kern w:val="0"/>
          <w:sz w:val="24"/>
          <w:szCs w:val="24"/>
          <w:lang w:val="zh-CN"/>
        </w:rPr>
        <w:t>（</w:t>
      </w:r>
      <w:r>
        <w:rPr>
          <w:rFonts w:hint="eastAsia" w:cs="仿宋" w:asciiTheme="minorEastAsia" w:hAnsiTheme="minorEastAsia" w:eastAsiaTheme="minorEastAsia"/>
          <w:b/>
          <w:bCs/>
          <w:kern w:val="0"/>
          <w:sz w:val="24"/>
          <w:szCs w:val="24"/>
        </w:rPr>
        <w:t>1</w:t>
      </w:r>
      <w:r>
        <w:rPr>
          <w:rFonts w:hint="eastAsia" w:cs="仿宋" w:asciiTheme="minorEastAsia" w:hAnsiTheme="minorEastAsia" w:eastAsiaTheme="minorEastAsia"/>
          <w:b/>
          <w:bCs/>
          <w:kern w:val="0"/>
          <w:sz w:val="24"/>
          <w:szCs w:val="24"/>
          <w:lang w:val="zh-CN"/>
        </w:rPr>
        <w:t>）履约保证金的形式：</w:t>
      </w:r>
      <w:r>
        <w:rPr>
          <w:rFonts w:hint="eastAsia" w:cs="仿宋" w:asciiTheme="minorEastAsia" w:hAnsiTheme="minorEastAsia" w:eastAsiaTheme="minorEastAsia"/>
          <w:b/>
          <w:bCs/>
          <w:kern w:val="0"/>
          <w:sz w:val="24"/>
          <w:szCs w:val="24"/>
          <w:u w:val="single"/>
        </w:rPr>
        <w:t xml:space="preserve">        </w:t>
      </w:r>
      <w:r>
        <w:rPr>
          <w:rFonts w:hint="eastAsia" w:cs="仿宋" w:asciiTheme="minorEastAsia" w:hAnsiTheme="minorEastAsia" w:eastAsiaTheme="minorEastAsia"/>
          <w:b/>
          <w:bCs/>
          <w:kern w:val="0"/>
          <w:sz w:val="24"/>
          <w:szCs w:val="24"/>
          <w:lang w:val="zh-CN"/>
        </w:rPr>
        <w:t>（此处根据承包人实际提交履约保证金的形式选填，形式包括：支票、汇票、本票或者金融机构、担保机构出具的保函等非现金形式）。</w:t>
      </w:r>
    </w:p>
    <w:p w14:paraId="43A8726D">
      <w:pPr>
        <w:wordWrap w:val="0"/>
        <w:spacing w:line="500" w:lineRule="exact"/>
        <w:ind w:firstLine="482" w:firstLineChars="200"/>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lang w:val="zh-CN"/>
        </w:rPr>
        <w:t>（</w:t>
      </w:r>
      <w:r>
        <w:rPr>
          <w:rFonts w:hint="eastAsia" w:cs="仿宋" w:asciiTheme="minorEastAsia" w:hAnsiTheme="minorEastAsia" w:eastAsiaTheme="minorEastAsia"/>
          <w:b/>
          <w:bCs/>
          <w:kern w:val="0"/>
          <w:sz w:val="24"/>
          <w:szCs w:val="24"/>
        </w:rPr>
        <w:t>2</w:t>
      </w:r>
      <w:r>
        <w:rPr>
          <w:rFonts w:hint="eastAsia" w:cs="仿宋" w:asciiTheme="minorEastAsia" w:hAnsiTheme="minorEastAsia" w:eastAsiaTheme="minorEastAsia"/>
          <w:b/>
          <w:bCs/>
          <w:kern w:val="0"/>
          <w:sz w:val="24"/>
          <w:szCs w:val="24"/>
          <w:lang w:val="zh-CN"/>
        </w:rPr>
        <w:t>）履约保证金的金额：</w:t>
      </w:r>
      <w:r>
        <w:rPr>
          <w:rFonts w:hint="eastAsia" w:cs="仿宋" w:asciiTheme="minorEastAsia" w:hAnsiTheme="minorEastAsia" w:eastAsiaTheme="minorEastAsia"/>
          <w:b/>
          <w:bCs/>
          <w:kern w:val="0"/>
          <w:sz w:val="24"/>
          <w:szCs w:val="24"/>
          <w:u w:val="single"/>
        </w:rPr>
        <w:t xml:space="preserve">     </w:t>
      </w:r>
      <w:r>
        <w:rPr>
          <w:rFonts w:hint="eastAsia" w:cs="仿宋" w:asciiTheme="minorEastAsia" w:hAnsiTheme="minorEastAsia" w:eastAsiaTheme="minorEastAsia"/>
          <w:b/>
          <w:bCs/>
          <w:kern w:val="0"/>
          <w:sz w:val="24"/>
          <w:szCs w:val="24"/>
        </w:rPr>
        <w:t>元</w:t>
      </w:r>
      <w:r>
        <w:rPr>
          <w:rFonts w:hint="eastAsia" w:cs="仿宋" w:asciiTheme="minorEastAsia" w:hAnsiTheme="minorEastAsia" w:eastAsiaTheme="minorEastAsia"/>
          <w:b/>
          <w:bCs/>
          <w:kern w:val="0"/>
          <w:sz w:val="24"/>
          <w:szCs w:val="24"/>
          <w:u w:val="single"/>
        </w:rPr>
        <w:t>（</w:t>
      </w:r>
      <w:r>
        <w:rPr>
          <w:rFonts w:hint="eastAsia" w:cs="仿宋" w:asciiTheme="minorEastAsia" w:hAnsiTheme="minorEastAsia" w:eastAsiaTheme="minorEastAsia"/>
          <w:b/>
          <w:bCs/>
          <w:kern w:val="0"/>
          <w:sz w:val="24"/>
          <w:szCs w:val="24"/>
        </w:rPr>
        <w:t>成交总价</w:t>
      </w:r>
      <w:r>
        <w:rPr>
          <w:rFonts w:hint="eastAsia" w:cs="仿宋" w:asciiTheme="minorEastAsia" w:hAnsiTheme="minorEastAsia" w:eastAsiaTheme="minorEastAsia"/>
          <w:b/>
          <w:bCs/>
          <w:kern w:val="0"/>
          <w:sz w:val="24"/>
          <w:szCs w:val="24"/>
          <w:lang w:val="zh-CN"/>
        </w:rPr>
        <w:t>的</w:t>
      </w:r>
      <w:r>
        <w:rPr>
          <w:rFonts w:hint="eastAsia" w:cs="仿宋" w:asciiTheme="minorEastAsia" w:hAnsiTheme="minorEastAsia" w:eastAsiaTheme="minorEastAsia"/>
          <w:b/>
          <w:bCs/>
          <w:kern w:val="0"/>
          <w:sz w:val="24"/>
          <w:szCs w:val="24"/>
        </w:rPr>
        <w:t xml:space="preserve">   </w:t>
      </w:r>
      <w:r>
        <w:rPr>
          <w:rFonts w:hint="eastAsia" w:cs="仿宋" w:asciiTheme="minorEastAsia" w:hAnsiTheme="minorEastAsia" w:eastAsiaTheme="minorEastAsia"/>
          <w:b/>
          <w:bCs/>
          <w:kern w:val="0"/>
          <w:sz w:val="24"/>
          <w:szCs w:val="24"/>
          <w:lang w:val="zh-CN"/>
        </w:rPr>
        <w:t>%）</w:t>
      </w:r>
      <w:r>
        <w:rPr>
          <w:rFonts w:hint="eastAsia" w:cs="仿宋" w:asciiTheme="minorEastAsia" w:hAnsiTheme="minorEastAsia" w:eastAsiaTheme="minorEastAsia"/>
          <w:b/>
          <w:bCs/>
          <w:kern w:val="0"/>
          <w:sz w:val="24"/>
          <w:szCs w:val="24"/>
        </w:rPr>
        <w:t>。</w:t>
      </w:r>
    </w:p>
    <w:p w14:paraId="01F5BE45">
      <w:pPr>
        <w:wordWrap w:val="0"/>
        <w:spacing w:line="500" w:lineRule="exact"/>
        <w:ind w:firstLine="482" w:firstLineChars="200"/>
        <w:rPr>
          <w:rFonts w:cs="仿宋" w:asciiTheme="minorEastAsia" w:hAnsiTheme="minorEastAsia" w:eastAsiaTheme="minorEastAsia"/>
          <w:b/>
          <w:bCs/>
          <w:kern w:val="0"/>
          <w:sz w:val="24"/>
          <w:szCs w:val="24"/>
          <w:lang w:val="zh-CN"/>
        </w:rPr>
      </w:pPr>
      <w:r>
        <w:rPr>
          <w:rFonts w:hint="eastAsia" w:cs="仿宋" w:asciiTheme="minorEastAsia" w:hAnsiTheme="minorEastAsia" w:eastAsiaTheme="minorEastAsia"/>
          <w:b/>
          <w:bCs/>
          <w:kern w:val="0"/>
          <w:sz w:val="24"/>
          <w:szCs w:val="24"/>
          <w:lang w:val="zh-CN"/>
        </w:rPr>
        <w:t>（</w:t>
      </w:r>
      <w:r>
        <w:rPr>
          <w:rFonts w:hint="eastAsia" w:cs="仿宋" w:asciiTheme="minorEastAsia" w:hAnsiTheme="minorEastAsia" w:eastAsiaTheme="minorEastAsia"/>
          <w:b/>
          <w:bCs/>
          <w:kern w:val="0"/>
          <w:sz w:val="24"/>
          <w:szCs w:val="24"/>
        </w:rPr>
        <w:t>3</w:t>
      </w:r>
      <w:r>
        <w:rPr>
          <w:rFonts w:hint="eastAsia" w:cs="仿宋" w:asciiTheme="minorEastAsia" w:hAnsiTheme="minorEastAsia" w:eastAsiaTheme="minorEastAsia"/>
          <w:b/>
          <w:bCs/>
          <w:kern w:val="0"/>
          <w:sz w:val="24"/>
          <w:szCs w:val="24"/>
          <w:lang w:val="zh-CN"/>
        </w:rPr>
        <w:t>）期限：自发包人与承包人签订的合同生效之日起至发包人签发或应签发工程接收证书之日止。</w:t>
      </w:r>
    </w:p>
    <w:p w14:paraId="2DD2D77A">
      <w:pPr>
        <w:wordWrap w:val="0"/>
        <w:spacing w:line="500" w:lineRule="exact"/>
        <w:ind w:firstLine="482" w:firstLineChars="200"/>
        <w:rPr>
          <w:rFonts w:cs="仿宋" w:asciiTheme="minorEastAsia" w:hAnsiTheme="minorEastAsia" w:eastAsiaTheme="minorEastAsia"/>
          <w:b/>
          <w:bCs/>
          <w:kern w:val="0"/>
          <w:sz w:val="24"/>
          <w:szCs w:val="24"/>
          <w:u w:val="single"/>
        </w:rPr>
      </w:pPr>
      <w:r>
        <w:rPr>
          <w:rFonts w:hint="eastAsia" w:cs="仿宋" w:asciiTheme="minorEastAsia" w:hAnsiTheme="minorEastAsia" w:eastAsiaTheme="minorEastAsia"/>
          <w:b/>
          <w:bCs/>
          <w:kern w:val="0"/>
          <w:sz w:val="24"/>
          <w:szCs w:val="24"/>
          <w:lang w:val="zh-CN"/>
        </w:rPr>
        <w:t>（</w:t>
      </w:r>
      <w:r>
        <w:rPr>
          <w:rFonts w:hint="eastAsia" w:cs="仿宋" w:asciiTheme="minorEastAsia" w:hAnsiTheme="minorEastAsia" w:eastAsiaTheme="minorEastAsia"/>
          <w:b/>
          <w:bCs/>
          <w:kern w:val="0"/>
          <w:sz w:val="24"/>
          <w:szCs w:val="24"/>
        </w:rPr>
        <w:t>4</w:t>
      </w:r>
      <w:r>
        <w:rPr>
          <w:rFonts w:hint="eastAsia" w:cs="仿宋" w:asciiTheme="minorEastAsia" w:hAnsiTheme="minorEastAsia" w:eastAsiaTheme="minorEastAsia"/>
          <w:b/>
          <w:bCs/>
          <w:kern w:val="0"/>
          <w:sz w:val="24"/>
          <w:szCs w:val="24"/>
          <w:lang w:val="zh-CN"/>
        </w:rPr>
        <w:t>）如果承包人不履行合同约定的义务或其履行不符合合同的约定，发包人有权扣划相应金额的履约保证金。采用银行转账的形式提交履约保证金的，履约保证金期满后发包人无息返还剩余部分履约保证金</w:t>
      </w:r>
      <w:r>
        <w:rPr>
          <w:rFonts w:hint="eastAsia" w:cs="仿宋" w:asciiTheme="minorEastAsia" w:hAnsiTheme="minorEastAsia" w:eastAsiaTheme="minorEastAsia"/>
          <w:b/>
          <w:bCs/>
          <w:kern w:val="0"/>
          <w:sz w:val="24"/>
          <w:szCs w:val="24"/>
        </w:rPr>
        <w:t>。</w:t>
      </w:r>
    </w:p>
    <w:p w14:paraId="22617068">
      <w:pPr>
        <w:wordWrap w:val="0"/>
        <w:spacing w:line="500" w:lineRule="exact"/>
        <w:ind w:firstLine="480" w:firstLineChars="200"/>
        <w:outlineLvl w:val="3"/>
        <w:rPr>
          <w:rFonts w:cs="仿宋" w:asciiTheme="minorEastAsia" w:hAnsiTheme="minorEastAsia" w:eastAsiaTheme="minorEastAsia"/>
          <w:bCs/>
          <w:kern w:val="0"/>
          <w:sz w:val="24"/>
          <w:szCs w:val="24"/>
        </w:rPr>
      </w:pPr>
      <w:bookmarkStart w:id="1164" w:name="_Toc351203636"/>
      <w:r>
        <w:rPr>
          <w:rFonts w:hint="eastAsia" w:cs="仿宋" w:asciiTheme="minorEastAsia" w:hAnsiTheme="minorEastAsia" w:eastAsiaTheme="minorEastAsia"/>
          <w:bCs/>
          <w:kern w:val="0"/>
          <w:sz w:val="24"/>
          <w:szCs w:val="24"/>
        </w:rPr>
        <w:t>4</w:t>
      </w:r>
      <w:bookmarkStart w:id="1165" w:name="_Toc296346663"/>
      <w:bookmarkStart w:id="1166" w:name="_Toc296503162"/>
      <w:bookmarkStart w:id="1167" w:name="_Toc292559871"/>
      <w:bookmarkStart w:id="1168" w:name="_Toc267251413"/>
      <w:bookmarkStart w:id="1169" w:name="_Toc297120462"/>
      <w:bookmarkStart w:id="1170" w:name="_Toc296891202"/>
      <w:bookmarkStart w:id="1171" w:name="_Toc296944501"/>
      <w:bookmarkStart w:id="1172" w:name="_Toc296347161"/>
      <w:bookmarkStart w:id="1173" w:name="_Toc292559366"/>
      <w:bookmarkStart w:id="1174" w:name="_Toc296890990"/>
      <w:bookmarkStart w:id="1175" w:name="_Toc297048348"/>
      <w:r>
        <w:rPr>
          <w:rFonts w:hint="eastAsia" w:cs="仿宋" w:asciiTheme="minorEastAsia" w:hAnsiTheme="minorEastAsia" w:eastAsiaTheme="minorEastAsia"/>
          <w:bCs/>
          <w:kern w:val="0"/>
          <w:sz w:val="24"/>
          <w:szCs w:val="24"/>
        </w:rPr>
        <w:t>. 监</w:t>
      </w:r>
      <w:bookmarkEnd w:id="1165"/>
      <w:bookmarkEnd w:id="1166"/>
      <w:bookmarkEnd w:id="1167"/>
      <w:bookmarkEnd w:id="1168"/>
      <w:bookmarkEnd w:id="1169"/>
      <w:bookmarkEnd w:id="1170"/>
      <w:bookmarkEnd w:id="1171"/>
      <w:bookmarkEnd w:id="1172"/>
      <w:bookmarkEnd w:id="1173"/>
      <w:bookmarkEnd w:id="1174"/>
      <w:bookmarkEnd w:id="1175"/>
      <w:r>
        <w:rPr>
          <w:rFonts w:hint="eastAsia" w:cs="仿宋" w:asciiTheme="minorEastAsia" w:hAnsiTheme="minorEastAsia" w:eastAsiaTheme="minorEastAsia"/>
          <w:bCs/>
          <w:kern w:val="0"/>
          <w:sz w:val="24"/>
          <w:szCs w:val="24"/>
        </w:rPr>
        <w:t>理人</w:t>
      </w:r>
      <w:bookmarkEnd w:id="1164"/>
    </w:p>
    <w:p w14:paraId="44269015">
      <w:pPr>
        <w:wordWrap w:val="0"/>
        <w:spacing w:line="500" w:lineRule="exact"/>
        <w:ind w:firstLine="480" w:firstLineChars="200"/>
        <w:outlineLvl w:val="3"/>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4.1监理人的一般规定</w:t>
      </w:r>
    </w:p>
    <w:p w14:paraId="5282168B">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关于监理人的监理内容：</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见监理合同</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57A30277">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关于监理人的监理权限：</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见监理合同</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 xml:space="preserve">。 </w:t>
      </w:r>
    </w:p>
    <w:p w14:paraId="636AC5A3">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关于监理人在施工现场的办公场所、生活场所的提供和费用承担的约定：</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由承包人承担。</w:t>
      </w:r>
    </w:p>
    <w:p w14:paraId="492B395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4.2 监理人员</w:t>
      </w:r>
    </w:p>
    <w:p w14:paraId="46E2A7E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总监理工程师：</w:t>
      </w:r>
    </w:p>
    <w:p w14:paraId="550DEA96">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姓    名：</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57E516E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职    务：</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412FA20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监理工程师执业资格证书号：</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34CEA3AF">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联系电话：</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3DA5AA83">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电子信箱：</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3F5D637A">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通信地址：</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2D0E02C3">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关于监理人的其他约定：</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3984492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4.4 商定或确定</w:t>
      </w:r>
    </w:p>
    <w:p w14:paraId="30DC88AA">
      <w:pPr>
        <w:wordWrap w:val="0"/>
        <w:spacing w:line="500" w:lineRule="exact"/>
        <w:ind w:firstLine="480" w:firstLineChars="200"/>
        <w:rPr>
          <w:rFonts w:cs="仿宋" w:asciiTheme="minorEastAsia" w:hAnsiTheme="minorEastAsia" w:eastAsiaTheme="minorEastAsia"/>
          <w:kern w:val="0"/>
          <w:sz w:val="24"/>
          <w:szCs w:val="24"/>
        </w:rPr>
      </w:pPr>
      <w:bookmarkStart w:id="1176" w:name="_Toc267251418"/>
      <w:r>
        <w:rPr>
          <w:rFonts w:hint="eastAsia" w:cs="仿宋" w:asciiTheme="minorEastAsia" w:hAnsiTheme="minorEastAsia" w:eastAsiaTheme="minorEastAsia"/>
          <w:kern w:val="0"/>
          <w:sz w:val="24"/>
          <w:szCs w:val="24"/>
        </w:rPr>
        <w:t>在发包人和承包人不能通过协商达成一致意见时，发包人授权监理人对以下事项进行确定：</w:t>
      </w:r>
    </w:p>
    <w:p w14:paraId="2C476376">
      <w:pPr>
        <w:wordWrap w:val="0"/>
        <w:autoSpaceDE w:val="0"/>
        <w:autoSpaceDN w:val="0"/>
        <w:adjustRightInd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w:t>
      </w:r>
      <w:r>
        <w:rPr>
          <w:rFonts w:hint="eastAsia" w:cs="仿宋" w:asciiTheme="minorEastAsia" w:hAnsiTheme="minorEastAsia" w:eastAsiaTheme="minorEastAsia"/>
          <w:kern w:val="0"/>
          <w:sz w:val="24"/>
          <w:szCs w:val="24"/>
          <w:u w:val="single"/>
        </w:rPr>
        <w:t xml:space="preserve">         /              </w:t>
      </w:r>
      <w:r>
        <w:rPr>
          <w:rFonts w:hint="eastAsia" w:cs="仿宋" w:asciiTheme="minorEastAsia" w:hAnsiTheme="minorEastAsia" w:eastAsiaTheme="minorEastAsia"/>
          <w:kern w:val="0"/>
          <w:sz w:val="24"/>
          <w:szCs w:val="24"/>
        </w:rPr>
        <w:t>；</w:t>
      </w:r>
    </w:p>
    <w:p w14:paraId="1598ED7C">
      <w:pPr>
        <w:wordWrap w:val="0"/>
        <w:autoSpaceDE w:val="0"/>
        <w:autoSpaceDN w:val="0"/>
        <w:adjustRightInd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w:t>
      </w:r>
      <w:r>
        <w:rPr>
          <w:rFonts w:hint="eastAsia" w:cs="仿宋" w:asciiTheme="minorEastAsia" w:hAnsiTheme="minorEastAsia" w:eastAsiaTheme="minorEastAsia"/>
          <w:kern w:val="0"/>
          <w:sz w:val="24"/>
          <w:szCs w:val="24"/>
          <w:u w:val="single"/>
        </w:rPr>
        <w:t xml:space="preserve">        /               </w:t>
      </w:r>
      <w:r>
        <w:rPr>
          <w:rFonts w:hint="eastAsia" w:cs="仿宋" w:asciiTheme="minorEastAsia" w:hAnsiTheme="minorEastAsia" w:eastAsiaTheme="minorEastAsia"/>
          <w:kern w:val="0"/>
          <w:sz w:val="24"/>
          <w:szCs w:val="24"/>
        </w:rPr>
        <w:t>；</w:t>
      </w:r>
    </w:p>
    <w:p w14:paraId="33235F5E">
      <w:pPr>
        <w:wordWrap w:val="0"/>
        <w:autoSpaceDE w:val="0"/>
        <w:autoSpaceDN w:val="0"/>
        <w:adjustRightInd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w:t>
      </w:r>
      <w:r>
        <w:rPr>
          <w:rFonts w:hint="eastAsia" w:cs="仿宋" w:asciiTheme="minorEastAsia" w:hAnsiTheme="minorEastAsia" w:eastAsiaTheme="minorEastAsia"/>
          <w:kern w:val="0"/>
          <w:sz w:val="24"/>
          <w:szCs w:val="24"/>
          <w:u w:val="single"/>
        </w:rPr>
        <w:t xml:space="preserve">        /               </w:t>
      </w:r>
      <w:r>
        <w:rPr>
          <w:rFonts w:hint="eastAsia" w:cs="仿宋" w:asciiTheme="minorEastAsia" w:hAnsiTheme="minorEastAsia" w:eastAsiaTheme="minorEastAsia"/>
          <w:kern w:val="0"/>
          <w:sz w:val="24"/>
          <w:szCs w:val="24"/>
        </w:rPr>
        <w:t>。</w:t>
      </w:r>
    </w:p>
    <w:p w14:paraId="575FBCEE">
      <w:pPr>
        <w:wordWrap w:val="0"/>
        <w:spacing w:line="500" w:lineRule="exact"/>
        <w:ind w:firstLine="480" w:firstLineChars="200"/>
        <w:outlineLvl w:val="3"/>
        <w:rPr>
          <w:rFonts w:cs="仿宋" w:asciiTheme="minorEastAsia" w:hAnsiTheme="minorEastAsia" w:eastAsiaTheme="minorEastAsia"/>
          <w:kern w:val="0"/>
          <w:sz w:val="24"/>
          <w:szCs w:val="24"/>
        </w:rPr>
      </w:pPr>
      <w:bookmarkStart w:id="1177" w:name="_Toc351203637"/>
      <w:r>
        <w:rPr>
          <w:rFonts w:hint="eastAsia" w:cs="仿宋" w:asciiTheme="minorEastAsia" w:hAnsiTheme="minorEastAsia" w:eastAsiaTheme="minorEastAsia"/>
          <w:kern w:val="0"/>
          <w:sz w:val="24"/>
          <w:szCs w:val="24"/>
        </w:rPr>
        <w:t>5</w:t>
      </w:r>
      <w:bookmarkEnd w:id="1176"/>
      <w:bookmarkStart w:id="1178" w:name="_Toc297048349"/>
      <w:bookmarkStart w:id="1179" w:name="_Toc297120463"/>
      <w:bookmarkStart w:id="1180" w:name="_Toc296503163"/>
      <w:bookmarkStart w:id="1181" w:name="_Toc292559367"/>
      <w:bookmarkStart w:id="1182" w:name="_Toc296944502"/>
      <w:bookmarkStart w:id="1183" w:name="_Toc296891203"/>
      <w:bookmarkStart w:id="1184" w:name="_Toc296346664"/>
      <w:bookmarkStart w:id="1185" w:name="_Toc296890991"/>
      <w:bookmarkStart w:id="1186" w:name="_Toc292559872"/>
      <w:bookmarkStart w:id="1187" w:name="_Toc296347162"/>
      <w:r>
        <w:rPr>
          <w:rFonts w:hint="eastAsia" w:cs="仿宋" w:asciiTheme="minorEastAsia" w:hAnsiTheme="minorEastAsia" w:eastAsiaTheme="minorEastAsia"/>
          <w:kern w:val="0"/>
          <w:sz w:val="24"/>
          <w:szCs w:val="24"/>
        </w:rPr>
        <w:t>. 工程质量</w:t>
      </w:r>
      <w:bookmarkEnd w:id="1177"/>
    </w:p>
    <w:p w14:paraId="799A1BE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5.1 质量要求</w:t>
      </w:r>
    </w:p>
    <w:p w14:paraId="5FDDFC9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w:t>
      </w:r>
      <w:bookmarkStart w:id="1188" w:name="_Toc297123496"/>
      <w:bookmarkStart w:id="1189" w:name="_Toc300934949"/>
      <w:bookmarkStart w:id="1190" w:name="_Toc312677997"/>
      <w:bookmarkStart w:id="1191" w:name="_Toc318581164"/>
      <w:bookmarkStart w:id="1192" w:name="_Toc297216155"/>
      <w:bookmarkStart w:id="1193" w:name="_Toc304295527"/>
      <w:bookmarkStart w:id="1194" w:name="_Toc303539106"/>
      <w:r>
        <w:rPr>
          <w:rFonts w:hint="eastAsia" w:cs="仿宋" w:asciiTheme="minorEastAsia" w:hAnsiTheme="minorEastAsia" w:eastAsiaTheme="minorEastAsia"/>
          <w:kern w:val="0"/>
          <w:sz w:val="24"/>
          <w:szCs w:val="24"/>
        </w:rPr>
        <w:t>.1.1 特殊质量标准和要求：</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合格   </w:t>
      </w:r>
      <w:r>
        <w:rPr>
          <w:rFonts w:hint="eastAsia" w:cs="仿宋" w:asciiTheme="minorEastAsia" w:hAnsiTheme="minorEastAsia" w:eastAsiaTheme="minorEastAsia"/>
          <w:kern w:val="0"/>
          <w:sz w:val="24"/>
          <w:szCs w:val="24"/>
        </w:rPr>
        <w:t>。</w:t>
      </w:r>
    </w:p>
    <w:p w14:paraId="463775F5">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关于工程奖项的约定：</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    </w:t>
      </w:r>
      <w:r>
        <w:rPr>
          <w:rFonts w:hint="eastAsia" w:cs="仿宋" w:asciiTheme="minorEastAsia" w:hAnsiTheme="minorEastAsia" w:eastAsiaTheme="minorEastAsia"/>
          <w:kern w:val="0"/>
          <w:sz w:val="24"/>
          <w:szCs w:val="24"/>
        </w:rPr>
        <w:t>。</w:t>
      </w:r>
    </w:p>
    <w:p w14:paraId="12A54943">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5.3 隐蔽工程检查</w:t>
      </w:r>
    </w:p>
    <w:p w14:paraId="212E4667">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5.3.2承包人提前通知监理人隐蔽工程检查的期限的约定：</w:t>
      </w:r>
      <w:r>
        <w:rPr>
          <w:rFonts w:hint="eastAsia" w:cs="仿宋" w:asciiTheme="minorEastAsia" w:hAnsiTheme="minorEastAsia" w:eastAsiaTheme="minorEastAsia"/>
          <w:b/>
          <w:kern w:val="0"/>
          <w:sz w:val="24"/>
          <w:szCs w:val="24"/>
          <w:u w:val="single"/>
        </w:rPr>
        <w:t>共同检查前48小时书面通知监理人</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2E343D3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监理人不能按时进行检查时，应提前</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12</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小时提交书面延期要求。</w:t>
      </w:r>
    </w:p>
    <w:p w14:paraId="4AE94233">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关于延期最长不得超过：</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24</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小时。</w:t>
      </w:r>
    </w:p>
    <w:p w14:paraId="5290A0E9">
      <w:pPr>
        <w:wordWrap w:val="0"/>
        <w:spacing w:line="500" w:lineRule="exact"/>
        <w:ind w:firstLine="480" w:firstLineChars="200"/>
        <w:outlineLvl w:val="3"/>
        <w:rPr>
          <w:rFonts w:cs="仿宋" w:asciiTheme="minorEastAsia" w:hAnsiTheme="minorEastAsia" w:eastAsiaTheme="minorEastAsia"/>
          <w:kern w:val="0"/>
          <w:sz w:val="24"/>
          <w:szCs w:val="24"/>
        </w:rPr>
      </w:pPr>
      <w:bookmarkStart w:id="1195" w:name="_Toc351203638"/>
      <w:r>
        <w:rPr>
          <w:rFonts w:hint="eastAsia" w:cs="仿宋" w:asciiTheme="minorEastAsia" w:hAnsiTheme="minorEastAsia" w:eastAsiaTheme="minorEastAsia"/>
          <w:kern w:val="0"/>
          <w:sz w:val="24"/>
          <w:szCs w:val="24"/>
        </w:rPr>
        <w:t>6. 安全文明施工与环境保护</w:t>
      </w:r>
      <w:bookmarkEnd w:id="1195"/>
    </w:p>
    <w:p w14:paraId="4F3A2F4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6.1安全文明施工</w:t>
      </w:r>
    </w:p>
    <w:p w14:paraId="6450F10C">
      <w:pPr>
        <w:widowControl/>
        <w:wordWrap w:val="0"/>
        <w:spacing w:line="500" w:lineRule="exact"/>
        <w:ind w:firstLine="480" w:firstLineChars="200"/>
        <w:rPr>
          <w:rFonts w:cs="仿宋" w:asciiTheme="minorEastAsia" w:hAnsiTheme="minorEastAsia" w:eastAsiaTheme="minorEastAsia"/>
          <w:b/>
          <w:kern w:val="0"/>
          <w:sz w:val="24"/>
          <w:szCs w:val="24"/>
          <w:u w:val="single"/>
        </w:rPr>
      </w:pPr>
      <w:r>
        <w:rPr>
          <w:rFonts w:hint="eastAsia" w:cs="仿宋" w:asciiTheme="minorEastAsia" w:hAnsiTheme="minorEastAsia" w:eastAsiaTheme="minorEastAsia"/>
          <w:kern w:val="0"/>
          <w:sz w:val="24"/>
          <w:szCs w:val="24"/>
        </w:rPr>
        <w:t>6.1.1 项目安全生产的达标目标及相应事项的约定：</w:t>
      </w:r>
      <w:r>
        <w:rPr>
          <w:rFonts w:hint="eastAsia" w:cs="仿宋" w:asciiTheme="minorEastAsia" w:hAnsiTheme="minorEastAsia" w:eastAsiaTheme="minorEastAsia"/>
          <w:b/>
          <w:kern w:val="0"/>
          <w:sz w:val="24"/>
          <w:szCs w:val="24"/>
          <w:u w:val="single" w:color="000000"/>
        </w:rPr>
        <w:t>承包人应遵守工程建设安全生产有关管理规定，严格按现行安全标准组织施工，并随时接受行业安全检查人员依法实施的监督检查，采取必要的安全防护措施，消除事故隐患。其安全文明施工费已经含在签约合同价内。</w:t>
      </w:r>
      <w:r>
        <w:rPr>
          <w:rFonts w:hint="eastAsia" w:cs="仿宋" w:asciiTheme="minorEastAsia" w:hAnsiTheme="minorEastAsia" w:eastAsiaTheme="minorEastAsia"/>
          <w:b/>
          <w:kern w:val="0"/>
          <w:sz w:val="24"/>
          <w:szCs w:val="24"/>
          <w:u w:val="single"/>
        </w:rPr>
        <w:t>本工程在整个施工期间杜绝一切人身伤亡和重大质量安全事故，如发生上述事故，应接受政府相关部门处罚并承担由此产生的一切经济和法律责任。</w:t>
      </w:r>
    </w:p>
    <w:p w14:paraId="085FB1CA">
      <w:pPr>
        <w:wordWrap w:val="0"/>
        <w:autoSpaceDE w:val="0"/>
        <w:autoSpaceDN w:val="0"/>
        <w:adjustRightInd w:val="0"/>
        <w:spacing w:line="500" w:lineRule="exact"/>
        <w:ind w:firstLine="480" w:firstLineChars="200"/>
        <w:rPr>
          <w:rFonts w:cs="仿宋" w:asciiTheme="minorEastAsia" w:hAnsiTheme="minorEastAsia" w:eastAsiaTheme="minorEastAsia"/>
          <w:b/>
          <w:kern w:val="0"/>
          <w:sz w:val="24"/>
          <w:szCs w:val="24"/>
          <w:u w:val="single" w:color="000000"/>
        </w:rPr>
      </w:pPr>
      <w:r>
        <w:rPr>
          <w:rFonts w:hint="eastAsia" w:cs="仿宋" w:asciiTheme="minorEastAsia" w:hAnsiTheme="minorEastAsia" w:eastAsiaTheme="minorEastAsia"/>
          <w:kern w:val="0"/>
          <w:sz w:val="24"/>
          <w:szCs w:val="24"/>
        </w:rPr>
        <w:t>6.1.4 关于治安保卫的特别约定：</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按通用合同条款执行</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3C7D3E0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关于编制施工场地治安管理计划的约定：</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开工前提供</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731E0F6A">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6.1.5 文明施工</w:t>
      </w:r>
    </w:p>
    <w:p w14:paraId="6787ECC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合同当事人对文明施工的要求：</w:t>
      </w:r>
      <w:r>
        <w:rPr>
          <w:rFonts w:hint="eastAsia" w:cs="仿宋" w:asciiTheme="minorEastAsia" w:hAnsiTheme="minorEastAsia" w:eastAsiaTheme="minorEastAsia"/>
          <w:b/>
          <w:kern w:val="0"/>
          <w:sz w:val="24"/>
          <w:szCs w:val="24"/>
          <w:u w:val="single"/>
        </w:rPr>
        <w:t>按通用合同条款执行</w:t>
      </w:r>
      <w:r>
        <w:rPr>
          <w:rFonts w:hint="eastAsia" w:cs="仿宋" w:asciiTheme="minorEastAsia" w:hAnsiTheme="minorEastAsia" w:eastAsiaTheme="minorEastAsia"/>
          <w:kern w:val="0"/>
          <w:sz w:val="24"/>
          <w:szCs w:val="24"/>
        </w:rPr>
        <w:t>。</w:t>
      </w:r>
    </w:p>
    <w:p w14:paraId="16E1A8D3">
      <w:pPr>
        <w:wordWrap w:val="0"/>
        <w:snapToGrid w:val="0"/>
        <w:spacing w:line="500" w:lineRule="exact"/>
        <w:ind w:firstLine="480" w:firstLineChars="200"/>
        <w:rPr>
          <w:rFonts w:cs="仿宋" w:asciiTheme="minorEastAsia" w:hAnsiTheme="minorEastAsia" w:eastAsiaTheme="minorEastAsia"/>
          <w:b/>
          <w:kern w:val="0"/>
          <w:sz w:val="24"/>
          <w:szCs w:val="24"/>
          <w:u w:val="single"/>
        </w:rPr>
      </w:pPr>
      <w:r>
        <w:rPr>
          <w:rFonts w:hint="eastAsia" w:cs="仿宋" w:asciiTheme="minorEastAsia" w:hAnsiTheme="minorEastAsia" w:eastAsiaTheme="minorEastAsia"/>
          <w:kern w:val="0"/>
          <w:sz w:val="24"/>
          <w:szCs w:val="24"/>
        </w:rPr>
        <w:t>6.1.6 关于安全文明施工费支付比例和支付期限的约定：</w:t>
      </w:r>
      <w:r>
        <w:rPr>
          <w:rFonts w:hint="eastAsia" w:cs="仿宋" w:asciiTheme="minorEastAsia" w:hAnsiTheme="minorEastAsia" w:eastAsiaTheme="minorEastAsia"/>
          <w:b/>
          <w:bCs/>
          <w:kern w:val="0"/>
          <w:sz w:val="24"/>
          <w:szCs w:val="24"/>
          <w:u w:val="single"/>
        </w:rPr>
        <w:t>安全文明施工费</w:t>
      </w:r>
      <w:r>
        <w:rPr>
          <w:rFonts w:hint="eastAsia" w:cs="仿宋" w:asciiTheme="minorEastAsia" w:hAnsiTheme="minorEastAsia" w:eastAsiaTheme="minorEastAsia"/>
          <w:b/>
          <w:kern w:val="0"/>
          <w:sz w:val="24"/>
          <w:szCs w:val="24"/>
          <w:u w:val="single"/>
        </w:rPr>
        <w:t>按工程进度款约定同期支付。</w:t>
      </w:r>
    </w:p>
    <w:bookmarkEnd w:id="1188"/>
    <w:bookmarkEnd w:id="1189"/>
    <w:bookmarkEnd w:id="1190"/>
    <w:bookmarkEnd w:id="1191"/>
    <w:bookmarkEnd w:id="1192"/>
    <w:bookmarkEnd w:id="1193"/>
    <w:bookmarkEnd w:id="1194"/>
    <w:p w14:paraId="61E14B16">
      <w:pPr>
        <w:wordWrap w:val="0"/>
        <w:spacing w:line="500" w:lineRule="exact"/>
        <w:ind w:firstLine="480" w:firstLineChars="200"/>
        <w:outlineLvl w:val="3"/>
        <w:rPr>
          <w:rFonts w:cs="仿宋" w:asciiTheme="minorEastAsia" w:hAnsiTheme="minorEastAsia" w:eastAsiaTheme="minorEastAsia"/>
          <w:kern w:val="0"/>
          <w:sz w:val="24"/>
          <w:szCs w:val="24"/>
        </w:rPr>
      </w:pPr>
      <w:bookmarkStart w:id="1196" w:name="_Toc351203639"/>
      <w:r>
        <w:rPr>
          <w:rFonts w:hint="eastAsia" w:cs="仿宋" w:asciiTheme="minorEastAsia" w:hAnsiTheme="minorEastAsia" w:eastAsiaTheme="minorEastAsia"/>
          <w:kern w:val="0"/>
          <w:sz w:val="24"/>
          <w:szCs w:val="24"/>
        </w:rPr>
        <w:t>7. 工期和进度</w:t>
      </w:r>
      <w:bookmarkEnd w:id="1196"/>
    </w:p>
    <w:p w14:paraId="434E5CD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7.1 施工组织设计</w:t>
      </w:r>
    </w:p>
    <w:p w14:paraId="26E3CDA7">
      <w:pPr>
        <w:wordWrap w:val="0"/>
        <w:snapToGrid w:val="0"/>
        <w:spacing w:line="500" w:lineRule="exact"/>
        <w:ind w:firstLine="482" w:firstLineChars="200"/>
        <w:rPr>
          <w:rFonts w:cs="仿宋" w:asciiTheme="minorEastAsia" w:hAnsiTheme="minorEastAsia" w:eastAsiaTheme="minorEastAsia"/>
          <w:b/>
          <w:kern w:val="0"/>
          <w:sz w:val="24"/>
          <w:szCs w:val="24"/>
          <w:u w:val="single"/>
        </w:rPr>
      </w:pPr>
      <w:r>
        <w:rPr>
          <w:rFonts w:hint="eastAsia" w:cs="仿宋" w:asciiTheme="minorEastAsia" w:hAnsiTheme="minorEastAsia" w:eastAsiaTheme="minorEastAsia"/>
          <w:b/>
          <w:kern w:val="0"/>
          <w:sz w:val="24"/>
          <w:szCs w:val="24"/>
          <w:u w:val="single"/>
        </w:rPr>
        <w:t xml:space="preserve">                                       </w:t>
      </w:r>
    </w:p>
    <w:p w14:paraId="6F99C74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w:t>
      </w:r>
      <w:bookmarkStart w:id="1197" w:name="_Toc297216173"/>
      <w:bookmarkStart w:id="1198" w:name="_Toc304295541"/>
      <w:bookmarkStart w:id="1199" w:name="_Toc312678005"/>
      <w:bookmarkStart w:id="1200" w:name="_Toc312677479"/>
      <w:bookmarkStart w:id="1201" w:name="_Toc303539123"/>
      <w:bookmarkStart w:id="1202" w:name="_Toc300934966"/>
      <w:bookmarkStart w:id="1203" w:name="_Toc297123514"/>
      <w:r>
        <w:rPr>
          <w:rFonts w:hint="eastAsia" w:cs="仿宋" w:asciiTheme="minorEastAsia" w:hAnsiTheme="minorEastAsia" w:eastAsiaTheme="minorEastAsia"/>
          <w:kern w:val="0"/>
          <w:sz w:val="24"/>
          <w:szCs w:val="24"/>
        </w:rPr>
        <w:t>.2 施工进度计划</w:t>
      </w:r>
    </w:p>
    <w:p w14:paraId="0DD9A3D7">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7.2.2 施工进度计划的修订</w:t>
      </w:r>
    </w:p>
    <w:p w14:paraId="5B2DB788">
      <w:pPr>
        <w:wordWrap w:val="0"/>
        <w:snapToGrid w:val="0"/>
        <w:spacing w:line="500" w:lineRule="exact"/>
        <w:ind w:firstLine="480" w:firstLineChars="200"/>
        <w:rPr>
          <w:rFonts w:cs="仿宋" w:asciiTheme="minorEastAsia" w:hAnsiTheme="minorEastAsia" w:eastAsiaTheme="minorEastAsia"/>
          <w:b/>
          <w:bCs/>
          <w:kern w:val="0"/>
          <w:sz w:val="24"/>
          <w:szCs w:val="24"/>
          <w:u w:val="single"/>
        </w:rPr>
      </w:pPr>
      <w:r>
        <w:rPr>
          <w:rFonts w:hint="eastAsia" w:cs="仿宋" w:asciiTheme="minorEastAsia" w:hAnsiTheme="minorEastAsia" w:eastAsiaTheme="minorEastAsia"/>
          <w:kern w:val="0"/>
          <w:sz w:val="24"/>
          <w:szCs w:val="24"/>
        </w:rPr>
        <w:t>发包人和监理人在收到修订的施工进度计划后确认或提出修改意见的期限：</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bCs/>
          <w:kern w:val="0"/>
          <w:sz w:val="24"/>
          <w:szCs w:val="24"/>
          <w:u w:val="single"/>
        </w:rPr>
        <w:t xml:space="preserve">7天 </w:t>
      </w:r>
      <w:r>
        <w:rPr>
          <w:rFonts w:hint="eastAsia" w:cs="仿宋" w:asciiTheme="minorEastAsia" w:hAnsiTheme="minorEastAsia" w:eastAsiaTheme="minorEastAsia"/>
          <w:kern w:val="0"/>
          <w:sz w:val="24"/>
          <w:szCs w:val="24"/>
        </w:rPr>
        <w:t>。</w:t>
      </w:r>
    </w:p>
    <w:p w14:paraId="7D24195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7.2.3</w:t>
      </w:r>
      <w:r>
        <w:rPr>
          <w:rFonts w:hint="eastAsia" w:cs="仿宋" w:asciiTheme="minorEastAsia" w:hAnsiTheme="minorEastAsia" w:eastAsiaTheme="minorEastAsia"/>
          <w:b/>
          <w:bCs/>
          <w:kern w:val="0"/>
          <w:sz w:val="24"/>
          <w:szCs w:val="24"/>
          <w:u w:val="single"/>
        </w:rPr>
        <w:t>承包人应在每月  日前提供次月施工进度计划表</w:t>
      </w:r>
      <w:r>
        <w:rPr>
          <w:rFonts w:hint="eastAsia" w:cs="仿宋" w:asciiTheme="minorEastAsia" w:hAnsiTheme="minorEastAsia" w:eastAsiaTheme="minorEastAsia"/>
          <w:kern w:val="0"/>
          <w:sz w:val="24"/>
          <w:szCs w:val="24"/>
        </w:rPr>
        <w:t>。</w:t>
      </w:r>
    </w:p>
    <w:p w14:paraId="60AA1476">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7.3 开工</w:t>
      </w:r>
    </w:p>
    <w:p w14:paraId="6735B99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7.3.1 开工准备</w:t>
      </w:r>
    </w:p>
    <w:p w14:paraId="313FA56B">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关于承包人提交工程开工报审表的期限：</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开工前  天</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7D2FC932">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关于发包人应完成的其他开工准备工作及期限：</w:t>
      </w:r>
      <w:r>
        <w:rPr>
          <w:rFonts w:hint="eastAsia" w:cs="仿宋" w:asciiTheme="minorEastAsia" w:hAnsiTheme="minorEastAsia" w:eastAsiaTheme="minorEastAsia"/>
          <w:kern w:val="0"/>
          <w:sz w:val="24"/>
          <w:szCs w:val="24"/>
          <w:u w:val="single"/>
        </w:rPr>
        <w:t xml:space="preserve">     /    </w:t>
      </w:r>
      <w:r>
        <w:rPr>
          <w:rFonts w:hint="eastAsia" w:cs="仿宋" w:asciiTheme="minorEastAsia" w:hAnsiTheme="minorEastAsia" w:eastAsiaTheme="minorEastAsia"/>
          <w:kern w:val="0"/>
          <w:sz w:val="24"/>
          <w:szCs w:val="24"/>
        </w:rPr>
        <w:t>。</w:t>
      </w:r>
    </w:p>
    <w:p w14:paraId="6AE7BC17">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关于承包人应完成的其他开工准备工作及期限：</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bCs/>
          <w:kern w:val="0"/>
          <w:sz w:val="24"/>
          <w:szCs w:val="24"/>
          <w:u w:val="single"/>
        </w:rPr>
        <w:t>/</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2CCB5700">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7.3.2开工通知</w:t>
      </w:r>
    </w:p>
    <w:p w14:paraId="43860D83">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因发包人原因造成监理人未能在计划开工日期之日起</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rPr>
        <w:t>天内发出开工通知的，承包人有权提出价格调整要求，或者解除合同。</w:t>
      </w:r>
    </w:p>
    <w:bookmarkEnd w:id="1197"/>
    <w:bookmarkEnd w:id="1198"/>
    <w:bookmarkEnd w:id="1199"/>
    <w:bookmarkEnd w:id="1200"/>
    <w:bookmarkEnd w:id="1201"/>
    <w:bookmarkEnd w:id="1202"/>
    <w:bookmarkEnd w:id="1203"/>
    <w:p w14:paraId="030D987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7.4 测量放线</w:t>
      </w:r>
    </w:p>
    <w:p w14:paraId="49653986">
      <w:pPr>
        <w:wordWrap w:val="0"/>
        <w:snapToGrid w:val="0"/>
        <w:spacing w:line="500" w:lineRule="exact"/>
        <w:ind w:firstLine="480" w:firstLineChars="200"/>
        <w:rPr>
          <w:rFonts w:cs="仿宋" w:asciiTheme="minorEastAsia" w:hAnsiTheme="minorEastAsia" w:eastAsiaTheme="minorEastAsia"/>
          <w:b/>
          <w:kern w:val="0"/>
          <w:sz w:val="24"/>
          <w:szCs w:val="24"/>
          <w:u w:val="single"/>
        </w:rPr>
      </w:pPr>
      <w:r>
        <w:rPr>
          <w:rFonts w:hint="eastAsia" w:cs="仿宋" w:asciiTheme="minorEastAsia" w:hAnsiTheme="minorEastAsia" w:eastAsiaTheme="minorEastAsia"/>
          <w:bCs/>
          <w:kern w:val="0"/>
          <w:sz w:val="24"/>
          <w:szCs w:val="24"/>
        </w:rPr>
        <w:t>7.4.1</w:t>
      </w:r>
      <w:r>
        <w:rPr>
          <w:rFonts w:hint="eastAsia" w:cs="仿宋" w:asciiTheme="minorEastAsia" w:hAnsiTheme="minorEastAsia" w:eastAsiaTheme="minorEastAsia"/>
          <w:b/>
          <w:kern w:val="0"/>
          <w:sz w:val="24"/>
          <w:szCs w:val="24"/>
          <w:u w:val="single"/>
        </w:rPr>
        <w:t>发包人在合同签订后的7天内，通过监理人向承包人提供测量基准点、基准线和水准点及其书面资料。承包人应根据国家测绘基准、测绘系统和工程测量技术规范，按上述基准点（线）以及合同工程精度要求，测设施工控制网，并在开工后14天内，将施工控制网资料报送监理人审批。</w:t>
      </w:r>
    </w:p>
    <w:p w14:paraId="02C102F3">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w:t>
      </w:r>
      <w:bookmarkStart w:id="1204" w:name="_Toc303539125"/>
      <w:bookmarkStart w:id="1205" w:name="_Toc312678010"/>
      <w:bookmarkStart w:id="1206" w:name="_Toc304295546"/>
      <w:bookmarkStart w:id="1207" w:name="_Toc300934968"/>
      <w:bookmarkStart w:id="1208" w:name="_Toc312677484"/>
      <w:bookmarkStart w:id="1209" w:name="_Toc297216175"/>
      <w:bookmarkStart w:id="1210" w:name="_Toc297123516"/>
      <w:r>
        <w:rPr>
          <w:rFonts w:hint="eastAsia" w:cs="仿宋" w:asciiTheme="minorEastAsia" w:hAnsiTheme="minorEastAsia" w:eastAsiaTheme="minorEastAsia"/>
          <w:kern w:val="0"/>
          <w:sz w:val="24"/>
          <w:szCs w:val="24"/>
        </w:rPr>
        <w:t>.5 工期延误</w:t>
      </w:r>
    </w:p>
    <w:bookmarkEnd w:id="1204"/>
    <w:bookmarkEnd w:id="1205"/>
    <w:bookmarkEnd w:id="1206"/>
    <w:bookmarkEnd w:id="1207"/>
    <w:bookmarkEnd w:id="1208"/>
    <w:bookmarkEnd w:id="1209"/>
    <w:bookmarkEnd w:id="1210"/>
    <w:p w14:paraId="01BF8D3E">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7.5.1 因发包人原因导致工期延误</w:t>
      </w:r>
    </w:p>
    <w:p w14:paraId="13CD3711">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（7）因发包人原因导致工期延误的其他情形：</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bCs/>
          <w:kern w:val="0"/>
          <w:sz w:val="24"/>
          <w:szCs w:val="24"/>
        </w:rPr>
        <w:t>。</w:t>
      </w:r>
    </w:p>
    <w:p w14:paraId="0D3A942D">
      <w:pPr>
        <w:wordWrap w:val="0"/>
        <w:spacing w:line="500" w:lineRule="exact"/>
        <w:ind w:firstLine="480" w:firstLineChars="200"/>
        <w:rPr>
          <w:rFonts w:cs="仿宋" w:asciiTheme="minorEastAsia" w:hAnsiTheme="minorEastAsia" w:eastAsiaTheme="minorEastAsia"/>
          <w:b/>
          <w:bCs/>
          <w:kern w:val="0"/>
          <w:sz w:val="24"/>
          <w:szCs w:val="24"/>
        </w:rPr>
      </w:pPr>
      <w:r>
        <w:rPr>
          <w:rFonts w:hint="eastAsia" w:cs="仿宋" w:asciiTheme="minorEastAsia" w:hAnsiTheme="minorEastAsia" w:eastAsiaTheme="minorEastAsia"/>
          <w:kern w:val="0"/>
          <w:sz w:val="24"/>
          <w:szCs w:val="24"/>
        </w:rPr>
        <w:t>7</w:t>
      </w:r>
      <w:bookmarkStart w:id="1211" w:name="_Toc318581169"/>
      <w:bookmarkStart w:id="1212" w:name="_Toc303539127"/>
      <w:bookmarkStart w:id="1213" w:name="_Toc304295548"/>
      <w:bookmarkStart w:id="1214" w:name="_Toc312677486"/>
      <w:bookmarkStart w:id="1215" w:name="_Toc312678012"/>
      <w:bookmarkStart w:id="1216" w:name="_Toc300934970"/>
      <w:bookmarkStart w:id="1217" w:name="_Toc297216177"/>
      <w:bookmarkStart w:id="1218" w:name="_Toc297123518"/>
      <w:r>
        <w:rPr>
          <w:rFonts w:hint="eastAsia" w:cs="仿宋" w:asciiTheme="minorEastAsia" w:hAnsiTheme="minorEastAsia" w:eastAsiaTheme="minorEastAsia"/>
          <w:kern w:val="0"/>
          <w:sz w:val="24"/>
          <w:szCs w:val="24"/>
        </w:rPr>
        <w:t>.5.2 因承包人原因造成工期延误，逾期竣工违约金的计算方法为：</w:t>
      </w:r>
      <w:r>
        <w:rPr>
          <w:rFonts w:hint="eastAsia" w:cs="仿宋" w:asciiTheme="minorEastAsia" w:hAnsiTheme="minorEastAsia" w:eastAsiaTheme="minorEastAsia"/>
          <w:b/>
          <w:kern w:val="0"/>
          <w:sz w:val="24"/>
          <w:szCs w:val="24"/>
          <w:u w:val="single" w:color="000000"/>
        </w:rPr>
        <w:t>工期每延误一天扣罚  元</w:t>
      </w:r>
      <w:r>
        <w:rPr>
          <w:rFonts w:hint="eastAsia" w:cs="仿宋" w:asciiTheme="minorEastAsia" w:hAnsiTheme="minorEastAsia" w:eastAsiaTheme="minorEastAsia"/>
          <w:kern w:val="0"/>
          <w:sz w:val="24"/>
          <w:szCs w:val="24"/>
          <w:u w:val="single"/>
        </w:rPr>
        <w:t>，</w:t>
      </w:r>
      <w:r>
        <w:rPr>
          <w:rFonts w:hint="eastAsia" w:cs="仿宋" w:asciiTheme="minorEastAsia" w:hAnsiTheme="minorEastAsia" w:eastAsiaTheme="minorEastAsia"/>
          <w:b/>
          <w:bCs/>
          <w:kern w:val="0"/>
          <w:sz w:val="24"/>
          <w:szCs w:val="24"/>
          <w:u w:val="single"/>
        </w:rPr>
        <w:t>并承担因工期延误而造成发包人的一切经济损失</w:t>
      </w:r>
      <w:r>
        <w:rPr>
          <w:rFonts w:hint="eastAsia" w:cs="仿宋" w:asciiTheme="minorEastAsia" w:hAnsiTheme="minorEastAsia" w:eastAsiaTheme="minorEastAsia"/>
          <w:kern w:val="0"/>
          <w:sz w:val="24"/>
          <w:szCs w:val="24"/>
        </w:rPr>
        <w:t>。因承包人原因造成工期延误，逾期竣工违约金的上限：</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逾期  天以内按合同价的  %处罚；逾期  天以上至  天以内按合同价的  %处罚；逾期   天以上，发包人有权解除合同，承包人承担由此造成的损失</w:t>
      </w:r>
      <w:r>
        <w:rPr>
          <w:rFonts w:hint="eastAsia" w:cs="仿宋" w:asciiTheme="minorEastAsia" w:hAnsiTheme="minorEastAsia" w:eastAsiaTheme="minorEastAsia"/>
          <w:b/>
          <w:bCs/>
          <w:kern w:val="0"/>
          <w:sz w:val="24"/>
          <w:szCs w:val="24"/>
          <w:u w:val="single"/>
        </w:rPr>
        <w:t>。</w:t>
      </w:r>
    </w:p>
    <w:bookmarkEnd w:id="1211"/>
    <w:bookmarkEnd w:id="1212"/>
    <w:bookmarkEnd w:id="1213"/>
    <w:bookmarkEnd w:id="1214"/>
    <w:bookmarkEnd w:id="1215"/>
    <w:bookmarkEnd w:id="1216"/>
    <w:bookmarkEnd w:id="1217"/>
    <w:bookmarkEnd w:id="1218"/>
    <w:p w14:paraId="5EF6A650">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w:t>
      </w:r>
      <w:bookmarkStart w:id="1219" w:name="_Toc303539128"/>
      <w:bookmarkStart w:id="1220" w:name="_Toc297123519"/>
      <w:bookmarkStart w:id="1221" w:name="_Toc304295549"/>
      <w:bookmarkStart w:id="1222" w:name="_Toc312678015"/>
      <w:bookmarkStart w:id="1223" w:name="_Toc300934971"/>
      <w:bookmarkStart w:id="1224" w:name="_Toc297216178"/>
      <w:r>
        <w:rPr>
          <w:rFonts w:hint="eastAsia" w:cs="仿宋" w:asciiTheme="minorEastAsia" w:hAnsiTheme="minorEastAsia" w:eastAsiaTheme="minorEastAsia"/>
          <w:kern w:val="0"/>
          <w:sz w:val="24"/>
          <w:szCs w:val="24"/>
        </w:rPr>
        <w:t>.6 不</w:t>
      </w:r>
      <w:bookmarkEnd w:id="1219"/>
      <w:bookmarkEnd w:id="1220"/>
      <w:bookmarkEnd w:id="1221"/>
      <w:bookmarkEnd w:id="1222"/>
      <w:bookmarkEnd w:id="1223"/>
      <w:bookmarkEnd w:id="1224"/>
      <w:r>
        <w:rPr>
          <w:rFonts w:hint="eastAsia" w:cs="仿宋" w:asciiTheme="minorEastAsia" w:hAnsiTheme="minorEastAsia" w:eastAsiaTheme="minorEastAsia"/>
          <w:kern w:val="0"/>
          <w:sz w:val="24"/>
          <w:szCs w:val="24"/>
        </w:rPr>
        <w:t>利物质条件</w:t>
      </w:r>
    </w:p>
    <w:p w14:paraId="3CE2E684">
      <w:pPr>
        <w:wordWrap w:val="0"/>
        <w:spacing w:line="500" w:lineRule="exact"/>
        <w:ind w:firstLine="480" w:firstLineChars="200"/>
        <w:rPr>
          <w:rFonts w:cs="仿宋" w:asciiTheme="minorEastAsia" w:hAnsiTheme="minorEastAsia" w:eastAsiaTheme="minorEastAsia"/>
          <w:kern w:val="0"/>
          <w:sz w:val="24"/>
          <w:szCs w:val="24"/>
          <w:u w:val="single"/>
        </w:rPr>
      </w:pPr>
      <w:bookmarkStart w:id="1225" w:name="_Toc304295550"/>
      <w:bookmarkStart w:id="1226" w:name="_Toc297123520"/>
      <w:bookmarkStart w:id="1227" w:name="_Toc297216179"/>
      <w:bookmarkStart w:id="1228" w:name="_Toc312678016"/>
      <w:bookmarkStart w:id="1229" w:name="_Toc300934972"/>
      <w:bookmarkStart w:id="1230" w:name="_Toc303539129"/>
      <w:bookmarkStart w:id="1231" w:name="_Toc318581172"/>
      <w:r>
        <w:rPr>
          <w:rFonts w:hint="eastAsia" w:cs="仿宋" w:asciiTheme="minorEastAsia" w:hAnsiTheme="minorEastAsia" w:eastAsiaTheme="minorEastAsia"/>
          <w:kern w:val="0"/>
          <w:sz w:val="24"/>
          <w:szCs w:val="24"/>
        </w:rPr>
        <w:t>不利物质条件的其他情形和有关约定：</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bookmarkEnd w:id="1225"/>
    <w:bookmarkEnd w:id="1226"/>
    <w:bookmarkEnd w:id="1227"/>
    <w:bookmarkEnd w:id="1228"/>
    <w:bookmarkEnd w:id="1229"/>
    <w:bookmarkEnd w:id="1230"/>
    <w:bookmarkEnd w:id="1231"/>
    <w:p w14:paraId="3CF7B500">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w:t>
      </w:r>
      <w:bookmarkStart w:id="1232" w:name="_Toc297216180"/>
      <w:bookmarkStart w:id="1233" w:name="_Toc303539130"/>
      <w:bookmarkStart w:id="1234" w:name="_Toc312678017"/>
      <w:bookmarkStart w:id="1235" w:name="_Toc304295551"/>
      <w:bookmarkStart w:id="1236" w:name="_Toc297123521"/>
      <w:bookmarkStart w:id="1237" w:name="_Toc300934973"/>
      <w:r>
        <w:rPr>
          <w:rFonts w:hint="eastAsia" w:cs="仿宋" w:asciiTheme="minorEastAsia" w:hAnsiTheme="minorEastAsia" w:eastAsiaTheme="minorEastAsia"/>
          <w:kern w:val="0"/>
          <w:sz w:val="24"/>
          <w:szCs w:val="24"/>
        </w:rPr>
        <w:t>.7异常恶劣的气候条件</w:t>
      </w:r>
    </w:p>
    <w:bookmarkEnd w:id="1232"/>
    <w:bookmarkEnd w:id="1233"/>
    <w:bookmarkEnd w:id="1234"/>
    <w:bookmarkEnd w:id="1235"/>
    <w:bookmarkEnd w:id="1236"/>
    <w:bookmarkEnd w:id="1237"/>
    <w:p w14:paraId="3B9B9D31">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发包人和承包人同意以下情形视为异常恶劣的气候条件：</w:t>
      </w:r>
    </w:p>
    <w:p w14:paraId="04FDE6C8">
      <w:pPr>
        <w:numPr>
          <w:ilvl w:val="0"/>
          <w:numId w:val="3"/>
        </w:num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地震、水灾</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3C6EFD0F">
      <w:pPr>
        <w:numPr>
          <w:ilvl w:val="0"/>
          <w:numId w:val="3"/>
        </w:num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3EE56CCE">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412DB397">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7.8 暂停施工</w:t>
      </w:r>
    </w:p>
    <w:p w14:paraId="563761C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7.8.1发包人原因引起的暂停施工</w:t>
      </w:r>
    </w:p>
    <w:p w14:paraId="3645EF89">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因发包人原因引起暂停施工的，监理人经发包人同意后，应及时下达暂停施工指示。情况紧急且监理人未及时下达暂停施工指示的，按照通用合同条款第7.8.4项〔紧急情况下的暂停施工〕执行。</w:t>
      </w:r>
    </w:p>
    <w:p w14:paraId="1381AD6F">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由于发包人原因引起的暂停施工造成工期延误的，承包人有权要求发包人延长工期，但发包人不增加任何费用及补偿。</w:t>
      </w:r>
    </w:p>
    <w:p w14:paraId="3B763981">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7.8.5 暂停施工后的复工</w:t>
      </w:r>
    </w:p>
    <w:p w14:paraId="3B2C9035">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4D2213C6">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承包人无故拖延和拒绝复工的，由此增加的费用和工期延误损失由承包人承担；因发包人原因无法按时复工的，承包人有权要求发包人延长工期，但发包人不增加任何费用及补偿。</w:t>
      </w:r>
    </w:p>
    <w:p w14:paraId="6C0C5319">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7.9.2提前竣工的奖励：</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rPr>
        <w:t>。</w:t>
      </w:r>
    </w:p>
    <w:p w14:paraId="4C416612">
      <w:pPr>
        <w:wordWrap w:val="0"/>
        <w:spacing w:line="500" w:lineRule="exact"/>
        <w:ind w:firstLine="480" w:firstLineChars="200"/>
        <w:outlineLvl w:val="3"/>
        <w:rPr>
          <w:rFonts w:cs="仿宋" w:asciiTheme="minorEastAsia" w:hAnsiTheme="minorEastAsia" w:eastAsiaTheme="minorEastAsia"/>
          <w:kern w:val="0"/>
          <w:sz w:val="24"/>
          <w:szCs w:val="24"/>
        </w:rPr>
      </w:pPr>
      <w:bookmarkStart w:id="1238" w:name="_Toc351203640"/>
      <w:r>
        <w:rPr>
          <w:rFonts w:hint="eastAsia" w:cs="仿宋" w:asciiTheme="minorEastAsia" w:hAnsiTheme="minorEastAsia" w:eastAsiaTheme="minorEastAsia"/>
          <w:kern w:val="0"/>
          <w:sz w:val="24"/>
          <w:szCs w:val="24"/>
        </w:rPr>
        <w:t>8. 材料与设备</w:t>
      </w:r>
      <w:bookmarkEnd w:id="1238"/>
    </w:p>
    <w:bookmarkEnd w:id="1178"/>
    <w:bookmarkEnd w:id="1179"/>
    <w:bookmarkEnd w:id="1180"/>
    <w:bookmarkEnd w:id="1181"/>
    <w:bookmarkEnd w:id="1182"/>
    <w:bookmarkEnd w:id="1183"/>
    <w:bookmarkEnd w:id="1184"/>
    <w:bookmarkEnd w:id="1185"/>
    <w:bookmarkEnd w:id="1186"/>
    <w:bookmarkEnd w:id="1187"/>
    <w:p w14:paraId="25AC5E5B">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8.1发包人供应材料与工程设备</w:t>
      </w:r>
    </w:p>
    <w:p w14:paraId="7BCE3073">
      <w:pPr>
        <w:wordWrap w:val="0"/>
        <w:spacing w:line="500" w:lineRule="exact"/>
        <w:ind w:firstLine="482"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b/>
          <w:bCs/>
          <w:kern w:val="0"/>
          <w:sz w:val="24"/>
          <w:szCs w:val="24"/>
          <w:u w:val="single"/>
        </w:rPr>
        <w:t>本工程发包人不提供任何材料和工程设备</w:t>
      </w:r>
      <w:r>
        <w:rPr>
          <w:rFonts w:hint="eastAsia" w:cs="仿宋" w:asciiTheme="minorEastAsia" w:hAnsiTheme="minorEastAsia" w:eastAsiaTheme="minorEastAsia"/>
          <w:kern w:val="0"/>
          <w:sz w:val="24"/>
          <w:szCs w:val="24"/>
        </w:rPr>
        <w:t>。</w:t>
      </w:r>
    </w:p>
    <w:p w14:paraId="4821F809">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w:t>
      </w:r>
      <w:bookmarkStart w:id="1239" w:name="_Toc297120467"/>
      <w:bookmarkStart w:id="1240" w:name="_Toc296944506"/>
      <w:bookmarkStart w:id="1241" w:name="_Toc312678019"/>
      <w:bookmarkStart w:id="1242" w:name="_Toc292559372"/>
      <w:bookmarkStart w:id="1243" w:name="_Toc292559877"/>
      <w:bookmarkStart w:id="1244" w:name="_Toc304295556"/>
      <w:bookmarkStart w:id="1245" w:name="_Toc312677493"/>
      <w:bookmarkStart w:id="1246" w:name="_Toc296890995"/>
      <w:bookmarkStart w:id="1247" w:name="_Toc297216186"/>
      <w:bookmarkStart w:id="1248" w:name="_Toc303539136"/>
      <w:bookmarkStart w:id="1249" w:name="_Toc280868654"/>
      <w:bookmarkStart w:id="1250" w:name="_Toc296503167"/>
      <w:bookmarkStart w:id="1251" w:name="_Toc296346668"/>
      <w:bookmarkStart w:id="1252" w:name="_Toc297123527"/>
      <w:bookmarkStart w:id="1253" w:name="_Toc297048353"/>
      <w:bookmarkStart w:id="1254" w:name="_Toc300934979"/>
      <w:bookmarkStart w:id="1255" w:name="_Toc296347166"/>
      <w:bookmarkStart w:id="1256" w:name="_Toc296891207"/>
      <w:bookmarkStart w:id="1257" w:name="_Toc267251424"/>
      <w:bookmarkStart w:id="1258" w:name="_Toc280868656"/>
      <w:bookmarkStart w:id="1259" w:name="_Toc280868655"/>
      <w:r>
        <w:rPr>
          <w:rFonts w:hint="eastAsia" w:cs="仿宋" w:asciiTheme="minorEastAsia" w:hAnsiTheme="minorEastAsia" w:eastAsiaTheme="minorEastAsia"/>
          <w:kern w:val="0"/>
          <w:sz w:val="24"/>
          <w:szCs w:val="24"/>
        </w:rPr>
        <w:t>.4材料与工程设备的保管与使用</w:t>
      </w:r>
    </w:p>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p w14:paraId="006401D0">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8</w:t>
      </w:r>
      <w:bookmarkStart w:id="1260" w:name="_Toc292559878"/>
      <w:bookmarkStart w:id="1261" w:name="_Toc292559373"/>
      <w:bookmarkStart w:id="1262" w:name="_Toc312677494"/>
      <w:bookmarkStart w:id="1263" w:name="_Toc296944507"/>
      <w:bookmarkStart w:id="1264" w:name="_Toc296346669"/>
      <w:bookmarkStart w:id="1265" w:name="_Toc296890996"/>
      <w:bookmarkStart w:id="1266" w:name="_Toc303539137"/>
      <w:bookmarkStart w:id="1267" w:name="_Toc297120468"/>
      <w:bookmarkStart w:id="1268" w:name="_Toc304295557"/>
      <w:bookmarkStart w:id="1269" w:name="_Toc296891208"/>
      <w:bookmarkStart w:id="1270" w:name="_Toc297216187"/>
      <w:bookmarkStart w:id="1271" w:name="_Toc300934980"/>
      <w:bookmarkStart w:id="1272" w:name="_Toc312678020"/>
      <w:bookmarkStart w:id="1273" w:name="_Toc297048354"/>
      <w:bookmarkStart w:id="1274" w:name="_Toc296503168"/>
      <w:bookmarkStart w:id="1275" w:name="_Toc318581173"/>
      <w:bookmarkStart w:id="1276" w:name="_Toc297123528"/>
      <w:bookmarkStart w:id="1277" w:name="_Toc296347167"/>
      <w:r>
        <w:rPr>
          <w:rFonts w:hint="eastAsia" w:cs="仿宋" w:asciiTheme="minorEastAsia" w:hAnsiTheme="minorEastAsia" w:eastAsiaTheme="minorEastAsia"/>
          <w:kern w:val="0"/>
          <w:sz w:val="24"/>
          <w:szCs w:val="24"/>
        </w:rPr>
        <w:t>.4.1发包人供应的材料设备的保管费用的承担：</w:t>
      </w:r>
      <w:r>
        <w:rPr>
          <w:rFonts w:hint="eastAsia" w:cs="仿宋" w:asciiTheme="minorEastAsia" w:hAnsiTheme="minorEastAsia" w:eastAsiaTheme="minorEastAsia"/>
          <w:b/>
          <w:kern w:val="0"/>
          <w:sz w:val="24"/>
          <w:szCs w:val="24"/>
          <w:u w:val="single"/>
        </w:rPr>
        <w:t xml:space="preserve">   /   </w:t>
      </w:r>
      <w:r>
        <w:rPr>
          <w:rFonts w:hint="eastAsia" w:cs="仿宋" w:asciiTheme="minorEastAsia" w:hAnsiTheme="minorEastAsia" w:eastAsiaTheme="minorEastAsia"/>
          <w:kern w:val="0"/>
          <w:sz w:val="24"/>
          <w:szCs w:val="24"/>
        </w:rPr>
        <w:t>。</w:t>
      </w:r>
      <w:bookmarkEnd w:id="1260"/>
      <w:bookmarkEnd w:id="1261"/>
    </w:p>
    <w:p w14:paraId="067D7EB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8.6 样品</w:t>
      </w:r>
    </w:p>
    <w:p w14:paraId="67812632">
      <w:pPr>
        <w:wordWrap w:val="0"/>
        <w:autoSpaceDE w:val="0"/>
        <w:autoSpaceDN w:val="0"/>
        <w:adjustRightInd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8.6.1 样品的报送与封存</w:t>
      </w:r>
    </w:p>
    <w:p w14:paraId="35032FBA">
      <w:pPr>
        <w:wordWrap w:val="0"/>
        <w:autoSpaceDE w:val="0"/>
        <w:autoSpaceDN w:val="0"/>
        <w:adjustRightInd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需要承包人报送样品的材料或工程设备，样品的种类、名称、规格、数量要求：</w:t>
      </w:r>
      <w:r>
        <w:rPr>
          <w:rFonts w:hint="eastAsia" w:cs="仿宋" w:asciiTheme="minorEastAsia" w:hAnsiTheme="minorEastAsia" w:eastAsiaTheme="minorEastAsia"/>
          <w:b/>
          <w:kern w:val="0"/>
          <w:sz w:val="24"/>
          <w:szCs w:val="24"/>
          <w:u w:val="single"/>
        </w:rPr>
        <w:t xml:space="preserve">按管理部门及发包人要求确定 实行材料先行、样品封样，若实际施工材料与封样材料不一致，没查处一次承包方除了需及时更换为封样产品外，还需承担由此造成的一切经济和工期赔偿 </w:t>
      </w:r>
      <w:r>
        <w:rPr>
          <w:rFonts w:hint="eastAsia" w:cs="仿宋" w:asciiTheme="minorEastAsia" w:hAnsiTheme="minorEastAsia" w:eastAsiaTheme="minorEastAsia"/>
          <w:b/>
          <w:kern w:val="0"/>
          <w:sz w:val="24"/>
          <w:szCs w:val="24"/>
        </w:rPr>
        <w:t>。</w:t>
      </w:r>
    </w:p>
    <w:p w14:paraId="14B0ECCB">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8.8施工设备和临时设施</w:t>
      </w:r>
    </w:p>
    <w:p w14:paraId="218AF97F">
      <w:pPr>
        <w:wordWrap w:val="0"/>
        <w:autoSpaceDE w:val="0"/>
        <w:autoSpaceDN w:val="0"/>
        <w:adjustRightInd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8.8.1承包人提供的施工设备和临时设施</w:t>
      </w:r>
    </w:p>
    <w:p w14:paraId="72B09274">
      <w:pPr>
        <w:wordWrap w:val="0"/>
        <w:autoSpaceDE w:val="0"/>
        <w:autoSpaceDN w:val="0"/>
        <w:adjustRightInd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关于修建临时设施费用承担的约定：</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由承包人承担</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6E3D833C">
      <w:pPr>
        <w:wordWrap w:val="0"/>
        <w:autoSpaceDE w:val="0"/>
        <w:autoSpaceDN w:val="0"/>
        <w:adjustRightInd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8.8.2发包人不提供施工设备或临时设施。</w:t>
      </w:r>
    </w:p>
    <w:p w14:paraId="1B782664">
      <w:pPr>
        <w:wordWrap w:val="0"/>
        <w:autoSpaceDE w:val="0"/>
        <w:autoSpaceDN w:val="0"/>
        <w:adjustRightInd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关于修建临时设施费用承担的约定：</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由承包人承担</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p w14:paraId="5A4214E7">
      <w:pPr>
        <w:wordWrap w:val="0"/>
        <w:spacing w:line="500" w:lineRule="exact"/>
        <w:ind w:firstLine="480" w:firstLineChars="200"/>
        <w:outlineLvl w:val="3"/>
        <w:rPr>
          <w:rFonts w:cs="仿宋" w:asciiTheme="minorEastAsia" w:hAnsiTheme="minorEastAsia" w:eastAsiaTheme="minorEastAsia"/>
          <w:kern w:val="0"/>
          <w:sz w:val="24"/>
          <w:szCs w:val="24"/>
        </w:rPr>
      </w:pPr>
      <w:bookmarkStart w:id="1278" w:name="_Toc351203641"/>
      <w:r>
        <w:rPr>
          <w:rFonts w:hint="eastAsia" w:cs="仿宋" w:asciiTheme="minorEastAsia" w:hAnsiTheme="minorEastAsia" w:eastAsiaTheme="minorEastAsia"/>
          <w:kern w:val="0"/>
          <w:sz w:val="24"/>
          <w:szCs w:val="24"/>
        </w:rPr>
        <w:t>9</w:t>
      </w:r>
      <w:bookmarkEnd w:id="1257"/>
      <w:bookmarkEnd w:id="1258"/>
      <w:bookmarkEnd w:id="1259"/>
      <w:bookmarkStart w:id="1279" w:name="_Toc303539139"/>
      <w:bookmarkStart w:id="1280" w:name="_Toc297216192"/>
      <w:bookmarkStart w:id="1281" w:name="_Toc312678021"/>
      <w:bookmarkStart w:id="1282" w:name="_Toc312677495"/>
      <w:bookmarkStart w:id="1283" w:name="_Toc297123533"/>
      <w:bookmarkStart w:id="1284" w:name="_Toc300934982"/>
      <w:bookmarkStart w:id="1285" w:name="_Toc304295559"/>
      <w:bookmarkStart w:id="1286" w:name="_Toc297120473"/>
      <w:bookmarkStart w:id="1287" w:name="_Toc296891001"/>
      <w:bookmarkStart w:id="1288" w:name="_Toc292559378"/>
      <w:bookmarkStart w:id="1289" w:name="_Toc296891213"/>
      <w:bookmarkStart w:id="1290" w:name="_Toc292559883"/>
      <w:bookmarkStart w:id="1291" w:name="_Toc296503173"/>
      <w:bookmarkStart w:id="1292" w:name="_Toc267251427"/>
      <w:bookmarkStart w:id="1293" w:name="_Toc267251428"/>
      <w:bookmarkStart w:id="1294" w:name="_Toc296944512"/>
      <w:bookmarkStart w:id="1295" w:name="_Toc296347172"/>
      <w:bookmarkStart w:id="1296" w:name="_Toc297048359"/>
      <w:bookmarkStart w:id="1297" w:name="_Toc296346674"/>
      <w:r>
        <w:rPr>
          <w:rFonts w:hint="eastAsia" w:cs="仿宋" w:asciiTheme="minorEastAsia" w:hAnsiTheme="minorEastAsia" w:eastAsiaTheme="minorEastAsia"/>
          <w:kern w:val="0"/>
          <w:sz w:val="24"/>
          <w:szCs w:val="24"/>
        </w:rPr>
        <w:t>. 试验与检验</w:t>
      </w:r>
      <w:bookmarkEnd w:id="1278"/>
    </w:p>
    <w:bookmarkEnd w:id="1279"/>
    <w:bookmarkEnd w:id="1280"/>
    <w:bookmarkEnd w:id="1281"/>
    <w:bookmarkEnd w:id="1282"/>
    <w:bookmarkEnd w:id="1283"/>
    <w:bookmarkEnd w:id="1284"/>
    <w:bookmarkEnd w:id="1285"/>
    <w:p w14:paraId="458322D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9</w:t>
      </w:r>
      <w:bookmarkStart w:id="1298" w:name="_Toc312678022"/>
      <w:bookmarkStart w:id="1299" w:name="_Toc312677496"/>
      <w:bookmarkStart w:id="1300" w:name="_Toc297216193"/>
      <w:bookmarkStart w:id="1301" w:name="_Toc304295560"/>
      <w:bookmarkStart w:id="1302" w:name="_Toc303539140"/>
      <w:bookmarkStart w:id="1303" w:name="_Toc297123534"/>
      <w:bookmarkStart w:id="1304" w:name="_Toc300934983"/>
      <w:r>
        <w:rPr>
          <w:rFonts w:hint="eastAsia" w:cs="仿宋" w:asciiTheme="minorEastAsia" w:hAnsiTheme="minorEastAsia" w:eastAsiaTheme="minorEastAsia"/>
          <w:kern w:val="0"/>
          <w:sz w:val="24"/>
          <w:szCs w:val="24"/>
        </w:rPr>
        <w:t>.1试验设备与试验人员</w:t>
      </w:r>
    </w:p>
    <w:bookmarkEnd w:id="1298"/>
    <w:bookmarkEnd w:id="1299"/>
    <w:bookmarkEnd w:id="1300"/>
    <w:bookmarkEnd w:id="1301"/>
    <w:bookmarkEnd w:id="1302"/>
    <w:bookmarkEnd w:id="1303"/>
    <w:bookmarkEnd w:id="1304"/>
    <w:p w14:paraId="49264920">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9</w:t>
      </w:r>
      <w:bookmarkStart w:id="1305" w:name="_Toc300934984"/>
      <w:bookmarkStart w:id="1306" w:name="_Toc312677497"/>
      <w:bookmarkStart w:id="1307" w:name="_Toc304295561"/>
      <w:bookmarkStart w:id="1308" w:name="_Toc297123535"/>
      <w:bookmarkStart w:id="1309" w:name="_Toc297216194"/>
      <w:bookmarkStart w:id="1310" w:name="_Toc303539141"/>
      <w:bookmarkStart w:id="1311" w:name="_Toc312678023"/>
      <w:bookmarkStart w:id="1312" w:name="_Toc318581174"/>
      <w:r>
        <w:rPr>
          <w:rFonts w:hint="eastAsia" w:cs="仿宋" w:asciiTheme="minorEastAsia" w:hAnsiTheme="minorEastAsia" w:eastAsiaTheme="minorEastAsia"/>
          <w:kern w:val="0"/>
          <w:sz w:val="24"/>
          <w:szCs w:val="24"/>
        </w:rPr>
        <w:t>.1.2试验设备</w:t>
      </w:r>
    </w:p>
    <w:p w14:paraId="15EF97C1">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施工现场需要配置的试验场所：</w:t>
      </w:r>
      <w:bookmarkEnd w:id="1305"/>
      <w:bookmarkEnd w:id="1306"/>
      <w:bookmarkEnd w:id="1307"/>
      <w:bookmarkEnd w:id="1308"/>
      <w:bookmarkEnd w:id="1309"/>
      <w:bookmarkEnd w:id="1310"/>
      <w:bookmarkEnd w:id="1311"/>
      <w:bookmarkStart w:id="1313" w:name="_Toc297216195"/>
      <w:bookmarkStart w:id="1314" w:name="_Toc297123536"/>
      <w:bookmarkStart w:id="1315" w:name="_Toc312677498"/>
      <w:bookmarkStart w:id="1316" w:name="_Toc303539142"/>
      <w:bookmarkStart w:id="1317" w:name="_Toc312678024"/>
      <w:bookmarkStart w:id="1318" w:name="_Toc300934985"/>
      <w:bookmarkStart w:id="1319" w:name="_Toc304295562"/>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按相关规定执行 </w:t>
      </w:r>
      <w:r>
        <w:rPr>
          <w:rFonts w:hint="eastAsia" w:cs="仿宋" w:asciiTheme="minorEastAsia" w:hAnsiTheme="minorEastAsia" w:eastAsiaTheme="minorEastAsia"/>
          <w:kern w:val="0"/>
          <w:sz w:val="24"/>
          <w:szCs w:val="24"/>
        </w:rPr>
        <w:t>。</w:t>
      </w:r>
    </w:p>
    <w:p w14:paraId="38B66E87">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施工现场需要配备的试验设备：</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按相关规定执行</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55930F0A">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施工现场需要具备的其他试验条件：</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按相关规定行</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46EC9C4A">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9.4 现场工艺试验</w:t>
      </w:r>
    </w:p>
    <w:p w14:paraId="45BBA5FA">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现场工艺试验的有关约定：</w:t>
      </w:r>
      <w:r>
        <w:rPr>
          <w:rFonts w:hint="eastAsia" w:cs="仿宋" w:asciiTheme="minorEastAsia" w:hAnsiTheme="minorEastAsia" w:eastAsiaTheme="minorEastAsia"/>
          <w:b/>
          <w:kern w:val="0"/>
          <w:sz w:val="24"/>
          <w:szCs w:val="24"/>
          <w:u w:val="single"/>
        </w:rPr>
        <w:t xml:space="preserve"> 按通用合同条款执行 </w:t>
      </w:r>
      <w:r>
        <w:rPr>
          <w:rFonts w:hint="eastAsia" w:cs="仿宋" w:asciiTheme="minorEastAsia" w:hAnsiTheme="minorEastAsia" w:eastAsiaTheme="minorEastAsia"/>
          <w:kern w:val="0"/>
          <w:sz w:val="24"/>
          <w:szCs w:val="24"/>
        </w:rPr>
        <w:t>。</w:t>
      </w:r>
    </w:p>
    <w:bookmarkEnd w:id="1312"/>
    <w:bookmarkEnd w:id="1313"/>
    <w:bookmarkEnd w:id="1314"/>
    <w:bookmarkEnd w:id="1315"/>
    <w:bookmarkEnd w:id="1316"/>
    <w:bookmarkEnd w:id="1317"/>
    <w:bookmarkEnd w:id="1318"/>
    <w:bookmarkEnd w:id="1319"/>
    <w:p w14:paraId="007936D2">
      <w:pPr>
        <w:wordWrap w:val="0"/>
        <w:spacing w:line="500" w:lineRule="exact"/>
        <w:ind w:firstLine="480" w:firstLineChars="200"/>
        <w:outlineLvl w:val="3"/>
        <w:rPr>
          <w:rFonts w:cs="仿宋" w:asciiTheme="minorEastAsia" w:hAnsiTheme="minorEastAsia" w:eastAsiaTheme="minorEastAsia"/>
          <w:kern w:val="0"/>
          <w:sz w:val="24"/>
          <w:szCs w:val="24"/>
        </w:rPr>
      </w:pPr>
      <w:bookmarkStart w:id="1320" w:name="_Toc351203642"/>
      <w:r>
        <w:rPr>
          <w:rFonts w:hint="eastAsia" w:cs="仿宋" w:asciiTheme="minorEastAsia" w:hAnsiTheme="minorEastAsia" w:eastAsiaTheme="minorEastAsia"/>
          <w:kern w:val="0"/>
          <w:sz w:val="24"/>
          <w:szCs w:val="24"/>
        </w:rPr>
        <w:t>1</w:t>
      </w:r>
      <w:bookmarkEnd w:id="1286"/>
      <w:bookmarkEnd w:id="1287"/>
      <w:bookmarkEnd w:id="1288"/>
      <w:bookmarkEnd w:id="1289"/>
      <w:bookmarkEnd w:id="1290"/>
      <w:bookmarkEnd w:id="1291"/>
      <w:bookmarkEnd w:id="1292"/>
      <w:bookmarkEnd w:id="1293"/>
      <w:bookmarkEnd w:id="1294"/>
      <w:bookmarkEnd w:id="1295"/>
      <w:bookmarkEnd w:id="1296"/>
      <w:bookmarkEnd w:id="1297"/>
      <w:bookmarkStart w:id="1321" w:name="_Toc297048379"/>
      <w:bookmarkStart w:id="1322" w:name="_Toc297216199"/>
      <w:bookmarkStart w:id="1323" w:name="_Toc297123540"/>
      <w:bookmarkStart w:id="1324" w:name="_Toc303539146"/>
      <w:bookmarkStart w:id="1325" w:name="_Toc296891233"/>
      <w:bookmarkStart w:id="1326" w:name="_Toc296503193"/>
      <w:bookmarkStart w:id="1327" w:name="_Toc296346694"/>
      <w:bookmarkStart w:id="1328" w:name="_Toc300934989"/>
      <w:bookmarkStart w:id="1329" w:name="_Toc296891021"/>
      <w:bookmarkStart w:id="1330" w:name="_Toc296347192"/>
      <w:bookmarkStart w:id="1331" w:name="_Toc296944532"/>
      <w:bookmarkStart w:id="1332" w:name="_Toc292559903"/>
      <w:bookmarkStart w:id="1333" w:name="_Toc297120493"/>
      <w:bookmarkStart w:id="1334" w:name="_Toc304295566"/>
      <w:bookmarkStart w:id="1335" w:name="_Toc292559398"/>
      <w:bookmarkStart w:id="1336" w:name="_Toc312678025"/>
      <w:bookmarkStart w:id="1337" w:name="_Toc312677499"/>
      <w:bookmarkStart w:id="1338" w:name="_Toc267251441"/>
      <w:bookmarkStart w:id="1339" w:name="_Toc267251437"/>
      <w:bookmarkStart w:id="1340" w:name="_Toc267251435"/>
      <w:bookmarkStart w:id="1341" w:name="_Toc267251433"/>
      <w:bookmarkStart w:id="1342" w:name="_Toc267251440"/>
      <w:bookmarkStart w:id="1343" w:name="_Toc267251439"/>
      <w:bookmarkStart w:id="1344" w:name="_Toc267251442"/>
      <w:r>
        <w:rPr>
          <w:rFonts w:hint="eastAsia" w:cs="仿宋" w:asciiTheme="minorEastAsia" w:hAnsiTheme="minorEastAsia" w:eastAsiaTheme="minorEastAsia"/>
          <w:kern w:val="0"/>
          <w:sz w:val="24"/>
          <w:szCs w:val="24"/>
        </w:rPr>
        <w:t>0.变更</w:t>
      </w:r>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bookmarkEnd w:id="1336"/>
    <w:bookmarkEnd w:id="1337"/>
    <w:p w14:paraId="387430AF">
      <w:pPr>
        <w:wordWrap w:val="0"/>
        <w:spacing w:line="500" w:lineRule="exact"/>
        <w:ind w:firstLine="480" w:firstLineChars="200"/>
        <w:rPr>
          <w:rFonts w:cs="仿宋" w:asciiTheme="minorEastAsia" w:hAnsiTheme="minorEastAsia" w:eastAsiaTheme="minorEastAsia"/>
          <w:kern w:val="0"/>
          <w:sz w:val="24"/>
          <w:szCs w:val="24"/>
        </w:rPr>
      </w:pPr>
      <w:bookmarkStart w:id="1345" w:name="_Toc297216200"/>
      <w:bookmarkStart w:id="1346" w:name="_Toc296944533"/>
      <w:bookmarkStart w:id="1347" w:name="_Toc304295567"/>
      <w:bookmarkStart w:id="1348" w:name="_Toc297123541"/>
      <w:bookmarkStart w:id="1349" w:name="_Toc300934990"/>
      <w:bookmarkStart w:id="1350" w:name="_Toc312677500"/>
      <w:bookmarkStart w:id="1351" w:name="_Toc296346695"/>
      <w:bookmarkStart w:id="1352" w:name="_Toc296891234"/>
      <w:bookmarkStart w:id="1353" w:name="_Toc292559904"/>
      <w:bookmarkStart w:id="1354" w:name="_Toc292559399"/>
      <w:bookmarkStart w:id="1355" w:name="_Toc297048380"/>
      <w:bookmarkStart w:id="1356" w:name="_Toc303539147"/>
      <w:bookmarkStart w:id="1357" w:name="_Toc297120494"/>
      <w:bookmarkStart w:id="1358" w:name="_Toc296347193"/>
      <w:bookmarkStart w:id="1359" w:name="_Toc312678026"/>
      <w:bookmarkStart w:id="1360" w:name="_Toc296891022"/>
      <w:bookmarkStart w:id="1361" w:name="_Toc296503194"/>
      <w:r>
        <w:rPr>
          <w:rFonts w:hint="eastAsia" w:cs="仿宋" w:asciiTheme="minorEastAsia" w:hAnsiTheme="minorEastAsia" w:eastAsiaTheme="minorEastAsia"/>
          <w:kern w:val="0"/>
          <w:sz w:val="24"/>
          <w:szCs w:val="24"/>
        </w:rPr>
        <w:t>10.4 变更估价</w:t>
      </w:r>
    </w:p>
    <w:p w14:paraId="50D57840">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10.4.1 变更估价原则</w:t>
      </w:r>
    </w:p>
    <w:p w14:paraId="59C9271C">
      <w:pPr>
        <w:wordWrap w:val="0"/>
        <w:autoSpaceDE w:val="0"/>
        <w:autoSpaceDN w:val="0"/>
        <w:adjustRightInd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关于变更估价的约定:</w:t>
      </w:r>
    </w:p>
    <w:p w14:paraId="3CF54CB7">
      <w:pPr>
        <w:wordWrap w:val="0"/>
        <w:autoSpaceDE w:val="0"/>
        <w:autoSpaceDN w:val="0"/>
        <w:adjustRightInd w:val="0"/>
        <w:spacing w:line="500" w:lineRule="exact"/>
        <w:ind w:firstLine="482" w:firstLineChars="200"/>
        <w:rPr>
          <w:rFonts w:cs="仿宋" w:asciiTheme="minorEastAsia" w:hAnsiTheme="minorEastAsia" w:eastAsiaTheme="minorEastAsia"/>
          <w:b/>
          <w:kern w:val="0"/>
          <w:sz w:val="24"/>
          <w:szCs w:val="24"/>
          <w:u w:val="single" w:color="000000"/>
        </w:rPr>
      </w:pPr>
      <w:r>
        <w:rPr>
          <w:rFonts w:hint="eastAsia" w:cs="仿宋" w:asciiTheme="minorEastAsia" w:hAnsiTheme="minorEastAsia" w:eastAsiaTheme="minorEastAsia"/>
          <w:b/>
          <w:kern w:val="0"/>
          <w:sz w:val="24"/>
          <w:szCs w:val="24"/>
          <w:u w:val="single" w:color="000000"/>
        </w:rPr>
        <w:t>①工程量清单项目的项目特征与报价中项目相同的，按报价的综合单价计算。</w:t>
      </w:r>
    </w:p>
    <w:p w14:paraId="7EB09E73">
      <w:pPr>
        <w:wordWrap w:val="0"/>
        <w:autoSpaceDE w:val="0"/>
        <w:autoSpaceDN w:val="0"/>
        <w:adjustRightInd w:val="0"/>
        <w:spacing w:line="500" w:lineRule="exact"/>
        <w:ind w:firstLine="482" w:firstLineChars="200"/>
        <w:rPr>
          <w:rFonts w:cs="仿宋" w:asciiTheme="minorEastAsia" w:hAnsiTheme="minorEastAsia" w:eastAsiaTheme="minorEastAsia"/>
          <w:b/>
          <w:kern w:val="0"/>
          <w:sz w:val="24"/>
          <w:szCs w:val="24"/>
          <w:u w:val="single" w:color="000000"/>
        </w:rPr>
      </w:pPr>
      <w:r>
        <w:rPr>
          <w:rFonts w:hint="eastAsia" w:cs="仿宋" w:asciiTheme="minorEastAsia" w:hAnsiTheme="minorEastAsia" w:eastAsiaTheme="minorEastAsia"/>
          <w:b/>
          <w:kern w:val="0"/>
          <w:sz w:val="24"/>
          <w:szCs w:val="24"/>
          <w:u w:val="single" w:color="000000"/>
        </w:rPr>
        <w:t>②新增工程量清单项目的项目特征与报价中项目类似的，综合单价参照类似项目的单价进行结算。</w:t>
      </w:r>
    </w:p>
    <w:p w14:paraId="0F7D9CAA">
      <w:pPr>
        <w:wordWrap w:val="0"/>
        <w:autoSpaceDE w:val="0"/>
        <w:autoSpaceDN w:val="0"/>
        <w:adjustRightInd w:val="0"/>
        <w:spacing w:line="500" w:lineRule="exact"/>
        <w:ind w:firstLine="482" w:firstLineChars="200"/>
        <w:rPr>
          <w:rFonts w:cs="仿宋" w:asciiTheme="minorEastAsia" w:hAnsiTheme="minorEastAsia" w:eastAsiaTheme="minorEastAsia"/>
          <w:b/>
          <w:kern w:val="0"/>
          <w:sz w:val="24"/>
          <w:szCs w:val="24"/>
          <w:u w:val="single"/>
        </w:rPr>
      </w:pPr>
      <w:r>
        <w:rPr>
          <w:rFonts w:hint="eastAsia" w:cs="仿宋" w:asciiTheme="minorEastAsia" w:hAnsiTheme="minorEastAsia" w:eastAsiaTheme="minorEastAsia"/>
          <w:b/>
          <w:kern w:val="0"/>
          <w:sz w:val="24"/>
          <w:szCs w:val="24"/>
          <w:u w:val="single" w:color="000000"/>
        </w:rPr>
        <w:t>③报价中没有综合单价的新的工程量清单项目，新增项目的综合单价由承包人提出，由发包人、监理单位确认后，并经有资质的中介机构审核通过后作为结算价。</w:t>
      </w:r>
    </w:p>
    <w:p w14:paraId="4FF04787">
      <w:pPr>
        <w:wordWrap w:val="0"/>
        <w:autoSpaceDE w:val="0"/>
        <w:autoSpaceDN w:val="0"/>
        <w:adjustRightInd w:val="0"/>
        <w:spacing w:line="500" w:lineRule="exact"/>
        <w:ind w:firstLine="482" w:firstLineChars="200"/>
        <w:rPr>
          <w:rFonts w:cs="仿宋" w:asciiTheme="minorEastAsia" w:hAnsiTheme="minorEastAsia" w:eastAsiaTheme="minorEastAsia"/>
          <w:b/>
          <w:kern w:val="0"/>
          <w:sz w:val="24"/>
          <w:szCs w:val="24"/>
          <w:u w:val="single" w:color="000000"/>
        </w:rPr>
      </w:pPr>
      <w:r>
        <w:rPr>
          <w:rFonts w:hint="eastAsia" w:cs="仿宋" w:asciiTheme="minorEastAsia" w:hAnsiTheme="minorEastAsia" w:eastAsiaTheme="minorEastAsia"/>
          <w:b/>
          <w:kern w:val="0"/>
          <w:sz w:val="24"/>
          <w:szCs w:val="24"/>
          <w:u w:val="single" w:color="000000"/>
        </w:rPr>
        <w:t>上述的“与报价中项目类似的”新增项目，指与投标分部分项工程量清单项目编码一至九位完全相同的新增的分部分项工程。</w:t>
      </w:r>
    </w:p>
    <w:p w14:paraId="48066A3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10.4.2变更估价程序</w:t>
      </w:r>
    </w:p>
    <w:p w14:paraId="00F623E8">
      <w:pPr>
        <w:wordWrap w:val="0"/>
        <w:spacing w:line="500" w:lineRule="exact"/>
        <w:ind w:firstLine="480" w:firstLineChars="200"/>
        <w:rPr>
          <w:rFonts w:cs="仿宋" w:asciiTheme="minorEastAsia" w:hAnsiTheme="minorEastAsia" w:eastAsiaTheme="minorEastAsia"/>
          <w:kern w:val="0"/>
          <w:sz w:val="24"/>
          <w:szCs w:val="24"/>
          <w:lang w:val="zh-CN"/>
        </w:rPr>
      </w:pPr>
      <w:r>
        <w:rPr>
          <w:rFonts w:hint="eastAsia" w:cs="仿宋" w:asciiTheme="minorEastAsia" w:hAnsiTheme="minorEastAsia" w:eastAsiaTheme="minorEastAsia"/>
          <w:kern w:val="0"/>
          <w:sz w:val="24"/>
          <w:szCs w:val="24"/>
          <w:lang w:val="zh-CN"/>
        </w:rPr>
        <w:t>（</w:t>
      </w:r>
      <w:r>
        <w:rPr>
          <w:rFonts w:hint="eastAsia" w:cs="仿宋" w:asciiTheme="minorEastAsia" w:hAnsiTheme="minorEastAsia" w:eastAsiaTheme="minorEastAsia"/>
          <w:kern w:val="0"/>
          <w:sz w:val="24"/>
          <w:szCs w:val="24"/>
        </w:rPr>
        <w:t>1</w:t>
      </w:r>
      <w:r>
        <w:rPr>
          <w:rFonts w:hint="eastAsia" w:cs="仿宋" w:asciiTheme="minorEastAsia" w:hAnsiTheme="minorEastAsia" w:eastAsiaTheme="minorEastAsia"/>
          <w:kern w:val="0"/>
          <w:sz w:val="24"/>
          <w:szCs w:val="24"/>
          <w:lang w:val="zh-CN"/>
        </w:rPr>
        <w:t>）承包人应在接到发包人指令单、设计变更单21天内或者签证事件完成之日</w:t>
      </w:r>
      <w:r>
        <w:rPr>
          <w:rFonts w:hint="eastAsia" w:cs="仿宋" w:asciiTheme="minorEastAsia" w:hAnsiTheme="minorEastAsia" w:eastAsiaTheme="minorEastAsia"/>
          <w:kern w:val="0"/>
          <w:sz w:val="24"/>
          <w:szCs w:val="24"/>
        </w:rPr>
        <w:t>起</w:t>
      </w:r>
      <w:r>
        <w:rPr>
          <w:rFonts w:hint="eastAsia" w:cs="仿宋" w:asciiTheme="minorEastAsia" w:hAnsiTheme="minorEastAsia" w:eastAsiaTheme="minorEastAsia"/>
          <w:kern w:val="0"/>
          <w:sz w:val="24"/>
          <w:szCs w:val="24"/>
          <w:lang w:val="zh-CN"/>
        </w:rPr>
        <w:t>21天内、并在隐蔽前（变更工程被隐蔽无法计量的，发包人、监理人有权拒绝签证）提交补充预算或报发包人、监理人、</w:t>
      </w:r>
      <w:r>
        <w:rPr>
          <w:rFonts w:hint="eastAsia" w:cs="仿宋" w:asciiTheme="minorEastAsia" w:hAnsiTheme="minorEastAsia" w:eastAsiaTheme="minorEastAsia"/>
          <w:kern w:val="0"/>
          <w:sz w:val="24"/>
          <w:szCs w:val="24"/>
        </w:rPr>
        <w:t>造价咨询人</w:t>
      </w:r>
      <w:r>
        <w:rPr>
          <w:rFonts w:hint="eastAsia" w:cs="仿宋" w:asciiTheme="minorEastAsia" w:hAnsiTheme="minorEastAsia" w:eastAsiaTheme="minorEastAsia"/>
          <w:kern w:val="0"/>
          <w:sz w:val="24"/>
          <w:szCs w:val="24"/>
          <w:lang w:val="zh-CN"/>
        </w:rPr>
        <w:t>签证确认工程量（承包人提交签证单的同时附图纸或图片或现场照片及其说明）。自签证事件完成之日起超过21天承包人仍未按约定申报的，则视为承包人放弃签证。承包人上报的签证超过签证事件完成之日</w:t>
      </w:r>
      <w:r>
        <w:rPr>
          <w:rFonts w:hint="eastAsia" w:cs="仿宋" w:asciiTheme="minorEastAsia" w:hAnsiTheme="minorEastAsia" w:eastAsiaTheme="minorEastAsia"/>
          <w:kern w:val="0"/>
          <w:sz w:val="24"/>
          <w:szCs w:val="24"/>
        </w:rPr>
        <w:t>起</w:t>
      </w:r>
      <w:r>
        <w:rPr>
          <w:rFonts w:hint="eastAsia" w:cs="仿宋" w:asciiTheme="minorEastAsia" w:hAnsiTheme="minorEastAsia" w:eastAsiaTheme="minorEastAsia"/>
          <w:kern w:val="0"/>
          <w:sz w:val="24"/>
          <w:szCs w:val="24"/>
          <w:lang w:val="zh-CN"/>
        </w:rPr>
        <w:t>21天的，属无效文件，不作为支付工程进度款或者竣工结算的依据。承包人坚持以超过合同约定期限的签证文件向发包人索赔或者要求补偿的，除该文件无效外，承包人须按该签证额向发包人支付等额违约金，在结算时一次性扣除。禁止事后补办，承包人不及时上报审批的，发包人有权不接收、不计算及不支付相关费用。</w:t>
      </w:r>
    </w:p>
    <w:p w14:paraId="5C9BF3B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（2）对变更减少部分，承包人若未及时办理变更签证，发包人有权根据实际发生情况进行核查扣减。</w:t>
      </w:r>
    </w:p>
    <w:p w14:paraId="62D01D66">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（3）隐蔽工程的签证必须经承包人、监理人、造价咨询人、发包人四方共同签字确认方能进入结算依据。</w:t>
      </w:r>
    </w:p>
    <w:p w14:paraId="13466833">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安全文明施工费、临时设施费、冬、雨季施工增加费、生产工具用具使用费、工程定位复测、工程点交、场地清理费等费用按《云南省建设工程造价计价标准（2020版）》及其相关配套的计价文件计取相关费用，不再另行调整。</w:t>
      </w:r>
    </w:p>
    <w:p w14:paraId="3A9C6580">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Start w:id="1362" w:name="_Toc300934993"/>
      <w:bookmarkStart w:id="1363" w:name="_Toc296891025"/>
      <w:bookmarkStart w:id="1364" w:name="_Toc297120497"/>
      <w:bookmarkStart w:id="1365" w:name="_Toc292559907"/>
      <w:bookmarkStart w:id="1366" w:name="_Toc292559402"/>
      <w:bookmarkStart w:id="1367" w:name="_Toc296503197"/>
      <w:bookmarkStart w:id="1368" w:name="_Toc303539150"/>
      <w:bookmarkStart w:id="1369" w:name="_Toc297048383"/>
      <w:bookmarkStart w:id="1370" w:name="_Toc297216203"/>
      <w:bookmarkStart w:id="1371" w:name="_Toc296944536"/>
      <w:bookmarkStart w:id="1372" w:name="_Toc296346698"/>
      <w:bookmarkStart w:id="1373" w:name="_Toc296891237"/>
      <w:bookmarkStart w:id="1374" w:name="_Toc297123544"/>
      <w:bookmarkStart w:id="1375" w:name="_Toc296347196"/>
      <w:bookmarkStart w:id="1376" w:name="_Toc304295570"/>
      <w:bookmarkStart w:id="1377" w:name="_Toc312677503"/>
      <w:bookmarkStart w:id="1378" w:name="_Toc312678029"/>
      <w:r>
        <w:rPr>
          <w:rFonts w:hint="eastAsia" w:cs="仿宋" w:asciiTheme="minorEastAsia" w:hAnsiTheme="minorEastAsia" w:eastAsiaTheme="minorEastAsia"/>
          <w:kern w:val="0"/>
          <w:sz w:val="24"/>
          <w:szCs w:val="24"/>
        </w:rPr>
        <w:t>0.5承</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Start w:id="1379" w:name="_Toc297120503"/>
      <w:bookmarkStart w:id="1380" w:name="_Toc303539151"/>
      <w:bookmarkStart w:id="1381" w:name="_Toc297048389"/>
      <w:bookmarkStart w:id="1382" w:name="_Toc296503203"/>
      <w:bookmarkStart w:id="1383" w:name="_Toc296347202"/>
      <w:bookmarkStart w:id="1384" w:name="_Toc297216204"/>
      <w:bookmarkStart w:id="1385" w:name="_Toc300934994"/>
      <w:bookmarkStart w:id="1386" w:name="_Toc297123545"/>
      <w:bookmarkStart w:id="1387" w:name="_Toc296891031"/>
      <w:bookmarkStart w:id="1388" w:name="_Toc296346704"/>
      <w:bookmarkStart w:id="1389" w:name="_Toc292559913"/>
      <w:bookmarkStart w:id="1390" w:name="_Toc296944542"/>
      <w:bookmarkStart w:id="1391" w:name="_Toc292559408"/>
      <w:bookmarkStart w:id="1392" w:name="_Toc296891243"/>
      <w:r>
        <w:rPr>
          <w:rFonts w:hint="eastAsia" w:cs="仿宋" w:asciiTheme="minorEastAsia" w:hAnsiTheme="minorEastAsia" w:eastAsiaTheme="minorEastAsia"/>
          <w:kern w:val="0"/>
          <w:sz w:val="24"/>
          <w:szCs w:val="24"/>
        </w:rPr>
        <w:t>包人的合理化建议</w:t>
      </w:r>
    </w:p>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p w14:paraId="5D858EB9">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监理人审查承包人合理化建议的期限：</w:t>
      </w:r>
      <w:r>
        <w:rPr>
          <w:rFonts w:hint="eastAsia" w:cs="仿宋" w:asciiTheme="minorEastAsia" w:hAnsiTheme="minorEastAsia" w:eastAsiaTheme="minorEastAsia"/>
          <w:b/>
          <w:kern w:val="0"/>
          <w:sz w:val="24"/>
          <w:szCs w:val="24"/>
          <w:u w:val="single"/>
        </w:rPr>
        <w:t xml:space="preserve"> 7天 </w:t>
      </w:r>
      <w:r>
        <w:rPr>
          <w:rFonts w:hint="eastAsia" w:cs="仿宋" w:asciiTheme="minorEastAsia" w:hAnsiTheme="minorEastAsia" w:eastAsiaTheme="minorEastAsia"/>
          <w:kern w:val="0"/>
          <w:sz w:val="24"/>
          <w:szCs w:val="24"/>
        </w:rPr>
        <w:t>。</w:t>
      </w:r>
    </w:p>
    <w:p w14:paraId="147CD28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发包人审批承包人合理化建议的期限：</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7天 </w:t>
      </w:r>
      <w:r>
        <w:rPr>
          <w:rFonts w:hint="eastAsia" w:cs="仿宋" w:asciiTheme="minorEastAsia" w:hAnsiTheme="minorEastAsia" w:eastAsiaTheme="minorEastAsia"/>
          <w:kern w:val="0"/>
          <w:sz w:val="24"/>
          <w:szCs w:val="24"/>
        </w:rPr>
        <w:t>。</w:t>
      </w:r>
    </w:p>
    <w:p w14:paraId="3BB55890">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承</w:t>
      </w:r>
      <w:bookmarkStart w:id="1393" w:name="_Toc296503204"/>
      <w:bookmarkStart w:id="1394" w:name="_Toc318581175"/>
      <w:bookmarkStart w:id="1395" w:name="_Toc296347203"/>
      <w:bookmarkStart w:id="1396" w:name="_Toc292559409"/>
      <w:bookmarkStart w:id="1397" w:name="_Toc312677504"/>
      <w:bookmarkStart w:id="1398" w:name="_Toc297120504"/>
      <w:bookmarkStart w:id="1399" w:name="_Toc296944543"/>
      <w:bookmarkStart w:id="1400" w:name="_Toc296346705"/>
      <w:bookmarkStart w:id="1401" w:name="_Toc297048390"/>
      <w:bookmarkStart w:id="1402" w:name="_Toc300934995"/>
      <w:bookmarkStart w:id="1403" w:name="_Toc296891032"/>
      <w:bookmarkStart w:id="1404" w:name="_Toc312678030"/>
      <w:bookmarkStart w:id="1405" w:name="_Toc292559914"/>
      <w:bookmarkStart w:id="1406" w:name="_Toc297123546"/>
      <w:bookmarkStart w:id="1407" w:name="_Toc296891244"/>
      <w:bookmarkStart w:id="1408" w:name="_Toc304295571"/>
      <w:bookmarkStart w:id="1409" w:name="_Toc297216205"/>
      <w:bookmarkStart w:id="1410" w:name="_Toc303539152"/>
      <w:r>
        <w:rPr>
          <w:rFonts w:hint="eastAsia" w:cs="仿宋" w:asciiTheme="minorEastAsia" w:hAnsiTheme="minorEastAsia" w:eastAsiaTheme="minorEastAsia"/>
          <w:kern w:val="0"/>
          <w:sz w:val="24"/>
          <w:szCs w:val="24"/>
        </w:rPr>
        <w:t>包人提出的合理化建议降低了合同价格或者提高了工程经济效益的奖励的方法和金额为：</w:t>
      </w:r>
      <w:r>
        <w:rPr>
          <w:rFonts w:hint="eastAsia" w:cs="仿宋" w:asciiTheme="minorEastAsia" w:hAnsiTheme="minorEastAsia" w:eastAsiaTheme="minorEastAsia"/>
          <w:b/>
          <w:kern w:val="0"/>
          <w:sz w:val="24"/>
          <w:szCs w:val="24"/>
          <w:u w:val="single"/>
        </w:rPr>
        <w:t>承包人提出的合理化建议降低了合同价格、缩短了工期或者提高了工程经济效益的，奖励措施由发包人另行确定</w:t>
      </w:r>
      <w:r>
        <w:rPr>
          <w:rFonts w:hint="eastAsia" w:cs="仿宋" w:asciiTheme="minorEastAsia" w:hAnsiTheme="minorEastAsia" w:eastAsiaTheme="minorEastAsia"/>
          <w:kern w:val="0"/>
          <w:sz w:val="24"/>
          <w:szCs w:val="24"/>
        </w:rPr>
        <w:t>。</w:t>
      </w:r>
    </w:p>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p w14:paraId="4A39704A">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10.6变更引起的工期调整</w:t>
      </w:r>
    </w:p>
    <w:p w14:paraId="71B0E353">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无论变更引起何种变化，合同工期均不作调整。</w:t>
      </w:r>
    </w:p>
    <w:p w14:paraId="7394ECA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w:t>
      </w:r>
      <w:bookmarkStart w:id="1411" w:name="_Toc297120499"/>
      <w:bookmarkStart w:id="1412" w:name="_Toc296346700"/>
      <w:bookmarkStart w:id="1413" w:name="_Toc292559404"/>
      <w:bookmarkStart w:id="1414" w:name="_Toc300934997"/>
      <w:bookmarkStart w:id="1415" w:name="_Toc297048385"/>
      <w:bookmarkStart w:id="1416" w:name="_Toc303539154"/>
      <w:bookmarkStart w:id="1417" w:name="_Toc304295574"/>
      <w:bookmarkStart w:id="1418" w:name="_Toc312677507"/>
      <w:bookmarkStart w:id="1419" w:name="_Toc296891027"/>
      <w:bookmarkStart w:id="1420" w:name="_Toc292559909"/>
      <w:bookmarkStart w:id="1421" w:name="_Toc297123548"/>
      <w:bookmarkStart w:id="1422" w:name="_Toc296347198"/>
      <w:bookmarkStart w:id="1423" w:name="_Toc296891239"/>
      <w:bookmarkStart w:id="1424" w:name="_Toc312678033"/>
      <w:bookmarkStart w:id="1425" w:name="_Toc296503199"/>
      <w:bookmarkStart w:id="1426" w:name="_Toc297216207"/>
      <w:bookmarkStart w:id="1427" w:name="_Toc296944538"/>
      <w:r>
        <w:rPr>
          <w:rFonts w:hint="eastAsia" w:cs="仿宋" w:asciiTheme="minorEastAsia" w:hAnsiTheme="minorEastAsia" w:eastAsiaTheme="minorEastAsia"/>
          <w:kern w:val="0"/>
          <w:sz w:val="24"/>
          <w:szCs w:val="24"/>
        </w:rPr>
        <w:t>0.7 暂估价</w:t>
      </w:r>
    </w:p>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p w14:paraId="3B53721B">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暂</w:t>
      </w:r>
      <w:bookmarkStart w:id="1428" w:name="_Toc312678034"/>
      <w:bookmarkStart w:id="1429" w:name="_Toc318581176"/>
      <w:bookmarkStart w:id="1430" w:name="_Toc312677508"/>
      <w:r>
        <w:rPr>
          <w:rFonts w:hint="eastAsia" w:cs="仿宋" w:asciiTheme="minorEastAsia" w:hAnsiTheme="minorEastAsia" w:eastAsiaTheme="minorEastAsia"/>
          <w:kern w:val="0"/>
          <w:sz w:val="24"/>
          <w:szCs w:val="24"/>
        </w:rPr>
        <w:t>估价材料和工程设备的明细详见附件11：《暂估价一览表》。</w:t>
      </w:r>
    </w:p>
    <w:bookmarkEnd w:id="1428"/>
    <w:bookmarkEnd w:id="1429"/>
    <w:bookmarkEnd w:id="1430"/>
    <w:p w14:paraId="79F0CC53">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w:t>
      </w:r>
      <w:bookmarkStart w:id="1431" w:name="_Toc312677509"/>
      <w:bookmarkStart w:id="1432" w:name="_Toc312678035"/>
      <w:bookmarkStart w:id="1433" w:name="_Toc318581177"/>
      <w:r>
        <w:rPr>
          <w:rFonts w:hint="eastAsia" w:cs="仿宋" w:asciiTheme="minorEastAsia" w:hAnsiTheme="minorEastAsia" w:eastAsiaTheme="minorEastAsia"/>
          <w:kern w:val="0"/>
          <w:sz w:val="24"/>
          <w:szCs w:val="24"/>
        </w:rPr>
        <w:t>0.7.1 依法必须招标的暂估价项目</w:t>
      </w:r>
    </w:p>
    <w:bookmarkEnd w:id="1431"/>
    <w:bookmarkEnd w:id="1432"/>
    <w:bookmarkEnd w:id="1433"/>
    <w:p w14:paraId="2F431E97">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对于依法必须招标的暂估价项目的确认和批准采取第</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2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种方式确定。</w:t>
      </w:r>
    </w:p>
    <w:p w14:paraId="5BA47D8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成交人后，由发包人、承包人与成交人共同签订暂估价合同。</w:t>
      </w:r>
    </w:p>
    <w:p w14:paraId="6D3013E6">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10.7.2 不属于依法必须招标的暂估价项目</w:t>
      </w:r>
    </w:p>
    <w:p w14:paraId="2641F53A">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对于不属于依法必须招标的暂估价项目的确认和批准采取第</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3  </w:t>
      </w:r>
      <w:r>
        <w:rPr>
          <w:rFonts w:hint="eastAsia" w:cs="仿宋" w:asciiTheme="minorEastAsia" w:hAnsiTheme="minorEastAsia" w:eastAsiaTheme="minorEastAsia"/>
          <w:kern w:val="0"/>
          <w:sz w:val="24"/>
          <w:szCs w:val="24"/>
        </w:rPr>
        <w:t>种方式确定。</w:t>
      </w:r>
    </w:p>
    <w:p w14:paraId="3F4E2305">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第3种方式：承包人直接实施的暂估价项目</w:t>
      </w:r>
    </w:p>
    <w:p w14:paraId="2E2BE865">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承包人直接实施的暂估价项目的约定：</w:t>
      </w:r>
      <w:r>
        <w:rPr>
          <w:rFonts w:hint="eastAsia" w:cs="仿宋" w:asciiTheme="minorEastAsia" w:hAnsiTheme="minorEastAsia" w:eastAsiaTheme="minorEastAsia"/>
          <w:b/>
          <w:bCs/>
          <w:kern w:val="0"/>
          <w:sz w:val="24"/>
          <w:szCs w:val="24"/>
          <w:u w:val="single"/>
        </w:rPr>
        <w:t>应由承包人按合同约定采购，经发包人确认单价后取代暂估价，调整合同价款</w:t>
      </w:r>
      <w:r>
        <w:rPr>
          <w:rFonts w:hint="eastAsia" w:cs="仿宋" w:asciiTheme="minorEastAsia" w:hAnsiTheme="minorEastAsia" w:eastAsiaTheme="minorEastAsia"/>
          <w:kern w:val="0"/>
          <w:sz w:val="24"/>
          <w:szCs w:val="24"/>
          <w:u w:val="single"/>
        </w:rPr>
        <w:t>。</w:t>
      </w:r>
    </w:p>
    <w:p w14:paraId="57A5F6E9">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10.8 暂列金额</w:t>
      </w:r>
    </w:p>
    <w:p w14:paraId="67CA238E">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合同当事人关于暂列金额使用的约定：</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bCs/>
          <w:kern w:val="0"/>
          <w:sz w:val="24"/>
          <w:szCs w:val="24"/>
          <w:u w:val="single"/>
        </w:rPr>
        <w:t>暂列金是发包人自行确定设立的，承包人无权使用此笔费用。暂列金额在发包人提供的工程量清单中专项列出，并且只能按发包人、监理人的指示使用。只有按照合同约定实际发生后，按实际发生经发包人签证后确定全部使用、部分使用或不使用才能成为承包人的应得金额，纳入合同结算价款中。扣除实际发生金额后的暂列金额仍属于发包人所有</w:t>
      </w:r>
      <w:r>
        <w:rPr>
          <w:rFonts w:hint="eastAsia" w:cs="仿宋" w:asciiTheme="minorEastAsia" w:hAnsiTheme="minorEastAsia" w:eastAsiaTheme="minorEastAsia"/>
          <w:kern w:val="0"/>
          <w:sz w:val="24"/>
          <w:szCs w:val="24"/>
          <w:u w:val="single"/>
        </w:rPr>
        <w:t>。</w:t>
      </w:r>
    </w:p>
    <w:bookmarkEnd w:id="1338"/>
    <w:bookmarkEnd w:id="1339"/>
    <w:bookmarkEnd w:id="1340"/>
    <w:bookmarkEnd w:id="1341"/>
    <w:bookmarkEnd w:id="1342"/>
    <w:bookmarkEnd w:id="1343"/>
    <w:p w14:paraId="72CD3ECE">
      <w:pPr>
        <w:numPr>
          <w:ilvl w:val="0"/>
          <w:numId w:val="4"/>
        </w:numPr>
        <w:wordWrap w:val="0"/>
        <w:spacing w:line="500" w:lineRule="exact"/>
        <w:ind w:firstLine="480" w:firstLineChars="200"/>
        <w:rPr>
          <w:rFonts w:cs="仿宋" w:asciiTheme="minorEastAsia" w:hAnsiTheme="minorEastAsia" w:eastAsiaTheme="minorEastAsia"/>
          <w:kern w:val="0"/>
          <w:sz w:val="24"/>
          <w:szCs w:val="24"/>
        </w:rPr>
      </w:pPr>
      <w:bookmarkStart w:id="1434" w:name="_Toc351203643"/>
      <w:bookmarkStart w:id="1435" w:name="_Toc292559410"/>
      <w:bookmarkStart w:id="1436" w:name="_Toc296891033"/>
      <w:bookmarkStart w:id="1437" w:name="_Toc296503205"/>
      <w:bookmarkStart w:id="1438" w:name="_Toc296891245"/>
      <w:bookmarkStart w:id="1439" w:name="_Toc297120505"/>
      <w:bookmarkStart w:id="1440" w:name="_Toc296347204"/>
      <w:bookmarkStart w:id="1441" w:name="_Toc297048391"/>
      <w:bookmarkStart w:id="1442" w:name="_Toc292559915"/>
      <w:bookmarkStart w:id="1443" w:name="_Toc296346706"/>
      <w:bookmarkStart w:id="1444" w:name="_Toc296944544"/>
      <w:bookmarkStart w:id="1445" w:name="_Toc351203644"/>
      <w:bookmarkStart w:id="1446" w:name="_Toc297123552"/>
      <w:bookmarkStart w:id="1447" w:name="_Toc312678040"/>
      <w:bookmarkStart w:id="1448" w:name="_Toc297216211"/>
      <w:bookmarkStart w:id="1449" w:name="_Toc304295579"/>
      <w:bookmarkStart w:id="1450" w:name="_Toc303539159"/>
      <w:bookmarkStart w:id="1451" w:name="_Toc300935002"/>
      <w:r>
        <w:rPr>
          <w:rFonts w:hint="eastAsia" w:cs="仿宋" w:asciiTheme="minorEastAsia" w:hAnsiTheme="minorEastAsia" w:eastAsiaTheme="minorEastAsia"/>
          <w:kern w:val="0"/>
          <w:sz w:val="24"/>
          <w:szCs w:val="24"/>
        </w:rPr>
        <w:t>价格调整</w:t>
      </w:r>
      <w:bookmarkEnd w:id="1434"/>
    </w:p>
    <w:p w14:paraId="059C3757">
      <w:pPr>
        <w:wordWrap w:val="0"/>
        <w:spacing w:line="500" w:lineRule="exact"/>
        <w:ind w:firstLine="480" w:firstLineChars="200"/>
        <w:rPr>
          <w:rFonts w:cs="仿宋" w:asciiTheme="minorEastAsia" w:hAnsiTheme="minorEastAsia" w:eastAsiaTheme="minorEastAsia"/>
          <w:kern w:val="0"/>
          <w:sz w:val="24"/>
          <w:szCs w:val="24"/>
        </w:rPr>
      </w:pPr>
      <w:bookmarkStart w:id="1452" w:name="_Toc292559406"/>
      <w:bookmarkStart w:id="1453" w:name="_Toc303539157"/>
      <w:bookmarkStart w:id="1454" w:name="_Toc297123550"/>
      <w:bookmarkStart w:id="1455" w:name="_Toc296346702"/>
      <w:bookmarkStart w:id="1456" w:name="_Toc297120501"/>
      <w:bookmarkStart w:id="1457" w:name="_Toc296891029"/>
      <w:bookmarkStart w:id="1458" w:name="_Toc300935000"/>
      <w:bookmarkStart w:id="1459" w:name="_Toc296503201"/>
      <w:bookmarkStart w:id="1460" w:name="_Toc296891241"/>
      <w:bookmarkStart w:id="1461" w:name="_Toc296944540"/>
      <w:bookmarkStart w:id="1462" w:name="_Toc292559911"/>
      <w:bookmarkStart w:id="1463" w:name="_Toc296347200"/>
      <w:bookmarkStart w:id="1464" w:name="_Toc297216209"/>
      <w:bookmarkStart w:id="1465" w:name="_Toc304295577"/>
      <w:bookmarkStart w:id="1466" w:name="_Toc312678039"/>
      <w:bookmarkStart w:id="1467" w:name="_Toc297048387"/>
      <w:r>
        <w:rPr>
          <w:rFonts w:hint="eastAsia" w:cs="仿宋" w:asciiTheme="minorEastAsia" w:hAnsiTheme="minorEastAsia" w:eastAsiaTheme="minorEastAsia"/>
          <w:kern w:val="0"/>
          <w:sz w:val="24"/>
          <w:szCs w:val="24"/>
        </w:rPr>
        <w:t>11.1 市场价格波动引起的调整</w:t>
      </w:r>
    </w:p>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p w14:paraId="714C2B9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市场价格波动是否调整合同价格的约定：</w:t>
      </w:r>
      <w:r>
        <w:rPr>
          <w:rFonts w:hint="eastAsia" w:cs="仿宋" w:asciiTheme="minorEastAsia" w:hAnsiTheme="minorEastAsia" w:eastAsiaTheme="minorEastAsia"/>
          <w:b/>
          <w:bCs/>
          <w:kern w:val="0"/>
          <w:sz w:val="24"/>
          <w:szCs w:val="24"/>
          <w:u w:val="single"/>
        </w:rPr>
        <w:t>主要材料价格上涨或下降幅度在10％以内的，其价差由承包人承担或受益；价格上涨或下降幅度在10％以外的，其价差（即超过10%的部分）由发包人承担或受益。主要材料差价计算按竞争性磋商文件规定编制报价采用的材料信息价与施工期材料信息价（按</w:t>
      </w:r>
      <w:r>
        <w:rPr>
          <w:rFonts w:hint="eastAsia" w:cs="仿宋" w:asciiTheme="minorEastAsia" w:hAnsiTheme="minorEastAsia" w:eastAsiaTheme="minorEastAsia"/>
          <w:b/>
          <w:bCs/>
          <w:sz w:val="24"/>
          <w:szCs w:val="24"/>
          <w:u w:val="single"/>
        </w:rPr>
        <w:t>《云南省西双版纳傣族自治州价格信息》</w:t>
      </w:r>
      <w:r>
        <w:rPr>
          <w:rFonts w:hint="eastAsia" w:cs="仿宋" w:asciiTheme="minorEastAsia" w:hAnsiTheme="minorEastAsia" w:eastAsiaTheme="minorEastAsia"/>
          <w:b/>
          <w:bCs/>
          <w:kern w:val="0"/>
          <w:sz w:val="24"/>
          <w:szCs w:val="24"/>
          <w:u w:val="single"/>
        </w:rPr>
        <w:t>公布的主要材料价）的差额为依据。发生的价差只计取差价和税金，不计取其他费用</w:t>
      </w:r>
      <w:r>
        <w:rPr>
          <w:rFonts w:hint="eastAsia" w:cs="仿宋" w:asciiTheme="minorEastAsia" w:hAnsiTheme="minorEastAsia" w:eastAsiaTheme="minorEastAsia"/>
          <w:kern w:val="0"/>
          <w:sz w:val="24"/>
          <w:szCs w:val="24"/>
        </w:rPr>
        <w:t>。</w:t>
      </w:r>
    </w:p>
    <w:p w14:paraId="264F6C4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因市场价格波动调整合同价格，采用以下第</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bCs/>
          <w:kern w:val="0"/>
          <w:sz w:val="24"/>
          <w:szCs w:val="24"/>
          <w:u w:val="single"/>
        </w:rPr>
        <w:t>2</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种方式对合同价格进行调整：</w:t>
      </w:r>
    </w:p>
    <w:p w14:paraId="09209D9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第2种方式：采用造价信息进行价格调整。</w:t>
      </w:r>
    </w:p>
    <w:p w14:paraId="403D0AA3">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（2）关于基准价格的约定：</w:t>
      </w:r>
    </w:p>
    <w:p w14:paraId="5306A481">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①承包人在已标价工程量清单或预算书中载明的材料单价低于基准价格的：专用合同条款合同履行期间材料单价涨幅以基准价格为基础超过</w:t>
      </w:r>
      <w:r>
        <w:rPr>
          <w:rFonts w:hint="eastAsia" w:cs="仿宋" w:asciiTheme="minorEastAsia" w:hAnsiTheme="minorEastAsia" w:eastAsiaTheme="minorEastAsia"/>
          <w:b/>
          <w:bCs/>
          <w:kern w:val="0"/>
          <w:sz w:val="24"/>
          <w:szCs w:val="24"/>
          <w:u w:val="single"/>
        </w:rPr>
        <w:t xml:space="preserve"> 10 </w:t>
      </w:r>
      <w:r>
        <w:rPr>
          <w:rFonts w:hint="eastAsia" w:cs="仿宋" w:asciiTheme="minorEastAsia" w:hAnsiTheme="minorEastAsia" w:eastAsiaTheme="minorEastAsia"/>
          <w:kern w:val="0"/>
          <w:sz w:val="24"/>
          <w:szCs w:val="24"/>
        </w:rPr>
        <w:t>%时，或材料单价跌幅以已标价工程量清单或预算书中载明材料单价为基础超过</w:t>
      </w:r>
      <w:r>
        <w:rPr>
          <w:rFonts w:hint="eastAsia" w:cs="仿宋" w:asciiTheme="minorEastAsia" w:hAnsiTheme="minorEastAsia" w:eastAsiaTheme="minorEastAsia"/>
          <w:b/>
          <w:bCs/>
          <w:kern w:val="0"/>
          <w:sz w:val="24"/>
          <w:szCs w:val="24"/>
          <w:u w:val="single"/>
        </w:rPr>
        <w:t xml:space="preserve"> 10 </w:t>
      </w:r>
      <w:r>
        <w:rPr>
          <w:rFonts w:hint="eastAsia" w:cs="仿宋" w:asciiTheme="minorEastAsia" w:hAnsiTheme="minorEastAsia" w:eastAsiaTheme="minorEastAsia"/>
          <w:kern w:val="0"/>
          <w:sz w:val="24"/>
          <w:szCs w:val="24"/>
        </w:rPr>
        <w:t>%时，其超过部分据实调整。</w:t>
      </w:r>
    </w:p>
    <w:p w14:paraId="51876D77">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②承包人在已标价工程量清单或预算书中载明的材料单价高于基准价格的：专用合同条款合同履行期间材料单价跌幅以基准价格为基础超过</w:t>
      </w:r>
      <w:r>
        <w:rPr>
          <w:rFonts w:hint="eastAsia" w:cs="仿宋" w:asciiTheme="minorEastAsia" w:hAnsiTheme="minorEastAsia" w:eastAsiaTheme="minorEastAsia"/>
          <w:b/>
          <w:bCs/>
          <w:kern w:val="0"/>
          <w:sz w:val="24"/>
          <w:szCs w:val="24"/>
          <w:u w:val="single"/>
        </w:rPr>
        <w:t>10</w:t>
      </w:r>
      <w:r>
        <w:rPr>
          <w:rFonts w:hint="eastAsia" w:cs="仿宋" w:asciiTheme="minorEastAsia" w:hAnsiTheme="minorEastAsia" w:eastAsiaTheme="minorEastAsia"/>
          <w:kern w:val="0"/>
          <w:sz w:val="24"/>
          <w:szCs w:val="24"/>
        </w:rPr>
        <w:t>%时，材料单价涨幅以已标价工程量清单或预算书中载明材料单价为基础超过</w:t>
      </w:r>
      <w:r>
        <w:rPr>
          <w:rFonts w:hint="eastAsia" w:cs="仿宋" w:asciiTheme="minorEastAsia" w:hAnsiTheme="minorEastAsia" w:eastAsiaTheme="minorEastAsia"/>
          <w:b/>
          <w:bCs/>
          <w:kern w:val="0"/>
          <w:sz w:val="24"/>
          <w:szCs w:val="24"/>
          <w:u w:val="single"/>
        </w:rPr>
        <w:t xml:space="preserve"> 10 </w:t>
      </w:r>
      <w:r>
        <w:rPr>
          <w:rFonts w:hint="eastAsia" w:cs="仿宋" w:asciiTheme="minorEastAsia" w:hAnsiTheme="minorEastAsia" w:eastAsiaTheme="minorEastAsia"/>
          <w:kern w:val="0"/>
          <w:sz w:val="24"/>
          <w:szCs w:val="24"/>
        </w:rPr>
        <w:t>%时，其超过部分据实调整。</w:t>
      </w:r>
    </w:p>
    <w:p w14:paraId="3323D31F">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③承包人在已标价工程量清单或预算书中载明的材料单价等于基准单价的：专用合同条款合同履行期间材料单价涨跌幅以基准单价为基础超过±</w:t>
      </w:r>
      <w:r>
        <w:rPr>
          <w:rFonts w:hint="eastAsia" w:cs="仿宋" w:asciiTheme="minorEastAsia" w:hAnsiTheme="minorEastAsia" w:eastAsiaTheme="minorEastAsia"/>
          <w:b/>
          <w:bCs/>
          <w:kern w:val="0"/>
          <w:sz w:val="24"/>
          <w:szCs w:val="24"/>
          <w:u w:val="single"/>
        </w:rPr>
        <w:t xml:space="preserve"> 10 </w:t>
      </w:r>
      <w:r>
        <w:rPr>
          <w:rFonts w:hint="eastAsia" w:cs="仿宋" w:asciiTheme="minorEastAsia" w:hAnsiTheme="minorEastAsia" w:eastAsiaTheme="minorEastAsia"/>
          <w:kern w:val="0"/>
          <w:sz w:val="24"/>
          <w:szCs w:val="24"/>
        </w:rPr>
        <w:t>%时，其超过部分据实调整。</w:t>
      </w:r>
    </w:p>
    <w:p w14:paraId="287DF8A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④ </w:t>
      </w:r>
      <w:r>
        <w:rPr>
          <w:rFonts w:hint="eastAsia" w:cs="仿宋" w:asciiTheme="minorEastAsia" w:hAnsiTheme="minorEastAsia" w:eastAsiaTheme="minorEastAsia"/>
          <w:sz w:val="24"/>
          <w:szCs w:val="24"/>
        </w:rPr>
        <w:t>《云南省西双版纳傣族自治州价格信息》</w:t>
      </w:r>
      <w:r>
        <w:rPr>
          <w:rFonts w:hint="eastAsia" w:cs="仿宋" w:asciiTheme="minorEastAsia" w:hAnsiTheme="minorEastAsia" w:eastAsiaTheme="minorEastAsia"/>
          <w:kern w:val="0"/>
          <w:sz w:val="24"/>
          <w:szCs w:val="24"/>
        </w:rPr>
        <w:t>中没有的材料价，由发包人、监理单位确认后，并经造价咨询单位审核通过后作为结算依据。在没有及时签批信息外的材料价时，承包方不得以此为由擅自停工，否则按工期延误条款进行处罚。</w:t>
      </w:r>
    </w:p>
    <w:p w14:paraId="6D0EE99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11.3 其他变化引起的调整</w:t>
      </w:r>
    </w:p>
    <w:p w14:paraId="1C42C36E">
      <w:pPr>
        <w:wordWrap w:val="0"/>
        <w:spacing w:line="500" w:lineRule="exact"/>
        <w:ind w:firstLine="480" w:firstLineChars="200"/>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11.3.1 工程变更、项目特征不符、工程量清单缺项</w:t>
      </w:r>
    </w:p>
    <w:p w14:paraId="455C3810">
      <w:pPr>
        <w:wordWrap w:val="0"/>
        <w:spacing w:line="500" w:lineRule="exact"/>
        <w:ind w:firstLine="480" w:firstLineChars="200"/>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11.3.1.1 因工程变更、项目特征不符、工程量清单缺项引起已标价工程量清单项目或其工程数量发生变化时，应按照变更估价的原则进行调整。</w:t>
      </w:r>
    </w:p>
    <w:p w14:paraId="006B9AB9">
      <w:pPr>
        <w:wordWrap w:val="0"/>
        <w:spacing w:line="500" w:lineRule="exact"/>
        <w:ind w:firstLine="480" w:firstLineChars="200"/>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工程变更引起施工方案改变并使措施项目发生变化时，措施项目费不予调整。</w:t>
      </w:r>
    </w:p>
    <w:p w14:paraId="08A9F29D">
      <w:pPr>
        <w:wordWrap w:val="0"/>
        <w:spacing w:line="500" w:lineRule="exact"/>
        <w:ind w:firstLine="480" w:firstLineChars="200"/>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11.3.2 工程量偏差</w:t>
      </w:r>
    </w:p>
    <w:p w14:paraId="5B194BDC">
      <w:pPr>
        <w:wordWrap w:val="0"/>
        <w:spacing w:line="500" w:lineRule="exact"/>
        <w:ind w:firstLine="480" w:firstLineChars="200"/>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合同履行期间，应当予计算的实际工程量与招标工程量清单出现偏差，综合单价不予调整。</w:t>
      </w:r>
    </w:p>
    <w:p w14:paraId="03251B75">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11.3.3总包服务费</w:t>
      </w:r>
    </w:p>
    <w:p w14:paraId="5609AC2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11.3.3.1本项目执行过程中，承包人根据发包人要求，配合进行分包及其他专业工程的管理，承包人不再向发包人计取总包服务费。</w:t>
      </w:r>
    </w:p>
    <w:p w14:paraId="3FDD4932">
      <w:pPr>
        <w:wordWrap w:val="0"/>
        <w:spacing w:line="500" w:lineRule="exact"/>
        <w:ind w:firstLine="480" w:firstLineChars="200"/>
        <w:outlineLvl w:val="3"/>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12. </w:t>
      </w:r>
      <w:bookmarkEnd w:id="1435"/>
      <w:bookmarkEnd w:id="1436"/>
      <w:bookmarkEnd w:id="1437"/>
      <w:bookmarkEnd w:id="1438"/>
      <w:bookmarkEnd w:id="1439"/>
      <w:bookmarkEnd w:id="1440"/>
      <w:bookmarkEnd w:id="1441"/>
      <w:bookmarkEnd w:id="1442"/>
      <w:bookmarkEnd w:id="1443"/>
      <w:bookmarkEnd w:id="1444"/>
      <w:r>
        <w:rPr>
          <w:rFonts w:hint="eastAsia" w:cs="仿宋" w:asciiTheme="minorEastAsia" w:hAnsiTheme="minorEastAsia" w:eastAsiaTheme="minorEastAsia"/>
          <w:kern w:val="0"/>
          <w:sz w:val="24"/>
          <w:szCs w:val="24"/>
        </w:rPr>
        <w:t>合同价格、计量与支付</w:t>
      </w:r>
      <w:bookmarkEnd w:id="1445"/>
    </w:p>
    <w:bookmarkEnd w:id="1446"/>
    <w:bookmarkEnd w:id="1447"/>
    <w:bookmarkEnd w:id="1448"/>
    <w:bookmarkEnd w:id="1449"/>
    <w:bookmarkEnd w:id="1450"/>
    <w:bookmarkEnd w:id="1451"/>
    <w:p w14:paraId="586AFEAB">
      <w:pPr>
        <w:wordWrap w:val="0"/>
        <w:spacing w:line="500" w:lineRule="exact"/>
        <w:ind w:firstLine="480" w:firstLineChars="200"/>
        <w:rPr>
          <w:rFonts w:cs="仿宋" w:asciiTheme="minorEastAsia" w:hAnsiTheme="minorEastAsia" w:eastAsiaTheme="minorEastAsia"/>
          <w:kern w:val="0"/>
          <w:sz w:val="24"/>
          <w:szCs w:val="24"/>
        </w:rPr>
      </w:pPr>
      <w:bookmarkStart w:id="1468" w:name="_Toc267251461"/>
      <w:bookmarkStart w:id="1469" w:name="_Toc292559411"/>
      <w:bookmarkStart w:id="1470" w:name="_Toc292559916"/>
      <w:bookmarkStart w:id="1471" w:name="_Toc296347205"/>
      <w:bookmarkStart w:id="1472" w:name="_Toc296346707"/>
      <w:bookmarkStart w:id="1473" w:name="_Toc296503206"/>
      <w:bookmarkStart w:id="1474" w:name="_Toc296891034"/>
      <w:bookmarkStart w:id="1475" w:name="_Toc296944545"/>
      <w:bookmarkStart w:id="1476" w:name="_Toc296891246"/>
      <w:bookmarkStart w:id="1477" w:name="_Toc297120506"/>
      <w:bookmarkStart w:id="1478" w:name="_Toc297048392"/>
      <w:bookmarkStart w:id="1479" w:name="_Toc300935003"/>
      <w:bookmarkStart w:id="1480" w:name="_Toc297123553"/>
      <w:bookmarkStart w:id="1481" w:name="_Toc312678041"/>
      <w:bookmarkStart w:id="1482" w:name="_Toc303539160"/>
      <w:bookmarkStart w:id="1483" w:name="_Toc304295580"/>
      <w:bookmarkStart w:id="1484" w:name="_Toc297216212"/>
      <w:r>
        <w:rPr>
          <w:rFonts w:hint="eastAsia" w:cs="仿宋" w:asciiTheme="minorEastAsia" w:hAnsiTheme="minorEastAsia" w:eastAsiaTheme="minorEastAsia"/>
          <w:kern w:val="0"/>
          <w:sz w:val="24"/>
          <w:szCs w:val="24"/>
        </w:rPr>
        <w:t>12.1 合</w:t>
      </w:r>
      <w:bookmarkEnd w:id="1468"/>
      <w:bookmarkEnd w:id="1469"/>
      <w:bookmarkEnd w:id="1470"/>
      <w:r>
        <w:rPr>
          <w:rFonts w:hint="eastAsia" w:cs="仿宋" w:asciiTheme="minorEastAsia" w:hAnsiTheme="minorEastAsia" w:eastAsiaTheme="minorEastAsia"/>
          <w:kern w:val="0"/>
          <w:sz w:val="24"/>
          <w:szCs w:val="24"/>
        </w:rPr>
        <w:t>同价</w:t>
      </w:r>
      <w:bookmarkEnd w:id="1471"/>
      <w:bookmarkEnd w:id="1472"/>
      <w:bookmarkEnd w:id="1473"/>
      <w:bookmarkEnd w:id="1474"/>
      <w:bookmarkEnd w:id="1475"/>
      <w:bookmarkEnd w:id="1476"/>
      <w:bookmarkEnd w:id="1477"/>
      <w:bookmarkEnd w:id="1478"/>
      <w:r>
        <w:rPr>
          <w:rFonts w:hint="eastAsia" w:cs="仿宋" w:asciiTheme="minorEastAsia" w:hAnsiTheme="minorEastAsia" w:eastAsiaTheme="minorEastAsia"/>
          <w:kern w:val="0"/>
          <w:sz w:val="24"/>
          <w:szCs w:val="24"/>
        </w:rPr>
        <w:t>格形式</w:t>
      </w:r>
      <w:bookmarkEnd w:id="1479"/>
      <w:bookmarkEnd w:id="1480"/>
      <w:bookmarkEnd w:id="1481"/>
      <w:bookmarkEnd w:id="1482"/>
      <w:bookmarkEnd w:id="1483"/>
      <w:bookmarkEnd w:id="1484"/>
    </w:p>
    <w:p w14:paraId="6EAE7C53">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1、单价合同。</w:t>
      </w:r>
    </w:p>
    <w:p w14:paraId="58872002">
      <w:pPr>
        <w:wordWrap w:val="0"/>
        <w:spacing w:line="480" w:lineRule="exact"/>
        <w:ind w:firstLine="480" w:firstLineChars="200"/>
        <w:rPr>
          <w:rFonts w:cs="仿宋" w:asciiTheme="minorEastAsia" w:hAnsiTheme="minorEastAsia" w:eastAsiaTheme="minorEastAsia"/>
          <w:sz w:val="24"/>
          <w:szCs w:val="24"/>
          <w:u w:val="single"/>
        </w:rPr>
      </w:pPr>
      <w:r>
        <w:rPr>
          <w:rFonts w:hint="eastAsia" w:cs="仿宋" w:asciiTheme="minorEastAsia" w:hAnsiTheme="minorEastAsia" w:eastAsiaTheme="minorEastAsia"/>
          <w:bCs/>
          <w:sz w:val="24"/>
          <w:szCs w:val="24"/>
        </w:rPr>
        <w:t>综合单价包含的风险范围：</w:t>
      </w:r>
      <w:r>
        <w:rPr>
          <w:rFonts w:hint="eastAsia" w:cs="仿宋" w:asciiTheme="minorEastAsia" w:hAnsiTheme="minorEastAsia" w:eastAsiaTheme="minorEastAsia"/>
          <w:b/>
          <w:snapToGrid w:val="0"/>
          <w:kern w:val="0"/>
          <w:sz w:val="24"/>
          <w:szCs w:val="24"/>
          <w:u w:val="single"/>
        </w:rPr>
        <w:t>a.</w:t>
      </w:r>
      <w:r>
        <w:rPr>
          <w:rFonts w:hint="eastAsia" w:cs="仿宋" w:asciiTheme="minorEastAsia" w:hAnsiTheme="minorEastAsia" w:eastAsiaTheme="minorEastAsia"/>
          <w:b/>
          <w:sz w:val="24"/>
          <w:szCs w:val="24"/>
          <w:u w:val="single"/>
        </w:rPr>
        <w:t>人工费、材料费、</w:t>
      </w:r>
      <w:r>
        <w:rPr>
          <w:rFonts w:hint="eastAsia" w:cs="仿宋" w:asciiTheme="minorEastAsia" w:hAnsiTheme="minorEastAsia" w:eastAsiaTheme="minorEastAsia"/>
          <w:b/>
          <w:snapToGrid w:val="0"/>
          <w:kern w:val="0"/>
          <w:sz w:val="24"/>
          <w:szCs w:val="24"/>
          <w:u w:val="single"/>
        </w:rPr>
        <w:t>机械费、设备费、必须考虑的风险;b.合同中明示及隐含的风险及有经验的承包人可以或应该预见的，为完成整体工程内容所必须考虑的风险；c.分部分项工程量变更，综合单价将不予调整的风险；d.一周内非承包人原因停水、停电造成累计停工在八小时以内的风险。</w:t>
      </w:r>
    </w:p>
    <w:p w14:paraId="582B5906">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风险费用的计算方法：</w:t>
      </w:r>
      <w:r>
        <w:rPr>
          <w:rFonts w:hint="eastAsia" w:cs="仿宋" w:asciiTheme="minorEastAsia" w:hAnsiTheme="minorEastAsia" w:eastAsiaTheme="minorEastAsia"/>
          <w:b/>
          <w:kern w:val="0"/>
          <w:sz w:val="24"/>
          <w:szCs w:val="24"/>
          <w:u w:val="single" w:color="000000"/>
        </w:rPr>
        <w:t>风险费用已包含在成交价中。</w:t>
      </w:r>
    </w:p>
    <w:p w14:paraId="705804B9">
      <w:pPr>
        <w:wordWrap w:val="0"/>
        <w:spacing w:line="500" w:lineRule="exact"/>
        <w:ind w:firstLine="480" w:firstLineChars="200"/>
        <w:jc w:val="left"/>
        <w:rPr>
          <w:rFonts w:cs="仿宋" w:asciiTheme="minorEastAsia" w:hAnsiTheme="minorEastAsia" w:eastAsiaTheme="minorEastAsia"/>
          <w:b/>
          <w:bCs/>
          <w:kern w:val="0"/>
          <w:sz w:val="24"/>
          <w:szCs w:val="24"/>
          <w:u w:val="single"/>
        </w:rPr>
      </w:pPr>
      <w:r>
        <w:rPr>
          <w:rFonts w:hint="eastAsia" w:cs="仿宋" w:asciiTheme="minorEastAsia" w:hAnsiTheme="minorEastAsia" w:eastAsiaTheme="minorEastAsia"/>
          <w:kern w:val="0"/>
          <w:sz w:val="24"/>
          <w:szCs w:val="24"/>
        </w:rPr>
        <w:t>风险范围以外合同价格的调整方法：</w:t>
      </w:r>
      <w:r>
        <w:rPr>
          <w:rFonts w:hint="eastAsia" w:cs="仿宋" w:asciiTheme="minorEastAsia" w:hAnsiTheme="minorEastAsia" w:eastAsiaTheme="minorEastAsia"/>
          <w:b/>
          <w:bCs/>
          <w:kern w:val="0"/>
          <w:sz w:val="24"/>
          <w:szCs w:val="24"/>
          <w:u w:val="single"/>
        </w:rPr>
        <w:t>①工程量清单项目的项目特征与报价中项目相同的，按报价的综合单价计算。</w:t>
      </w:r>
    </w:p>
    <w:p w14:paraId="56D22140">
      <w:pPr>
        <w:wordWrap w:val="0"/>
        <w:spacing w:line="500" w:lineRule="exact"/>
        <w:ind w:firstLine="482" w:firstLineChars="200"/>
        <w:jc w:val="left"/>
        <w:rPr>
          <w:rFonts w:cs="仿宋" w:asciiTheme="minorEastAsia" w:hAnsiTheme="minorEastAsia" w:eastAsiaTheme="minorEastAsia"/>
          <w:b/>
          <w:bCs/>
          <w:kern w:val="0"/>
          <w:sz w:val="24"/>
          <w:szCs w:val="24"/>
          <w:u w:val="single"/>
        </w:rPr>
      </w:pPr>
      <w:r>
        <w:rPr>
          <w:rFonts w:hint="eastAsia" w:cs="仿宋" w:asciiTheme="minorEastAsia" w:hAnsiTheme="minorEastAsia" w:eastAsiaTheme="minorEastAsia"/>
          <w:b/>
          <w:bCs/>
          <w:kern w:val="0"/>
          <w:sz w:val="24"/>
          <w:szCs w:val="24"/>
          <w:u w:val="single"/>
        </w:rPr>
        <w:t>②新增工程量清单项目的项目特征与报价中项目类似的，综合单价参照类似项目的单价进行结算。</w:t>
      </w:r>
    </w:p>
    <w:p w14:paraId="519CD660">
      <w:pPr>
        <w:wordWrap w:val="0"/>
        <w:spacing w:line="500" w:lineRule="exact"/>
        <w:ind w:firstLine="482" w:firstLineChars="200"/>
        <w:jc w:val="left"/>
        <w:rPr>
          <w:rFonts w:cs="仿宋" w:asciiTheme="minorEastAsia" w:hAnsiTheme="minorEastAsia" w:eastAsiaTheme="minorEastAsia"/>
          <w:b/>
          <w:bCs/>
          <w:kern w:val="0"/>
          <w:sz w:val="24"/>
          <w:szCs w:val="24"/>
          <w:u w:val="single"/>
        </w:rPr>
      </w:pPr>
      <w:r>
        <w:rPr>
          <w:rFonts w:hint="eastAsia" w:cs="仿宋" w:asciiTheme="minorEastAsia" w:hAnsiTheme="minorEastAsia" w:eastAsiaTheme="minorEastAsia"/>
          <w:b/>
          <w:bCs/>
          <w:kern w:val="0"/>
          <w:sz w:val="24"/>
          <w:szCs w:val="24"/>
          <w:u w:val="single"/>
        </w:rPr>
        <w:t>③报价中没有综合单价的新的工程量清单项目，新增项目的综合单价由承包人提出，</w:t>
      </w:r>
      <w:r>
        <w:rPr>
          <w:rFonts w:hint="eastAsia" w:cs="仿宋" w:asciiTheme="minorEastAsia" w:hAnsiTheme="minorEastAsia" w:eastAsiaTheme="minorEastAsia"/>
          <w:b/>
          <w:kern w:val="0"/>
          <w:sz w:val="24"/>
          <w:szCs w:val="24"/>
          <w:u w:val="single"/>
        </w:rPr>
        <w:t>由发包人、监理单位确认后，并经有资质的中介机构审核通过后作为结算价</w:t>
      </w:r>
      <w:r>
        <w:rPr>
          <w:rFonts w:hint="eastAsia" w:cs="仿宋" w:asciiTheme="minorEastAsia" w:hAnsiTheme="minorEastAsia" w:eastAsiaTheme="minorEastAsia"/>
          <w:b/>
          <w:bCs/>
          <w:kern w:val="0"/>
          <w:sz w:val="24"/>
          <w:szCs w:val="24"/>
          <w:u w:val="single"/>
        </w:rPr>
        <w:t>。</w:t>
      </w:r>
    </w:p>
    <w:p w14:paraId="06BFF0C0">
      <w:pPr>
        <w:wordWrap w:val="0"/>
        <w:spacing w:line="500" w:lineRule="exact"/>
        <w:ind w:firstLine="482"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b/>
          <w:bCs/>
          <w:kern w:val="0"/>
          <w:sz w:val="24"/>
          <w:szCs w:val="24"/>
          <w:u w:val="single"/>
        </w:rPr>
        <w:t>④合同范围外调整计价原则：执行《建设工程工程量清单计价规范》(GB50500—2013)、《云南省建设工程造价计价标准（2020版）》、《云南省住房和城乡建设厅关于云南省建设工程造价计价标准调整定额人工费的通知》（云建科〔2023〕54号）和《云南省住房和城乡建设厅关于重新调整云南省建设工程造价计价依据中税金综合税率的通知》（云建科函〔2019〕62号）</w:t>
      </w:r>
      <w:r>
        <w:rPr>
          <w:rFonts w:hint="eastAsia" w:cs="仿宋" w:asciiTheme="minorEastAsia" w:hAnsiTheme="minorEastAsia" w:eastAsiaTheme="minorEastAsia"/>
          <w:b/>
          <w:bCs/>
          <w:kern w:val="0"/>
          <w:sz w:val="24"/>
          <w:szCs w:val="24"/>
        </w:rPr>
        <w:t>。</w:t>
      </w:r>
    </w:p>
    <w:p w14:paraId="28B5CB67">
      <w:pPr>
        <w:wordWrap w:val="0"/>
        <w:spacing w:line="480" w:lineRule="exact"/>
        <w:ind w:firstLine="480" w:firstLineChars="200"/>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最终工程费的确定方法：</w:t>
      </w:r>
      <w:r>
        <w:rPr>
          <w:rFonts w:hint="eastAsia" w:cs="仿宋" w:asciiTheme="minorEastAsia" w:hAnsiTheme="minorEastAsia" w:eastAsiaTheme="minorEastAsia"/>
          <w:b/>
          <w:bCs/>
          <w:sz w:val="24"/>
          <w:szCs w:val="24"/>
          <w:u w:val="single"/>
        </w:rPr>
        <w:t>整个工程先根据竞争性磋商文件和承包人的响应文件，采用单价合同形式进行结算，经有资质的造价咨询单位审核完毕确定工程费结算价，并经发包人和承包人双方认可，再按成交工程费结算价下浮率下浮后，计算出最终工程费，计算公式：最终工程费=经造价咨询单位审定的工程费结算价×（1-成交工程费结算价下浮率）。</w:t>
      </w:r>
    </w:p>
    <w:p w14:paraId="387D5E7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2、总价合同。</w:t>
      </w:r>
    </w:p>
    <w:p w14:paraId="492EFBD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总价包含的风险范围：</w:t>
      </w:r>
      <w:r>
        <w:rPr>
          <w:rFonts w:hint="eastAsia" w:cs="仿宋" w:asciiTheme="minorEastAsia" w:hAnsiTheme="minorEastAsia" w:eastAsiaTheme="minorEastAsia"/>
          <w:kern w:val="0"/>
          <w:sz w:val="24"/>
          <w:szCs w:val="24"/>
          <w:u w:val="single"/>
        </w:rPr>
        <w:t xml:space="preserve">   /   </w:t>
      </w:r>
      <w:r>
        <w:rPr>
          <w:rFonts w:hint="eastAsia" w:cs="仿宋" w:asciiTheme="minorEastAsia" w:hAnsiTheme="minorEastAsia" w:eastAsiaTheme="minorEastAsia"/>
          <w:kern w:val="0"/>
          <w:sz w:val="24"/>
          <w:szCs w:val="24"/>
        </w:rPr>
        <w:t>。</w:t>
      </w:r>
    </w:p>
    <w:p w14:paraId="31E7E00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风险费用的计算方法：</w:t>
      </w:r>
      <w:r>
        <w:rPr>
          <w:rFonts w:hint="eastAsia" w:cs="仿宋" w:asciiTheme="minorEastAsia" w:hAnsiTheme="minorEastAsia" w:eastAsiaTheme="minorEastAsia"/>
          <w:kern w:val="0"/>
          <w:sz w:val="24"/>
          <w:szCs w:val="24"/>
          <w:u w:val="single"/>
        </w:rPr>
        <w:t xml:space="preserve">   /   </w:t>
      </w:r>
      <w:r>
        <w:rPr>
          <w:rFonts w:hint="eastAsia" w:cs="仿宋" w:asciiTheme="minorEastAsia" w:hAnsiTheme="minorEastAsia" w:eastAsiaTheme="minorEastAsia"/>
          <w:kern w:val="0"/>
          <w:sz w:val="24"/>
          <w:szCs w:val="24"/>
        </w:rPr>
        <w:t>。</w:t>
      </w:r>
    </w:p>
    <w:p w14:paraId="52D10BFB">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风险范围以外合同价格的调整方法：</w:t>
      </w:r>
      <w:r>
        <w:rPr>
          <w:rFonts w:hint="eastAsia" w:cs="仿宋" w:asciiTheme="minorEastAsia" w:hAnsiTheme="minorEastAsia" w:eastAsiaTheme="minorEastAsia"/>
          <w:kern w:val="0"/>
          <w:sz w:val="24"/>
          <w:szCs w:val="24"/>
          <w:u w:val="single"/>
        </w:rPr>
        <w:t xml:space="preserve">   /   </w:t>
      </w:r>
      <w:r>
        <w:rPr>
          <w:rFonts w:hint="eastAsia" w:cs="仿宋" w:asciiTheme="minorEastAsia" w:hAnsiTheme="minorEastAsia" w:eastAsiaTheme="minorEastAsia"/>
          <w:kern w:val="0"/>
          <w:sz w:val="24"/>
          <w:szCs w:val="24"/>
        </w:rPr>
        <w:t>。</w:t>
      </w:r>
    </w:p>
    <w:p w14:paraId="67BEC386">
      <w:pPr>
        <w:wordWrap w:val="0"/>
        <w:spacing w:line="500" w:lineRule="exact"/>
        <w:ind w:firstLine="480" w:firstLineChars="200"/>
        <w:rPr>
          <w:rFonts w:cs="仿宋" w:asciiTheme="minorEastAsia" w:hAnsiTheme="minorEastAsia" w:eastAsiaTheme="minorEastAsia"/>
          <w:b/>
          <w:kern w:val="0"/>
          <w:sz w:val="24"/>
          <w:szCs w:val="24"/>
          <w:u w:val="single"/>
        </w:rPr>
      </w:pPr>
      <w:r>
        <w:rPr>
          <w:rFonts w:hint="eastAsia" w:cs="仿宋" w:asciiTheme="minorEastAsia" w:hAnsiTheme="minorEastAsia" w:eastAsiaTheme="minorEastAsia"/>
          <w:kern w:val="0"/>
          <w:sz w:val="24"/>
          <w:szCs w:val="24"/>
        </w:rPr>
        <w:t>3、其他价格方式：</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Cs/>
          <w:sz w:val="24"/>
          <w:szCs w:val="24"/>
          <w:u w:val="single"/>
        </w:rPr>
        <w:t xml:space="preserve">/  </w:t>
      </w:r>
      <w:r>
        <w:rPr>
          <w:rFonts w:hint="eastAsia" w:cs="仿宋" w:asciiTheme="minorEastAsia" w:hAnsiTheme="minorEastAsia" w:eastAsiaTheme="minorEastAsia"/>
          <w:kern w:val="0"/>
          <w:sz w:val="24"/>
          <w:szCs w:val="24"/>
        </w:rPr>
        <w:t>。</w:t>
      </w:r>
    </w:p>
    <w:p w14:paraId="6B70A0AD">
      <w:pPr>
        <w:wordWrap w:val="0"/>
        <w:spacing w:line="500" w:lineRule="exact"/>
        <w:ind w:firstLine="480" w:firstLineChars="200"/>
        <w:rPr>
          <w:rFonts w:cs="仿宋" w:asciiTheme="minorEastAsia" w:hAnsiTheme="minorEastAsia" w:eastAsiaTheme="minorEastAsia"/>
          <w:kern w:val="0"/>
          <w:sz w:val="24"/>
          <w:szCs w:val="24"/>
        </w:rPr>
      </w:pPr>
      <w:bookmarkStart w:id="1485" w:name="_Toc297123554"/>
      <w:bookmarkStart w:id="1486" w:name="_Toc297216213"/>
      <w:bookmarkStart w:id="1487" w:name="_Toc303539161"/>
      <w:bookmarkStart w:id="1488" w:name="_Toc312678042"/>
      <w:bookmarkStart w:id="1489" w:name="_Toc304295581"/>
      <w:bookmarkStart w:id="1490" w:name="_Toc300935004"/>
      <w:bookmarkStart w:id="1491" w:name="_Toc296503207"/>
      <w:bookmarkStart w:id="1492" w:name="_Toc296944546"/>
      <w:bookmarkStart w:id="1493" w:name="_Toc297120507"/>
      <w:bookmarkStart w:id="1494" w:name="_Toc297048393"/>
      <w:bookmarkStart w:id="1495" w:name="_Toc296346708"/>
      <w:bookmarkStart w:id="1496" w:name="_Toc296891247"/>
      <w:bookmarkStart w:id="1497" w:name="_Toc292559412"/>
      <w:bookmarkStart w:id="1498" w:name="_Toc292559917"/>
      <w:bookmarkStart w:id="1499" w:name="_Toc296347206"/>
      <w:bookmarkStart w:id="1500" w:name="_Toc296891035"/>
      <w:r>
        <w:rPr>
          <w:rFonts w:hint="eastAsia" w:cs="仿宋" w:asciiTheme="minorEastAsia" w:hAnsiTheme="minorEastAsia" w:eastAsiaTheme="minorEastAsia"/>
          <w:kern w:val="0"/>
          <w:sz w:val="24"/>
          <w:szCs w:val="24"/>
        </w:rPr>
        <w:t>12.2 预付款</w:t>
      </w:r>
    </w:p>
    <w:bookmarkEnd w:id="1485"/>
    <w:bookmarkEnd w:id="1486"/>
    <w:bookmarkEnd w:id="1487"/>
    <w:bookmarkEnd w:id="1488"/>
    <w:bookmarkEnd w:id="1489"/>
    <w:bookmarkEnd w:id="1490"/>
    <w:p w14:paraId="29C0DCC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12.2.1 预付款的支付</w:t>
      </w:r>
    </w:p>
    <w:p w14:paraId="57B644B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预付款支付比例或金额：</w:t>
      </w:r>
      <w:r>
        <w:rPr>
          <w:rFonts w:hint="eastAsia" w:cs="仿宋" w:asciiTheme="minorEastAsia" w:hAnsiTheme="minorEastAsia" w:eastAsiaTheme="minorEastAsia"/>
          <w:b/>
          <w:bCs/>
          <w:kern w:val="0"/>
          <w:sz w:val="24"/>
          <w:szCs w:val="24"/>
          <w:u w:val="single"/>
        </w:rPr>
        <w:t xml:space="preserve">合同金额的  % </w:t>
      </w:r>
      <w:r>
        <w:rPr>
          <w:rFonts w:hint="eastAsia" w:cs="仿宋" w:asciiTheme="minorEastAsia" w:hAnsiTheme="minorEastAsia" w:eastAsiaTheme="minorEastAsia"/>
          <w:kern w:val="0"/>
          <w:sz w:val="24"/>
          <w:szCs w:val="24"/>
        </w:rPr>
        <w:t>。</w:t>
      </w:r>
    </w:p>
    <w:p w14:paraId="0969C6C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预付款支付期限：</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bCs/>
          <w:kern w:val="0"/>
          <w:sz w:val="24"/>
          <w:szCs w:val="24"/>
          <w:u w:val="single"/>
        </w:rPr>
        <w:t>合同签订后进场施工  个工作日内支付</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746B54E7">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预付款扣回的方式：</w:t>
      </w:r>
      <w:r>
        <w:rPr>
          <w:rFonts w:hint="eastAsia" w:cs="仿宋" w:asciiTheme="minorEastAsia" w:hAnsiTheme="minorEastAsia" w:eastAsiaTheme="minorEastAsia"/>
          <w:b/>
          <w:bCs/>
          <w:kern w:val="0"/>
          <w:sz w:val="24"/>
          <w:szCs w:val="24"/>
          <w:u w:val="single"/>
        </w:rPr>
        <w:t>由发包人从支付给承包人的首次工程进度款中一次性扣回,首次工程进度款不足以扣回时，顺延至下次拨付工程进度款时抵扣</w:t>
      </w:r>
      <w:r>
        <w:rPr>
          <w:rFonts w:hint="eastAsia" w:cs="仿宋" w:asciiTheme="minorEastAsia" w:hAnsiTheme="minorEastAsia" w:eastAsiaTheme="minorEastAsia"/>
          <w:kern w:val="0"/>
          <w:sz w:val="24"/>
          <w:szCs w:val="24"/>
        </w:rPr>
        <w:t>。</w:t>
      </w:r>
    </w:p>
    <w:p w14:paraId="37E25F9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12.2.2 预付款担保</w:t>
      </w:r>
    </w:p>
    <w:p w14:paraId="43945871">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承包人提交预付款担保的期限：</w:t>
      </w:r>
      <w:r>
        <w:rPr>
          <w:rFonts w:hint="eastAsia" w:cs="仿宋" w:asciiTheme="minorEastAsia" w:hAnsiTheme="minorEastAsia" w:eastAsiaTheme="minorEastAsia"/>
          <w:b/>
          <w:bCs/>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274A65D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预付款担保的形式为：</w:t>
      </w:r>
      <w:r>
        <w:rPr>
          <w:rFonts w:hint="eastAsia" w:cs="仿宋" w:asciiTheme="minorEastAsia" w:hAnsiTheme="minorEastAsia" w:eastAsiaTheme="minorEastAsia"/>
          <w:b/>
          <w:bCs/>
          <w:kern w:val="0"/>
          <w:sz w:val="24"/>
          <w:szCs w:val="24"/>
          <w:u w:val="single"/>
        </w:rPr>
        <w:t xml:space="preserve">         </w:t>
      </w:r>
      <w:r>
        <w:rPr>
          <w:rFonts w:hint="eastAsia" w:cs="仿宋" w:asciiTheme="minorEastAsia" w:hAnsiTheme="minorEastAsia" w:eastAsiaTheme="minorEastAsia"/>
          <w:kern w:val="0"/>
          <w:sz w:val="24"/>
          <w:szCs w:val="24"/>
        </w:rPr>
        <w:t>。</w:t>
      </w:r>
    </w:p>
    <w:bookmarkEnd w:id="1491"/>
    <w:bookmarkEnd w:id="1492"/>
    <w:bookmarkEnd w:id="1493"/>
    <w:bookmarkEnd w:id="1494"/>
    <w:bookmarkEnd w:id="1495"/>
    <w:bookmarkEnd w:id="1496"/>
    <w:bookmarkEnd w:id="1497"/>
    <w:bookmarkEnd w:id="1498"/>
    <w:bookmarkEnd w:id="1499"/>
    <w:bookmarkEnd w:id="1500"/>
    <w:p w14:paraId="078B198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12.3 计量</w:t>
      </w:r>
    </w:p>
    <w:p w14:paraId="5C59F0B7">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12.3.1 计量原则</w:t>
      </w:r>
    </w:p>
    <w:p w14:paraId="069FE0AF">
      <w:pPr>
        <w:wordWrap w:val="0"/>
        <w:spacing w:line="500" w:lineRule="exact"/>
        <w:ind w:firstLine="480" w:firstLineChars="200"/>
        <w:rPr>
          <w:rFonts w:cs="仿宋" w:asciiTheme="minorEastAsia" w:hAnsiTheme="minorEastAsia" w:eastAsiaTheme="minorEastAsia"/>
          <w:b/>
          <w:snapToGrid w:val="0"/>
          <w:kern w:val="0"/>
          <w:sz w:val="24"/>
          <w:szCs w:val="24"/>
          <w:u w:val="single"/>
        </w:rPr>
      </w:pPr>
      <w:r>
        <w:rPr>
          <w:rFonts w:hint="eastAsia" w:cs="仿宋" w:asciiTheme="minorEastAsia" w:hAnsiTheme="minorEastAsia" w:eastAsiaTheme="minorEastAsia"/>
          <w:kern w:val="0"/>
          <w:sz w:val="24"/>
          <w:szCs w:val="24"/>
        </w:rPr>
        <w:t>工程量计算规则：</w:t>
      </w:r>
      <w:r>
        <w:rPr>
          <w:rFonts w:hint="eastAsia" w:cs="仿宋" w:asciiTheme="minorEastAsia" w:hAnsiTheme="minorEastAsia" w:eastAsiaTheme="minorEastAsia"/>
          <w:b/>
          <w:bCs/>
          <w:kern w:val="0"/>
          <w:sz w:val="24"/>
          <w:szCs w:val="24"/>
          <w:u w:val="single"/>
        </w:rPr>
        <w:t>①《建设工程工程量清单计价规范》（GB50500-2013）《云南省建设工程造价计价标准（2020版）》；②竞争性磋商文件、工程量清单及其补充通知、答疑纪要；③建设工程设计文件及相关资料；④施工现场完成情况；⑤与建设项目相关的标准、规范等技术资料、标准图集</w:t>
      </w:r>
      <w:r>
        <w:rPr>
          <w:rFonts w:hint="eastAsia" w:cs="仿宋" w:asciiTheme="minorEastAsia" w:hAnsiTheme="minorEastAsia" w:eastAsiaTheme="minorEastAsia"/>
          <w:bCs/>
          <w:kern w:val="0"/>
          <w:sz w:val="24"/>
          <w:szCs w:val="24"/>
        </w:rPr>
        <w:t>。</w:t>
      </w:r>
    </w:p>
    <w:p w14:paraId="2A0A57BB">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12.3.2 计量周期</w:t>
      </w:r>
    </w:p>
    <w:p w14:paraId="14B2379E">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关于计量周期的约定：</w:t>
      </w:r>
      <w:r>
        <w:rPr>
          <w:rFonts w:hint="eastAsia" w:cs="仿宋" w:asciiTheme="minorEastAsia" w:hAnsiTheme="minorEastAsia" w:eastAsiaTheme="minorEastAsia"/>
          <w:b/>
          <w:kern w:val="0"/>
          <w:sz w:val="24"/>
          <w:szCs w:val="24"/>
          <w:u w:val="single"/>
        </w:rPr>
        <w:t xml:space="preserve">每月计量一次 </w:t>
      </w:r>
      <w:r>
        <w:rPr>
          <w:rFonts w:hint="eastAsia" w:cs="仿宋" w:asciiTheme="minorEastAsia" w:hAnsiTheme="minorEastAsia" w:eastAsiaTheme="minorEastAsia"/>
          <w:kern w:val="0"/>
          <w:sz w:val="24"/>
          <w:szCs w:val="24"/>
        </w:rPr>
        <w:t>。</w:t>
      </w:r>
    </w:p>
    <w:p w14:paraId="62BFF9C9">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12.3.3 单价合同的计量</w:t>
      </w:r>
    </w:p>
    <w:p w14:paraId="24EE8EA9">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关于单价合同计量的约定：</w:t>
      </w:r>
      <w:r>
        <w:rPr>
          <w:rFonts w:hint="eastAsia" w:cs="仿宋" w:asciiTheme="minorEastAsia" w:hAnsiTheme="minorEastAsia" w:eastAsiaTheme="minorEastAsia"/>
          <w:b/>
          <w:kern w:val="0"/>
          <w:sz w:val="24"/>
          <w:szCs w:val="24"/>
          <w:u w:val="single"/>
        </w:rPr>
        <w:t>按形象进度计量</w:t>
      </w:r>
      <w:r>
        <w:rPr>
          <w:rFonts w:hint="eastAsia" w:cs="仿宋" w:asciiTheme="minorEastAsia" w:hAnsiTheme="minorEastAsia" w:eastAsiaTheme="minorEastAsia"/>
          <w:kern w:val="0"/>
          <w:sz w:val="24"/>
          <w:szCs w:val="24"/>
        </w:rPr>
        <w:t>。</w:t>
      </w:r>
    </w:p>
    <w:p w14:paraId="674B7C0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12.3.4 总价合同的计量</w:t>
      </w:r>
    </w:p>
    <w:p w14:paraId="270ADC1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关于总价合同计量的约定：</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41936BFB">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12.3.5总价合同采用支付分解表计量支付的，是否适用第12.3.4 项〔总价合同的计量〕约定进行计量：</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4B57490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12.3.6 其他价格形式合同的计量</w:t>
      </w:r>
    </w:p>
    <w:p w14:paraId="1A6AAE4A">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其他价格形式的计量方式和程序：</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11B7A1E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12.4 工程进度款支付</w:t>
      </w:r>
    </w:p>
    <w:p w14:paraId="66F558AF">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12.4.1 付款周期</w:t>
      </w:r>
    </w:p>
    <w:p w14:paraId="085EDA34">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关于付款周期的约定：</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bCs/>
          <w:kern w:val="0"/>
          <w:sz w:val="24"/>
          <w:szCs w:val="24"/>
          <w:u w:val="single"/>
        </w:rPr>
        <w:t>根据资金到位情况确定</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49EAB41A">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12.4.2 进度付款申请单的编制</w:t>
      </w:r>
    </w:p>
    <w:p w14:paraId="4AAB7A3D">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关于进度付款申请单编制的约定：</w:t>
      </w:r>
      <w:r>
        <w:rPr>
          <w:rFonts w:hint="eastAsia" w:cs="仿宋" w:asciiTheme="minorEastAsia" w:hAnsiTheme="minorEastAsia" w:eastAsiaTheme="minorEastAsia"/>
          <w:b/>
          <w:bCs/>
          <w:kern w:val="0"/>
          <w:sz w:val="24"/>
          <w:szCs w:val="24"/>
          <w:u w:val="single"/>
        </w:rPr>
        <w:t>按通用合同条款执行</w:t>
      </w:r>
      <w:r>
        <w:rPr>
          <w:rFonts w:hint="eastAsia" w:cs="仿宋" w:asciiTheme="minorEastAsia" w:hAnsiTheme="minorEastAsia" w:eastAsiaTheme="minorEastAsia"/>
          <w:kern w:val="0"/>
          <w:sz w:val="24"/>
          <w:szCs w:val="24"/>
        </w:rPr>
        <w:t>。</w:t>
      </w:r>
    </w:p>
    <w:p w14:paraId="4148A85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12.4.3 进度付款申请单的提交</w:t>
      </w:r>
    </w:p>
    <w:p w14:paraId="2D56F740">
      <w:pPr>
        <w:wordWrap w:val="0"/>
        <w:autoSpaceDE w:val="0"/>
        <w:autoSpaceDN w:val="0"/>
        <w:adjustRightInd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（1）单价合同进度付款申请单提交的约定：</w:t>
      </w:r>
      <w:r>
        <w:rPr>
          <w:rFonts w:hint="eastAsia" w:cs="仿宋" w:asciiTheme="minorEastAsia" w:hAnsiTheme="minorEastAsia" w:eastAsiaTheme="minorEastAsia"/>
          <w:b/>
          <w:bCs/>
          <w:kern w:val="0"/>
          <w:sz w:val="24"/>
          <w:szCs w:val="24"/>
          <w:u w:val="single"/>
        </w:rPr>
        <w:t>按通用合同条款12.3.3约定的时间每月向监理人提交，并附上已完成工程量报表和有关资料</w:t>
      </w:r>
      <w:r>
        <w:rPr>
          <w:rFonts w:hint="eastAsia" w:cs="仿宋" w:asciiTheme="minorEastAsia" w:hAnsiTheme="minorEastAsia" w:eastAsiaTheme="minorEastAsia"/>
          <w:kern w:val="0"/>
          <w:sz w:val="24"/>
          <w:szCs w:val="24"/>
          <w:u w:val="single"/>
        </w:rPr>
        <w:t>。</w:t>
      </w:r>
    </w:p>
    <w:p w14:paraId="5E174F7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（2）总价合同进度付款申请单提交的约定：</w:t>
      </w:r>
      <w:r>
        <w:rPr>
          <w:rFonts w:hint="eastAsia" w:cs="仿宋" w:asciiTheme="minorEastAsia" w:hAnsiTheme="minorEastAsia" w:eastAsiaTheme="minorEastAsia"/>
          <w:kern w:val="0"/>
          <w:sz w:val="24"/>
          <w:szCs w:val="24"/>
          <w:u w:val="single"/>
        </w:rPr>
        <w:t xml:space="preserve">      /       </w:t>
      </w:r>
      <w:r>
        <w:rPr>
          <w:rFonts w:hint="eastAsia" w:cs="仿宋" w:asciiTheme="minorEastAsia" w:hAnsiTheme="minorEastAsia" w:eastAsiaTheme="minorEastAsia"/>
          <w:kern w:val="0"/>
          <w:sz w:val="24"/>
          <w:szCs w:val="24"/>
        </w:rPr>
        <w:t>。</w:t>
      </w:r>
    </w:p>
    <w:p w14:paraId="604C59BE">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（3）其他价格形式合同进度付款申请单提交的约定：</w:t>
      </w:r>
      <w:r>
        <w:rPr>
          <w:rFonts w:hint="eastAsia" w:cs="仿宋" w:asciiTheme="minorEastAsia" w:hAnsiTheme="minorEastAsia" w:eastAsiaTheme="minorEastAsia"/>
          <w:kern w:val="0"/>
          <w:sz w:val="24"/>
          <w:szCs w:val="24"/>
          <w:u w:val="single"/>
        </w:rPr>
        <w:t xml:space="preserve">    /     </w:t>
      </w:r>
      <w:r>
        <w:rPr>
          <w:rFonts w:hint="eastAsia" w:cs="仿宋" w:asciiTheme="minorEastAsia" w:hAnsiTheme="minorEastAsia" w:eastAsiaTheme="minorEastAsia"/>
          <w:kern w:val="0"/>
          <w:sz w:val="24"/>
          <w:szCs w:val="24"/>
        </w:rPr>
        <w:t>。</w:t>
      </w:r>
    </w:p>
    <w:p w14:paraId="1323F89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12.4.4 进度款审核和支付</w:t>
      </w:r>
    </w:p>
    <w:p w14:paraId="750B9245">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（1）监理人审查并报送发包人的期限：</w:t>
      </w:r>
      <w:r>
        <w:rPr>
          <w:rFonts w:hint="eastAsia" w:cs="仿宋" w:asciiTheme="minorEastAsia" w:hAnsiTheme="minorEastAsia" w:eastAsiaTheme="minorEastAsia"/>
          <w:b/>
          <w:bCs/>
          <w:kern w:val="0"/>
          <w:sz w:val="24"/>
          <w:szCs w:val="24"/>
          <w:u w:val="single"/>
        </w:rPr>
        <w:t>收到申请7个工作日</w:t>
      </w:r>
      <w:r>
        <w:rPr>
          <w:rFonts w:hint="eastAsia" w:cs="仿宋" w:asciiTheme="minorEastAsia" w:hAnsiTheme="minorEastAsia" w:eastAsiaTheme="minorEastAsia"/>
          <w:kern w:val="0"/>
          <w:sz w:val="24"/>
          <w:szCs w:val="24"/>
        </w:rPr>
        <w:t>。</w:t>
      </w:r>
    </w:p>
    <w:p w14:paraId="102A4C50">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发包人完成审批并签发进度款支付证书的期限：</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bCs/>
          <w:kern w:val="0"/>
          <w:sz w:val="24"/>
          <w:szCs w:val="24"/>
          <w:u w:val="single"/>
        </w:rPr>
        <w:t>根据资金到位情况确定</w:t>
      </w:r>
      <w:r>
        <w:rPr>
          <w:rFonts w:hint="eastAsia" w:cs="仿宋" w:asciiTheme="minorEastAsia" w:hAnsiTheme="minorEastAsia" w:eastAsiaTheme="minorEastAsia"/>
          <w:kern w:val="0"/>
          <w:sz w:val="24"/>
          <w:szCs w:val="24"/>
        </w:rPr>
        <w:t>。</w:t>
      </w:r>
    </w:p>
    <w:p w14:paraId="1609DBF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（2）发包人支付进度款的期限：</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bCs/>
          <w:kern w:val="0"/>
          <w:sz w:val="24"/>
          <w:szCs w:val="24"/>
          <w:u w:val="single"/>
        </w:rPr>
        <w:t>根据资金到位情况确定</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3E254A21">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发包人逾期支付进度款的违约金的计算方式：</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bCs/>
          <w:kern w:val="0"/>
          <w:sz w:val="24"/>
          <w:szCs w:val="24"/>
          <w:u w:val="single"/>
        </w:rPr>
        <w:t>/</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36A516BB">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（3）进度款支付时间：</w:t>
      </w:r>
      <w:r>
        <w:rPr>
          <w:rFonts w:hint="eastAsia" w:cs="仿宋" w:asciiTheme="minorEastAsia" w:hAnsiTheme="minorEastAsia" w:eastAsiaTheme="minorEastAsia"/>
          <w:b/>
          <w:bCs/>
          <w:kern w:val="0"/>
          <w:sz w:val="24"/>
          <w:szCs w:val="24"/>
          <w:u w:val="single"/>
        </w:rPr>
        <w:t>承包人每月上报工程进度款申请表，发包人根据资金到位情况按审定造价的80%向承包人拨付工程进度款(应付进度款分两笔支付，其中：应付进度款的80%由发包人直接支付至合同约定的承包人账户，剩余20%由发包人支付至承包人按照农民工工资管理规定在项目地开设的农民工工资专用账户，由监管银行代为发放农民工工资)，竣工验收前进度款拨付累计不超过完成产值的80%。工程竣工并验收合格后进入工程结算，经造价咨询单位审定出具工程结算审核报告后，发包人按照经造价咨询单位审定的工程费结算价及工程费结算价下浮率计算最终工程费，承包人在工程竣工结算审核完成后5个工作日内将质量保证金（质量保证金为按工程价款结算总额的3%交纳）转账至向发包人指定账户后，发包人根据资金到位情况支付至最终工程费的100%。</w:t>
      </w:r>
    </w:p>
    <w:p w14:paraId="0152B103">
      <w:pPr>
        <w:wordWrap w:val="0"/>
        <w:spacing w:line="500" w:lineRule="exact"/>
        <w:ind w:firstLine="482" w:firstLineChars="200"/>
        <w:rPr>
          <w:rFonts w:cs="仿宋" w:asciiTheme="minorEastAsia" w:hAnsiTheme="minorEastAsia" w:eastAsiaTheme="minorEastAsia"/>
          <w:b/>
          <w:bCs/>
          <w:kern w:val="0"/>
          <w:sz w:val="24"/>
          <w:szCs w:val="24"/>
          <w:u w:val="single"/>
        </w:rPr>
      </w:pPr>
      <w:r>
        <w:rPr>
          <w:rFonts w:hint="eastAsia" w:cs="仿宋" w:asciiTheme="minorEastAsia" w:hAnsiTheme="minorEastAsia" w:eastAsiaTheme="minorEastAsia"/>
          <w:b/>
          <w:bCs/>
          <w:kern w:val="0"/>
          <w:sz w:val="24"/>
          <w:szCs w:val="24"/>
          <w:u w:val="single"/>
        </w:rPr>
        <w:t xml:space="preserve">（4）发包人的工程费拨付之前，承包人保证工程正常施工、如期推进。整个合同履行期间，承包人应采取相应措施保证农民工工资、材料款、设备租用款等各项费用按时支付，并妥善处理好劳资、材料、设备采购纠纷、施工安全责任问题，确保不发生农民工或材料供应商上访、非法集结等事件；如有发生，发包人、承包人双方视情况协商解决，承包人需按合同价的10%向发包人支付违约金，情节特别严重时，发包人有权根据实际情节解除合同。 </w:t>
      </w:r>
    </w:p>
    <w:p w14:paraId="031A3704">
      <w:pPr>
        <w:wordWrap w:val="0"/>
        <w:spacing w:line="500" w:lineRule="exact"/>
        <w:ind w:firstLine="482" w:firstLineChars="200"/>
        <w:rPr>
          <w:rFonts w:cs="仿宋" w:asciiTheme="minorEastAsia" w:hAnsiTheme="minorEastAsia" w:eastAsiaTheme="minorEastAsia"/>
          <w:b/>
          <w:bCs/>
          <w:kern w:val="0"/>
          <w:sz w:val="24"/>
          <w:szCs w:val="24"/>
          <w:u w:val="single"/>
        </w:rPr>
      </w:pPr>
      <w:r>
        <w:rPr>
          <w:rFonts w:hint="eastAsia" w:cs="仿宋" w:asciiTheme="minorEastAsia" w:hAnsiTheme="minorEastAsia" w:eastAsiaTheme="minorEastAsia"/>
          <w:b/>
          <w:bCs/>
          <w:kern w:val="0"/>
          <w:sz w:val="24"/>
          <w:szCs w:val="24"/>
          <w:u w:val="single"/>
        </w:rPr>
        <w:t>（5）承包人需向发包人开具所有工程款的增值税发票。</w:t>
      </w:r>
    </w:p>
    <w:p w14:paraId="63EB2A0B">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12.4.6 支付分解表的编制</w:t>
      </w:r>
    </w:p>
    <w:p w14:paraId="49E0BE1E">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2.总价合同支付分解表的编制与审批：</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          </w:t>
      </w:r>
      <w:r>
        <w:rPr>
          <w:rFonts w:hint="eastAsia" w:cs="仿宋" w:asciiTheme="minorEastAsia" w:hAnsiTheme="minorEastAsia" w:eastAsiaTheme="minorEastAsia"/>
          <w:kern w:val="0"/>
          <w:sz w:val="24"/>
          <w:szCs w:val="24"/>
        </w:rPr>
        <w:t>。</w:t>
      </w:r>
    </w:p>
    <w:p w14:paraId="4D3FC748">
      <w:pPr>
        <w:wordWrap w:val="0"/>
        <w:spacing w:line="500" w:lineRule="exact"/>
        <w:ind w:firstLine="480" w:firstLineChars="200"/>
        <w:rPr>
          <w:rFonts w:cs="仿宋" w:asciiTheme="minorEastAsia" w:hAnsiTheme="minorEastAsia" w:eastAsiaTheme="minorEastAsia"/>
          <w:b/>
          <w:kern w:val="0"/>
          <w:sz w:val="24"/>
          <w:szCs w:val="24"/>
          <w:u w:val="single"/>
        </w:rPr>
      </w:pPr>
      <w:r>
        <w:rPr>
          <w:rFonts w:hint="eastAsia" w:cs="仿宋" w:asciiTheme="minorEastAsia" w:hAnsiTheme="minorEastAsia" w:eastAsiaTheme="minorEastAsia"/>
          <w:kern w:val="0"/>
          <w:sz w:val="24"/>
          <w:szCs w:val="24"/>
        </w:rPr>
        <w:t>3.单价合同的总价项目支付分解表的编制与审批：</w:t>
      </w:r>
      <w:r>
        <w:rPr>
          <w:rFonts w:hint="eastAsia" w:cs="仿宋" w:asciiTheme="minorEastAsia" w:hAnsiTheme="minorEastAsia" w:eastAsiaTheme="minorEastAsia"/>
          <w:b/>
          <w:bCs/>
          <w:kern w:val="0"/>
          <w:sz w:val="24"/>
          <w:szCs w:val="24"/>
          <w:u w:val="single"/>
        </w:rPr>
        <w:t xml:space="preserve">按通用合同条款执行 </w:t>
      </w:r>
      <w:r>
        <w:rPr>
          <w:rFonts w:hint="eastAsia" w:cs="仿宋" w:asciiTheme="minorEastAsia" w:hAnsiTheme="minorEastAsia" w:eastAsiaTheme="minorEastAsia"/>
          <w:bCs/>
          <w:kern w:val="0"/>
          <w:sz w:val="24"/>
          <w:szCs w:val="24"/>
        </w:rPr>
        <w:t>。</w:t>
      </w:r>
    </w:p>
    <w:bookmarkEnd w:id="1344"/>
    <w:p w14:paraId="2E6D7935">
      <w:pPr>
        <w:wordWrap w:val="0"/>
        <w:spacing w:line="500" w:lineRule="exact"/>
        <w:ind w:firstLine="480" w:firstLineChars="200"/>
        <w:outlineLvl w:val="3"/>
        <w:rPr>
          <w:rFonts w:cs="仿宋" w:asciiTheme="minorEastAsia" w:hAnsiTheme="minorEastAsia" w:eastAsiaTheme="minorEastAsia"/>
          <w:kern w:val="0"/>
          <w:sz w:val="24"/>
          <w:szCs w:val="24"/>
        </w:rPr>
      </w:pPr>
      <w:bookmarkStart w:id="1501" w:name="_Toc351203645"/>
      <w:bookmarkStart w:id="1502" w:name="_Toc296891047"/>
      <w:bookmarkStart w:id="1503" w:name="_Toc300935015"/>
      <w:bookmarkStart w:id="1504" w:name="_Toc304295593"/>
      <w:bookmarkStart w:id="1505" w:name="_Toc296347218"/>
      <w:bookmarkStart w:id="1506" w:name="_Toc296891259"/>
      <w:bookmarkStart w:id="1507" w:name="_Toc312678053"/>
      <w:bookmarkStart w:id="1508" w:name="_Toc296944558"/>
      <w:bookmarkStart w:id="1509" w:name="_Toc296503219"/>
      <w:bookmarkStart w:id="1510" w:name="_Toc297216223"/>
      <w:bookmarkStart w:id="1511" w:name="_Toc297048405"/>
      <w:bookmarkStart w:id="1512" w:name="_Toc303539172"/>
      <w:bookmarkStart w:id="1513" w:name="_Toc297120519"/>
      <w:bookmarkStart w:id="1514" w:name="_Toc292559424"/>
      <w:bookmarkStart w:id="1515" w:name="_Toc292559929"/>
      <w:bookmarkStart w:id="1516" w:name="_Toc297123564"/>
      <w:bookmarkStart w:id="1517" w:name="_Toc296346720"/>
      <w:r>
        <w:rPr>
          <w:rFonts w:hint="eastAsia" w:cs="仿宋" w:asciiTheme="minorEastAsia" w:hAnsiTheme="minorEastAsia" w:eastAsiaTheme="minorEastAsia"/>
          <w:kern w:val="0"/>
          <w:sz w:val="24"/>
          <w:szCs w:val="24"/>
        </w:rPr>
        <w:t>13. 验收和工程试车</w:t>
      </w:r>
      <w:bookmarkEnd w:id="1501"/>
    </w:p>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p w14:paraId="47563DE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13.1 分部分项工程验收</w:t>
      </w:r>
    </w:p>
    <w:p w14:paraId="62C5540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13.1.2监理人不能按时进行验收时，应提前</w:t>
      </w:r>
      <w:r>
        <w:rPr>
          <w:rFonts w:hint="eastAsia" w:cs="仿宋" w:asciiTheme="minorEastAsia" w:hAnsiTheme="minorEastAsia" w:eastAsiaTheme="minorEastAsia"/>
          <w:b/>
          <w:kern w:val="0"/>
          <w:sz w:val="24"/>
          <w:szCs w:val="24"/>
          <w:u w:val="single"/>
        </w:rPr>
        <w:t>24</w:t>
      </w:r>
      <w:r>
        <w:rPr>
          <w:rFonts w:hint="eastAsia" w:cs="仿宋" w:asciiTheme="minorEastAsia" w:hAnsiTheme="minorEastAsia" w:eastAsiaTheme="minorEastAsia"/>
          <w:kern w:val="0"/>
          <w:sz w:val="24"/>
          <w:szCs w:val="24"/>
        </w:rPr>
        <w:t>小时提交书面延期要求。</w:t>
      </w:r>
    </w:p>
    <w:p w14:paraId="13F45D39">
      <w:pPr>
        <w:wordWrap w:val="0"/>
        <w:spacing w:line="500" w:lineRule="exact"/>
        <w:ind w:firstLine="480" w:firstLineChars="200"/>
        <w:rPr>
          <w:rFonts w:cs="仿宋" w:asciiTheme="minorEastAsia" w:hAnsiTheme="minorEastAsia" w:eastAsiaTheme="minorEastAsia"/>
          <w:b/>
          <w:kern w:val="0"/>
          <w:sz w:val="24"/>
          <w:szCs w:val="24"/>
        </w:rPr>
      </w:pPr>
      <w:r>
        <w:rPr>
          <w:rFonts w:hint="eastAsia" w:cs="仿宋" w:asciiTheme="minorEastAsia" w:hAnsiTheme="minorEastAsia" w:eastAsiaTheme="minorEastAsia"/>
          <w:kern w:val="0"/>
          <w:sz w:val="24"/>
          <w:szCs w:val="24"/>
        </w:rPr>
        <w:t>关于延期最长不得超过：</w:t>
      </w:r>
      <w:r>
        <w:rPr>
          <w:rFonts w:hint="eastAsia" w:cs="仿宋" w:asciiTheme="minorEastAsia" w:hAnsiTheme="minorEastAsia" w:eastAsiaTheme="minorEastAsia"/>
          <w:b/>
          <w:kern w:val="0"/>
          <w:sz w:val="24"/>
          <w:szCs w:val="24"/>
          <w:u w:val="single"/>
        </w:rPr>
        <w:t xml:space="preserve"> 48 </w:t>
      </w:r>
      <w:r>
        <w:rPr>
          <w:rFonts w:hint="eastAsia" w:cs="仿宋" w:asciiTheme="minorEastAsia" w:hAnsiTheme="minorEastAsia" w:eastAsiaTheme="minorEastAsia"/>
          <w:kern w:val="0"/>
          <w:sz w:val="24"/>
          <w:szCs w:val="24"/>
        </w:rPr>
        <w:t>小时。</w:t>
      </w:r>
    </w:p>
    <w:p w14:paraId="1300F7CA">
      <w:pPr>
        <w:wordWrap w:val="0"/>
        <w:spacing w:line="500" w:lineRule="exact"/>
        <w:ind w:firstLine="480" w:firstLineChars="200"/>
        <w:rPr>
          <w:rFonts w:cs="仿宋" w:asciiTheme="minorEastAsia" w:hAnsiTheme="minorEastAsia" w:eastAsiaTheme="minorEastAsia"/>
          <w:kern w:val="0"/>
          <w:sz w:val="24"/>
          <w:szCs w:val="24"/>
        </w:rPr>
      </w:pPr>
      <w:bookmarkStart w:id="1518" w:name="_Toc296891263"/>
      <w:bookmarkStart w:id="1519" w:name="_Toc303539173"/>
      <w:bookmarkStart w:id="1520" w:name="_Toc297120523"/>
      <w:bookmarkStart w:id="1521" w:name="_Toc292559428"/>
      <w:bookmarkStart w:id="1522" w:name="_Toc292559933"/>
      <w:bookmarkStart w:id="1523" w:name="_Toc296503223"/>
      <w:bookmarkStart w:id="1524" w:name="_Toc297123565"/>
      <w:bookmarkStart w:id="1525" w:name="_Toc296944562"/>
      <w:bookmarkStart w:id="1526" w:name="_Toc296347222"/>
      <w:bookmarkStart w:id="1527" w:name="_Toc296346724"/>
      <w:bookmarkStart w:id="1528" w:name="_Toc304295596"/>
      <w:bookmarkStart w:id="1529" w:name="_Toc300935016"/>
      <w:bookmarkStart w:id="1530" w:name="_Toc296891051"/>
      <w:bookmarkStart w:id="1531" w:name="_Toc312678056"/>
      <w:bookmarkStart w:id="1532" w:name="_Toc297048409"/>
      <w:bookmarkStart w:id="1533" w:name="_Toc297216224"/>
      <w:bookmarkStart w:id="1534" w:name="_Toc267251474"/>
      <w:bookmarkStart w:id="1535" w:name="_Toc267251475"/>
      <w:bookmarkStart w:id="1536" w:name="_Toc267251470"/>
      <w:bookmarkStart w:id="1537" w:name="_Toc267251473"/>
      <w:bookmarkStart w:id="1538" w:name="_Toc267251472"/>
      <w:bookmarkStart w:id="1539" w:name="_Toc267251471"/>
      <w:bookmarkStart w:id="1540" w:name="_Toc267251476"/>
      <w:r>
        <w:rPr>
          <w:rFonts w:hint="eastAsia" w:cs="仿宋" w:asciiTheme="minorEastAsia" w:hAnsiTheme="minorEastAsia" w:eastAsiaTheme="minorEastAsia"/>
          <w:kern w:val="0"/>
          <w:sz w:val="24"/>
          <w:szCs w:val="24"/>
        </w:rPr>
        <w:t>13.2 竣工验收</w:t>
      </w:r>
    </w:p>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p w14:paraId="49C4822D">
      <w:pPr>
        <w:wordWrap w:val="0"/>
        <w:spacing w:line="500" w:lineRule="exact"/>
        <w:ind w:firstLine="480" w:firstLineChars="200"/>
        <w:rPr>
          <w:rFonts w:cs="仿宋" w:asciiTheme="minorEastAsia" w:hAnsiTheme="minorEastAsia" w:eastAsiaTheme="minorEastAsia"/>
          <w:kern w:val="0"/>
          <w:sz w:val="24"/>
          <w:szCs w:val="24"/>
        </w:rPr>
      </w:pPr>
      <w:bookmarkStart w:id="1541" w:name="_Toc280868704"/>
      <w:bookmarkStart w:id="1542" w:name="_Toc280868705"/>
      <w:bookmarkStart w:id="1543" w:name="_Toc280868706"/>
      <w:bookmarkStart w:id="1544" w:name="_Toc280868707"/>
      <w:bookmarkStart w:id="1545" w:name="_Toc280868708"/>
      <w:bookmarkStart w:id="1546" w:name="_Toc280868709"/>
      <w:r>
        <w:rPr>
          <w:rFonts w:hint="eastAsia" w:cs="仿宋" w:asciiTheme="minorEastAsia" w:hAnsiTheme="minorEastAsia" w:eastAsiaTheme="minorEastAsia"/>
          <w:kern w:val="0"/>
          <w:sz w:val="24"/>
          <w:szCs w:val="24"/>
        </w:rPr>
        <w:t>13.2.2竣工验收程序</w:t>
      </w:r>
    </w:p>
    <w:bookmarkEnd w:id="1541"/>
    <w:p w14:paraId="63600894">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关于竣工验收程序的约定：</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按通用合同条款执行</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27318BD1">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发包人不按照本项约定组织竣工验收、颁发工程接收证书的违约金的计算方法：</w:t>
      </w:r>
      <w:r>
        <w:rPr>
          <w:rFonts w:hint="eastAsia" w:cs="仿宋" w:asciiTheme="minorEastAsia" w:hAnsiTheme="minorEastAsia" w:eastAsiaTheme="minorEastAsia"/>
          <w:b/>
          <w:kern w:val="0"/>
          <w:sz w:val="24"/>
          <w:szCs w:val="24"/>
          <w:u w:val="single"/>
        </w:rPr>
        <w:t xml:space="preserve">按通用合同条款执行 </w:t>
      </w:r>
      <w:r>
        <w:rPr>
          <w:rFonts w:hint="eastAsia" w:cs="仿宋" w:asciiTheme="minorEastAsia" w:hAnsiTheme="minorEastAsia" w:eastAsiaTheme="minorEastAsia"/>
          <w:kern w:val="0"/>
          <w:sz w:val="24"/>
          <w:szCs w:val="24"/>
        </w:rPr>
        <w:t>。</w:t>
      </w:r>
      <w:bookmarkEnd w:id="1542"/>
    </w:p>
    <w:p w14:paraId="14A7FB2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13.2.5移交、接收全部与部分工程</w:t>
      </w:r>
    </w:p>
    <w:bookmarkEnd w:id="1543"/>
    <w:p w14:paraId="2438B8B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承包人向发包人移交工程的期限：</w:t>
      </w:r>
      <w:r>
        <w:rPr>
          <w:rFonts w:hint="eastAsia" w:cs="仿宋" w:asciiTheme="minorEastAsia" w:hAnsiTheme="minorEastAsia" w:eastAsiaTheme="minorEastAsia"/>
          <w:b/>
          <w:kern w:val="0"/>
          <w:sz w:val="24"/>
          <w:szCs w:val="24"/>
          <w:u w:val="single"/>
        </w:rPr>
        <w:t>颁发工程接收证书后7天内完成工程的移交</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73413988">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发包人未按本合同约定接收全部或部分工程的，违约金的计算方法为：</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bookmarkEnd w:id="1544"/>
    <w:p w14:paraId="123A66C7">
      <w:pPr>
        <w:wordWrap w:val="0"/>
        <w:spacing w:line="500" w:lineRule="exact"/>
        <w:ind w:firstLine="480" w:firstLineChars="200"/>
        <w:rPr>
          <w:rFonts w:cs="仿宋" w:asciiTheme="minorEastAsia" w:hAnsiTheme="minorEastAsia" w:eastAsiaTheme="minorEastAsia"/>
          <w:b/>
          <w:kern w:val="0"/>
          <w:sz w:val="24"/>
          <w:szCs w:val="24"/>
          <w:u w:val="single"/>
        </w:rPr>
      </w:pPr>
      <w:r>
        <w:rPr>
          <w:rFonts w:hint="eastAsia" w:cs="仿宋" w:asciiTheme="minorEastAsia" w:hAnsiTheme="minorEastAsia" w:eastAsiaTheme="minorEastAsia"/>
          <w:kern w:val="0"/>
          <w:sz w:val="24"/>
          <w:szCs w:val="24"/>
        </w:rPr>
        <w:t>承包人未按时移交工程的，违约金的计算方法为：</w:t>
      </w:r>
      <w:r>
        <w:rPr>
          <w:rFonts w:hint="eastAsia" w:cs="仿宋" w:asciiTheme="minorEastAsia" w:hAnsiTheme="minorEastAsia" w:eastAsiaTheme="minorEastAsia"/>
          <w:b/>
          <w:bCs/>
          <w:kern w:val="0"/>
          <w:sz w:val="24"/>
          <w:szCs w:val="24"/>
          <w:u w:val="single"/>
        </w:rPr>
        <w:t>每逾期一天承包人须承担1000元/天的违约金</w:t>
      </w:r>
      <w:r>
        <w:rPr>
          <w:rFonts w:hint="eastAsia" w:cs="仿宋" w:asciiTheme="minorEastAsia" w:hAnsiTheme="minorEastAsia" w:eastAsiaTheme="minorEastAsia"/>
          <w:kern w:val="0"/>
          <w:sz w:val="24"/>
          <w:szCs w:val="24"/>
        </w:rPr>
        <w:t>。</w:t>
      </w:r>
    </w:p>
    <w:p w14:paraId="04567F4B">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13.2.6竣工验收的其他约定：</w:t>
      </w:r>
    </w:p>
    <w:p w14:paraId="5097C6BB">
      <w:pPr>
        <w:wordWrap w:val="0"/>
        <w:spacing w:line="500" w:lineRule="exact"/>
        <w:ind w:firstLine="482" w:firstLineChars="200"/>
        <w:rPr>
          <w:rFonts w:cs="仿宋" w:asciiTheme="minorEastAsia" w:hAnsiTheme="minorEastAsia" w:eastAsiaTheme="minorEastAsia"/>
          <w:b/>
          <w:bCs/>
          <w:kern w:val="0"/>
          <w:sz w:val="24"/>
          <w:szCs w:val="24"/>
          <w:u w:val="single"/>
        </w:rPr>
      </w:pPr>
      <w:r>
        <w:rPr>
          <w:rFonts w:hint="eastAsia" w:cs="仿宋" w:asciiTheme="minorEastAsia" w:hAnsiTheme="minorEastAsia" w:eastAsiaTheme="minorEastAsia"/>
          <w:b/>
          <w:bCs/>
          <w:kern w:val="0"/>
          <w:sz w:val="24"/>
          <w:szCs w:val="24"/>
          <w:u w:val="single"/>
        </w:rPr>
        <w:t>承包人必须保证分部分项工程及整体工程按国家相关工程施工质量验收规范及标准一次性达到100%验收合格。并通过政府各专业主管部门一次验收并取得相关验收证件，且达到发包人要求的相关质量标准和本合同的各项要求；若工程质量达不到整体一次验收合格的标准和要求时，承包人按签约合同价15%向发包人支付违约金，并在发包人要求时间内自行承担所有费用，并整改至合格，且需赔偿因此给发包人造成的全部损失。</w:t>
      </w:r>
    </w:p>
    <w:p w14:paraId="04BE7E6E">
      <w:pPr>
        <w:wordWrap w:val="0"/>
        <w:spacing w:line="500" w:lineRule="exact"/>
        <w:ind w:firstLine="482"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b/>
          <w:bCs/>
          <w:kern w:val="0"/>
          <w:sz w:val="24"/>
          <w:szCs w:val="24"/>
          <w:u w:val="single"/>
        </w:rPr>
        <w:t>承包人提供竣工资料的约定：工程竣工验收后  天内，按发包人要求提供完整的、经核验签证后的竣工资料（含竣工图）。工程竣工验收后   日内，完成竣工资料归档，并取得档案合格证</w:t>
      </w:r>
      <w:r>
        <w:rPr>
          <w:rFonts w:hint="eastAsia" w:cs="仿宋" w:asciiTheme="minorEastAsia" w:hAnsiTheme="minorEastAsia" w:eastAsiaTheme="minorEastAsia"/>
          <w:kern w:val="0"/>
          <w:sz w:val="24"/>
          <w:szCs w:val="24"/>
        </w:rPr>
        <w:t>。</w:t>
      </w:r>
    </w:p>
    <w:p w14:paraId="6734A1D7">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13.3 工程试车</w:t>
      </w:r>
    </w:p>
    <w:bookmarkEnd w:id="1545"/>
    <w:p w14:paraId="3EF40A80">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13.3.1 试车程序</w:t>
      </w:r>
    </w:p>
    <w:p w14:paraId="3D78C99A">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工程试车内容：</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bCs/>
          <w:kern w:val="0"/>
          <w:sz w:val="24"/>
          <w:szCs w:val="24"/>
          <w:u w:val="single"/>
        </w:rPr>
        <w:t>按通用合同条款执行</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1D4F167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（1）单机无负荷试车费用由</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承包人</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承担；</w:t>
      </w:r>
    </w:p>
    <w:p w14:paraId="2A2A232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（2）无负荷联动试车费用由</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承包人</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承担。</w:t>
      </w:r>
    </w:p>
    <w:p w14:paraId="7C87942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13.3.3 投料试车</w:t>
      </w:r>
    </w:p>
    <w:p w14:paraId="386E740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关于投料试车相关事项的约定：</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225AD186">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13.6 竣工退场</w:t>
      </w:r>
    </w:p>
    <w:p w14:paraId="2ADC7C1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13.6.1 竣工退场</w:t>
      </w:r>
    </w:p>
    <w:p w14:paraId="2FEB16B0">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承包人完成竣工退场的期限：</w:t>
      </w:r>
      <w:r>
        <w:rPr>
          <w:rFonts w:hint="eastAsia" w:cs="仿宋" w:asciiTheme="minorEastAsia" w:hAnsiTheme="minorEastAsia" w:eastAsiaTheme="minorEastAsia"/>
          <w:b/>
          <w:kern w:val="0"/>
          <w:sz w:val="24"/>
          <w:szCs w:val="24"/>
          <w:u w:val="single"/>
        </w:rPr>
        <w:t>颁发工程接收证书后7天内完成工程的移交</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44DDF9E2">
      <w:pPr>
        <w:wordWrap w:val="0"/>
        <w:spacing w:line="500" w:lineRule="exact"/>
        <w:ind w:firstLine="480" w:firstLineChars="200"/>
        <w:outlineLvl w:val="3"/>
        <w:rPr>
          <w:rFonts w:cs="仿宋" w:asciiTheme="minorEastAsia" w:hAnsiTheme="minorEastAsia" w:eastAsiaTheme="minorEastAsia"/>
          <w:kern w:val="0"/>
          <w:sz w:val="24"/>
          <w:szCs w:val="24"/>
        </w:rPr>
      </w:pPr>
      <w:bookmarkStart w:id="1547" w:name="_Toc351203646"/>
      <w:r>
        <w:rPr>
          <w:rFonts w:hint="eastAsia" w:cs="仿宋" w:asciiTheme="minorEastAsia" w:hAnsiTheme="minorEastAsia" w:eastAsiaTheme="minorEastAsia"/>
          <w:kern w:val="0"/>
          <w:sz w:val="24"/>
          <w:szCs w:val="24"/>
        </w:rPr>
        <w:t>14. 竣工结算</w:t>
      </w:r>
      <w:bookmarkEnd w:id="1547"/>
    </w:p>
    <w:p w14:paraId="0256E53A">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14.1 竣工结算申请</w:t>
      </w:r>
    </w:p>
    <w:p w14:paraId="6E2AF133">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承包人提交竣工结算申请单的期限：</w:t>
      </w:r>
      <w:r>
        <w:rPr>
          <w:rFonts w:hint="eastAsia" w:cs="仿宋" w:asciiTheme="minorEastAsia" w:hAnsiTheme="minorEastAsia" w:eastAsiaTheme="minorEastAsia"/>
          <w:b/>
          <w:bCs/>
          <w:kern w:val="0"/>
          <w:sz w:val="24"/>
          <w:szCs w:val="24"/>
          <w:u w:val="single"/>
        </w:rPr>
        <w:t>承包人应在工程竣工验收合格后30天内向发包人和监理人提交竣工结算申请单，并提交完整的结算资料</w:t>
      </w:r>
      <w:r>
        <w:rPr>
          <w:rFonts w:hint="eastAsia" w:cs="仿宋" w:asciiTheme="minorEastAsia" w:hAnsiTheme="minorEastAsia" w:eastAsiaTheme="minorEastAsia"/>
          <w:kern w:val="0"/>
          <w:sz w:val="24"/>
          <w:szCs w:val="24"/>
        </w:rPr>
        <w:t>。</w:t>
      </w:r>
    </w:p>
    <w:p w14:paraId="504F1D02">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竣工结算申请单应包括的内容：</w:t>
      </w:r>
      <w:r>
        <w:rPr>
          <w:rFonts w:hint="eastAsia" w:cs="仿宋" w:asciiTheme="minorEastAsia" w:hAnsiTheme="minorEastAsia" w:eastAsiaTheme="minorEastAsia"/>
          <w:b/>
          <w:kern w:val="0"/>
          <w:sz w:val="24"/>
          <w:szCs w:val="24"/>
          <w:u w:val="single"/>
        </w:rPr>
        <w:t>竞争性磋商文件、招标答疑等有关文件；响应文件及其电子软件版；成交通知书；工程施工合同及有关会议纪要；图纸会审记录（如有）；设计施工图纸、变更修改图纸（如有）、竣工图纸；设计变更通知单及联系单；施工变更签证；隐蔽工程竣工验收记录；承包人的送审工程结算书；施工组织设计；甲供材料清单（如有），包括品种、数量、单价、金额；开竣工报告；施工过程中发生的经监理、造价公司及发包人共同签批的新增单价或新增材料批价单；工程竣工验收证明书等；累计已实际支付的合同价款；实际应支付的竣工结算款金额</w:t>
      </w:r>
      <w:r>
        <w:rPr>
          <w:rFonts w:hint="eastAsia" w:cs="仿宋" w:asciiTheme="minorEastAsia" w:hAnsiTheme="minorEastAsia" w:eastAsiaTheme="minorEastAsia"/>
          <w:kern w:val="0"/>
          <w:sz w:val="24"/>
          <w:szCs w:val="24"/>
        </w:rPr>
        <w:t>。</w:t>
      </w:r>
    </w:p>
    <w:p w14:paraId="7255B6B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14.2 竣工结算审核</w:t>
      </w:r>
    </w:p>
    <w:p w14:paraId="3FE44053">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发包人审批竣工结算申请单的期限：</w:t>
      </w:r>
      <w:r>
        <w:rPr>
          <w:rFonts w:hint="eastAsia" w:cs="仿宋" w:asciiTheme="minorEastAsia" w:hAnsiTheme="minorEastAsia" w:eastAsiaTheme="minorEastAsia"/>
          <w:b/>
          <w:kern w:val="0"/>
          <w:sz w:val="24"/>
          <w:szCs w:val="24"/>
          <w:u w:val="single"/>
        </w:rPr>
        <w:t>（1）发包人收到承包人提交的工程竣工结算申请资料后14个工作日内对结算资料的完整性进行核实，发包人对竣工结算申请单有异议的，有权要求承包人进行修正和提供补充资料，承包人应提交修正后的竣工结算申请单；（2）经核实的竣工结算申请单由发包人送交给造价咨询单位审核，造价咨询单位收到完整的竣工结算申请单之日起30天内完成工程结算审核并向发包人、承包人提交结算审核成果书；（3）发包人对承包人严重不平衡报价项目有调整的权利及承包人对招标清单错误理解的报价；（4）发包人、承包人收到造价咨询单位提交的结算审核成果书后，经双方确认无异议后签定审核成果定案书，发包人签发竣工付款证书。</w:t>
      </w:r>
    </w:p>
    <w:p w14:paraId="15121FA9">
      <w:pPr>
        <w:wordWrap w:val="0"/>
        <w:autoSpaceDE w:val="0"/>
        <w:autoSpaceDN w:val="0"/>
        <w:adjustRightInd w:val="0"/>
        <w:spacing w:line="500" w:lineRule="exact"/>
        <w:ind w:firstLine="480" w:firstLineChars="200"/>
        <w:rPr>
          <w:rFonts w:cs="仿宋" w:asciiTheme="minorEastAsia" w:hAnsiTheme="minorEastAsia" w:eastAsiaTheme="minorEastAsia"/>
          <w:b/>
          <w:kern w:val="0"/>
          <w:sz w:val="24"/>
          <w:szCs w:val="24"/>
          <w:u w:val="single"/>
        </w:rPr>
      </w:pPr>
      <w:r>
        <w:rPr>
          <w:rFonts w:hint="eastAsia" w:cs="仿宋" w:asciiTheme="minorEastAsia" w:hAnsiTheme="minorEastAsia" w:eastAsiaTheme="minorEastAsia"/>
          <w:kern w:val="0"/>
          <w:sz w:val="24"/>
          <w:szCs w:val="24"/>
        </w:rPr>
        <w:t>发包人完成竣工付款的期限</w:t>
      </w:r>
      <w:r>
        <w:rPr>
          <w:rFonts w:hint="eastAsia" w:cs="仿宋" w:asciiTheme="minorEastAsia" w:hAnsiTheme="minorEastAsia" w:eastAsiaTheme="minorEastAsia"/>
          <w:b/>
          <w:kern w:val="0"/>
          <w:sz w:val="24"/>
          <w:szCs w:val="24"/>
        </w:rPr>
        <w:t>：</w:t>
      </w:r>
      <w:r>
        <w:rPr>
          <w:rFonts w:hint="eastAsia" w:cs="仿宋" w:asciiTheme="minorEastAsia" w:hAnsiTheme="minorEastAsia" w:eastAsiaTheme="minorEastAsia"/>
          <w:b/>
          <w:kern w:val="0"/>
          <w:sz w:val="24"/>
          <w:szCs w:val="24"/>
          <w:u w:val="single"/>
        </w:rPr>
        <w:t>发包人根据资金到位情况完成对承包人的竣工付款。</w:t>
      </w:r>
    </w:p>
    <w:p w14:paraId="697759CF">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关于竣工付款证书异议部分复核的方式和程序：</w:t>
      </w:r>
      <w:r>
        <w:rPr>
          <w:rFonts w:hint="eastAsia" w:cs="仿宋" w:asciiTheme="minorEastAsia" w:hAnsiTheme="minorEastAsia" w:eastAsiaTheme="minorEastAsia"/>
          <w:b/>
          <w:kern w:val="0"/>
          <w:sz w:val="24"/>
          <w:szCs w:val="24"/>
          <w:u w:val="single"/>
        </w:rPr>
        <w:t>按通用合同条款执行</w:t>
      </w:r>
      <w:r>
        <w:rPr>
          <w:rFonts w:hint="eastAsia" w:cs="仿宋" w:asciiTheme="minorEastAsia" w:hAnsiTheme="minorEastAsia" w:eastAsiaTheme="minorEastAsia"/>
          <w:kern w:val="0"/>
          <w:sz w:val="24"/>
          <w:szCs w:val="24"/>
        </w:rPr>
        <w:t>。</w:t>
      </w:r>
    </w:p>
    <w:p w14:paraId="5BAA4459">
      <w:pPr>
        <w:wordWrap w:val="0"/>
        <w:spacing w:line="500" w:lineRule="exact"/>
        <w:ind w:firstLine="482"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b/>
          <w:bCs/>
          <w:kern w:val="0"/>
          <w:sz w:val="24"/>
          <w:szCs w:val="24"/>
        </w:rPr>
        <w:t>本项目由造价咨询单位进行竣工结算审核，结算审核时，审减额小于送审额的5%（不含）时，审核费用由发包人承担；审减额达到送审额的5%（含）-10%（不含）时，审核费用由发包人和承包人各承担50%；审减额大于送审额的10%（含）时，审核费用由承包人全额承担。如承包人须承担审核费用，承包人应在发包人支付工程结算尾款前向造价咨询单位支付其所承担的审核费用。</w:t>
      </w:r>
    </w:p>
    <w:p w14:paraId="10F7C7C6">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14.4 最终结清</w:t>
      </w:r>
    </w:p>
    <w:p w14:paraId="50EA853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14.4.1 最终结清申请单</w:t>
      </w:r>
    </w:p>
    <w:p w14:paraId="03851BD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承包人提交最终结清申请单的份数：</w:t>
      </w:r>
      <w:r>
        <w:rPr>
          <w:rFonts w:hint="eastAsia" w:cs="仿宋" w:asciiTheme="minorEastAsia" w:hAnsiTheme="minorEastAsia" w:eastAsiaTheme="minorEastAsia"/>
          <w:b/>
          <w:kern w:val="0"/>
          <w:sz w:val="24"/>
          <w:szCs w:val="24"/>
          <w:u w:val="single"/>
        </w:rPr>
        <w:t>按发包人要求</w:t>
      </w:r>
      <w:r>
        <w:rPr>
          <w:rFonts w:hint="eastAsia" w:cs="仿宋" w:asciiTheme="minorEastAsia" w:hAnsiTheme="minorEastAsia" w:eastAsiaTheme="minorEastAsia"/>
          <w:kern w:val="0"/>
          <w:sz w:val="24"/>
          <w:szCs w:val="24"/>
        </w:rPr>
        <w:t>。</w:t>
      </w:r>
    </w:p>
    <w:p w14:paraId="03F5A540">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承包人提交最终结算申请单的期限：</w:t>
      </w:r>
      <w:r>
        <w:rPr>
          <w:rFonts w:hint="eastAsia" w:cs="仿宋" w:asciiTheme="minorEastAsia" w:hAnsiTheme="minorEastAsia" w:eastAsiaTheme="minorEastAsia"/>
          <w:b/>
          <w:kern w:val="0"/>
          <w:sz w:val="24"/>
          <w:szCs w:val="24"/>
          <w:u w:val="single"/>
        </w:rPr>
        <w:t>按发包人要求</w:t>
      </w:r>
      <w:r>
        <w:rPr>
          <w:rFonts w:hint="eastAsia" w:cs="仿宋" w:asciiTheme="minorEastAsia" w:hAnsiTheme="minorEastAsia" w:eastAsiaTheme="minorEastAsia"/>
          <w:kern w:val="0"/>
          <w:sz w:val="24"/>
          <w:szCs w:val="24"/>
        </w:rPr>
        <w:t xml:space="preserve">。 </w:t>
      </w:r>
    </w:p>
    <w:p w14:paraId="1574B007">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14.4.2 最终结清证书和支付</w:t>
      </w:r>
    </w:p>
    <w:p w14:paraId="28967D10">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（1）发包人完成最终结清申请单的审批并颁发最终结清证书的期限：</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按专用合同条款12.4.4执行</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1FB7603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（2）发包人完成支付的期限：</w:t>
      </w:r>
      <w:r>
        <w:rPr>
          <w:rFonts w:hint="eastAsia" w:cs="仿宋" w:asciiTheme="minorEastAsia" w:hAnsiTheme="minorEastAsia" w:eastAsiaTheme="minorEastAsia"/>
          <w:b/>
          <w:kern w:val="0"/>
          <w:sz w:val="24"/>
          <w:szCs w:val="24"/>
          <w:u w:val="single"/>
        </w:rPr>
        <w:t>按专用合同条款12.4.4执行</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bookmarkEnd w:id="1534"/>
    <w:bookmarkEnd w:id="1535"/>
    <w:bookmarkEnd w:id="1536"/>
    <w:bookmarkEnd w:id="1537"/>
    <w:bookmarkEnd w:id="1538"/>
    <w:bookmarkEnd w:id="1539"/>
    <w:bookmarkEnd w:id="1540"/>
    <w:bookmarkEnd w:id="1546"/>
    <w:p w14:paraId="3733C4F3">
      <w:pPr>
        <w:wordWrap w:val="0"/>
        <w:spacing w:line="500" w:lineRule="exact"/>
        <w:ind w:firstLine="480" w:firstLineChars="200"/>
        <w:outlineLvl w:val="3"/>
        <w:rPr>
          <w:rFonts w:cs="仿宋" w:asciiTheme="minorEastAsia" w:hAnsiTheme="minorEastAsia" w:eastAsiaTheme="minorEastAsia"/>
          <w:kern w:val="0"/>
          <w:sz w:val="24"/>
          <w:szCs w:val="24"/>
        </w:rPr>
      </w:pPr>
      <w:bookmarkStart w:id="1548" w:name="_Toc351203647"/>
      <w:bookmarkStart w:id="1549" w:name="_Toc267251483"/>
      <w:bookmarkStart w:id="1550" w:name="_Toc267251482"/>
      <w:bookmarkStart w:id="1551" w:name="_Toc267251484"/>
      <w:bookmarkStart w:id="1552" w:name="_Toc267251485"/>
      <w:bookmarkStart w:id="1553" w:name="_Toc267251486"/>
      <w:bookmarkStart w:id="1554" w:name="_Toc267251490"/>
      <w:bookmarkStart w:id="1555" w:name="_Toc267251489"/>
      <w:bookmarkStart w:id="1556" w:name="_Toc267251488"/>
      <w:bookmarkStart w:id="1557" w:name="_Toc267251493"/>
      <w:bookmarkStart w:id="1558" w:name="_Toc267251499"/>
      <w:bookmarkStart w:id="1559" w:name="_Toc267251494"/>
      <w:bookmarkStart w:id="1560" w:name="_Toc267251501"/>
      <w:bookmarkStart w:id="1561" w:name="_Toc267251491"/>
      <w:bookmarkStart w:id="1562" w:name="_Toc267251502"/>
      <w:bookmarkStart w:id="1563" w:name="_Toc267251498"/>
      <w:bookmarkStart w:id="1564" w:name="_Toc267251497"/>
      <w:bookmarkStart w:id="1565" w:name="_Toc267251492"/>
      <w:bookmarkStart w:id="1566" w:name="_Toc267251503"/>
      <w:bookmarkStart w:id="1567" w:name="_Toc267251495"/>
      <w:bookmarkStart w:id="1568" w:name="_Toc267251496"/>
      <w:bookmarkStart w:id="1569" w:name="_Toc267251506"/>
      <w:bookmarkStart w:id="1570" w:name="_Toc267251504"/>
      <w:bookmarkStart w:id="1571" w:name="_Toc267251507"/>
      <w:bookmarkStart w:id="1572" w:name="_Toc267251508"/>
      <w:bookmarkStart w:id="1573" w:name="_Toc267251513"/>
      <w:bookmarkStart w:id="1574" w:name="_Toc267251515"/>
      <w:bookmarkStart w:id="1575" w:name="_Toc267251514"/>
      <w:bookmarkStart w:id="1576" w:name="_Toc267251510"/>
      <w:bookmarkStart w:id="1577" w:name="_Toc267251509"/>
      <w:bookmarkStart w:id="1578" w:name="_Toc267251511"/>
      <w:r>
        <w:rPr>
          <w:rFonts w:hint="eastAsia" w:cs="仿宋" w:asciiTheme="minorEastAsia" w:hAnsiTheme="minorEastAsia" w:eastAsiaTheme="minorEastAsia"/>
          <w:kern w:val="0"/>
          <w:sz w:val="24"/>
          <w:szCs w:val="24"/>
        </w:rPr>
        <w:t>15. 缺陷责任期与保修</w:t>
      </w:r>
      <w:bookmarkEnd w:id="1548"/>
    </w:p>
    <w:p w14:paraId="2E5ED88A">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15.2缺陷责任期</w:t>
      </w:r>
      <w:bookmarkEnd w:id="1549"/>
    </w:p>
    <w:p w14:paraId="255BFA83">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缺陷责任期的具体期限：</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24个月</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bookmarkEnd w:id="1550"/>
    <w:bookmarkEnd w:id="1551"/>
    <w:p w14:paraId="320672BA">
      <w:pPr>
        <w:wordWrap w:val="0"/>
        <w:spacing w:line="5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15.3 质量保证金</w:t>
      </w:r>
    </w:p>
    <w:p w14:paraId="2B9A6B62">
      <w:pPr>
        <w:wordWrap w:val="0"/>
        <w:spacing w:line="5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将第15.3款质量保证金修正为</w:t>
      </w:r>
    </w:p>
    <w:p w14:paraId="56066D20">
      <w:pPr>
        <w:wordWrap w:val="0"/>
        <w:spacing w:line="5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（1）承包人是否提供质量保证金：</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b/>
          <w:bCs/>
          <w:sz w:val="24"/>
          <w:szCs w:val="24"/>
          <w:u w:val="single"/>
        </w:rPr>
        <w:t>是</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w:t>
      </w:r>
    </w:p>
    <w:p w14:paraId="4CCF8160">
      <w:pPr>
        <w:wordWrap w:val="0"/>
        <w:spacing w:line="5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（2）承包人提供质量保证金的形式、金额及期限：</w:t>
      </w:r>
    </w:p>
    <w:p w14:paraId="16ECBFE2">
      <w:pPr>
        <w:wordWrap w:val="0"/>
        <w:spacing w:line="500" w:lineRule="exact"/>
        <w:ind w:firstLine="480" w:firstLineChars="200"/>
        <w:rPr>
          <w:rFonts w:cs="仿宋" w:asciiTheme="minorEastAsia" w:hAnsiTheme="minorEastAsia" w:eastAsiaTheme="minorEastAsia"/>
          <w:kern w:val="0"/>
          <w:sz w:val="24"/>
          <w:szCs w:val="24"/>
          <w:lang w:val="zh-CN"/>
        </w:rPr>
      </w:pPr>
      <w:r>
        <w:rPr>
          <w:rFonts w:hint="eastAsia" w:cs="仿宋" w:asciiTheme="minorEastAsia" w:hAnsiTheme="minorEastAsia" w:eastAsiaTheme="minorEastAsia"/>
          <w:kern w:val="0"/>
          <w:sz w:val="24"/>
          <w:szCs w:val="24"/>
        </w:rPr>
        <w:t>①</w:t>
      </w:r>
      <w:r>
        <w:rPr>
          <w:rFonts w:hint="eastAsia" w:cs="仿宋" w:asciiTheme="minorEastAsia" w:hAnsiTheme="minorEastAsia" w:eastAsiaTheme="minorEastAsia"/>
          <w:kern w:val="0"/>
          <w:sz w:val="24"/>
          <w:szCs w:val="24"/>
          <w:lang w:val="zh-CN"/>
        </w:rPr>
        <w:t>质量保证金的形式：</w:t>
      </w:r>
      <w:r>
        <w:rPr>
          <w:rFonts w:hint="eastAsia" w:cs="仿宋" w:asciiTheme="minorEastAsia" w:hAnsiTheme="minorEastAsia" w:eastAsiaTheme="minorEastAsia"/>
          <w:b/>
          <w:bCs/>
          <w:kern w:val="0"/>
          <w:sz w:val="24"/>
          <w:szCs w:val="24"/>
          <w:u w:val="single"/>
          <w:lang w:val="zh-CN"/>
        </w:rPr>
        <w:t>银行转账</w:t>
      </w:r>
      <w:r>
        <w:rPr>
          <w:rFonts w:hint="eastAsia" w:cs="仿宋" w:asciiTheme="minorEastAsia" w:hAnsiTheme="minorEastAsia" w:eastAsiaTheme="minorEastAsia"/>
          <w:kern w:val="0"/>
          <w:sz w:val="24"/>
          <w:szCs w:val="24"/>
          <w:lang w:val="zh-CN"/>
        </w:rPr>
        <w:t>。</w:t>
      </w:r>
    </w:p>
    <w:p w14:paraId="56B52E20">
      <w:pPr>
        <w:wordWrap w:val="0"/>
        <w:spacing w:line="500" w:lineRule="exact"/>
        <w:ind w:firstLine="480" w:firstLineChars="200"/>
        <w:rPr>
          <w:rFonts w:cs="仿宋" w:asciiTheme="minorEastAsia" w:hAnsiTheme="minorEastAsia" w:eastAsiaTheme="minorEastAsia"/>
          <w:kern w:val="0"/>
          <w:sz w:val="24"/>
          <w:szCs w:val="24"/>
          <w:lang w:val="zh-CN"/>
        </w:rPr>
      </w:pPr>
      <w:r>
        <w:rPr>
          <w:rFonts w:hint="eastAsia" w:cs="仿宋" w:asciiTheme="minorEastAsia" w:hAnsiTheme="minorEastAsia" w:eastAsiaTheme="minorEastAsia"/>
          <w:kern w:val="0"/>
          <w:sz w:val="24"/>
          <w:szCs w:val="24"/>
        </w:rPr>
        <w:t>②</w:t>
      </w:r>
      <w:r>
        <w:rPr>
          <w:rFonts w:hint="eastAsia" w:cs="仿宋" w:asciiTheme="minorEastAsia" w:hAnsiTheme="minorEastAsia" w:eastAsiaTheme="minorEastAsia"/>
          <w:kern w:val="0"/>
          <w:sz w:val="24"/>
          <w:szCs w:val="24"/>
          <w:lang w:val="zh-CN"/>
        </w:rPr>
        <w:t>质量保证金的金额：</w:t>
      </w:r>
      <w:r>
        <w:rPr>
          <w:rFonts w:hint="eastAsia" w:cs="仿宋" w:asciiTheme="minorEastAsia" w:hAnsiTheme="minorEastAsia" w:eastAsiaTheme="minorEastAsia"/>
          <w:b/>
          <w:bCs/>
          <w:kern w:val="0"/>
          <w:sz w:val="24"/>
          <w:szCs w:val="24"/>
          <w:u w:val="single"/>
          <w:lang w:val="zh-CN"/>
        </w:rPr>
        <w:t>按工程价款结算总额的</w:t>
      </w:r>
      <w:r>
        <w:rPr>
          <w:rFonts w:hint="eastAsia" w:cs="仿宋" w:asciiTheme="minorEastAsia" w:hAnsiTheme="minorEastAsia" w:eastAsiaTheme="minorEastAsia"/>
          <w:b/>
          <w:bCs/>
          <w:kern w:val="0"/>
          <w:sz w:val="24"/>
          <w:szCs w:val="24"/>
          <w:u w:val="single"/>
        </w:rPr>
        <w:t xml:space="preserve">   </w:t>
      </w:r>
      <w:r>
        <w:rPr>
          <w:rFonts w:hint="eastAsia" w:cs="仿宋" w:asciiTheme="minorEastAsia" w:hAnsiTheme="minorEastAsia" w:eastAsiaTheme="minorEastAsia"/>
          <w:b/>
          <w:bCs/>
          <w:kern w:val="0"/>
          <w:sz w:val="24"/>
          <w:szCs w:val="24"/>
          <w:u w:val="single"/>
          <w:lang w:val="zh-CN"/>
        </w:rPr>
        <w:t>%交纳。</w:t>
      </w:r>
    </w:p>
    <w:p w14:paraId="024EBE76">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③</w:t>
      </w:r>
      <w:r>
        <w:rPr>
          <w:rFonts w:hint="eastAsia" w:cs="仿宋" w:asciiTheme="minorEastAsia" w:hAnsiTheme="minorEastAsia" w:eastAsiaTheme="minorEastAsia"/>
          <w:kern w:val="0"/>
          <w:sz w:val="24"/>
          <w:szCs w:val="24"/>
          <w:lang w:val="zh-CN"/>
        </w:rPr>
        <w:t>质量保证金</w:t>
      </w:r>
      <w:r>
        <w:rPr>
          <w:rFonts w:hint="eastAsia" w:cs="仿宋" w:asciiTheme="minorEastAsia" w:hAnsiTheme="minorEastAsia" w:eastAsiaTheme="minorEastAsia"/>
          <w:kern w:val="0"/>
          <w:sz w:val="24"/>
          <w:szCs w:val="24"/>
        </w:rPr>
        <w:t>的交纳时间：</w:t>
      </w:r>
      <w:r>
        <w:rPr>
          <w:rFonts w:hint="eastAsia" w:cs="仿宋" w:asciiTheme="minorEastAsia" w:hAnsiTheme="minorEastAsia" w:eastAsiaTheme="minorEastAsia"/>
          <w:b/>
          <w:bCs/>
          <w:kern w:val="0"/>
          <w:sz w:val="24"/>
          <w:szCs w:val="24"/>
          <w:u w:val="single"/>
        </w:rPr>
        <w:t>工程竣工验收合格且工程竣工结算审核完成后5个工作日内将质量保证金转账至向发包人指定账户</w:t>
      </w:r>
      <w:r>
        <w:rPr>
          <w:rFonts w:hint="eastAsia" w:cs="仿宋" w:asciiTheme="minorEastAsia" w:hAnsiTheme="minorEastAsia" w:eastAsiaTheme="minorEastAsia"/>
          <w:kern w:val="0"/>
          <w:sz w:val="24"/>
          <w:szCs w:val="24"/>
          <w:lang w:val="zh-CN"/>
        </w:rPr>
        <w:t>。</w:t>
      </w:r>
    </w:p>
    <w:p w14:paraId="4C877487">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w:t>
      </w:r>
      <w:r>
        <w:rPr>
          <w:rFonts w:hint="eastAsia" w:cs="仿宋" w:asciiTheme="minorEastAsia" w:hAnsiTheme="minorEastAsia" w:eastAsiaTheme="minorEastAsia"/>
          <w:sz w:val="24"/>
          <w:szCs w:val="24"/>
        </w:rPr>
        <w:t>质量保证金</w:t>
      </w:r>
      <w:r>
        <w:rPr>
          <w:rFonts w:hint="eastAsia" w:cs="仿宋" w:asciiTheme="minorEastAsia" w:hAnsiTheme="minorEastAsia" w:eastAsiaTheme="minorEastAsia"/>
          <w:kern w:val="0"/>
          <w:sz w:val="24"/>
          <w:szCs w:val="24"/>
        </w:rPr>
        <w:t>的退还</w:t>
      </w:r>
    </w:p>
    <w:p w14:paraId="325FB7C1">
      <w:pPr>
        <w:wordWrap w:val="0"/>
        <w:autoSpaceDE w:val="0"/>
        <w:autoSpaceDN w:val="0"/>
        <w:adjustRightInd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缺陷责任期内，</w:t>
      </w:r>
      <w:r>
        <w:rPr>
          <w:rFonts w:hint="eastAsia" w:cs="仿宋" w:asciiTheme="minorEastAsia" w:hAnsiTheme="minorEastAsia" w:eastAsiaTheme="minorEastAsia"/>
          <w:kern w:val="0"/>
          <w:sz w:val="24"/>
          <w:szCs w:val="24"/>
          <w:lang w:val="zh-CN"/>
        </w:rPr>
        <w:t>如果承包人不</w:t>
      </w:r>
      <w:r>
        <w:rPr>
          <w:rFonts w:hint="eastAsia" w:cs="仿宋" w:asciiTheme="minorEastAsia" w:hAnsiTheme="minorEastAsia" w:eastAsiaTheme="minorEastAsia"/>
          <w:kern w:val="0"/>
          <w:sz w:val="24"/>
          <w:szCs w:val="24"/>
        </w:rPr>
        <w:t>履行缺陷修补</w:t>
      </w:r>
      <w:r>
        <w:rPr>
          <w:rFonts w:hint="eastAsia" w:cs="仿宋" w:asciiTheme="minorEastAsia" w:hAnsiTheme="minorEastAsia" w:eastAsiaTheme="minorEastAsia"/>
          <w:kern w:val="0"/>
          <w:sz w:val="24"/>
          <w:szCs w:val="24"/>
          <w:lang w:val="zh-CN"/>
        </w:rPr>
        <w:t>的约定，发包人有权扣划相应金额的质量保证金。</w:t>
      </w:r>
      <w:r>
        <w:rPr>
          <w:rFonts w:hint="eastAsia" w:cs="仿宋" w:asciiTheme="minorEastAsia" w:hAnsiTheme="minorEastAsia" w:eastAsiaTheme="minorEastAsia"/>
          <w:kern w:val="0"/>
          <w:sz w:val="24"/>
          <w:szCs w:val="24"/>
        </w:rPr>
        <w:t>承包人认真履行合同约定的责任，到期后，承包人可向发包人申请返还保证金。工程无质量问题或质量缺陷全部处理完毕后，</w:t>
      </w:r>
      <w:r>
        <w:rPr>
          <w:rFonts w:hint="eastAsia" w:cs="仿宋" w:asciiTheme="minorEastAsia" w:hAnsiTheme="minorEastAsia" w:eastAsiaTheme="minorEastAsia"/>
          <w:kern w:val="0"/>
          <w:sz w:val="24"/>
          <w:szCs w:val="24"/>
          <w:lang w:val="zh-CN"/>
        </w:rPr>
        <w:t>发包人无息返还剩余部分质量保证金</w:t>
      </w:r>
      <w:r>
        <w:rPr>
          <w:rFonts w:hint="eastAsia" w:cs="仿宋" w:asciiTheme="minorEastAsia" w:hAnsiTheme="minorEastAsia" w:eastAsiaTheme="minorEastAsia"/>
          <w:kern w:val="0"/>
          <w:sz w:val="24"/>
          <w:szCs w:val="24"/>
        </w:rPr>
        <w:t>。</w:t>
      </w:r>
    </w:p>
    <w:p w14:paraId="42496CB0">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15.4保修</w:t>
      </w:r>
    </w:p>
    <w:bookmarkEnd w:id="1552"/>
    <w:p w14:paraId="77F1D77B">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15.4.1 保修责任</w:t>
      </w:r>
    </w:p>
    <w:p w14:paraId="3851F2E4">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工程保修期为：</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见工程质量保修书 </w:t>
      </w:r>
      <w:r>
        <w:rPr>
          <w:rFonts w:hint="eastAsia" w:cs="仿宋" w:asciiTheme="minorEastAsia" w:hAnsiTheme="minorEastAsia" w:eastAsiaTheme="minorEastAsia"/>
          <w:kern w:val="0"/>
          <w:sz w:val="24"/>
          <w:szCs w:val="24"/>
        </w:rPr>
        <w:t>。</w:t>
      </w:r>
    </w:p>
    <w:p w14:paraId="1D3134F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15.4.3 修复通知</w:t>
      </w:r>
    </w:p>
    <w:p w14:paraId="0D6F3FF7">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承包人收到保修通知并到达工程现场的合理时间：</w:t>
      </w:r>
      <w:r>
        <w:rPr>
          <w:rFonts w:hint="eastAsia" w:cs="仿宋" w:asciiTheme="minorEastAsia" w:hAnsiTheme="minorEastAsia" w:eastAsiaTheme="minorEastAsia"/>
          <w:b/>
          <w:kern w:val="0"/>
          <w:sz w:val="24"/>
          <w:szCs w:val="24"/>
          <w:u w:val="single"/>
        </w:rPr>
        <w:t>24小时</w:t>
      </w:r>
      <w:r>
        <w:rPr>
          <w:rFonts w:hint="eastAsia" w:cs="仿宋" w:asciiTheme="minorEastAsia" w:hAnsiTheme="minorEastAsia" w:eastAsiaTheme="minorEastAsia"/>
          <w:kern w:val="0"/>
          <w:sz w:val="24"/>
          <w:szCs w:val="24"/>
        </w:rPr>
        <w:t>。</w:t>
      </w:r>
    </w:p>
    <w:bookmarkEnd w:id="1553"/>
    <w:bookmarkEnd w:id="1554"/>
    <w:bookmarkEnd w:id="1555"/>
    <w:bookmarkEnd w:id="1556"/>
    <w:p w14:paraId="08731A41">
      <w:pPr>
        <w:wordWrap w:val="0"/>
        <w:spacing w:line="500" w:lineRule="exact"/>
        <w:ind w:firstLine="480" w:firstLineChars="200"/>
        <w:outlineLvl w:val="3"/>
        <w:rPr>
          <w:rFonts w:cs="仿宋" w:asciiTheme="minorEastAsia" w:hAnsiTheme="minorEastAsia" w:eastAsiaTheme="minorEastAsia"/>
          <w:kern w:val="0"/>
          <w:sz w:val="24"/>
          <w:szCs w:val="24"/>
        </w:rPr>
      </w:pPr>
      <w:bookmarkStart w:id="1579" w:name="_Toc351203648"/>
      <w:bookmarkStart w:id="1580" w:name="_Toc280868717"/>
      <w:bookmarkStart w:id="1581" w:name="_Toc280868718"/>
      <w:r>
        <w:rPr>
          <w:rFonts w:hint="eastAsia" w:cs="仿宋" w:asciiTheme="minorEastAsia" w:hAnsiTheme="minorEastAsia" w:eastAsiaTheme="minorEastAsia"/>
          <w:kern w:val="0"/>
          <w:sz w:val="24"/>
          <w:szCs w:val="24"/>
        </w:rPr>
        <w:t>16. 违约</w:t>
      </w:r>
      <w:bookmarkEnd w:id="1579"/>
    </w:p>
    <w:p w14:paraId="5057C04E">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16.1 发包人违约</w:t>
      </w:r>
    </w:p>
    <w:p w14:paraId="60E38A35">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16.1.1发包人违约的情形</w:t>
      </w:r>
    </w:p>
    <w:p w14:paraId="7E95DAE7">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发包人违约的其他情形：</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221E6BC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16.1.2 发包人违约的责任</w:t>
      </w:r>
    </w:p>
    <w:p w14:paraId="04B84BB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发包人违约责任的承担方式和计算方法：</w:t>
      </w:r>
    </w:p>
    <w:p w14:paraId="3DFD8D73">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（1）因发包人原因未能在计划开工日期前7天内下达开工通知的违约责任：</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bCs/>
          <w:kern w:val="0"/>
          <w:sz w:val="24"/>
          <w:szCs w:val="24"/>
          <w:u w:val="single"/>
        </w:rPr>
        <w:t xml:space="preserve">工期顺延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rPr>
        <w:t>。</w:t>
      </w:r>
    </w:p>
    <w:p w14:paraId="2FF5546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（2）因发包人原因未能按合同约定支付合同价款的违约责任：</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bCs/>
          <w:kern w:val="0"/>
          <w:sz w:val="24"/>
          <w:szCs w:val="24"/>
          <w:u w:val="single"/>
        </w:rPr>
        <w:t xml:space="preserve"> 签订合同时双方另行约定</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rPr>
        <w:t>。</w:t>
      </w:r>
    </w:p>
    <w:p w14:paraId="5304F768">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（3）发包人违反第10.1款〔变更的范围〕第（2）项约定，自行实施被取消的工作或转由他人实施的违约责任：</w:t>
      </w:r>
      <w:r>
        <w:rPr>
          <w:rFonts w:hint="eastAsia" w:cs="仿宋" w:asciiTheme="minorEastAsia" w:hAnsiTheme="minorEastAsia" w:eastAsiaTheme="minorEastAsia"/>
          <w:b/>
          <w:kern w:val="0"/>
          <w:sz w:val="24"/>
          <w:szCs w:val="24"/>
          <w:u w:val="single"/>
        </w:rPr>
        <w:t xml:space="preserve"> 发包人应承担因其违约给承包人增加的费用 </w:t>
      </w:r>
      <w:r>
        <w:rPr>
          <w:rFonts w:hint="eastAsia" w:cs="仿宋" w:asciiTheme="minorEastAsia" w:hAnsiTheme="minorEastAsia" w:eastAsiaTheme="minorEastAsia"/>
          <w:kern w:val="0"/>
          <w:sz w:val="24"/>
          <w:szCs w:val="24"/>
        </w:rPr>
        <w:t>。</w:t>
      </w:r>
    </w:p>
    <w:p w14:paraId="615F11E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（4）发包人提供的材料、工程设备的规格、数量或质量不符合合同约定，或因发包人原因导致交货日期延误或交货地点变更等情况的违约责任：</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发包人应承担因其违约给承包人增加的费用</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7F4EB1B5">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（5）因发包人违反合同约定造成暂停施工的违约责任：</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w:t>
      </w:r>
      <w:r>
        <w:rPr>
          <w:rFonts w:hint="eastAsia" w:cs="仿宋" w:asciiTheme="minorEastAsia" w:hAnsiTheme="minorEastAsia" w:eastAsiaTheme="minorEastAsia"/>
          <w:kern w:val="0"/>
          <w:sz w:val="24"/>
          <w:szCs w:val="24"/>
        </w:rPr>
        <w:t>。</w:t>
      </w:r>
    </w:p>
    <w:p w14:paraId="006D001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（6）发包人无正当理由没有在约定期限内发出复工指示，导致承包人无法复工的违约责任：</w:t>
      </w:r>
      <w:r>
        <w:rPr>
          <w:rFonts w:hint="eastAsia" w:cs="仿宋" w:asciiTheme="minorEastAsia" w:hAnsiTheme="minorEastAsia" w:eastAsiaTheme="minorEastAsia"/>
          <w:b/>
          <w:kern w:val="0"/>
          <w:sz w:val="24"/>
          <w:szCs w:val="24"/>
          <w:u w:val="single"/>
        </w:rPr>
        <w:t xml:space="preserve">  /  </w:t>
      </w:r>
      <w:r>
        <w:rPr>
          <w:rFonts w:hint="eastAsia" w:cs="仿宋" w:asciiTheme="minorEastAsia" w:hAnsiTheme="minorEastAsia" w:eastAsiaTheme="minorEastAsia"/>
          <w:kern w:val="0"/>
          <w:sz w:val="24"/>
          <w:szCs w:val="24"/>
        </w:rPr>
        <w:t>。</w:t>
      </w:r>
    </w:p>
    <w:p w14:paraId="3117FBCB">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（7）其他：</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1A86EEA0">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16.1.3 因发包人违约解除合同</w:t>
      </w:r>
    </w:p>
    <w:p w14:paraId="39FAEB16">
      <w:pPr>
        <w:wordWrap w:val="0"/>
        <w:autoSpaceDE w:val="0"/>
        <w:autoSpaceDN w:val="0"/>
        <w:adjustRightInd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承包人按第16.1.1项〔发包人违约的情形〕约定暂停施工满</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天后发包人仍不纠正其违约行为并致使合同目的不能实现的，承包人有权解除合同。</w:t>
      </w:r>
    </w:p>
    <w:p w14:paraId="7DC1E949">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16.2 承包人违约</w:t>
      </w:r>
    </w:p>
    <w:p w14:paraId="3B6C049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16.2.1 承包人违约的情形</w:t>
      </w:r>
    </w:p>
    <w:p w14:paraId="62FD0926">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（8）承包人未能按照合同约定履行其他义务：</w:t>
      </w:r>
    </w:p>
    <w:p w14:paraId="001377B2">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①承包人未按合同文件的规定或承包人的承诺组织主要施工设备和工程技术及管理人员进场；或者未经发包人和监理人批准，承包人私自将已按合同规定进入施工场地的施工设备、临时设施或材料撤离施工场地。承包人项目经理或技术负责人、安全负责人未经发包人同意擅自离开工地。除不可抗力因素外，无论任何原因，承包人无权停工，否则视为违约。</w:t>
      </w:r>
    </w:p>
    <w:p w14:paraId="39953C6F">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②本项目未能按合同约定支付合同价款的，承包人保证工程不停工、如期推进，在此时间内未经发包人书面同意，承包人无权停工，否则视为违约。  </w:t>
      </w:r>
    </w:p>
    <w:p w14:paraId="703E267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16.2.2 承包人违约的责任</w:t>
      </w:r>
    </w:p>
    <w:p w14:paraId="1A54C51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本合同中关于承包人违约的具体责任如下：</w:t>
      </w:r>
    </w:p>
    <w:p w14:paraId="3CF33992">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承包人违反合同约定延期开工的，每延迟开工1天，应给发包人支付本工程签约合同价的5‰的违约金，但最多不超过签约合同价的10%；迟延开工超过7天的，发包人有权解除合同，将本工程另行发包，并不免除承包人的违约赔偿责任。</w:t>
      </w:r>
    </w:p>
    <w:p w14:paraId="5A2BCA1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（2）承包人违反合同约定，造成一般节点工期延误时，发包人有权视严重程度做出一般违约至解除合同的违约处罚。造成发包人经济损失的，承包人应据实赔偿。</w:t>
      </w:r>
    </w:p>
    <w:p w14:paraId="07D89667">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因承包人原因造成单项工程未能通过竣工验收，按该单项工程造价的15%承担违约金。同时，应无条件负责返工、修复、重做直至验收合同为止，由此造成工期延误的，违约金按专用合同条款第7.5.2项另行计算并累加。如果发包人认为需要交由第三方处理返工、修复、重做等事项的，由此发生全部费用由承包人承担。</w:t>
      </w:r>
    </w:p>
    <w:p w14:paraId="14DBAC0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（4）如果工程验收时的施工质量没有达到一次验收合格率100%，按专用合同条款第13.2.6项执行。</w:t>
      </w:r>
    </w:p>
    <w:p w14:paraId="7CF76840">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因承包人的施工行为，包括工程质量不合格造成对发包人或其他第三人损害的（包括在施工过程中和使用过程中造成的损害），由承包人负责赔偿发包人或第三人的损失。承包人因履行本合同而造成自己及其所派人员受到任何人身伤害、死亡或者发生各种经济损失，其赔偿责任均由承包人承担。</w:t>
      </w:r>
    </w:p>
    <w:p w14:paraId="47ADCF65">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发包人的工程费拨付之前，承包人保证工程正常施工、如期推进。整个合同履行期间，承包人应采取相应措施保证农民工工资、材料款、设备租用款等各项费用按时支付，并妥善处理好劳资、材料、设备采购纠纷、施工安全责任问题，确保不发生农民工或材料供应商上访、非法集结等事件；如有发生，甲、乙双方视情况协商解决，承包人需按合同价的10%向发包人支付违约金，情节特别严重时，发包人有权根据实际情节解除合同。</w:t>
      </w:r>
    </w:p>
    <w:p w14:paraId="70099EE1">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（7）承包人擅自转包或违法分包工程的，发包人有权单方部分解除合同或解除合同，由此而造成的经济损失由承包人负责赔偿。</w:t>
      </w:r>
    </w:p>
    <w:p w14:paraId="439C155F">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（8）人员和设备投入不到位的违约责任</w:t>
      </w:r>
    </w:p>
    <w:p w14:paraId="359BAA81">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①承包人违反专用合同条款约定的，每发现一例，承包人必须按照总监理工程师或发包人的指令限期改正，并承担一般违约责任；承包人拒不限期改正的，必须承担严重违约责任，直至部分或全部解除合同。</w:t>
      </w:r>
    </w:p>
    <w:p w14:paraId="701FE39E">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②承包人必须服从监理单位及发包人的管理，主动支持监理单位发包人的工作，对监理单位及发包人的指令，若无正当理由而公开或变相拒不执行的，发包人有权视情节严重程度给予一般违约及以上的处罚，由此造成的一切经济损失由承包人承担。</w:t>
      </w:r>
    </w:p>
    <w:p w14:paraId="646DBCE6">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③承包人的项目经理或技术负责人必须参加监理单位或发包人主持的工程例会和其他要求的专题会议。除获得监理单位或发包人批准外，每缺席1次，承包人须承担1次一般违约责任。</w:t>
      </w:r>
    </w:p>
    <w:p w14:paraId="711D38B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（9）农民工工资支付方面的违约责任</w:t>
      </w:r>
    </w:p>
    <w:p w14:paraId="7DC09EBA">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①承包人违反本合同关于农民工工资支付的规定，被农民工投诉属实的，承包人必须在3天内予以发放拖欠的款项。若继续拖延被投诉2次及以上，经查实，承包人必须承担一般违约责任1次。同时，每发生一起类似事件，须向发包人交纳违约金人民币10万元／次。若仍然不予整改并发放拖欠的款项，使农民工采取停工、集聚围阻发包人办公地点甚至政府办公部门等行动的，承包人必须承担严重违约责任，并立即采取切实有效措施予以整改，同时须向发包人交纳罚金人民币15万元／次；拒不采取切实有效的措施整改的，或整改效果不明显的，发包人有权部分或全部解除合同，并要求承包人赔偿由此造成的损失。</w:t>
      </w:r>
    </w:p>
    <w:p w14:paraId="2B2BB129">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②承包人发生拖欠、克扣农民工工资行为的，由人力资源社会保障行政部门责令承包人限期支付。逾期未支付的，人力资源社会保障行政部门向承包人开具划支农民工工资保证金书面通知，由承包人在人力资源社会保障行政部门组织和监督下，使用农民工工资保证金支付被拖欠、克扣的农民工工资，并按照《劳动保障监察条例》的有关规定处理。</w:t>
      </w:r>
    </w:p>
    <w:p w14:paraId="201CC16F">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（10）承包人违约责任的承担方式和计算方法：</w:t>
      </w:r>
      <w:r>
        <w:rPr>
          <w:rFonts w:hint="eastAsia" w:cs="仿宋" w:asciiTheme="minorEastAsia" w:hAnsiTheme="minorEastAsia" w:eastAsiaTheme="minorEastAsia"/>
          <w:b/>
          <w:bCs/>
          <w:kern w:val="0"/>
          <w:sz w:val="24"/>
          <w:szCs w:val="24"/>
          <w:u w:val="single"/>
        </w:rPr>
        <w:t>由承包人承担全部经济损失（包括按照约定承担并支付违约金）。同时，发包人有权暂停支付所有未付工程款，情节严重的或者发包人认为有必要时，发包人有权解除、终止合同，并追究承包人违约责任，违约经济损失由发包人在工程造价的20%范围内自行确定</w:t>
      </w:r>
      <w:r>
        <w:rPr>
          <w:rFonts w:hint="eastAsia" w:cs="仿宋" w:asciiTheme="minorEastAsia" w:hAnsiTheme="minorEastAsia" w:eastAsiaTheme="minorEastAsia"/>
          <w:kern w:val="0"/>
          <w:sz w:val="24"/>
          <w:szCs w:val="24"/>
        </w:rPr>
        <w:t>。</w:t>
      </w:r>
    </w:p>
    <w:p w14:paraId="65A385D9">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16.2.3 因承包人违约解除合同</w:t>
      </w:r>
    </w:p>
    <w:p w14:paraId="2A76D951">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关于承包人违约解除合同的特别约定：</w:t>
      </w:r>
      <w:r>
        <w:rPr>
          <w:rFonts w:hint="eastAsia" w:cs="仿宋" w:asciiTheme="minorEastAsia" w:hAnsiTheme="minorEastAsia" w:eastAsiaTheme="minorEastAsia"/>
          <w:b/>
          <w:bCs/>
          <w:kern w:val="0"/>
          <w:sz w:val="24"/>
          <w:szCs w:val="24"/>
          <w:u w:val="single"/>
        </w:rPr>
        <w:t>因为承包人违约或者发包人根据约定，决定解除终止合同的，发包人有权按合同约定追索、扣收违约经济损失（包括约定违约金）和相关费用。承包人应当在发包人解除合同决定做出之日起30日内提交已经完成工程量的结算报告给监理工程师、发包人审定，并同时退场、向发包人或指定的人移交施工现场。发包人应当30日内完成对承包人提交的已经完成工程量结算报告的审定，并按审定结果进行结算支付，若承包人对审定结果有异议的，承包人可以通过向人民法院提起起诉讼解决。承包人未按前述约定提交已经完成工程量结算报告的，以监理工程师、发包人出具的结算结果为准或者按照已经计量、签订的工程量结算处理。承包人逾期未按前述约定退场或者移交施工现场的，视为承包人放弃现场所有物品、设施设备的所有权并无偿交归发包人或指定的人处置，发包人或指定的人可以单方面直接接受管理现场</w:t>
      </w:r>
      <w:r>
        <w:rPr>
          <w:rFonts w:hint="eastAsia" w:cs="仿宋" w:asciiTheme="minorEastAsia" w:hAnsiTheme="minorEastAsia" w:eastAsiaTheme="minorEastAsia"/>
          <w:kern w:val="0"/>
          <w:sz w:val="24"/>
          <w:szCs w:val="24"/>
        </w:rPr>
        <w:t>。</w:t>
      </w:r>
    </w:p>
    <w:p w14:paraId="56F38B3B">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发包人继续使用承包人在施工现场的材料、设备、临时工程、承包人文件和由承包人或以其名义编制的其他文件的费用承担方式：</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双方另行协商 </w:t>
      </w:r>
      <w:r>
        <w:rPr>
          <w:rFonts w:hint="eastAsia" w:cs="仿宋" w:asciiTheme="minorEastAsia" w:hAnsiTheme="minorEastAsia" w:eastAsiaTheme="minorEastAsia"/>
          <w:kern w:val="0"/>
          <w:sz w:val="24"/>
          <w:szCs w:val="24"/>
        </w:rPr>
        <w:t>。</w:t>
      </w:r>
    </w:p>
    <w:p w14:paraId="40F7AF03">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16.2.6根据专用合同条款第16.2款各项的规定，承包人违约须向发包人支付违约金或赔偿金时，发包人有权从应支付给承包人的工程款中直接抵扣，承包人不得有异议。</w:t>
      </w:r>
    </w:p>
    <w:p w14:paraId="168A6AEF">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16.2.7除上述约定之外，承包人有违反其他合同义务的，均构成违约，应当承担违约责任。</w:t>
      </w:r>
    </w:p>
    <w:p w14:paraId="441A6485">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16.2.8承包人违约，按照本合同规定承担违约责任并不免除其应该承担的其他法律责任。其赔偿责任包括但不限于经济损失、诉讼费、公证费、律师费及为实现权利产生的全部费用。</w:t>
      </w:r>
    </w:p>
    <w:p w14:paraId="154EC28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16.2.9承包人除遵守以上约定外,还应遵守发包人制定的现场管理制度并承担相应责任,如有冲突以如上约定为准。</w:t>
      </w:r>
    </w:p>
    <w:p w14:paraId="775EB60A">
      <w:pPr>
        <w:wordWrap w:val="0"/>
        <w:spacing w:line="500" w:lineRule="exact"/>
        <w:ind w:firstLine="480" w:firstLineChars="200"/>
        <w:outlineLvl w:val="3"/>
        <w:rPr>
          <w:rFonts w:cs="仿宋" w:asciiTheme="minorEastAsia" w:hAnsiTheme="minorEastAsia" w:eastAsiaTheme="minorEastAsia"/>
          <w:kern w:val="0"/>
          <w:sz w:val="24"/>
          <w:szCs w:val="24"/>
        </w:rPr>
      </w:pPr>
      <w:bookmarkStart w:id="1582" w:name="_Toc351203649"/>
      <w:r>
        <w:rPr>
          <w:rFonts w:hint="eastAsia" w:cs="仿宋" w:asciiTheme="minorEastAsia" w:hAnsiTheme="minorEastAsia" w:eastAsiaTheme="minorEastAsia"/>
          <w:kern w:val="0"/>
          <w:sz w:val="24"/>
          <w:szCs w:val="24"/>
        </w:rPr>
        <w:t>17. 不可抗力</w:t>
      </w:r>
      <w:bookmarkEnd w:id="1582"/>
      <w:r>
        <w:rPr>
          <w:rFonts w:hint="eastAsia" w:cs="仿宋" w:asciiTheme="minorEastAsia" w:hAnsiTheme="minorEastAsia" w:eastAsiaTheme="minorEastAsia"/>
          <w:kern w:val="0"/>
          <w:sz w:val="24"/>
          <w:szCs w:val="24"/>
        </w:rPr>
        <w:t xml:space="preserve"> </w:t>
      </w:r>
      <w:bookmarkEnd w:id="1580"/>
    </w:p>
    <w:p w14:paraId="3CB309B5">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17.1 不可抗力的确认</w:t>
      </w:r>
    </w:p>
    <w:p w14:paraId="0530126D">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除通用合同条款约定的不可抗力事件之外，视为不可抗力的其他情形：</w:t>
      </w:r>
      <w:r>
        <w:rPr>
          <w:rFonts w:hint="eastAsia" w:cs="仿宋" w:asciiTheme="minorEastAsia" w:hAnsiTheme="minorEastAsia" w:eastAsiaTheme="minorEastAsia"/>
          <w:b/>
          <w:kern w:val="0"/>
          <w:sz w:val="24"/>
          <w:szCs w:val="24"/>
          <w:u w:val="single"/>
        </w:rPr>
        <w:t xml:space="preserve">      /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7065DCB6">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17.4 因不可抗力解除合同</w:t>
      </w:r>
    </w:p>
    <w:p w14:paraId="11558C55">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合同解除后，发包人应在商定或确定发包人应支付款项后</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Cs/>
          <w:kern w:val="0"/>
          <w:sz w:val="24"/>
          <w:szCs w:val="24"/>
        </w:rPr>
        <w:t>天</w:t>
      </w:r>
      <w:r>
        <w:rPr>
          <w:rFonts w:hint="eastAsia" w:cs="仿宋" w:asciiTheme="minorEastAsia" w:hAnsiTheme="minorEastAsia" w:eastAsiaTheme="minorEastAsia"/>
          <w:kern w:val="0"/>
          <w:sz w:val="24"/>
          <w:szCs w:val="24"/>
        </w:rPr>
        <w:t>内完成款项的支付。</w:t>
      </w:r>
    </w:p>
    <w:p w14:paraId="0A20AA6B">
      <w:pPr>
        <w:wordWrap w:val="0"/>
        <w:spacing w:line="500" w:lineRule="exact"/>
        <w:ind w:firstLine="480" w:firstLineChars="200"/>
        <w:outlineLvl w:val="3"/>
        <w:rPr>
          <w:rFonts w:cs="仿宋" w:asciiTheme="minorEastAsia" w:hAnsiTheme="minorEastAsia" w:eastAsiaTheme="minorEastAsia"/>
          <w:kern w:val="0"/>
          <w:sz w:val="24"/>
          <w:szCs w:val="24"/>
        </w:rPr>
      </w:pPr>
      <w:bookmarkStart w:id="1583" w:name="_Toc351203650"/>
      <w:r>
        <w:rPr>
          <w:rFonts w:hint="eastAsia" w:cs="仿宋" w:asciiTheme="minorEastAsia" w:hAnsiTheme="minorEastAsia" w:eastAsiaTheme="minorEastAsia"/>
          <w:kern w:val="0"/>
          <w:sz w:val="24"/>
          <w:szCs w:val="24"/>
        </w:rPr>
        <w:t>18. 保险</w:t>
      </w:r>
      <w:bookmarkEnd w:id="1583"/>
    </w:p>
    <w:bookmarkEnd w:id="1557"/>
    <w:bookmarkEnd w:id="1558"/>
    <w:bookmarkEnd w:id="1559"/>
    <w:bookmarkEnd w:id="1560"/>
    <w:bookmarkEnd w:id="1561"/>
    <w:bookmarkEnd w:id="1562"/>
    <w:bookmarkEnd w:id="1563"/>
    <w:bookmarkEnd w:id="1564"/>
    <w:bookmarkEnd w:id="1565"/>
    <w:bookmarkEnd w:id="1566"/>
    <w:bookmarkEnd w:id="1567"/>
    <w:bookmarkEnd w:id="1568"/>
    <w:bookmarkEnd w:id="1581"/>
    <w:p w14:paraId="205E6838">
      <w:pPr>
        <w:wordWrap w:val="0"/>
        <w:spacing w:line="500" w:lineRule="exact"/>
        <w:ind w:firstLine="480" w:firstLineChars="200"/>
        <w:rPr>
          <w:rFonts w:cs="仿宋" w:asciiTheme="minorEastAsia" w:hAnsiTheme="minorEastAsia" w:eastAsiaTheme="minorEastAsia"/>
          <w:kern w:val="0"/>
          <w:sz w:val="24"/>
          <w:szCs w:val="24"/>
        </w:rPr>
      </w:pPr>
      <w:bookmarkStart w:id="1584" w:name="_Toc351203651"/>
      <w:r>
        <w:rPr>
          <w:rFonts w:hint="eastAsia" w:cs="仿宋" w:asciiTheme="minorEastAsia" w:hAnsiTheme="minorEastAsia" w:eastAsiaTheme="minorEastAsia"/>
          <w:kern w:val="0"/>
          <w:sz w:val="24"/>
          <w:szCs w:val="24"/>
        </w:rPr>
        <w:t>18.1 工程保险</w:t>
      </w:r>
    </w:p>
    <w:p w14:paraId="1EEAB6C5">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承包人应投保建筑工程一切险或安装工程一切险，因投保产生的保险费和其他相关费用由承包人承担。</w:t>
      </w:r>
    </w:p>
    <w:p w14:paraId="34221EEB">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18.3 其他保险</w:t>
      </w:r>
    </w:p>
    <w:p w14:paraId="402CAF84">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关于其他保险的约定：</w:t>
      </w:r>
    </w:p>
    <w:p w14:paraId="2EF9896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承包人应投保施工设备险，投保项目及其保险金额由承包人根据其配备的施工设备状况自行确定，但承包人应充分估计主要施工设备可能发生的重大事故或因自然灾害造成施工设备的损失和损坏对工程的影响。</w:t>
      </w:r>
    </w:p>
    <w:p w14:paraId="05874ABF">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承包人投保的施工设备险的保险期限应从承包人进点至颁发工程移交证书期间，除保险公司规定的除外责任以外的工程（包括材料和工程设备）和施工设备的损失和损坏，其费用已包含在承包人的工程价款中。</w:t>
      </w:r>
    </w:p>
    <w:p w14:paraId="510D1A75">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（3）在合同实施期间，承包人应为其雇用人员（包括分包人员）投保人身意外伤害险或雇主责任险。</w:t>
      </w:r>
    </w:p>
    <w:p w14:paraId="0825DD3E">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承包人应以发包人和承包人的共同名义投保在工地及其毗邻地带的第三方人员的人身伤害和财产损失的第三者责任险。此项投保不免除承包人和发包人各自应负的在其管辖区内及其毗邻地带发生的第三者人员人身伤害和财产损失的赔偿责任，其赔偿费用应包括赔偿费、诉讼费和其它有关费用。</w:t>
      </w:r>
    </w:p>
    <w:p w14:paraId="2607AE4E">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18.5保险凭证</w:t>
      </w:r>
    </w:p>
    <w:p w14:paraId="2C4E64F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承包人应在合同签订后7天内向发包人提交各项保险生效的证据和保险单副本，保险单必须与专用合同条款约定的条件保持一致。若承包未在规定时间内提交各项保险生效的证据和保险单副本，发包人将强制保险，保险费在工程款中扣除。</w:t>
      </w:r>
    </w:p>
    <w:p w14:paraId="52AD973E">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18.7 通知义务</w:t>
      </w:r>
    </w:p>
    <w:p w14:paraId="7CDF755D">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关于变更保险合同时的通知义务的约定：</w:t>
      </w:r>
      <w:r>
        <w:rPr>
          <w:rFonts w:hint="eastAsia" w:cs="仿宋" w:asciiTheme="minorEastAsia" w:hAnsiTheme="minorEastAsia" w:eastAsiaTheme="minorEastAsia"/>
          <w:b/>
          <w:kern w:val="0"/>
          <w:sz w:val="24"/>
          <w:szCs w:val="24"/>
          <w:u w:val="single"/>
        </w:rPr>
        <w:t>按通用合同条款执行</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6E2CAD80">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19.索赔</w:t>
      </w:r>
    </w:p>
    <w:p w14:paraId="205539F6">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19.6以下情况不属于索赔范围</w:t>
      </w:r>
    </w:p>
    <w:p w14:paraId="7D6DBC6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承包人施工进度滞后于进度计划，在发包人及监理人督促后，仍无法满足施工进度要求的情况下，发包人认为承包人不能按时完工时，可将剩余工程的全部或部分另行安排其他承包人施工，承包人不得为此提出索赔要求。</w:t>
      </w:r>
    </w:p>
    <w:p w14:paraId="0EA931A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（2）发包人提前通知的计划停电（检修等）不属于索赔范围；非承包商原因引起的事故停电，每次连续停电时间小于48小时不属于索赔范围。</w:t>
      </w:r>
    </w:p>
    <w:p w14:paraId="4563A4F3">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（3）因当地居民阻扰施工未连续超过72小时内的风险费用，承包人应在报价中自行考虑，不属于索赔范围。</w:t>
      </w:r>
    </w:p>
    <w:bookmarkEnd w:id="1569"/>
    <w:bookmarkEnd w:id="1570"/>
    <w:bookmarkEnd w:id="1571"/>
    <w:bookmarkEnd w:id="1584"/>
    <w:p w14:paraId="10B8ABE3">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20. 争议解决</w:t>
      </w:r>
    </w:p>
    <w:p w14:paraId="079C38C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20.3 争议评审</w:t>
      </w:r>
    </w:p>
    <w:p w14:paraId="3D43822D">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合同当事人是否同意将工程争议提交争议评审小组决定：</w:t>
      </w:r>
      <w:r>
        <w:rPr>
          <w:rFonts w:hint="eastAsia" w:cs="仿宋" w:asciiTheme="minorEastAsia" w:hAnsiTheme="minorEastAsia" w:eastAsiaTheme="minorEastAsia"/>
          <w:b/>
          <w:bCs/>
          <w:kern w:val="0"/>
          <w:sz w:val="24"/>
          <w:szCs w:val="24"/>
          <w:u w:val="single"/>
        </w:rPr>
        <w:t xml:space="preserve">   /  </w:t>
      </w:r>
      <w:r>
        <w:rPr>
          <w:rFonts w:hint="eastAsia" w:cs="仿宋" w:asciiTheme="minorEastAsia" w:hAnsiTheme="minorEastAsia" w:eastAsiaTheme="minorEastAsia"/>
          <w:kern w:val="0"/>
          <w:sz w:val="24"/>
          <w:szCs w:val="24"/>
        </w:rPr>
        <w:t xml:space="preserve">。  </w:t>
      </w:r>
    </w:p>
    <w:p w14:paraId="36B4C89E">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20.3.1 争议评审小组的确定</w:t>
      </w:r>
    </w:p>
    <w:p w14:paraId="6BE15AE8">
      <w:pPr>
        <w:wordWrap w:val="0"/>
        <w:spacing w:line="50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争议评审小组成员的确定：</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1752BF56">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选定争议评审员的期限：</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14E47061">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争议评审小组成员的报酬承担方式：</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386F9F78">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其他事项的约定：</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37CB46CD">
      <w:pPr>
        <w:wordWrap w:val="0"/>
        <w:autoSpaceDE w:val="0"/>
        <w:autoSpaceDN w:val="0"/>
        <w:adjustRightInd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20.3.2 争议评审小组的决定</w:t>
      </w:r>
    </w:p>
    <w:p w14:paraId="1AE86276">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合同当事人关于本项的约定：</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14:paraId="6B3CDB0B">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20.4仲裁或诉讼</w:t>
      </w:r>
      <w:bookmarkEnd w:id="1572"/>
    </w:p>
    <w:p w14:paraId="1AB5E393">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因合同及合同有关事项发生的争议，按下列第</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（2）</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种方式解决：</w:t>
      </w:r>
    </w:p>
    <w:p w14:paraId="6B25727C">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（1）向</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kern w:val="0"/>
          <w:sz w:val="24"/>
          <w:szCs w:val="24"/>
          <w:u w:val="single"/>
        </w:rPr>
        <w:t xml:space="preserve">  /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仲裁委员会申请仲裁；</w:t>
      </w:r>
    </w:p>
    <w:p w14:paraId="187A6157">
      <w:pPr>
        <w:wordWrap w:val="0"/>
        <w:spacing w:line="50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（2）向</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b/>
          <w:bCs/>
          <w:kern w:val="0"/>
          <w:sz w:val="24"/>
          <w:szCs w:val="24"/>
          <w:u w:val="single"/>
        </w:rPr>
        <w:t>项目所在地</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人民法院起诉。</w:t>
      </w:r>
      <w:bookmarkEnd w:id="1573"/>
      <w:bookmarkEnd w:id="1574"/>
      <w:bookmarkEnd w:id="1575"/>
      <w:bookmarkEnd w:id="1576"/>
      <w:bookmarkEnd w:id="1577"/>
      <w:bookmarkEnd w:id="1578"/>
    </w:p>
    <w:bookmarkEnd w:id="1085"/>
    <w:p w14:paraId="6B413B5A">
      <w:pPr>
        <w:wordWrap w:val="0"/>
        <w:spacing w:line="500" w:lineRule="exact"/>
        <w:ind w:firstLine="482" w:firstLineChars="200"/>
        <w:jc w:val="left"/>
        <w:rPr>
          <w:rFonts w:cs="仿宋" w:asciiTheme="minorEastAsia" w:hAnsiTheme="minorEastAsia" w:eastAsiaTheme="minorEastAsia"/>
          <w:b/>
          <w:kern w:val="0"/>
          <w:sz w:val="24"/>
          <w:szCs w:val="24"/>
        </w:rPr>
      </w:pPr>
    </w:p>
    <w:p w14:paraId="3234FE1D">
      <w:pPr>
        <w:wordWrap w:val="0"/>
        <w:spacing w:line="460" w:lineRule="exact"/>
        <w:rPr>
          <w:rFonts w:cs="仿宋" w:asciiTheme="minorEastAsia" w:hAnsiTheme="minorEastAsia" w:eastAsiaTheme="minorEastAsia"/>
          <w:kern w:val="1"/>
          <w:sz w:val="24"/>
          <w:szCs w:val="24"/>
        </w:rPr>
      </w:pPr>
    </w:p>
    <w:p w14:paraId="340210DE">
      <w:pPr>
        <w:wordWrap w:val="0"/>
        <w:spacing w:line="500" w:lineRule="exact"/>
        <w:ind w:firstLine="482" w:firstLineChars="200"/>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附件</w:t>
      </w:r>
    </w:p>
    <w:p w14:paraId="1A277600">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协议书附件：</w:t>
      </w:r>
    </w:p>
    <w:p w14:paraId="44E105E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附件1：承包人承揽工程项目一览表</w:t>
      </w:r>
    </w:p>
    <w:p w14:paraId="1BFB6032">
      <w:pPr>
        <w:wordWrap w:val="0"/>
        <w:spacing w:line="500" w:lineRule="exact"/>
        <w:ind w:firstLine="480" w:firstLineChars="200"/>
        <w:jc w:val="left"/>
        <w:rPr>
          <w:rFonts w:cs="仿宋" w:asciiTheme="minorEastAsia" w:hAnsiTheme="minorEastAsia" w:eastAsiaTheme="minorEastAsia"/>
          <w:kern w:val="0"/>
          <w:sz w:val="24"/>
          <w:szCs w:val="24"/>
        </w:rPr>
      </w:pPr>
    </w:p>
    <w:p w14:paraId="1660BCBF">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专用合同条款附件：</w:t>
      </w:r>
    </w:p>
    <w:p w14:paraId="7F78FC4C">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附件2：发包人供应材料设备一览表</w:t>
      </w:r>
    </w:p>
    <w:p w14:paraId="662469DC">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附件3：工程质量保修书</w:t>
      </w:r>
    </w:p>
    <w:p w14:paraId="3DA65437">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附件4：主要建设工程文件目录</w:t>
      </w:r>
    </w:p>
    <w:p w14:paraId="28F1543E">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附件5：承包人用于本工程施工的机械设备表</w:t>
      </w:r>
    </w:p>
    <w:p w14:paraId="3E7775EA">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附件6：承包人主要施工管理人员表</w:t>
      </w:r>
    </w:p>
    <w:p w14:paraId="3193BEDE">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附件7：分包人主要施工管理人员表</w:t>
      </w:r>
    </w:p>
    <w:p w14:paraId="6B14F6A9">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附件8：履约担保格式</w:t>
      </w:r>
    </w:p>
    <w:p w14:paraId="1F59DF75">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附件9：预付款担保格式</w:t>
      </w:r>
    </w:p>
    <w:p w14:paraId="756C6288">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附件10：支付担保格式</w:t>
      </w:r>
    </w:p>
    <w:p w14:paraId="0E21C176">
      <w:pPr>
        <w:wordWrap w:val="0"/>
        <w:spacing w:line="50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附件11：暂估价一览表</w:t>
      </w:r>
    </w:p>
    <w:p w14:paraId="4DDED756">
      <w:pPr>
        <w:wordWrap w:val="0"/>
        <w:spacing w:line="480" w:lineRule="exact"/>
        <w:rPr>
          <w:rFonts w:cs="仿宋" w:asciiTheme="minorEastAsia" w:hAnsiTheme="minorEastAsia" w:eastAsiaTheme="minorEastAsia"/>
          <w:kern w:val="0"/>
          <w:szCs w:val="21"/>
        </w:rPr>
      </w:pPr>
    </w:p>
    <w:p w14:paraId="427B4B07">
      <w:pPr>
        <w:wordWrap w:val="0"/>
        <w:spacing w:before="120" w:beforeLines="50" w:after="120" w:afterLines="50" w:line="400" w:lineRule="exact"/>
        <w:jc w:val="left"/>
        <w:rPr>
          <w:rFonts w:cs="仿宋" w:asciiTheme="minorEastAsia" w:hAnsiTheme="minorEastAsia" w:eastAsiaTheme="minorEastAsia"/>
          <w:b/>
          <w:kern w:val="0"/>
          <w:sz w:val="28"/>
          <w:szCs w:val="28"/>
        </w:rPr>
      </w:pPr>
      <w:r>
        <w:rPr>
          <w:rFonts w:hint="eastAsia" w:cs="仿宋" w:asciiTheme="minorEastAsia" w:hAnsiTheme="minorEastAsia" w:eastAsiaTheme="minorEastAsia"/>
          <w:kern w:val="0"/>
          <w:szCs w:val="21"/>
        </w:rPr>
        <w:br w:type="page"/>
      </w:r>
      <w:r>
        <w:rPr>
          <w:rFonts w:hint="eastAsia" w:cs="仿宋" w:asciiTheme="minorEastAsia" w:hAnsiTheme="minorEastAsia" w:eastAsiaTheme="minorEastAsia"/>
          <w:kern w:val="0"/>
          <w:sz w:val="28"/>
          <w:szCs w:val="28"/>
        </w:rPr>
        <w:t xml:space="preserve">附件1：                      </w:t>
      </w:r>
      <w:r>
        <w:rPr>
          <w:rFonts w:hint="eastAsia" w:cs="仿宋" w:asciiTheme="minorEastAsia" w:hAnsiTheme="minorEastAsia" w:eastAsiaTheme="minorEastAsia"/>
          <w:b/>
          <w:kern w:val="0"/>
          <w:sz w:val="28"/>
          <w:szCs w:val="28"/>
        </w:rPr>
        <w:t xml:space="preserve"> </w:t>
      </w:r>
    </w:p>
    <w:p w14:paraId="7A32FC53">
      <w:pPr>
        <w:wordWrap w:val="0"/>
        <w:spacing w:before="120" w:beforeLines="50" w:after="120" w:afterLines="50" w:line="480" w:lineRule="exact"/>
        <w:jc w:val="center"/>
        <w:rPr>
          <w:rFonts w:cs="仿宋" w:asciiTheme="minorEastAsia" w:hAnsiTheme="minorEastAsia" w:eastAsiaTheme="minorEastAsia"/>
          <w:b/>
          <w:kern w:val="0"/>
          <w:sz w:val="28"/>
          <w:szCs w:val="28"/>
        </w:rPr>
      </w:pPr>
      <w:r>
        <w:rPr>
          <w:rFonts w:hint="eastAsia" w:cs="仿宋" w:asciiTheme="minorEastAsia" w:hAnsiTheme="minorEastAsia" w:eastAsiaTheme="minorEastAsia"/>
          <w:b/>
          <w:kern w:val="0"/>
          <w:sz w:val="28"/>
          <w:szCs w:val="28"/>
        </w:rPr>
        <w:t>承包人承揽工程项目一览表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6"/>
        <w:gridCol w:w="900"/>
        <w:gridCol w:w="1417"/>
        <w:gridCol w:w="923"/>
        <w:gridCol w:w="850"/>
        <w:gridCol w:w="950"/>
        <w:gridCol w:w="1260"/>
        <w:gridCol w:w="900"/>
        <w:gridCol w:w="851"/>
        <w:gridCol w:w="850"/>
      </w:tblGrid>
      <w:tr w14:paraId="5F9E8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66" w:type="dxa"/>
            <w:tcBorders>
              <w:top w:val="single" w:color="auto" w:sz="12" w:space="0"/>
              <w:bottom w:val="double" w:color="auto" w:sz="6" w:space="0"/>
            </w:tcBorders>
            <w:vAlign w:val="center"/>
          </w:tcPr>
          <w:p w14:paraId="48620800">
            <w:pPr>
              <w:keepNext/>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单位工程名称</w:t>
            </w:r>
          </w:p>
        </w:tc>
        <w:tc>
          <w:tcPr>
            <w:tcW w:w="900" w:type="dxa"/>
            <w:tcBorders>
              <w:top w:val="single" w:color="auto" w:sz="12" w:space="0"/>
              <w:bottom w:val="double" w:color="auto" w:sz="6" w:space="0"/>
            </w:tcBorders>
            <w:vAlign w:val="center"/>
          </w:tcPr>
          <w:p w14:paraId="7525AF7B">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建设规模</w:t>
            </w:r>
          </w:p>
        </w:tc>
        <w:tc>
          <w:tcPr>
            <w:tcW w:w="1417" w:type="dxa"/>
            <w:tcBorders>
              <w:top w:val="single" w:color="auto" w:sz="12" w:space="0"/>
              <w:bottom w:val="double" w:color="auto" w:sz="6" w:space="0"/>
            </w:tcBorders>
            <w:vAlign w:val="center"/>
          </w:tcPr>
          <w:p w14:paraId="7EED0B88">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建筑面积(平方米)</w:t>
            </w:r>
          </w:p>
        </w:tc>
        <w:tc>
          <w:tcPr>
            <w:tcW w:w="923" w:type="dxa"/>
            <w:tcBorders>
              <w:top w:val="single" w:color="auto" w:sz="12" w:space="0"/>
              <w:bottom w:val="double" w:color="auto" w:sz="6" w:space="0"/>
            </w:tcBorders>
            <w:vAlign w:val="center"/>
          </w:tcPr>
          <w:p w14:paraId="767A130D">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结构形式</w:t>
            </w:r>
          </w:p>
        </w:tc>
        <w:tc>
          <w:tcPr>
            <w:tcW w:w="850" w:type="dxa"/>
            <w:tcBorders>
              <w:top w:val="single" w:color="auto" w:sz="12" w:space="0"/>
              <w:bottom w:val="double" w:color="auto" w:sz="6" w:space="0"/>
            </w:tcBorders>
            <w:vAlign w:val="center"/>
          </w:tcPr>
          <w:p w14:paraId="49BCB5E6">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层数</w:t>
            </w:r>
          </w:p>
        </w:tc>
        <w:tc>
          <w:tcPr>
            <w:tcW w:w="950" w:type="dxa"/>
            <w:tcBorders>
              <w:top w:val="single" w:color="auto" w:sz="12" w:space="0"/>
              <w:bottom w:val="double" w:color="auto" w:sz="6" w:space="0"/>
            </w:tcBorders>
            <w:vAlign w:val="center"/>
          </w:tcPr>
          <w:p w14:paraId="5E339EFD">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生产能力</w:t>
            </w:r>
          </w:p>
        </w:tc>
        <w:tc>
          <w:tcPr>
            <w:tcW w:w="1260" w:type="dxa"/>
            <w:tcBorders>
              <w:top w:val="single" w:color="auto" w:sz="12" w:space="0"/>
              <w:bottom w:val="double" w:color="auto" w:sz="6" w:space="0"/>
            </w:tcBorders>
            <w:vAlign w:val="center"/>
          </w:tcPr>
          <w:p w14:paraId="1D76C6A4">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设备安装内容</w:t>
            </w:r>
          </w:p>
        </w:tc>
        <w:tc>
          <w:tcPr>
            <w:tcW w:w="900" w:type="dxa"/>
            <w:tcBorders>
              <w:top w:val="single" w:color="auto" w:sz="12" w:space="0"/>
              <w:bottom w:val="double" w:color="auto" w:sz="6" w:space="0"/>
            </w:tcBorders>
            <w:vAlign w:val="center"/>
          </w:tcPr>
          <w:p w14:paraId="6CA2E591">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合同价格（元）</w:t>
            </w:r>
          </w:p>
        </w:tc>
        <w:tc>
          <w:tcPr>
            <w:tcW w:w="851" w:type="dxa"/>
            <w:tcBorders>
              <w:top w:val="single" w:color="auto" w:sz="12" w:space="0"/>
              <w:bottom w:val="double" w:color="auto" w:sz="6" w:space="0"/>
            </w:tcBorders>
            <w:vAlign w:val="center"/>
          </w:tcPr>
          <w:p w14:paraId="35064493">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开工日期</w:t>
            </w:r>
          </w:p>
        </w:tc>
        <w:tc>
          <w:tcPr>
            <w:tcW w:w="850" w:type="dxa"/>
            <w:tcBorders>
              <w:top w:val="single" w:color="auto" w:sz="12" w:space="0"/>
              <w:bottom w:val="double" w:color="auto" w:sz="6" w:space="0"/>
            </w:tcBorders>
            <w:vAlign w:val="center"/>
          </w:tcPr>
          <w:p w14:paraId="1768F72E">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竣工日期</w:t>
            </w:r>
          </w:p>
        </w:tc>
      </w:tr>
      <w:tr w14:paraId="0572A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66" w:type="dxa"/>
            <w:tcBorders>
              <w:top w:val="double" w:color="auto" w:sz="6" w:space="0"/>
              <w:bottom w:val="single" w:color="auto" w:sz="6" w:space="0"/>
            </w:tcBorders>
            <w:vAlign w:val="center"/>
          </w:tcPr>
          <w:p w14:paraId="2588FC45">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tcBorders>
              <w:top w:val="double" w:color="auto" w:sz="6" w:space="0"/>
              <w:bottom w:val="single" w:color="auto" w:sz="6" w:space="0"/>
            </w:tcBorders>
            <w:vAlign w:val="center"/>
          </w:tcPr>
          <w:p w14:paraId="03806E81">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7" w:type="dxa"/>
            <w:tcBorders>
              <w:top w:val="double" w:color="auto" w:sz="6" w:space="0"/>
              <w:bottom w:val="single" w:color="auto" w:sz="6" w:space="0"/>
            </w:tcBorders>
            <w:vAlign w:val="center"/>
          </w:tcPr>
          <w:p w14:paraId="30A454D1">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23" w:type="dxa"/>
            <w:tcBorders>
              <w:top w:val="double" w:color="auto" w:sz="6" w:space="0"/>
              <w:bottom w:val="single" w:color="auto" w:sz="6" w:space="0"/>
            </w:tcBorders>
            <w:vAlign w:val="center"/>
          </w:tcPr>
          <w:p w14:paraId="5EEA1450">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top w:val="double" w:color="auto" w:sz="6" w:space="0"/>
              <w:bottom w:val="single" w:color="auto" w:sz="6" w:space="0"/>
            </w:tcBorders>
            <w:vAlign w:val="center"/>
          </w:tcPr>
          <w:p w14:paraId="09F3623D">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50" w:type="dxa"/>
            <w:tcBorders>
              <w:top w:val="double" w:color="auto" w:sz="6" w:space="0"/>
              <w:bottom w:val="single" w:color="auto" w:sz="6" w:space="0"/>
            </w:tcBorders>
            <w:vAlign w:val="center"/>
          </w:tcPr>
          <w:p w14:paraId="0759844B">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60" w:type="dxa"/>
            <w:tcBorders>
              <w:top w:val="double" w:color="auto" w:sz="6" w:space="0"/>
              <w:bottom w:val="single" w:color="auto" w:sz="6" w:space="0"/>
            </w:tcBorders>
            <w:vAlign w:val="center"/>
          </w:tcPr>
          <w:p w14:paraId="1FE3C7AB">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tcBorders>
              <w:top w:val="double" w:color="auto" w:sz="6" w:space="0"/>
              <w:bottom w:val="single" w:color="auto" w:sz="6" w:space="0"/>
            </w:tcBorders>
            <w:vAlign w:val="center"/>
          </w:tcPr>
          <w:p w14:paraId="6211755D">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Borders>
              <w:top w:val="double" w:color="auto" w:sz="6" w:space="0"/>
              <w:bottom w:val="single" w:color="auto" w:sz="6" w:space="0"/>
            </w:tcBorders>
            <w:vAlign w:val="center"/>
          </w:tcPr>
          <w:p w14:paraId="774343AB">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top w:val="double" w:color="auto" w:sz="6" w:space="0"/>
              <w:bottom w:val="single" w:color="auto" w:sz="6" w:space="0"/>
            </w:tcBorders>
            <w:vAlign w:val="center"/>
          </w:tcPr>
          <w:p w14:paraId="1B1EC2C4">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589FE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66" w:type="dxa"/>
            <w:tcBorders>
              <w:top w:val="nil"/>
            </w:tcBorders>
            <w:vAlign w:val="center"/>
          </w:tcPr>
          <w:p w14:paraId="737F9852">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tcBorders>
              <w:top w:val="nil"/>
            </w:tcBorders>
            <w:vAlign w:val="center"/>
          </w:tcPr>
          <w:p w14:paraId="67840185">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7" w:type="dxa"/>
            <w:tcBorders>
              <w:top w:val="nil"/>
            </w:tcBorders>
            <w:vAlign w:val="center"/>
          </w:tcPr>
          <w:p w14:paraId="421125BE">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23" w:type="dxa"/>
            <w:tcBorders>
              <w:top w:val="nil"/>
            </w:tcBorders>
            <w:vAlign w:val="center"/>
          </w:tcPr>
          <w:p w14:paraId="4075B147">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top w:val="nil"/>
            </w:tcBorders>
            <w:vAlign w:val="center"/>
          </w:tcPr>
          <w:p w14:paraId="28979EB3">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50" w:type="dxa"/>
            <w:tcBorders>
              <w:top w:val="nil"/>
            </w:tcBorders>
            <w:vAlign w:val="center"/>
          </w:tcPr>
          <w:p w14:paraId="2EB7D495">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60" w:type="dxa"/>
            <w:tcBorders>
              <w:top w:val="nil"/>
            </w:tcBorders>
            <w:vAlign w:val="center"/>
          </w:tcPr>
          <w:p w14:paraId="029B155A">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tcBorders>
              <w:top w:val="nil"/>
            </w:tcBorders>
            <w:vAlign w:val="center"/>
          </w:tcPr>
          <w:p w14:paraId="4A798E20">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Borders>
              <w:top w:val="nil"/>
            </w:tcBorders>
            <w:vAlign w:val="center"/>
          </w:tcPr>
          <w:p w14:paraId="705E27C3">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top w:val="nil"/>
            </w:tcBorders>
            <w:vAlign w:val="center"/>
          </w:tcPr>
          <w:p w14:paraId="6DD5D66D">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2DED7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66" w:type="dxa"/>
            <w:tcBorders>
              <w:top w:val="nil"/>
            </w:tcBorders>
            <w:vAlign w:val="center"/>
          </w:tcPr>
          <w:p w14:paraId="021658B2">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tcBorders>
              <w:top w:val="nil"/>
            </w:tcBorders>
            <w:vAlign w:val="center"/>
          </w:tcPr>
          <w:p w14:paraId="40F5BD55">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7" w:type="dxa"/>
            <w:tcBorders>
              <w:top w:val="nil"/>
            </w:tcBorders>
            <w:vAlign w:val="center"/>
          </w:tcPr>
          <w:p w14:paraId="0E5550FF">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23" w:type="dxa"/>
            <w:tcBorders>
              <w:top w:val="nil"/>
            </w:tcBorders>
            <w:vAlign w:val="center"/>
          </w:tcPr>
          <w:p w14:paraId="10E398DD">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top w:val="nil"/>
            </w:tcBorders>
            <w:vAlign w:val="center"/>
          </w:tcPr>
          <w:p w14:paraId="14C87C37">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50" w:type="dxa"/>
            <w:tcBorders>
              <w:top w:val="nil"/>
            </w:tcBorders>
            <w:vAlign w:val="center"/>
          </w:tcPr>
          <w:p w14:paraId="314167CB">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60" w:type="dxa"/>
            <w:tcBorders>
              <w:top w:val="nil"/>
            </w:tcBorders>
            <w:vAlign w:val="center"/>
          </w:tcPr>
          <w:p w14:paraId="613ED914">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tcBorders>
              <w:top w:val="nil"/>
            </w:tcBorders>
            <w:vAlign w:val="center"/>
          </w:tcPr>
          <w:p w14:paraId="1DA1E295">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Borders>
              <w:top w:val="nil"/>
            </w:tcBorders>
            <w:vAlign w:val="center"/>
          </w:tcPr>
          <w:p w14:paraId="3D62C4F8">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top w:val="nil"/>
            </w:tcBorders>
            <w:vAlign w:val="center"/>
          </w:tcPr>
          <w:p w14:paraId="4FBE8218">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45D78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66" w:type="dxa"/>
            <w:vAlign w:val="center"/>
          </w:tcPr>
          <w:p w14:paraId="4C8113D7">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vAlign w:val="center"/>
          </w:tcPr>
          <w:p w14:paraId="296F031D">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7" w:type="dxa"/>
            <w:vAlign w:val="center"/>
          </w:tcPr>
          <w:p w14:paraId="4DDE94F8">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23" w:type="dxa"/>
            <w:vAlign w:val="center"/>
          </w:tcPr>
          <w:p w14:paraId="6EDF1718">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vAlign w:val="center"/>
          </w:tcPr>
          <w:p w14:paraId="312D99F2">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50" w:type="dxa"/>
            <w:vAlign w:val="center"/>
          </w:tcPr>
          <w:p w14:paraId="31E42660">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60" w:type="dxa"/>
            <w:vAlign w:val="center"/>
          </w:tcPr>
          <w:p w14:paraId="01365E27">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vAlign w:val="center"/>
          </w:tcPr>
          <w:p w14:paraId="655DD2FB">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vAlign w:val="center"/>
          </w:tcPr>
          <w:p w14:paraId="34AD7D38">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vAlign w:val="center"/>
          </w:tcPr>
          <w:p w14:paraId="29726E99">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2B1958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66" w:type="dxa"/>
            <w:tcBorders>
              <w:top w:val="nil"/>
            </w:tcBorders>
            <w:vAlign w:val="center"/>
          </w:tcPr>
          <w:p w14:paraId="5BAEFAC1">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tcBorders>
              <w:top w:val="nil"/>
            </w:tcBorders>
            <w:vAlign w:val="center"/>
          </w:tcPr>
          <w:p w14:paraId="2AF51EED">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7" w:type="dxa"/>
            <w:tcBorders>
              <w:top w:val="nil"/>
            </w:tcBorders>
            <w:vAlign w:val="center"/>
          </w:tcPr>
          <w:p w14:paraId="77C83B55">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23" w:type="dxa"/>
            <w:tcBorders>
              <w:top w:val="nil"/>
            </w:tcBorders>
            <w:vAlign w:val="center"/>
          </w:tcPr>
          <w:p w14:paraId="0DE747EB">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top w:val="nil"/>
            </w:tcBorders>
            <w:vAlign w:val="center"/>
          </w:tcPr>
          <w:p w14:paraId="2774F778">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50" w:type="dxa"/>
            <w:tcBorders>
              <w:top w:val="nil"/>
            </w:tcBorders>
            <w:vAlign w:val="center"/>
          </w:tcPr>
          <w:p w14:paraId="77FCA652">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60" w:type="dxa"/>
            <w:tcBorders>
              <w:top w:val="nil"/>
            </w:tcBorders>
            <w:vAlign w:val="center"/>
          </w:tcPr>
          <w:p w14:paraId="561124CF">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tcBorders>
              <w:top w:val="nil"/>
            </w:tcBorders>
            <w:vAlign w:val="center"/>
          </w:tcPr>
          <w:p w14:paraId="3CC0C3A1">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Borders>
              <w:top w:val="nil"/>
            </w:tcBorders>
            <w:vAlign w:val="center"/>
          </w:tcPr>
          <w:p w14:paraId="03CF8595">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top w:val="nil"/>
            </w:tcBorders>
            <w:vAlign w:val="center"/>
          </w:tcPr>
          <w:p w14:paraId="637DD68B">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3B5D4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66" w:type="dxa"/>
            <w:vAlign w:val="center"/>
          </w:tcPr>
          <w:p w14:paraId="488574B3">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vAlign w:val="center"/>
          </w:tcPr>
          <w:p w14:paraId="70B9A102">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7" w:type="dxa"/>
            <w:vAlign w:val="center"/>
          </w:tcPr>
          <w:p w14:paraId="37E7989D">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23" w:type="dxa"/>
            <w:vAlign w:val="center"/>
          </w:tcPr>
          <w:p w14:paraId="6C8AC19E">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vAlign w:val="center"/>
          </w:tcPr>
          <w:p w14:paraId="57F033D1">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50" w:type="dxa"/>
            <w:vAlign w:val="center"/>
          </w:tcPr>
          <w:p w14:paraId="20729CF3">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60" w:type="dxa"/>
            <w:vAlign w:val="center"/>
          </w:tcPr>
          <w:p w14:paraId="42353108">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vAlign w:val="center"/>
          </w:tcPr>
          <w:p w14:paraId="68EC8EE2">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vAlign w:val="center"/>
          </w:tcPr>
          <w:p w14:paraId="30397585">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vAlign w:val="center"/>
          </w:tcPr>
          <w:p w14:paraId="090DB3AE">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61F57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66" w:type="dxa"/>
            <w:tcBorders>
              <w:top w:val="nil"/>
            </w:tcBorders>
            <w:vAlign w:val="center"/>
          </w:tcPr>
          <w:p w14:paraId="68EE7251">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tcBorders>
              <w:top w:val="nil"/>
            </w:tcBorders>
            <w:vAlign w:val="center"/>
          </w:tcPr>
          <w:p w14:paraId="41C33927">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7" w:type="dxa"/>
            <w:tcBorders>
              <w:top w:val="nil"/>
            </w:tcBorders>
            <w:vAlign w:val="center"/>
          </w:tcPr>
          <w:p w14:paraId="70E4E392">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23" w:type="dxa"/>
            <w:tcBorders>
              <w:top w:val="nil"/>
            </w:tcBorders>
            <w:vAlign w:val="center"/>
          </w:tcPr>
          <w:p w14:paraId="327B400C">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top w:val="nil"/>
            </w:tcBorders>
            <w:vAlign w:val="center"/>
          </w:tcPr>
          <w:p w14:paraId="6BAC0D86">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50" w:type="dxa"/>
            <w:tcBorders>
              <w:top w:val="nil"/>
            </w:tcBorders>
            <w:vAlign w:val="center"/>
          </w:tcPr>
          <w:p w14:paraId="47EEB3A7">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60" w:type="dxa"/>
            <w:tcBorders>
              <w:top w:val="nil"/>
            </w:tcBorders>
            <w:vAlign w:val="center"/>
          </w:tcPr>
          <w:p w14:paraId="72EB9063">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tcBorders>
              <w:top w:val="nil"/>
            </w:tcBorders>
            <w:vAlign w:val="center"/>
          </w:tcPr>
          <w:p w14:paraId="6FC7559B">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Borders>
              <w:top w:val="nil"/>
            </w:tcBorders>
            <w:vAlign w:val="center"/>
          </w:tcPr>
          <w:p w14:paraId="1ED7B7E8">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top w:val="nil"/>
            </w:tcBorders>
            <w:vAlign w:val="center"/>
          </w:tcPr>
          <w:p w14:paraId="480E0842">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56A58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66" w:type="dxa"/>
            <w:tcBorders>
              <w:top w:val="nil"/>
            </w:tcBorders>
            <w:vAlign w:val="center"/>
          </w:tcPr>
          <w:p w14:paraId="6EC157B4">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tcBorders>
              <w:top w:val="nil"/>
            </w:tcBorders>
            <w:vAlign w:val="center"/>
          </w:tcPr>
          <w:p w14:paraId="78F7F590">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7" w:type="dxa"/>
            <w:tcBorders>
              <w:top w:val="nil"/>
            </w:tcBorders>
            <w:vAlign w:val="center"/>
          </w:tcPr>
          <w:p w14:paraId="45678231">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23" w:type="dxa"/>
            <w:tcBorders>
              <w:top w:val="nil"/>
            </w:tcBorders>
            <w:vAlign w:val="center"/>
          </w:tcPr>
          <w:p w14:paraId="4F51D8ED">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top w:val="nil"/>
            </w:tcBorders>
            <w:vAlign w:val="center"/>
          </w:tcPr>
          <w:p w14:paraId="3007FBCB">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50" w:type="dxa"/>
            <w:tcBorders>
              <w:top w:val="nil"/>
            </w:tcBorders>
            <w:vAlign w:val="center"/>
          </w:tcPr>
          <w:p w14:paraId="08D79149">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60" w:type="dxa"/>
            <w:tcBorders>
              <w:top w:val="nil"/>
            </w:tcBorders>
            <w:vAlign w:val="center"/>
          </w:tcPr>
          <w:p w14:paraId="393C4290">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tcBorders>
              <w:top w:val="nil"/>
            </w:tcBorders>
            <w:vAlign w:val="center"/>
          </w:tcPr>
          <w:p w14:paraId="69EF4AD2">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Borders>
              <w:top w:val="nil"/>
            </w:tcBorders>
            <w:vAlign w:val="center"/>
          </w:tcPr>
          <w:p w14:paraId="6AB4F09F">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top w:val="nil"/>
            </w:tcBorders>
            <w:vAlign w:val="center"/>
          </w:tcPr>
          <w:p w14:paraId="1E7D2121">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0CEA7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66" w:type="dxa"/>
            <w:tcBorders>
              <w:bottom w:val="single" w:color="auto" w:sz="6" w:space="0"/>
            </w:tcBorders>
            <w:vAlign w:val="center"/>
          </w:tcPr>
          <w:p w14:paraId="5120AC8B">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tcBorders>
              <w:bottom w:val="single" w:color="auto" w:sz="6" w:space="0"/>
            </w:tcBorders>
            <w:vAlign w:val="center"/>
          </w:tcPr>
          <w:p w14:paraId="31CA6F68">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7" w:type="dxa"/>
            <w:tcBorders>
              <w:bottom w:val="single" w:color="auto" w:sz="6" w:space="0"/>
            </w:tcBorders>
            <w:vAlign w:val="center"/>
          </w:tcPr>
          <w:p w14:paraId="29997AF8">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23" w:type="dxa"/>
            <w:tcBorders>
              <w:bottom w:val="single" w:color="auto" w:sz="6" w:space="0"/>
            </w:tcBorders>
            <w:vAlign w:val="center"/>
          </w:tcPr>
          <w:p w14:paraId="5F794BF8">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bottom w:val="single" w:color="auto" w:sz="6" w:space="0"/>
            </w:tcBorders>
            <w:vAlign w:val="center"/>
          </w:tcPr>
          <w:p w14:paraId="2962C860">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50" w:type="dxa"/>
            <w:tcBorders>
              <w:bottom w:val="single" w:color="auto" w:sz="6" w:space="0"/>
            </w:tcBorders>
            <w:vAlign w:val="center"/>
          </w:tcPr>
          <w:p w14:paraId="63C3BCCC">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60" w:type="dxa"/>
            <w:tcBorders>
              <w:bottom w:val="single" w:color="auto" w:sz="6" w:space="0"/>
            </w:tcBorders>
            <w:vAlign w:val="center"/>
          </w:tcPr>
          <w:p w14:paraId="10C80C1D">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tcBorders>
              <w:bottom w:val="single" w:color="auto" w:sz="6" w:space="0"/>
            </w:tcBorders>
            <w:vAlign w:val="center"/>
          </w:tcPr>
          <w:p w14:paraId="203F4377">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Borders>
              <w:bottom w:val="single" w:color="auto" w:sz="6" w:space="0"/>
            </w:tcBorders>
            <w:vAlign w:val="center"/>
          </w:tcPr>
          <w:p w14:paraId="03F897B9">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bottom w:val="single" w:color="auto" w:sz="6" w:space="0"/>
            </w:tcBorders>
            <w:vAlign w:val="center"/>
          </w:tcPr>
          <w:p w14:paraId="0A09F0D2">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0E366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66" w:type="dxa"/>
            <w:tcBorders>
              <w:top w:val="single" w:color="auto" w:sz="6" w:space="0"/>
              <w:bottom w:val="single" w:color="auto" w:sz="6" w:space="0"/>
            </w:tcBorders>
            <w:vAlign w:val="center"/>
          </w:tcPr>
          <w:p w14:paraId="2559A981">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tcBorders>
              <w:top w:val="single" w:color="auto" w:sz="6" w:space="0"/>
              <w:bottom w:val="single" w:color="auto" w:sz="6" w:space="0"/>
            </w:tcBorders>
            <w:vAlign w:val="center"/>
          </w:tcPr>
          <w:p w14:paraId="5B1AB800">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7" w:type="dxa"/>
            <w:tcBorders>
              <w:top w:val="single" w:color="auto" w:sz="6" w:space="0"/>
              <w:bottom w:val="single" w:color="auto" w:sz="6" w:space="0"/>
            </w:tcBorders>
            <w:vAlign w:val="center"/>
          </w:tcPr>
          <w:p w14:paraId="1F6CE397">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23" w:type="dxa"/>
            <w:tcBorders>
              <w:top w:val="single" w:color="auto" w:sz="6" w:space="0"/>
              <w:bottom w:val="single" w:color="auto" w:sz="6" w:space="0"/>
            </w:tcBorders>
            <w:vAlign w:val="center"/>
          </w:tcPr>
          <w:p w14:paraId="5912D1A9">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top w:val="single" w:color="auto" w:sz="6" w:space="0"/>
              <w:bottom w:val="single" w:color="auto" w:sz="6" w:space="0"/>
            </w:tcBorders>
            <w:vAlign w:val="center"/>
          </w:tcPr>
          <w:p w14:paraId="153B21D1">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50" w:type="dxa"/>
            <w:tcBorders>
              <w:top w:val="single" w:color="auto" w:sz="6" w:space="0"/>
              <w:bottom w:val="single" w:color="auto" w:sz="6" w:space="0"/>
            </w:tcBorders>
            <w:vAlign w:val="center"/>
          </w:tcPr>
          <w:p w14:paraId="66CB1836">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60" w:type="dxa"/>
            <w:tcBorders>
              <w:top w:val="single" w:color="auto" w:sz="6" w:space="0"/>
              <w:bottom w:val="single" w:color="auto" w:sz="6" w:space="0"/>
            </w:tcBorders>
            <w:vAlign w:val="center"/>
          </w:tcPr>
          <w:p w14:paraId="36BEFA79">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tcBorders>
              <w:top w:val="single" w:color="auto" w:sz="6" w:space="0"/>
              <w:bottom w:val="single" w:color="auto" w:sz="6" w:space="0"/>
            </w:tcBorders>
            <w:vAlign w:val="center"/>
          </w:tcPr>
          <w:p w14:paraId="5A49CFFC">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Borders>
              <w:top w:val="single" w:color="auto" w:sz="6" w:space="0"/>
              <w:bottom w:val="single" w:color="auto" w:sz="6" w:space="0"/>
            </w:tcBorders>
            <w:vAlign w:val="center"/>
          </w:tcPr>
          <w:p w14:paraId="29603358">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top w:val="single" w:color="auto" w:sz="6" w:space="0"/>
              <w:bottom w:val="single" w:color="auto" w:sz="6" w:space="0"/>
            </w:tcBorders>
            <w:vAlign w:val="center"/>
          </w:tcPr>
          <w:p w14:paraId="3F18B481">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76945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66" w:type="dxa"/>
            <w:tcBorders>
              <w:top w:val="single" w:color="auto" w:sz="6" w:space="0"/>
              <w:bottom w:val="single" w:color="auto" w:sz="6" w:space="0"/>
            </w:tcBorders>
            <w:vAlign w:val="center"/>
          </w:tcPr>
          <w:p w14:paraId="4E6C1AAF">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tcBorders>
              <w:top w:val="single" w:color="auto" w:sz="6" w:space="0"/>
              <w:bottom w:val="single" w:color="auto" w:sz="6" w:space="0"/>
            </w:tcBorders>
            <w:vAlign w:val="center"/>
          </w:tcPr>
          <w:p w14:paraId="7410353A">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7" w:type="dxa"/>
            <w:tcBorders>
              <w:top w:val="single" w:color="auto" w:sz="6" w:space="0"/>
              <w:bottom w:val="single" w:color="auto" w:sz="6" w:space="0"/>
            </w:tcBorders>
            <w:vAlign w:val="center"/>
          </w:tcPr>
          <w:p w14:paraId="4825D50B">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23" w:type="dxa"/>
            <w:tcBorders>
              <w:top w:val="single" w:color="auto" w:sz="6" w:space="0"/>
              <w:bottom w:val="single" w:color="auto" w:sz="6" w:space="0"/>
            </w:tcBorders>
            <w:vAlign w:val="center"/>
          </w:tcPr>
          <w:p w14:paraId="1C028DB1">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top w:val="single" w:color="auto" w:sz="6" w:space="0"/>
              <w:bottom w:val="single" w:color="auto" w:sz="6" w:space="0"/>
            </w:tcBorders>
            <w:vAlign w:val="center"/>
          </w:tcPr>
          <w:p w14:paraId="6B0D379A">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50" w:type="dxa"/>
            <w:tcBorders>
              <w:top w:val="single" w:color="auto" w:sz="6" w:space="0"/>
              <w:bottom w:val="single" w:color="auto" w:sz="6" w:space="0"/>
            </w:tcBorders>
            <w:vAlign w:val="center"/>
          </w:tcPr>
          <w:p w14:paraId="65E34DA2">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60" w:type="dxa"/>
            <w:tcBorders>
              <w:top w:val="single" w:color="auto" w:sz="6" w:space="0"/>
              <w:bottom w:val="single" w:color="auto" w:sz="6" w:space="0"/>
            </w:tcBorders>
            <w:vAlign w:val="center"/>
          </w:tcPr>
          <w:p w14:paraId="0D6444C3">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tcBorders>
              <w:top w:val="single" w:color="auto" w:sz="6" w:space="0"/>
              <w:bottom w:val="single" w:color="auto" w:sz="6" w:space="0"/>
            </w:tcBorders>
            <w:vAlign w:val="center"/>
          </w:tcPr>
          <w:p w14:paraId="30E3F73E">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Borders>
              <w:top w:val="single" w:color="auto" w:sz="6" w:space="0"/>
              <w:bottom w:val="single" w:color="auto" w:sz="6" w:space="0"/>
            </w:tcBorders>
            <w:vAlign w:val="center"/>
          </w:tcPr>
          <w:p w14:paraId="0602BEF0">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top w:val="single" w:color="auto" w:sz="6" w:space="0"/>
              <w:bottom w:val="single" w:color="auto" w:sz="6" w:space="0"/>
            </w:tcBorders>
            <w:vAlign w:val="center"/>
          </w:tcPr>
          <w:p w14:paraId="32BE1295">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6AB9A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66" w:type="dxa"/>
            <w:tcBorders>
              <w:top w:val="single" w:color="auto" w:sz="6" w:space="0"/>
              <w:bottom w:val="single" w:color="auto" w:sz="6" w:space="0"/>
            </w:tcBorders>
            <w:vAlign w:val="center"/>
          </w:tcPr>
          <w:p w14:paraId="35EB22A5">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tcBorders>
              <w:top w:val="single" w:color="auto" w:sz="6" w:space="0"/>
              <w:bottom w:val="single" w:color="auto" w:sz="6" w:space="0"/>
            </w:tcBorders>
            <w:vAlign w:val="center"/>
          </w:tcPr>
          <w:p w14:paraId="44B5482A">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7" w:type="dxa"/>
            <w:tcBorders>
              <w:top w:val="single" w:color="auto" w:sz="6" w:space="0"/>
              <w:bottom w:val="single" w:color="auto" w:sz="6" w:space="0"/>
            </w:tcBorders>
            <w:vAlign w:val="center"/>
          </w:tcPr>
          <w:p w14:paraId="14B04FE1">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23" w:type="dxa"/>
            <w:tcBorders>
              <w:top w:val="single" w:color="auto" w:sz="6" w:space="0"/>
              <w:bottom w:val="single" w:color="auto" w:sz="6" w:space="0"/>
            </w:tcBorders>
            <w:vAlign w:val="center"/>
          </w:tcPr>
          <w:p w14:paraId="13397EE0">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top w:val="single" w:color="auto" w:sz="6" w:space="0"/>
              <w:bottom w:val="single" w:color="auto" w:sz="6" w:space="0"/>
            </w:tcBorders>
            <w:vAlign w:val="center"/>
          </w:tcPr>
          <w:p w14:paraId="1B83F770">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50" w:type="dxa"/>
            <w:tcBorders>
              <w:top w:val="single" w:color="auto" w:sz="6" w:space="0"/>
              <w:bottom w:val="single" w:color="auto" w:sz="6" w:space="0"/>
            </w:tcBorders>
            <w:vAlign w:val="center"/>
          </w:tcPr>
          <w:p w14:paraId="79B077BF">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60" w:type="dxa"/>
            <w:tcBorders>
              <w:top w:val="single" w:color="auto" w:sz="6" w:space="0"/>
              <w:bottom w:val="single" w:color="auto" w:sz="6" w:space="0"/>
            </w:tcBorders>
            <w:vAlign w:val="center"/>
          </w:tcPr>
          <w:p w14:paraId="092210D3">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tcBorders>
              <w:top w:val="single" w:color="auto" w:sz="6" w:space="0"/>
              <w:bottom w:val="single" w:color="auto" w:sz="6" w:space="0"/>
            </w:tcBorders>
            <w:vAlign w:val="center"/>
          </w:tcPr>
          <w:p w14:paraId="15DB2B8B">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Borders>
              <w:top w:val="single" w:color="auto" w:sz="6" w:space="0"/>
              <w:bottom w:val="single" w:color="auto" w:sz="6" w:space="0"/>
            </w:tcBorders>
            <w:vAlign w:val="center"/>
          </w:tcPr>
          <w:p w14:paraId="77018650">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top w:val="single" w:color="auto" w:sz="6" w:space="0"/>
              <w:bottom w:val="single" w:color="auto" w:sz="6" w:space="0"/>
            </w:tcBorders>
            <w:vAlign w:val="center"/>
          </w:tcPr>
          <w:p w14:paraId="34A74270">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7DDA6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66" w:type="dxa"/>
            <w:tcBorders>
              <w:top w:val="single" w:color="auto" w:sz="6" w:space="0"/>
              <w:bottom w:val="single" w:color="auto" w:sz="6" w:space="0"/>
            </w:tcBorders>
            <w:vAlign w:val="center"/>
          </w:tcPr>
          <w:p w14:paraId="25E8BCEA">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tcBorders>
              <w:top w:val="single" w:color="auto" w:sz="6" w:space="0"/>
              <w:bottom w:val="single" w:color="auto" w:sz="6" w:space="0"/>
            </w:tcBorders>
            <w:vAlign w:val="center"/>
          </w:tcPr>
          <w:p w14:paraId="7B3A50FD">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7" w:type="dxa"/>
            <w:tcBorders>
              <w:top w:val="single" w:color="auto" w:sz="6" w:space="0"/>
              <w:bottom w:val="single" w:color="auto" w:sz="6" w:space="0"/>
            </w:tcBorders>
            <w:vAlign w:val="center"/>
          </w:tcPr>
          <w:p w14:paraId="30FF4E7D">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23" w:type="dxa"/>
            <w:tcBorders>
              <w:top w:val="single" w:color="auto" w:sz="6" w:space="0"/>
              <w:bottom w:val="single" w:color="auto" w:sz="6" w:space="0"/>
            </w:tcBorders>
            <w:vAlign w:val="center"/>
          </w:tcPr>
          <w:p w14:paraId="7B94CCCC">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top w:val="single" w:color="auto" w:sz="6" w:space="0"/>
              <w:bottom w:val="single" w:color="auto" w:sz="6" w:space="0"/>
            </w:tcBorders>
            <w:vAlign w:val="center"/>
          </w:tcPr>
          <w:p w14:paraId="1407D74D">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50" w:type="dxa"/>
            <w:tcBorders>
              <w:top w:val="single" w:color="auto" w:sz="6" w:space="0"/>
              <w:bottom w:val="single" w:color="auto" w:sz="6" w:space="0"/>
            </w:tcBorders>
            <w:vAlign w:val="center"/>
          </w:tcPr>
          <w:p w14:paraId="2AB10DDE">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60" w:type="dxa"/>
            <w:tcBorders>
              <w:top w:val="single" w:color="auto" w:sz="6" w:space="0"/>
              <w:bottom w:val="single" w:color="auto" w:sz="6" w:space="0"/>
            </w:tcBorders>
            <w:vAlign w:val="center"/>
          </w:tcPr>
          <w:p w14:paraId="609C10EE">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tcBorders>
              <w:top w:val="single" w:color="auto" w:sz="6" w:space="0"/>
              <w:bottom w:val="single" w:color="auto" w:sz="6" w:space="0"/>
            </w:tcBorders>
            <w:vAlign w:val="center"/>
          </w:tcPr>
          <w:p w14:paraId="05E31604">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Borders>
              <w:top w:val="single" w:color="auto" w:sz="6" w:space="0"/>
              <w:bottom w:val="single" w:color="auto" w:sz="6" w:space="0"/>
            </w:tcBorders>
            <w:vAlign w:val="center"/>
          </w:tcPr>
          <w:p w14:paraId="67C5AA96">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top w:val="single" w:color="auto" w:sz="6" w:space="0"/>
              <w:bottom w:val="single" w:color="auto" w:sz="6" w:space="0"/>
            </w:tcBorders>
            <w:vAlign w:val="center"/>
          </w:tcPr>
          <w:p w14:paraId="4275EE84">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07194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66" w:type="dxa"/>
            <w:tcBorders>
              <w:top w:val="single" w:color="auto" w:sz="6" w:space="0"/>
              <w:bottom w:val="single" w:color="auto" w:sz="12" w:space="0"/>
            </w:tcBorders>
            <w:vAlign w:val="center"/>
          </w:tcPr>
          <w:p w14:paraId="1AF29354">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tcBorders>
              <w:top w:val="single" w:color="auto" w:sz="6" w:space="0"/>
              <w:bottom w:val="single" w:color="auto" w:sz="12" w:space="0"/>
            </w:tcBorders>
            <w:vAlign w:val="center"/>
          </w:tcPr>
          <w:p w14:paraId="5D4F960B">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7" w:type="dxa"/>
            <w:tcBorders>
              <w:top w:val="single" w:color="auto" w:sz="6" w:space="0"/>
              <w:bottom w:val="single" w:color="auto" w:sz="12" w:space="0"/>
            </w:tcBorders>
            <w:vAlign w:val="center"/>
          </w:tcPr>
          <w:p w14:paraId="3F5AF751">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23" w:type="dxa"/>
            <w:tcBorders>
              <w:top w:val="single" w:color="auto" w:sz="6" w:space="0"/>
              <w:bottom w:val="single" w:color="auto" w:sz="12" w:space="0"/>
            </w:tcBorders>
            <w:vAlign w:val="center"/>
          </w:tcPr>
          <w:p w14:paraId="0CF43402">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top w:val="single" w:color="auto" w:sz="6" w:space="0"/>
              <w:bottom w:val="single" w:color="auto" w:sz="12" w:space="0"/>
            </w:tcBorders>
            <w:vAlign w:val="center"/>
          </w:tcPr>
          <w:p w14:paraId="5DBFE4C6">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50" w:type="dxa"/>
            <w:tcBorders>
              <w:top w:val="single" w:color="auto" w:sz="6" w:space="0"/>
              <w:bottom w:val="single" w:color="auto" w:sz="12" w:space="0"/>
            </w:tcBorders>
            <w:vAlign w:val="center"/>
          </w:tcPr>
          <w:p w14:paraId="1D5BC558">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60" w:type="dxa"/>
            <w:tcBorders>
              <w:top w:val="single" w:color="auto" w:sz="6" w:space="0"/>
              <w:bottom w:val="single" w:color="auto" w:sz="12" w:space="0"/>
            </w:tcBorders>
            <w:vAlign w:val="center"/>
          </w:tcPr>
          <w:p w14:paraId="1ACB50F1">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00" w:type="dxa"/>
            <w:tcBorders>
              <w:top w:val="single" w:color="auto" w:sz="6" w:space="0"/>
              <w:bottom w:val="single" w:color="auto" w:sz="12" w:space="0"/>
            </w:tcBorders>
            <w:vAlign w:val="center"/>
          </w:tcPr>
          <w:p w14:paraId="3E8A6AD7">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Borders>
              <w:top w:val="single" w:color="auto" w:sz="6" w:space="0"/>
              <w:bottom w:val="single" w:color="auto" w:sz="12" w:space="0"/>
            </w:tcBorders>
            <w:vAlign w:val="center"/>
          </w:tcPr>
          <w:p w14:paraId="3CF6B593">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top w:val="single" w:color="auto" w:sz="6" w:space="0"/>
              <w:bottom w:val="single" w:color="auto" w:sz="12" w:space="0"/>
            </w:tcBorders>
            <w:vAlign w:val="center"/>
          </w:tcPr>
          <w:p w14:paraId="30C2F8DE">
            <w:pPr>
              <w:keepNext/>
              <w:wordWrap w:val="0"/>
              <w:adjustRightInd w:val="0"/>
              <w:spacing w:line="480" w:lineRule="exact"/>
              <w:ind w:left="63" w:leftChars="30" w:right="63" w:rightChars="30"/>
              <w:jc w:val="center"/>
              <w:textAlignment w:val="baseline"/>
              <w:rPr>
                <w:rFonts w:cs="仿宋" w:asciiTheme="minorEastAsia" w:hAnsiTheme="minorEastAsia" w:eastAsiaTheme="minorEastAsia"/>
                <w:kern w:val="0"/>
                <w:sz w:val="24"/>
                <w:szCs w:val="24"/>
              </w:rPr>
            </w:pPr>
          </w:p>
        </w:tc>
      </w:tr>
    </w:tbl>
    <w:p w14:paraId="1B43314B">
      <w:pPr>
        <w:wordWrap w:val="0"/>
        <w:spacing w:after="200" w:line="480" w:lineRule="exact"/>
        <w:rPr>
          <w:rFonts w:cs="仿宋" w:asciiTheme="minorEastAsia" w:hAnsiTheme="minorEastAsia" w:eastAsiaTheme="minorEastAsia"/>
          <w:kern w:val="0"/>
          <w:sz w:val="24"/>
          <w:szCs w:val="24"/>
        </w:rPr>
      </w:pPr>
    </w:p>
    <w:p w14:paraId="19AB3449">
      <w:pPr>
        <w:wordWrap w:val="0"/>
        <w:spacing w:after="200" w:line="44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4"/>
          <w:szCs w:val="24"/>
        </w:rPr>
        <w:br w:type="page"/>
      </w:r>
      <w:r>
        <w:rPr>
          <w:rFonts w:hint="eastAsia" w:cs="仿宋" w:asciiTheme="minorEastAsia" w:hAnsiTheme="minorEastAsia" w:eastAsiaTheme="minorEastAsia"/>
          <w:kern w:val="0"/>
          <w:sz w:val="28"/>
          <w:szCs w:val="28"/>
        </w:rPr>
        <w:t>附</w:t>
      </w:r>
      <w:bookmarkStart w:id="1585" w:name="_Toc296347224"/>
      <w:bookmarkStart w:id="1586" w:name="_Toc296944564"/>
      <w:bookmarkStart w:id="1587" w:name="_Toc296891265"/>
      <w:bookmarkStart w:id="1588" w:name="_Toc296503225"/>
      <w:bookmarkStart w:id="1589" w:name="_Toc267261692"/>
      <w:bookmarkStart w:id="1590" w:name="_Toc296891053"/>
      <w:bookmarkStart w:id="1591" w:name="_Toc296346726"/>
      <w:r>
        <w:rPr>
          <w:rFonts w:hint="eastAsia" w:cs="仿宋" w:asciiTheme="minorEastAsia" w:hAnsiTheme="minorEastAsia" w:eastAsiaTheme="minorEastAsia"/>
          <w:kern w:val="0"/>
          <w:sz w:val="28"/>
          <w:szCs w:val="28"/>
        </w:rPr>
        <w:t>件2：</w:t>
      </w:r>
    </w:p>
    <w:bookmarkEnd w:id="1585"/>
    <w:bookmarkEnd w:id="1586"/>
    <w:bookmarkEnd w:id="1587"/>
    <w:bookmarkEnd w:id="1588"/>
    <w:bookmarkEnd w:id="1589"/>
    <w:bookmarkEnd w:id="1590"/>
    <w:bookmarkEnd w:id="1591"/>
    <w:p w14:paraId="3F8811FF">
      <w:pPr>
        <w:wordWrap w:val="0"/>
        <w:spacing w:before="120" w:beforeLines="50" w:after="120" w:afterLines="50" w:line="440" w:lineRule="exact"/>
        <w:jc w:val="center"/>
        <w:rPr>
          <w:rFonts w:cs="仿宋" w:asciiTheme="minorEastAsia" w:hAnsiTheme="minorEastAsia" w:eastAsiaTheme="minorEastAsia"/>
          <w:b/>
          <w:kern w:val="0"/>
          <w:sz w:val="28"/>
          <w:szCs w:val="28"/>
        </w:rPr>
      </w:pPr>
      <w:r>
        <w:rPr>
          <w:rFonts w:hint="eastAsia" w:cs="仿宋" w:asciiTheme="minorEastAsia" w:hAnsiTheme="minorEastAsia" w:eastAsiaTheme="minorEastAsia"/>
          <w:b/>
          <w:kern w:val="0"/>
          <w:sz w:val="28"/>
          <w:szCs w:val="28"/>
        </w:rPr>
        <w:t>发包人供应材料设备一览表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36"/>
        <w:gridCol w:w="1491"/>
        <w:gridCol w:w="1418"/>
        <w:gridCol w:w="940"/>
        <w:gridCol w:w="851"/>
        <w:gridCol w:w="1044"/>
        <w:gridCol w:w="992"/>
        <w:gridCol w:w="851"/>
        <w:gridCol w:w="1487"/>
        <w:gridCol w:w="563"/>
      </w:tblGrid>
      <w:tr w14:paraId="67440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36" w:type="dxa"/>
            <w:tcBorders>
              <w:top w:val="single" w:color="auto" w:sz="12" w:space="0"/>
              <w:bottom w:val="double" w:color="auto" w:sz="6" w:space="0"/>
            </w:tcBorders>
            <w:vAlign w:val="center"/>
          </w:tcPr>
          <w:p w14:paraId="36F1D59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序号</w:t>
            </w:r>
          </w:p>
        </w:tc>
        <w:tc>
          <w:tcPr>
            <w:tcW w:w="1491" w:type="dxa"/>
            <w:tcBorders>
              <w:top w:val="single" w:color="auto" w:sz="12" w:space="0"/>
              <w:bottom w:val="double" w:color="auto" w:sz="6" w:space="0"/>
            </w:tcBorders>
            <w:vAlign w:val="center"/>
          </w:tcPr>
          <w:p w14:paraId="4286E59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材料、</w:t>
            </w:r>
          </w:p>
          <w:p w14:paraId="180CACE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设备品种</w:t>
            </w:r>
          </w:p>
        </w:tc>
        <w:tc>
          <w:tcPr>
            <w:tcW w:w="1418" w:type="dxa"/>
            <w:tcBorders>
              <w:top w:val="single" w:color="auto" w:sz="12" w:space="0"/>
              <w:bottom w:val="double" w:color="auto" w:sz="6" w:space="0"/>
            </w:tcBorders>
            <w:vAlign w:val="center"/>
          </w:tcPr>
          <w:p w14:paraId="19F0D4D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规格型号</w:t>
            </w:r>
          </w:p>
        </w:tc>
        <w:tc>
          <w:tcPr>
            <w:tcW w:w="940" w:type="dxa"/>
            <w:tcBorders>
              <w:top w:val="single" w:color="auto" w:sz="12" w:space="0"/>
              <w:bottom w:val="double" w:color="auto" w:sz="6" w:space="0"/>
            </w:tcBorders>
            <w:vAlign w:val="center"/>
          </w:tcPr>
          <w:p w14:paraId="122C919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单位</w:t>
            </w:r>
          </w:p>
        </w:tc>
        <w:tc>
          <w:tcPr>
            <w:tcW w:w="851" w:type="dxa"/>
            <w:tcBorders>
              <w:top w:val="single" w:color="auto" w:sz="12" w:space="0"/>
              <w:bottom w:val="double" w:color="auto" w:sz="6" w:space="0"/>
            </w:tcBorders>
            <w:vAlign w:val="center"/>
          </w:tcPr>
          <w:p w14:paraId="33DCD0E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数量</w:t>
            </w:r>
          </w:p>
        </w:tc>
        <w:tc>
          <w:tcPr>
            <w:tcW w:w="1044" w:type="dxa"/>
            <w:tcBorders>
              <w:top w:val="single" w:color="auto" w:sz="12" w:space="0"/>
              <w:bottom w:val="double" w:color="auto" w:sz="6" w:space="0"/>
            </w:tcBorders>
            <w:vAlign w:val="center"/>
          </w:tcPr>
          <w:p w14:paraId="2C3ED80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单价（元）</w:t>
            </w:r>
          </w:p>
        </w:tc>
        <w:tc>
          <w:tcPr>
            <w:tcW w:w="992" w:type="dxa"/>
            <w:tcBorders>
              <w:top w:val="single" w:color="auto" w:sz="12" w:space="0"/>
              <w:bottom w:val="double" w:color="auto" w:sz="6" w:space="0"/>
            </w:tcBorders>
            <w:vAlign w:val="center"/>
          </w:tcPr>
          <w:p w14:paraId="6CD123A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质量等级</w:t>
            </w:r>
          </w:p>
        </w:tc>
        <w:tc>
          <w:tcPr>
            <w:tcW w:w="851" w:type="dxa"/>
            <w:tcBorders>
              <w:top w:val="single" w:color="auto" w:sz="12" w:space="0"/>
              <w:bottom w:val="double" w:color="auto" w:sz="6" w:space="0"/>
            </w:tcBorders>
            <w:vAlign w:val="center"/>
          </w:tcPr>
          <w:p w14:paraId="72DADFA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供应时间</w:t>
            </w:r>
          </w:p>
        </w:tc>
        <w:tc>
          <w:tcPr>
            <w:tcW w:w="1487" w:type="dxa"/>
            <w:tcBorders>
              <w:top w:val="single" w:color="auto" w:sz="12" w:space="0"/>
              <w:bottom w:val="double" w:color="auto" w:sz="6" w:space="0"/>
            </w:tcBorders>
            <w:vAlign w:val="center"/>
          </w:tcPr>
          <w:p w14:paraId="2B74CF2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送达地点</w:t>
            </w:r>
          </w:p>
        </w:tc>
        <w:tc>
          <w:tcPr>
            <w:tcW w:w="563" w:type="dxa"/>
            <w:tcBorders>
              <w:top w:val="single" w:color="auto" w:sz="12" w:space="0"/>
              <w:bottom w:val="double" w:color="auto" w:sz="6" w:space="0"/>
            </w:tcBorders>
            <w:vAlign w:val="center"/>
          </w:tcPr>
          <w:p w14:paraId="581E191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备注</w:t>
            </w:r>
          </w:p>
        </w:tc>
      </w:tr>
      <w:tr w14:paraId="5482B1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36" w:type="dxa"/>
            <w:tcBorders>
              <w:top w:val="double" w:color="auto" w:sz="6" w:space="0"/>
              <w:bottom w:val="single" w:color="auto" w:sz="6" w:space="0"/>
            </w:tcBorders>
            <w:vAlign w:val="center"/>
          </w:tcPr>
          <w:p w14:paraId="13C801F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91" w:type="dxa"/>
            <w:tcBorders>
              <w:top w:val="double" w:color="auto" w:sz="6" w:space="0"/>
              <w:bottom w:val="single" w:color="auto" w:sz="6" w:space="0"/>
            </w:tcBorders>
            <w:vAlign w:val="center"/>
          </w:tcPr>
          <w:p w14:paraId="56115ED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Borders>
              <w:top w:val="double" w:color="auto" w:sz="6" w:space="0"/>
              <w:bottom w:val="single" w:color="auto" w:sz="6" w:space="0"/>
            </w:tcBorders>
            <w:vAlign w:val="center"/>
          </w:tcPr>
          <w:p w14:paraId="730AB10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40" w:type="dxa"/>
            <w:tcBorders>
              <w:top w:val="double" w:color="auto" w:sz="6" w:space="0"/>
              <w:bottom w:val="single" w:color="auto" w:sz="6" w:space="0"/>
            </w:tcBorders>
            <w:vAlign w:val="center"/>
          </w:tcPr>
          <w:p w14:paraId="58DAAC5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Borders>
              <w:top w:val="double" w:color="auto" w:sz="6" w:space="0"/>
              <w:bottom w:val="single" w:color="auto" w:sz="6" w:space="0"/>
            </w:tcBorders>
            <w:vAlign w:val="center"/>
          </w:tcPr>
          <w:p w14:paraId="79B73DD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44" w:type="dxa"/>
            <w:tcBorders>
              <w:top w:val="double" w:color="auto" w:sz="6" w:space="0"/>
              <w:bottom w:val="single" w:color="auto" w:sz="6" w:space="0"/>
            </w:tcBorders>
            <w:vAlign w:val="center"/>
          </w:tcPr>
          <w:p w14:paraId="65C76D0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92" w:type="dxa"/>
            <w:tcBorders>
              <w:top w:val="double" w:color="auto" w:sz="6" w:space="0"/>
              <w:bottom w:val="single" w:color="auto" w:sz="6" w:space="0"/>
            </w:tcBorders>
            <w:vAlign w:val="center"/>
          </w:tcPr>
          <w:p w14:paraId="1E15DC7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Borders>
              <w:top w:val="double" w:color="auto" w:sz="6" w:space="0"/>
              <w:bottom w:val="single" w:color="auto" w:sz="6" w:space="0"/>
            </w:tcBorders>
            <w:vAlign w:val="center"/>
          </w:tcPr>
          <w:p w14:paraId="0E85A48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87" w:type="dxa"/>
            <w:tcBorders>
              <w:top w:val="double" w:color="auto" w:sz="6" w:space="0"/>
              <w:bottom w:val="single" w:color="auto" w:sz="6" w:space="0"/>
            </w:tcBorders>
            <w:vAlign w:val="center"/>
          </w:tcPr>
          <w:p w14:paraId="4390BB9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563" w:type="dxa"/>
            <w:tcBorders>
              <w:top w:val="double" w:color="auto" w:sz="6" w:space="0"/>
              <w:bottom w:val="single" w:color="auto" w:sz="6" w:space="0"/>
            </w:tcBorders>
            <w:vAlign w:val="center"/>
          </w:tcPr>
          <w:p w14:paraId="39F94C9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460B7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36" w:type="dxa"/>
            <w:tcBorders>
              <w:top w:val="nil"/>
            </w:tcBorders>
            <w:vAlign w:val="center"/>
          </w:tcPr>
          <w:p w14:paraId="2CF7788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91" w:type="dxa"/>
            <w:tcBorders>
              <w:top w:val="nil"/>
            </w:tcBorders>
            <w:vAlign w:val="center"/>
          </w:tcPr>
          <w:p w14:paraId="4A04206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Borders>
              <w:top w:val="nil"/>
            </w:tcBorders>
            <w:vAlign w:val="center"/>
          </w:tcPr>
          <w:p w14:paraId="69C4807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40" w:type="dxa"/>
            <w:tcBorders>
              <w:top w:val="nil"/>
            </w:tcBorders>
            <w:vAlign w:val="center"/>
          </w:tcPr>
          <w:p w14:paraId="0336952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Borders>
              <w:top w:val="nil"/>
            </w:tcBorders>
            <w:vAlign w:val="center"/>
          </w:tcPr>
          <w:p w14:paraId="37F0499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44" w:type="dxa"/>
            <w:tcBorders>
              <w:top w:val="nil"/>
            </w:tcBorders>
            <w:vAlign w:val="center"/>
          </w:tcPr>
          <w:p w14:paraId="011A114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92" w:type="dxa"/>
            <w:tcBorders>
              <w:top w:val="nil"/>
            </w:tcBorders>
            <w:vAlign w:val="center"/>
          </w:tcPr>
          <w:p w14:paraId="186EDAD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Borders>
              <w:top w:val="nil"/>
            </w:tcBorders>
            <w:vAlign w:val="center"/>
          </w:tcPr>
          <w:p w14:paraId="469433C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87" w:type="dxa"/>
            <w:tcBorders>
              <w:top w:val="nil"/>
            </w:tcBorders>
            <w:vAlign w:val="center"/>
          </w:tcPr>
          <w:p w14:paraId="7562DC3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563" w:type="dxa"/>
            <w:tcBorders>
              <w:top w:val="nil"/>
            </w:tcBorders>
            <w:vAlign w:val="center"/>
          </w:tcPr>
          <w:p w14:paraId="7FF0BBD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5DA0E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36" w:type="dxa"/>
            <w:vAlign w:val="center"/>
          </w:tcPr>
          <w:p w14:paraId="68D15B8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91" w:type="dxa"/>
            <w:vAlign w:val="center"/>
          </w:tcPr>
          <w:p w14:paraId="4FFEAAF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vAlign w:val="center"/>
          </w:tcPr>
          <w:p w14:paraId="563F4FD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40" w:type="dxa"/>
            <w:vAlign w:val="center"/>
          </w:tcPr>
          <w:p w14:paraId="3EE7347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vAlign w:val="center"/>
          </w:tcPr>
          <w:p w14:paraId="1ED2E7F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44" w:type="dxa"/>
            <w:vAlign w:val="center"/>
          </w:tcPr>
          <w:p w14:paraId="4770896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92" w:type="dxa"/>
            <w:vAlign w:val="center"/>
          </w:tcPr>
          <w:p w14:paraId="6D3FC7E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vAlign w:val="center"/>
          </w:tcPr>
          <w:p w14:paraId="6C59418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87" w:type="dxa"/>
            <w:vAlign w:val="center"/>
          </w:tcPr>
          <w:p w14:paraId="0086D36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563" w:type="dxa"/>
            <w:vAlign w:val="center"/>
          </w:tcPr>
          <w:p w14:paraId="2810382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37319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36" w:type="dxa"/>
            <w:vAlign w:val="center"/>
          </w:tcPr>
          <w:p w14:paraId="06478D0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91" w:type="dxa"/>
            <w:vAlign w:val="center"/>
          </w:tcPr>
          <w:p w14:paraId="22A76E6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vAlign w:val="center"/>
          </w:tcPr>
          <w:p w14:paraId="3CE999C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40" w:type="dxa"/>
            <w:vAlign w:val="center"/>
          </w:tcPr>
          <w:p w14:paraId="1C4392B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vAlign w:val="center"/>
          </w:tcPr>
          <w:p w14:paraId="2EA3FBB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44" w:type="dxa"/>
            <w:vAlign w:val="center"/>
          </w:tcPr>
          <w:p w14:paraId="7AD5494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92" w:type="dxa"/>
            <w:vAlign w:val="center"/>
          </w:tcPr>
          <w:p w14:paraId="73B9F4C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vAlign w:val="center"/>
          </w:tcPr>
          <w:p w14:paraId="6406A47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87" w:type="dxa"/>
            <w:vAlign w:val="center"/>
          </w:tcPr>
          <w:p w14:paraId="2F4A0DB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563" w:type="dxa"/>
            <w:vAlign w:val="center"/>
          </w:tcPr>
          <w:p w14:paraId="0F9A87D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48D0E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36" w:type="dxa"/>
            <w:vAlign w:val="center"/>
          </w:tcPr>
          <w:p w14:paraId="65E94D4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91" w:type="dxa"/>
            <w:vAlign w:val="center"/>
          </w:tcPr>
          <w:p w14:paraId="28F7109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vAlign w:val="center"/>
          </w:tcPr>
          <w:p w14:paraId="472C240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40" w:type="dxa"/>
            <w:vAlign w:val="center"/>
          </w:tcPr>
          <w:p w14:paraId="12BB120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vAlign w:val="center"/>
          </w:tcPr>
          <w:p w14:paraId="67DF2F9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44" w:type="dxa"/>
            <w:vAlign w:val="center"/>
          </w:tcPr>
          <w:p w14:paraId="6197611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92" w:type="dxa"/>
            <w:vAlign w:val="center"/>
          </w:tcPr>
          <w:p w14:paraId="34C3D88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vAlign w:val="center"/>
          </w:tcPr>
          <w:p w14:paraId="03A09D3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87" w:type="dxa"/>
            <w:vAlign w:val="center"/>
          </w:tcPr>
          <w:p w14:paraId="4CDAD46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563" w:type="dxa"/>
            <w:vAlign w:val="center"/>
          </w:tcPr>
          <w:p w14:paraId="2914EC2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02065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36" w:type="dxa"/>
            <w:vAlign w:val="center"/>
          </w:tcPr>
          <w:p w14:paraId="4F4BE0A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91" w:type="dxa"/>
            <w:vAlign w:val="center"/>
          </w:tcPr>
          <w:p w14:paraId="6141844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vAlign w:val="center"/>
          </w:tcPr>
          <w:p w14:paraId="3D70448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40" w:type="dxa"/>
            <w:vAlign w:val="center"/>
          </w:tcPr>
          <w:p w14:paraId="7B390E6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vAlign w:val="center"/>
          </w:tcPr>
          <w:p w14:paraId="5D5483C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44" w:type="dxa"/>
            <w:vAlign w:val="center"/>
          </w:tcPr>
          <w:p w14:paraId="397CFC1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92" w:type="dxa"/>
            <w:vAlign w:val="center"/>
          </w:tcPr>
          <w:p w14:paraId="4466127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vAlign w:val="center"/>
          </w:tcPr>
          <w:p w14:paraId="46465A4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87" w:type="dxa"/>
            <w:vAlign w:val="center"/>
          </w:tcPr>
          <w:p w14:paraId="215078C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563" w:type="dxa"/>
            <w:vAlign w:val="center"/>
          </w:tcPr>
          <w:p w14:paraId="54EAA31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79D88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36" w:type="dxa"/>
            <w:vAlign w:val="center"/>
          </w:tcPr>
          <w:p w14:paraId="1731465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91" w:type="dxa"/>
            <w:vAlign w:val="center"/>
          </w:tcPr>
          <w:p w14:paraId="07DE9D3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vAlign w:val="center"/>
          </w:tcPr>
          <w:p w14:paraId="6BCA5E7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40" w:type="dxa"/>
            <w:vAlign w:val="center"/>
          </w:tcPr>
          <w:p w14:paraId="0C743DC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vAlign w:val="center"/>
          </w:tcPr>
          <w:p w14:paraId="4B4B9EA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44" w:type="dxa"/>
            <w:vAlign w:val="center"/>
          </w:tcPr>
          <w:p w14:paraId="42AE8BF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92" w:type="dxa"/>
            <w:vAlign w:val="center"/>
          </w:tcPr>
          <w:p w14:paraId="54FE078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vAlign w:val="center"/>
          </w:tcPr>
          <w:p w14:paraId="7B98D7F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87" w:type="dxa"/>
            <w:vAlign w:val="center"/>
          </w:tcPr>
          <w:p w14:paraId="766F754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563" w:type="dxa"/>
            <w:vAlign w:val="center"/>
          </w:tcPr>
          <w:p w14:paraId="2D511EC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68019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36" w:type="dxa"/>
            <w:vAlign w:val="center"/>
          </w:tcPr>
          <w:p w14:paraId="07720E8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91" w:type="dxa"/>
            <w:vAlign w:val="center"/>
          </w:tcPr>
          <w:p w14:paraId="13A1117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vAlign w:val="center"/>
          </w:tcPr>
          <w:p w14:paraId="2451C69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40" w:type="dxa"/>
            <w:vAlign w:val="center"/>
          </w:tcPr>
          <w:p w14:paraId="61C9CE5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vAlign w:val="center"/>
          </w:tcPr>
          <w:p w14:paraId="49020DE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44" w:type="dxa"/>
            <w:vAlign w:val="center"/>
          </w:tcPr>
          <w:p w14:paraId="67F91E5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92" w:type="dxa"/>
            <w:vAlign w:val="center"/>
          </w:tcPr>
          <w:p w14:paraId="11345D5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vAlign w:val="center"/>
          </w:tcPr>
          <w:p w14:paraId="37B5B15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87" w:type="dxa"/>
            <w:vAlign w:val="center"/>
          </w:tcPr>
          <w:p w14:paraId="088D8CE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563" w:type="dxa"/>
            <w:vAlign w:val="center"/>
          </w:tcPr>
          <w:p w14:paraId="04B3DA2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23EFE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36" w:type="dxa"/>
            <w:vAlign w:val="center"/>
          </w:tcPr>
          <w:p w14:paraId="4EB2094B">
            <w:pPr>
              <w:wordWrap w:val="0"/>
              <w:spacing w:after="200" w:line="276" w:lineRule="auto"/>
              <w:jc w:val="center"/>
              <w:rPr>
                <w:rFonts w:cs="仿宋" w:asciiTheme="minorEastAsia" w:hAnsiTheme="minorEastAsia" w:eastAsiaTheme="minorEastAsia"/>
                <w:kern w:val="0"/>
                <w:sz w:val="24"/>
                <w:szCs w:val="24"/>
              </w:rPr>
            </w:pPr>
          </w:p>
        </w:tc>
        <w:tc>
          <w:tcPr>
            <w:tcW w:w="1491" w:type="dxa"/>
            <w:vAlign w:val="center"/>
          </w:tcPr>
          <w:p w14:paraId="3A05EAB0">
            <w:pPr>
              <w:wordWrap w:val="0"/>
              <w:spacing w:after="200" w:line="276" w:lineRule="auto"/>
              <w:jc w:val="center"/>
              <w:rPr>
                <w:rFonts w:cs="仿宋" w:asciiTheme="minorEastAsia" w:hAnsiTheme="minorEastAsia" w:eastAsiaTheme="minorEastAsia"/>
                <w:kern w:val="0"/>
                <w:sz w:val="24"/>
                <w:szCs w:val="24"/>
              </w:rPr>
            </w:pPr>
          </w:p>
        </w:tc>
        <w:tc>
          <w:tcPr>
            <w:tcW w:w="1418" w:type="dxa"/>
            <w:vAlign w:val="center"/>
          </w:tcPr>
          <w:p w14:paraId="468F68E7">
            <w:pPr>
              <w:wordWrap w:val="0"/>
              <w:spacing w:after="200" w:line="276" w:lineRule="auto"/>
              <w:jc w:val="center"/>
              <w:rPr>
                <w:rFonts w:cs="仿宋" w:asciiTheme="minorEastAsia" w:hAnsiTheme="minorEastAsia" w:eastAsiaTheme="minorEastAsia"/>
                <w:kern w:val="0"/>
                <w:sz w:val="24"/>
                <w:szCs w:val="24"/>
              </w:rPr>
            </w:pPr>
          </w:p>
        </w:tc>
        <w:tc>
          <w:tcPr>
            <w:tcW w:w="940" w:type="dxa"/>
            <w:vAlign w:val="center"/>
          </w:tcPr>
          <w:p w14:paraId="113427C4">
            <w:pPr>
              <w:wordWrap w:val="0"/>
              <w:spacing w:after="200" w:line="276" w:lineRule="auto"/>
              <w:jc w:val="center"/>
              <w:rPr>
                <w:rFonts w:cs="仿宋" w:asciiTheme="minorEastAsia" w:hAnsiTheme="minorEastAsia" w:eastAsiaTheme="minorEastAsia"/>
                <w:kern w:val="0"/>
                <w:sz w:val="24"/>
                <w:szCs w:val="24"/>
              </w:rPr>
            </w:pPr>
          </w:p>
        </w:tc>
        <w:tc>
          <w:tcPr>
            <w:tcW w:w="851" w:type="dxa"/>
            <w:vAlign w:val="center"/>
          </w:tcPr>
          <w:p w14:paraId="3A7E4B47">
            <w:pPr>
              <w:wordWrap w:val="0"/>
              <w:spacing w:after="200" w:line="276" w:lineRule="auto"/>
              <w:jc w:val="center"/>
              <w:rPr>
                <w:rFonts w:cs="仿宋" w:asciiTheme="minorEastAsia" w:hAnsiTheme="minorEastAsia" w:eastAsiaTheme="minorEastAsia"/>
                <w:kern w:val="0"/>
                <w:sz w:val="24"/>
                <w:szCs w:val="24"/>
              </w:rPr>
            </w:pPr>
          </w:p>
        </w:tc>
        <w:tc>
          <w:tcPr>
            <w:tcW w:w="1044" w:type="dxa"/>
            <w:vAlign w:val="center"/>
          </w:tcPr>
          <w:p w14:paraId="0F99A0B7">
            <w:pPr>
              <w:wordWrap w:val="0"/>
              <w:spacing w:after="200" w:line="276" w:lineRule="auto"/>
              <w:jc w:val="center"/>
              <w:rPr>
                <w:rFonts w:cs="仿宋" w:asciiTheme="minorEastAsia" w:hAnsiTheme="minorEastAsia" w:eastAsiaTheme="minorEastAsia"/>
                <w:kern w:val="0"/>
                <w:sz w:val="24"/>
                <w:szCs w:val="24"/>
              </w:rPr>
            </w:pPr>
          </w:p>
        </w:tc>
        <w:tc>
          <w:tcPr>
            <w:tcW w:w="992" w:type="dxa"/>
            <w:vAlign w:val="center"/>
          </w:tcPr>
          <w:p w14:paraId="3EA155B8">
            <w:pPr>
              <w:wordWrap w:val="0"/>
              <w:spacing w:after="200" w:line="276" w:lineRule="auto"/>
              <w:jc w:val="center"/>
              <w:rPr>
                <w:rFonts w:cs="仿宋" w:asciiTheme="minorEastAsia" w:hAnsiTheme="minorEastAsia" w:eastAsiaTheme="minorEastAsia"/>
                <w:kern w:val="0"/>
                <w:sz w:val="24"/>
                <w:szCs w:val="24"/>
              </w:rPr>
            </w:pPr>
          </w:p>
        </w:tc>
        <w:tc>
          <w:tcPr>
            <w:tcW w:w="851" w:type="dxa"/>
            <w:vAlign w:val="center"/>
          </w:tcPr>
          <w:p w14:paraId="7C00B235">
            <w:pPr>
              <w:wordWrap w:val="0"/>
              <w:spacing w:after="200" w:line="276" w:lineRule="auto"/>
              <w:jc w:val="center"/>
              <w:rPr>
                <w:rFonts w:cs="仿宋" w:asciiTheme="minorEastAsia" w:hAnsiTheme="minorEastAsia" w:eastAsiaTheme="minorEastAsia"/>
                <w:kern w:val="0"/>
                <w:sz w:val="24"/>
                <w:szCs w:val="24"/>
              </w:rPr>
            </w:pPr>
          </w:p>
        </w:tc>
        <w:tc>
          <w:tcPr>
            <w:tcW w:w="1487" w:type="dxa"/>
            <w:vAlign w:val="center"/>
          </w:tcPr>
          <w:p w14:paraId="1AD98DF8">
            <w:pPr>
              <w:wordWrap w:val="0"/>
              <w:spacing w:after="200" w:line="276" w:lineRule="auto"/>
              <w:jc w:val="center"/>
              <w:rPr>
                <w:rFonts w:cs="仿宋" w:asciiTheme="minorEastAsia" w:hAnsiTheme="minorEastAsia" w:eastAsiaTheme="minorEastAsia"/>
                <w:kern w:val="0"/>
                <w:sz w:val="24"/>
                <w:szCs w:val="24"/>
              </w:rPr>
            </w:pPr>
          </w:p>
        </w:tc>
        <w:tc>
          <w:tcPr>
            <w:tcW w:w="563" w:type="dxa"/>
            <w:vAlign w:val="center"/>
          </w:tcPr>
          <w:p w14:paraId="362983D8">
            <w:pPr>
              <w:wordWrap w:val="0"/>
              <w:spacing w:after="200" w:line="276" w:lineRule="auto"/>
              <w:jc w:val="center"/>
              <w:rPr>
                <w:rFonts w:cs="仿宋" w:asciiTheme="minorEastAsia" w:hAnsiTheme="minorEastAsia" w:eastAsiaTheme="minorEastAsia"/>
                <w:kern w:val="0"/>
                <w:sz w:val="24"/>
                <w:szCs w:val="24"/>
              </w:rPr>
            </w:pPr>
          </w:p>
        </w:tc>
      </w:tr>
      <w:tr w14:paraId="4BCCA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36" w:type="dxa"/>
            <w:vAlign w:val="center"/>
          </w:tcPr>
          <w:p w14:paraId="136BD40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91" w:type="dxa"/>
            <w:vAlign w:val="center"/>
          </w:tcPr>
          <w:p w14:paraId="405D9BD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vAlign w:val="center"/>
          </w:tcPr>
          <w:p w14:paraId="7B85946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40" w:type="dxa"/>
            <w:vAlign w:val="center"/>
          </w:tcPr>
          <w:p w14:paraId="258D34F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vAlign w:val="center"/>
          </w:tcPr>
          <w:p w14:paraId="65E1D70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44" w:type="dxa"/>
            <w:vAlign w:val="center"/>
          </w:tcPr>
          <w:p w14:paraId="3FC523C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92" w:type="dxa"/>
            <w:vAlign w:val="center"/>
          </w:tcPr>
          <w:p w14:paraId="04BDAAA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vAlign w:val="center"/>
          </w:tcPr>
          <w:p w14:paraId="7BC0A27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87" w:type="dxa"/>
            <w:vAlign w:val="center"/>
          </w:tcPr>
          <w:p w14:paraId="0BFB1C6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563" w:type="dxa"/>
            <w:vAlign w:val="center"/>
          </w:tcPr>
          <w:p w14:paraId="2654CE4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0397E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36" w:type="dxa"/>
            <w:vAlign w:val="center"/>
          </w:tcPr>
          <w:p w14:paraId="7BB4B8DC">
            <w:pPr>
              <w:wordWrap w:val="0"/>
              <w:spacing w:after="200" w:line="276" w:lineRule="auto"/>
              <w:jc w:val="center"/>
              <w:rPr>
                <w:rFonts w:cs="仿宋" w:asciiTheme="minorEastAsia" w:hAnsiTheme="minorEastAsia" w:eastAsiaTheme="minorEastAsia"/>
                <w:kern w:val="0"/>
                <w:sz w:val="24"/>
                <w:szCs w:val="24"/>
              </w:rPr>
            </w:pPr>
          </w:p>
        </w:tc>
        <w:tc>
          <w:tcPr>
            <w:tcW w:w="1491" w:type="dxa"/>
            <w:vAlign w:val="center"/>
          </w:tcPr>
          <w:p w14:paraId="265598C6">
            <w:pPr>
              <w:wordWrap w:val="0"/>
              <w:spacing w:after="200" w:line="276" w:lineRule="auto"/>
              <w:jc w:val="center"/>
              <w:rPr>
                <w:rFonts w:cs="仿宋" w:asciiTheme="minorEastAsia" w:hAnsiTheme="minorEastAsia" w:eastAsiaTheme="minorEastAsia"/>
                <w:kern w:val="0"/>
                <w:sz w:val="24"/>
                <w:szCs w:val="24"/>
              </w:rPr>
            </w:pPr>
          </w:p>
        </w:tc>
        <w:tc>
          <w:tcPr>
            <w:tcW w:w="1418" w:type="dxa"/>
            <w:vAlign w:val="center"/>
          </w:tcPr>
          <w:p w14:paraId="20A3A1A8">
            <w:pPr>
              <w:wordWrap w:val="0"/>
              <w:spacing w:after="200" w:line="276" w:lineRule="auto"/>
              <w:jc w:val="center"/>
              <w:rPr>
                <w:rFonts w:cs="仿宋" w:asciiTheme="minorEastAsia" w:hAnsiTheme="minorEastAsia" w:eastAsiaTheme="minorEastAsia"/>
                <w:kern w:val="0"/>
                <w:sz w:val="24"/>
                <w:szCs w:val="24"/>
              </w:rPr>
            </w:pPr>
          </w:p>
        </w:tc>
        <w:tc>
          <w:tcPr>
            <w:tcW w:w="940" w:type="dxa"/>
            <w:vAlign w:val="center"/>
          </w:tcPr>
          <w:p w14:paraId="2AA92235">
            <w:pPr>
              <w:wordWrap w:val="0"/>
              <w:spacing w:after="200" w:line="276" w:lineRule="auto"/>
              <w:jc w:val="center"/>
              <w:rPr>
                <w:rFonts w:cs="仿宋" w:asciiTheme="minorEastAsia" w:hAnsiTheme="minorEastAsia" w:eastAsiaTheme="minorEastAsia"/>
                <w:kern w:val="0"/>
                <w:sz w:val="24"/>
                <w:szCs w:val="24"/>
              </w:rPr>
            </w:pPr>
          </w:p>
        </w:tc>
        <w:tc>
          <w:tcPr>
            <w:tcW w:w="851" w:type="dxa"/>
            <w:vAlign w:val="center"/>
          </w:tcPr>
          <w:p w14:paraId="03BE4858">
            <w:pPr>
              <w:wordWrap w:val="0"/>
              <w:spacing w:after="200" w:line="276" w:lineRule="auto"/>
              <w:jc w:val="center"/>
              <w:rPr>
                <w:rFonts w:cs="仿宋" w:asciiTheme="minorEastAsia" w:hAnsiTheme="minorEastAsia" w:eastAsiaTheme="minorEastAsia"/>
                <w:kern w:val="0"/>
                <w:sz w:val="24"/>
                <w:szCs w:val="24"/>
              </w:rPr>
            </w:pPr>
          </w:p>
        </w:tc>
        <w:tc>
          <w:tcPr>
            <w:tcW w:w="1044" w:type="dxa"/>
            <w:vAlign w:val="center"/>
          </w:tcPr>
          <w:p w14:paraId="57BF67E3">
            <w:pPr>
              <w:wordWrap w:val="0"/>
              <w:spacing w:after="200" w:line="276" w:lineRule="auto"/>
              <w:jc w:val="center"/>
              <w:rPr>
                <w:rFonts w:cs="仿宋" w:asciiTheme="minorEastAsia" w:hAnsiTheme="minorEastAsia" w:eastAsiaTheme="minorEastAsia"/>
                <w:kern w:val="0"/>
                <w:sz w:val="24"/>
                <w:szCs w:val="24"/>
              </w:rPr>
            </w:pPr>
          </w:p>
        </w:tc>
        <w:tc>
          <w:tcPr>
            <w:tcW w:w="992" w:type="dxa"/>
            <w:vAlign w:val="center"/>
          </w:tcPr>
          <w:p w14:paraId="79C38C10">
            <w:pPr>
              <w:wordWrap w:val="0"/>
              <w:spacing w:after="200" w:line="276" w:lineRule="auto"/>
              <w:jc w:val="center"/>
              <w:rPr>
                <w:rFonts w:cs="仿宋" w:asciiTheme="minorEastAsia" w:hAnsiTheme="minorEastAsia" w:eastAsiaTheme="minorEastAsia"/>
                <w:kern w:val="0"/>
                <w:sz w:val="24"/>
                <w:szCs w:val="24"/>
              </w:rPr>
            </w:pPr>
          </w:p>
        </w:tc>
        <w:tc>
          <w:tcPr>
            <w:tcW w:w="851" w:type="dxa"/>
            <w:vAlign w:val="center"/>
          </w:tcPr>
          <w:p w14:paraId="46CB042E">
            <w:pPr>
              <w:wordWrap w:val="0"/>
              <w:spacing w:after="200" w:line="276" w:lineRule="auto"/>
              <w:jc w:val="center"/>
              <w:rPr>
                <w:rFonts w:cs="仿宋" w:asciiTheme="minorEastAsia" w:hAnsiTheme="minorEastAsia" w:eastAsiaTheme="minorEastAsia"/>
                <w:kern w:val="0"/>
                <w:sz w:val="24"/>
                <w:szCs w:val="24"/>
              </w:rPr>
            </w:pPr>
          </w:p>
        </w:tc>
        <w:tc>
          <w:tcPr>
            <w:tcW w:w="1487" w:type="dxa"/>
            <w:vAlign w:val="center"/>
          </w:tcPr>
          <w:p w14:paraId="322EA80A">
            <w:pPr>
              <w:wordWrap w:val="0"/>
              <w:spacing w:after="200" w:line="276" w:lineRule="auto"/>
              <w:jc w:val="center"/>
              <w:rPr>
                <w:rFonts w:cs="仿宋" w:asciiTheme="minorEastAsia" w:hAnsiTheme="minorEastAsia" w:eastAsiaTheme="minorEastAsia"/>
                <w:kern w:val="0"/>
                <w:sz w:val="24"/>
                <w:szCs w:val="24"/>
              </w:rPr>
            </w:pPr>
          </w:p>
        </w:tc>
        <w:tc>
          <w:tcPr>
            <w:tcW w:w="563" w:type="dxa"/>
            <w:vAlign w:val="center"/>
          </w:tcPr>
          <w:p w14:paraId="2DD99DF1">
            <w:pPr>
              <w:wordWrap w:val="0"/>
              <w:spacing w:after="200" w:line="276" w:lineRule="auto"/>
              <w:jc w:val="center"/>
              <w:rPr>
                <w:rFonts w:cs="仿宋" w:asciiTheme="minorEastAsia" w:hAnsiTheme="minorEastAsia" w:eastAsiaTheme="minorEastAsia"/>
                <w:kern w:val="0"/>
                <w:sz w:val="24"/>
                <w:szCs w:val="24"/>
              </w:rPr>
            </w:pPr>
          </w:p>
        </w:tc>
      </w:tr>
      <w:tr w14:paraId="7FC9E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36" w:type="dxa"/>
            <w:vAlign w:val="center"/>
          </w:tcPr>
          <w:p w14:paraId="15A67C87">
            <w:pPr>
              <w:wordWrap w:val="0"/>
              <w:spacing w:after="200" w:line="276" w:lineRule="auto"/>
              <w:jc w:val="center"/>
              <w:rPr>
                <w:rFonts w:cs="仿宋" w:asciiTheme="minorEastAsia" w:hAnsiTheme="minorEastAsia" w:eastAsiaTheme="minorEastAsia"/>
                <w:kern w:val="0"/>
                <w:sz w:val="24"/>
                <w:szCs w:val="24"/>
              </w:rPr>
            </w:pPr>
          </w:p>
        </w:tc>
        <w:tc>
          <w:tcPr>
            <w:tcW w:w="1491" w:type="dxa"/>
            <w:vAlign w:val="center"/>
          </w:tcPr>
          <w:p w14:paraId="7D54CFB1">
            <w:pPr>
              <w:wordWrap w:val="0"/>
              <w:spacing w:after="200" w:line="276" w:lineRule="auto"/>
              <w:jc w:val="center"/>
              <w:rPr>
                <w:rFonts w:cs="仿宋" w:asciiTheme="minorEastAsia" w:hAnsiTheme="minorEastAsia" w:eastAsiaTheme="minorEastAsia"/>
                <w:kern w:val="0"/>
                <w:sz w:val="24"/>
                <w:szCs w:val="24"/>
              </w:rPr>
            </w:pPr>
          </w:p>
        </w:tc>
        <w:tc>
          <w:tcPr>
            <w:tcW w:w="1418" w:type="dxa"/>
            <w:vAlign w:val="center"/>
          </w:tcPr>
          <w:p w14:paraId="453C3283">
            <w:pPr>
              <w:wordWrap w:val="0"/>
              <w:spacing w:after="200" w:line="276" w:lineRule="auto"/>
              <w:jc w:val="center"/>
              <w:rPr>
                <w:rFonts w:cs="仿宋" w:asciiTheme="minorEastAsia" w:hAnsiTheme="minorEastAsia" w:eastAsiaTheme="minorEastAsia"/>
                <w:kern w:val="0"/>
                <w:sz w:val="24"/>
                <w:szCs w:val="24"/>
              </w:rPr>
            </w:pPr>
          </w:p>
        </w:tc>
        <w:tc>
          <w:tcPr>
            <w:tcW w:w="940" w:type="dxa"/>
            <w:vAlign w:val="center"/>
          </w:tcPr>
          <w:p w14:paraId="7C4651E6">
            <w:pPr>
              <w:wordWrap w:val="0"/>
              <w:spacing w:after="200" w:line="276" w:lineRule="auto"/>
              <w:jc w:val="center"/>
              <w:rPr>
                <w:rFonts w:cs="仿宋" w:asciiTheme="minorEastAsia" w:hAnsiTheme="minorEastAsia" w:eastAsiaTheme="minorEastAsia"/>
                <w:kern w:val="0"/>
                <w:sz w:val="24"/>
                <w:szCs w:val="24"/>
              </w:rPr>
            </w:pPr>
          </w:p>
        </w:tc>
        <w:tc>
          <w:tcPr>
            <w:tcW w:w="851" w:type="dxa"/>
            <w:vAlign w:val="center"/>
          </w:tcPr>
          <w:p w14:paraId="0B0743A7">
            <w:pPr>
              <w:wordWrap w:val="0"/>
              <w:spacing w:after="200" w:line="276" w:lineRule="auto"/>
              <w:jc w:val="center"/>
              <w:rPr>
                <w:rFonts w:cs="仿宋" w:asciiTheme="minorEastAsia" w:hAnsiTheme="minorEastAsia" w:eastAsiaTheme="minorEastAsia"/>
                <w:kern w:val="0"/>
                <w:sz w:val="24"/>
                <w:szCs w:val="24"/>
              </w:rPr>
            </w:pPr>
          </w:p>
        </w:tc>
        <w:tc>
          <w:tcPr>
            <w:tcW w:w="1044" w:type="dxa"/>
            <w:vAlign w:val="center"/>
          </w:tcPr>
          <w:p w14:paraId="0E4E4BFE">
            <w:pPr>
              <w:wordWrap w:val="0"/>
              <w:spacing w:after="200" w:line="276" w:lineRule="auto"/>
              <w:jc w:val="center"/>
              <w:rPr>
                <w:rFonts w:cs="仿宋" w:asciiTheme="minorEastAsia" w:hAnsiTheme="minorEastAsia" w:eastAsiaTheme="minorEastAsia"/>
                <w:kern w:val="0"/>
                <w:sz w:val="24"/>
                <w:szCs w:val="24"/>
              </w:rPr>
            </w:pPr>
          </w:p>
        </w:tc>
        <w:tc>
          <w:tcPr>
            <w:tcW w:w="992" w:type="dxa"/>
            <w:vAlign w:val="center"/>
          </w:tcPr>
          <w:p w14:paraId="17CAB226">
            <w:pPr>
              <w:wordWrap w:val="0"/>
              <w:spacing w:after="200" w:line="276" w:lineRule="auto"/>
              <w:jc w:val="center"/>
              <w:rPr>
                <w:rFonts w:cs="仿宋" w:asciiTheme="minorEastAsia" w:hAnsiTheme="minorEastAsia" w:eastAsiaTheme="minorEastAsia"/>
                <w:kern w:val="0"/>
                <w:sz w:val="24"/>
                <w:szCs w:val="24"/>
              </w:rPr>
            </w:pPr>
          </w:p>
        </w:tc>
        <w:tc>
          <w:tcPr>
            <w:tcW w:w="851" w:type="dxa"/>
            <w:vAlign w:val="center"/>
          </w:tcPr>
          <w:p w14:paraId="064D8B0A">
            <w:pPr>
              <w:wordWrap w:val="0"/>
              <w:spacing w:after="200" w:line="276" w:lineRule="auto"/>
              <w:jc w:val="center"/>
              <w:rPr>
                <w:rFonts w:cs="仿宋" w:asciiTheme="minorEastAsia" w:hAnsiTheme="minorEastAsia" w:eastAsiaTheme="minorEastAsia"/>
                <w:kern w:val="0"/>
                <w:sz w:val="24"/>
                <w:szCs w:val="24"/>
              </w:rPr>
            </w:pPr>
          </w:p>
        </w:tc>
        <w:tc>
          <w:tcPr>
            <w:tcW w:w="1487" w:type="dxa"/>
            <w:vAlign w:val="center"/>
          </w:tcPr>
          <w:p w14:paraId="34988199">
            <w:pPr>
              <w:wordWrap w:val="0"/>
              <w:spacing w:after="200" w:line="276" w:lineRule="auto"/>
              <w:jc w:val="center"/>
              <w:rPr>
                <w:rFonts w:cs="仿宋" w:asciiTheme="minorEastAsia" w:hAnsiTheme="minorEastAsia" w:eastAsiaTheme="minorEastAsia"/>
                <w:kern w:val="0"/>
                <w:sz w:val="24"/>
                <w:szCs w:val="24"/>
              </w:rPr>
            </w:pPr>
          </w:p>
        </w:tc>
        <w:tc>
          <w:tcPr>
            <w:tcW w:w="563" w:type="dxa"/>
            <w:vAlign w:val="center"/>
          </w:tcPr>
          <w:p w14:paraId="116080A6">
            <w:pPr>
              <w:wordWrap w:val="0"/>
              <w:spacing w:after="200" w:line="276" w:lineRule="auto"/>
              <w:jc w:val="center"/>
              <w:rPr>
                <w:rFonts w:cs="仿宋" w:asciiTheme="minorEastAsia" w:hAnsiTheme="minorEastAsia" w:eastAsiaTheme="minorEastAsia"/>
                <w:kern w:val="0"/>
                <w:sz w:val="24"/>
                <w:szCs w:val="24"/>
              </w:rPr>
            </w:pPr>
          </w:p>
        </w:tc>
      </w:tr>
      <w:tr w14:paraId="138CE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36" w:type="dxa"/>
            <w:vAlign w:val="center"/>
          </w:tcPr>
          <w:p w14:paraId="38CAFBC1">
            <w:pPr>
              <w:wordWrap w:val="0"/>
              <w:spacing w:after="200" w:line="276" w:lineRule="auto"/>
              <w:jc w:val="center"/>
              <w:rPr>
                <w:rFonts w:cs="仿宋" w:asciiTheme="minorEastAsia" w:hAnsiTheme="minorEastAsia" w:eastAsiaTheme="minorEastAsia"/>
                <w:kern w:val="0"/>
                <w:sz w:val="24"/>
                <w:szCs w:val="24"/>
              </w:rPr>
            </w:pPr>
          </w:p>
        </w:tc>
        <w:tc>
          <w:tcPr>
            <w:tcW w:w="1491" w:type="dxa"/>
            <w:vAlign w:val="center"/>
          </w:tcPr>
          <w:p w14:paraId="20F028E9">
            <w:pPr>
              <w:wordWrap w:val="0"/>
              <w:spacing w:after="200" w:line="276" w:lineRule="auto"/>
              <w:jc w:val="center"/>
              <w:rPr>
                <w:rFonts w:cs="仿宋" w:asciiTheme="minorEastAsia" w:hAnsiTheme="minorEastAsia" w:eastAsiaTheme="minorEastAsia"/>
                <w:kern w:val="0"/>
                <w:sz w:val="24"/>
                <w:szCs w:val="24"/>
              </w:rPr>
            </w:pPr>
          </w:p>
        </w:tc>
        <w:tc>
          <w:tcPr>
            <w:tcW w:w="1418" w:type="dxa"/>
            <w:vAlign w:val="center"/>
          </w:tcPr>
          <w:p w14:paraId="6C4DBB03">
            <w:pPr>
              <w:wordWrap w:val="0"/>
              <w:spacing w:after="200" w:line="276" w:lineRule="auto"/>
              <w:jc w:val="center"/>
              <w:rPr>
                <w:rFonts w:cs="仿宋" w:asciiTheme="minorEastAsia" w:hAnsiTheme="minorEastAsia" w:eastAsiaTheme="minorEastAsia"/>
                <w:kern w:val="0"/>
                <w:sz w:val="24"/>
                <w:szCs w:val="24"/>
              </w:rPr>
            </w:pPr>
          </w:p>
        </w:tc>
        <w:tc>
          <w:tcPr>
            <w:tcW w:w="940" w:type="dxa"/>
            <w:vAlign w:val="center"/>
          </w:tcPr>
          <w:p w14:paraId="3E927C4E">
            <w:pPr>
              <w:wordWrap w:val="0"/>
              <w:spacing w:after="200" w:line="276" w:lineRule="auto"/>
              <w:jc w:val="center"/>
              <w:rPr>
                <w:rFonts w:cs="仿宋" w:asciiTheme="minorEastAsia" w:hAnsiTheme="minorEastAsia" w:eastAsiaTheme="minorEastAsia"/>
                <w:kern w:val="0"/>
                <w:sz w:val="24"/>
                <w:szCs w:val="24"/>
              </w:rPr>
            </w:pPr>
          </w:p>
        </w:tc>
        <w:tc>
          <w:tcPr>
            <w:tcW w:w="851" w:type="dxa"/>
            <w:vAlign w:val="center"/>
          </w:tcPr>
          <w:p w14:paraId="4644685D">
            <w:pPr>
              <w:wordWrap w:val="0"/>
              <w:spacing w:after="200" w:line="276" w:lineRule="auto"/>
              <w:jc w:val="center"/>
              <w:rPr>
                <w:rFonts w:cs="仿宋" w:asciiTheme="minorEastAsia" w:hAnsiTheme="minorEastAsia" w:eastAsiaTheme="minorEastAsia"/>
                <w:kern w:val="0"/>
                <w:sz w:val="24"/>
                <w:szCs w:val="24"/>
              </w:rPr>
            </w:pPr>
          </w:p>
        </w:tc>
        <w:tc>
          <w:tcPr>
            <w:tcW w:w="1044" w:type="dxa"/>
            <w:vAlign w:val="center"/>
          </w:tcPr>
          <w:p w14:paraId="3FDC5D77">
            <w:pPr>
              <w:wordWrap w:val="0"/>
              <w:spacing w:after="200" w:line="276" w:lineRule="auto"/>
              <w:jc w:val="center"/>
              <w:rPr>
                <w:rFonts w:cs="仿宋" w:asciiTheme="minorEastAsia" w:hAnsiTheme="minorEastAsia" w:eastAsiaTheme="minorEastAsia"/>
                <w:kern w:val="0"/>
                <w:sz w:val="24"/>
                <w:szCs w:val="24"/>
              </w:rPr>
            </w:pPr>
          </w:p>
        </w:tc>
        <w:tc>
          <w:tcPr>
            <w:tcW w:w="992" w:type="dxa"/>
            <w:vAlign w:val="center"/>
          </w:tcPr>
          <w:p w14:paraId="574B0BED">
            <w:pPr>
              <w:wordWrap w:val="0"/>
              <w:spacing w:after="200" w:line="276" w:lineRule="auto"/>
              <w:jc w:val="center"/>
              <w:rPr>
                <w:rFonts w:cs="仿宋" w:asciiTheme="minorEastAsia" w:hAnsiTheme="minorEastAsia" w:eastAsiaTheme="minorEastAsia"/>
                <w:kern w:val="0"/>
                <w:sz w:val="24"/>
                <w:szCs w:val="24"/>
              </w:rPr>
            </w:pPr>
          </w:p>
        </w:tc>
        <w:tc>
          <w:tcPr>
            <w:tcW w:w="851" w:type="dxa"/>
            <w:vAlign w:val="center"/>
          </w:tcPr>
          <w:p w14:paraId="01A7AD17">
            <w:pPr>
              <w:wordWrap w:val="0"/>
              <w:spacing w:after="200" w:line="276" w:lineRule="auto"/>
              <w:jc w:val="center"/>
              <w:rPr>
                <w:rFonts w:cs="仿宋" w:asciiTheme="minorEastAsia" w:hAnsiTheme="minorEastAsia" w:eastAsiaTheme="minorEastAsia"/>
                <w:kern w:val="0"/>
                <w:sz w:val="24"/>
                <w:szCs w:val="24"/>
              </w:rPr>
            </w:pPr>
          </w:p>
        </w:tc>
        <w:tc>
          <w:tcPr>
            <w:tcW w:w="1487" w:type="dxa"/>
            <w:vAlign w:val="center"/>
          </w:tcPr>
          <w:p w14:paraId="76E05D6C">
            <w:pPr>
              <w:wordWrap w:val="0"/>
              <w:spacing w:after="200" w:line="276" w:lineRule="auto"/>
              <w:jc w:val="center"/>
              <w:rPr>
                <w:rFonts w:cs="仿宋" w:asciiTheme="minorEastAsia" w:hAnsiTheme="minorEastAsia" w:eastAsiaTheme="minorEastAsia"/>
                <w:kern w:val="0"/>
                <w:sz w:val="24"/>
                <w:szCs w:val="24"/>
              </w:rPr>
            </w:pPr>
          </w:p>
        </w:tc>
        <w:tc>
          <w:tcPr>
            <w:tcW w:w="563" w:type="dxa"/>
            <w:vAlign w:val="center"/>
          </w:tcPr>
          <w:p w14:paraId="0E5F875B">
            <w:pPr>
              <w:wordWrap w:val="0"/>
              <w:spacing w:after="200" w:line="276" w:lineRule="auto"/>
              <w:jc w:val="center"/>
              <w:rPr>
                <w:rFonts w:cs="仿宋" w:asciiTheme="minorEastAsia" w:hAnsiTheme="minorEastAsia" w:eastAsiaTheme="minorEastAsia"/>
                <w:kern w:val="0"/>
                <w:sz w:val="24"/>
                <w:szCs w:val="24"/>
              </w:rPr>
            </w:pPr>
          </w:p>
        </w:tc>
      </w:tr>
      <w:tr w14:paraId="4F888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36" w:type="dxa"/>
            <w:vAlign w:val="center"/>
          </w:tcPr>
          <w:p w14:paraId="4EC91335">
            <w:pPr>
              <w:wordWrap w:val="0"/>
              <w:spacing w:after="200" w:line="276" w:lineRule="auto"/>
              <w:jc w:val="center"/>
              <w:rPr>
                <w:rFonts w:cs="仿宋" w:asciiTheme="minorEastAsia" w:hAnsiTheme="minorEastAsia" w:eastAsiaTheme="minorEastAsia"/>
                <w:kern w:val="0"/>
                <w:sz w:val="24"/>
                <w:szCs w:val="24"/>
              </w:rPr>
            </w:pPr>
          </w:p>
        </w:tc>
        <w:tc>
          <w:tcPr>
            <w:tcW w:w="1491" w:type="dxa"/>
            <w:vAlign w:val="center"/>
          </w:tcPr>
          <w:p w14:paraId="5C68C92C">
            <w:pPr>
              <w:wordWrap w:val="0"/>
              <w:spacing w:after="200" w:line="276" w:lineRule="auto"/>
              <w:jc w:val="center"/>
              <w:rPr>
                <w:rFonts w:cs="仿宋" w:asciiTheme="minorEastAsia" w:hAnsiTheme="minorEastAsia" w:eastAsiaTheme="minorEastAsia"/>
                <w:kern w:val="0"/>
                <w:sz w:val="24"/>
                <w:szCs w:val="24"/>
              </w:rPr>
            </w:pPr>
          </w:p>
        </w:tc>
        <w:tc>
          <w:tcPr>
            <w:tcW w:w="1418" w:type="dxa"/>
            <w:vAlign w:val="center"/>
          </w:tcPr>
          <w:p w14:paraId="29A04E48">
            <w:pPr>
              <w:wordWrap w:val="0"/>
              <w:spacing w:after="200" w:line="276" w:lineRule="auto"/>
              <w:jc w:val="center"/>
              <w:rPr>
                <w:rFonts w:cs="仿宋" w:asciiTheme="minorEastAsia" w:hAnsiTheme="minorEastAsia" w:eastAsiaTheme="minorEastAsia"/>
                <w:kern w:val="0"/>
                <w:sz w:val="24"/>
                <w:szCs w:val="24"/>
              </w:rPr>
            </w:pPr>
          </w:p>
        </w:tc>
        <w:tc>
          <w:tcPr>
            <w:tcW w:w="940" w:type="dxa"/>
            <w:vAlign w:val="center"/>
          </w:tcPr>
          <w:p w14:paraId="64D053CE">
            <w:pPr>
              <w:wordWrap w:val="0"/>
              <w:spacing w:after="200" w:line="276" w:lineRule="auto"/>
              <w:jc w:val="center"/>
              <w:rPr>
                <w:rFonts w:cs="仿宋" w:asciiTheme="minorEastAsia" w:hAnsiTheme="minorEastAsia" w:eastAsiaTheme="minorEastAsia"/>
                <w:kern w:val="0"/>
                <w:sz w:val="24"/>
                <w:szCs w:val="24"/>
              </w:rPr>
            </w:pPr>
          </w:p>
        </w:tc>
        <w:tc>
          <w:tcPr>
            <w:tcW w:w="851" w:type="dxa"/>
            <w:vAlign w:val="center"/>
          </w:tcPr>
          <w:p w14:paraId="4E36C9C5">
            <w:pPr>
              <w:wordWrap w:val="0"/>
              <w:spacing w:after="200" w:line="276" w:lineRule="auto"/>
              <w:jc w:val="center"/>
              <w:rPr>
                <w:rFonts w:cs="仿宋" w:asciiTheme="minorEastAsia" w:hAnsiTheme="minorEastAsia" w:eastAsiaTheme="minorEastAsia"/>
                <w:kern w:val="0"/>
                <w:sz w:val="24"/>
                <w:szCs w:val="24"/>
              </w:rPr>
            </w:pPr>
          </w:p>
        </w:tc>
        <w:tc>
          <w:tcPr>
            <w:tcW w:w="1044" w:type="dxa"/>
            <w:vAlign w:val="center"/>
          </w:tcPr>
          <w:p w14:paraId="7910E1FA">
            <w:pPr>
              <w:wordWrap w:val="0"/>
              <w:spacing w:after="200" w:line="276" w:lineRule="auto"/>
              <w:jc w:val="center"/>
              <w:rPr>
                <w:rFonts w:cs="仿宋" w:asciiTheme="minorEastAsia" w:hAnsiTheme="minorEastAsia" w:eastAsiaTheme="minorEastAsia"/>
                <w:kern w:val="0"/>
                <w:sz w:val="24"/>
                <w:szCs w:val="24"/>
              </w:rPr>
            </w:pPr>
          </w:p>
        </w:tc>
        <w:tc>
          <w:tcPr>
            <w:tcW w:w="992" w:type="dxa"/>
            <w:vAlign w:val="center"/>
          </w:tcPr>
          <w:p w14:paraId="325D81E5">
            <w:pPr>
              <w:wordWrap w:val="0"/>
              <w:spacing w:after="200" w:line="276" w:lineRule="auto"/>
              <w:jc w:val="center"/>
              <w:rPr>
                <w:rFonts w:cs="仿宋" w:asciiTheme="minorEastAsia" w:hAnsiTheme="minorEastAsia" w:eastAsiaTheme="minorEastAsia"/>
                <w:kern w:val="0"/>
                <w:sz w:val="24"/>
                <w:szCs w:val="24"/>
              </w:rPr>
            </w:pPr>
          </w:p>
        </w:tc>
        <w:tc>
          <w:tcPr>
            <w:tcW w:w="851" w:type="dxa"/>
            <w:vAlign w:val="center"/>
          </w:tcPr>
          <w:p w14:paraId="0FF7A1A3">
            <w:pPr>
              <w:wordWrap w:val="0"/>
              <w:spacing w:after="200" w:line="276" w:lineRule="auto"/>
              <w:jc w:val="center"/>
              <w:rPr>
                <w:rFonts w:cs="仿宋" w:asciiTheme="minorEastAsia" w:hAnsiTheme="minorEastAsia" w:eastAsiaTheme="minorEastAsia"/>
                <w:kern w:val="0"/>
                <w:sz w:val="24"/>
                <w:szCs w:val="24"/>
              </w:rPr>
            </w:pPr>
          </w:p>
        </w:tc>
        <w:tc>
          <w:tcPr>
            <w:tcW w:w="1487" w:type="dxa"/>
            <w:vAlign w:val="center"/>
          </w:tcPr>
          <w:p w14:paraId="2292DCF3">
            <w:pPr>
              <w:wordWrap w:val="0"/>
              <w:spacing w:after="200" w:line="276" w:lineRule="auto"/>
              <w:jc w:val="center"/>
              <w:rPr>
                <w:rFonts w:cs="仿宋" w:asciiTheme="minorEastAsia" w:hAnsiTheme="minorEastAsia" w:eastAsiaTheme="minorEastAsia"/>
                <w:kern w:val="0"/>
                <w:sz w:val="24"/>
                <w:szCs w:val="24"/>
              </w:rPr>
            </w:pPr>
          </w:p>
        </w:tc>
        <w:tc>
          <w:tcPr>
            <w:tcW w:w="563" w:type="dxa"/>
            <w:vAlign w:val="center"/>
          </w:tcPr>
          <w:p w14:paraId="45C667E1">
            <w:pPr>
              <w:wordWrap w:val="0"/>
              <w:spacing w:after="200" w:line="276" w:lineRule="auto"/>
              <w:jc w:val="center"/>
              <w:rPr>
                <w:rFonts w:cs="仿宋" w:asciiTheme="minorEastAsia" w:hAnsiTheme="minorEastAsia" w:eastAsiaTheme="minorEastAsia"/>
                <w:kern w:val="0"/>
                <w:sz w:val="24"/>
                <w:szCs w:val="24"/>
              </w:rPr>
            </w:pPr>
          </w:p>
        </w:tc>
      </w:tr>
      <w:tr w14:paraId="76A07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36" w:type="dxa"/>
            <w:vAlign w:val="center"/>
          </w:tcPr>
          <w:p w14:paraId="39DD88D8">
            <w:pPr>
              <w:wordWrap w:val="0"/>
              <w:spacing w:after="200" w:line="276" w:lineRule="auto"/>
              <w:jc w:val="center"/>
              <w:rPr>
                <w:rFonts w:cs="仿宋" w:asciiTheme="minorEastAsia" w:hAnsiTheme="minorEastAsia" w:eastAsiaTheme="minorEastAsia"/>
                <w:kern w:val="0"/>
                <w:sz w:val="24"/>
                <w:szCs w:val="24"/>
              </w:rPr>
            </w:pPr>
          </w:p>
        </w:tc>
        <w:tc>
          <w:tcPr>
            <w:tcW w:w="1491" w:type="dxa"/>
            <w:vAlign w:val="center"/>
          </w:tcPr>
          <w:p w14:paraId="0373F2C7">
            <w:pPr>
              <w:wordWrap w:val="0"/>
              <w:spacing w:after="200" w:line="276" w:lineRule="auto"/>
              <w:jc w:val="center"/>
              <w:rPr>
                <w:rFonts w:cs="仿宋" w:asciiTheme="minorEastAsia" w:hAnsiTheme="minorEastAsia" w:eastAsiaTheme="minorEastAsia"/>
                <w:kern w:val="0"/>
                <w:sz w:val="24"/>
                <w:szCs w:val="24"/>
              </w:rPr>
            </w:pPr>
          </w:p>
        </w:tc>
        <w:tc>
          <w:tcPr>
            <w:tcW w:w="1418" w:type="dxa"/>
            <w:vAlign w:val="center"/>
          </w:tcPr>
          <w:p w14:paraId="4F0CF122">
            <w:pPr>
              <w:wordWrap w:val="0"/>
              <w:spacing w:after="200" w:line="276" w:lineRule="auto"/>
              <w:jc w:val="center"/>
              <w:rPr>
                <w:rFonts w:cs="仿宋" w:asciiTheme="minorEastAsia" w:hAnsiTheme="minorEastAsia" w:eastAsiaTheme="minorEastAsia"/>
                <w:kern w:val="0"/>
                <w:sz w:val="24"/>
                <w:szCs w:val="24"/>
              </w:rPr>
            </w:pPr>
          </w:p>
        </w:tc>
        <w:tc>
          <w:tcPr>
            <w:tcW w:w="940" w:type="dxa"/>
            <w:vAlign w:val="center"/>
          </w:tcPr>
          <w:p w14:paraId="1AC55DCC">
            <w:pPr>
              <w:wordWrap w:val="0"/>
              <w:spacing w:after="200" w:line="276" w:lineRule="auto"/>
              <w:jc w:val="center"/>
              <w:rPr>
                <w:rFonts w:cs="仿宋" w:asciiTheme="minorEastAsia" w:hAnsiTheme="minorEastAsia" w:eastAsiaTheme="minorEastAsia"/>
                <w:kern w:val="0"/>
                <w:sz w:val="24"/>
                <w:szCs w:val="24"/>
              </w:rPr>
            </w:pPr>
          </w:p>
        </w:tc>
        <w:tc>
          <w:tcPr>
            <w:tcW w:w="851" w:type="dxa"/>
            <w:vAlign w:val="center"/>
          </w:tcPr>
          <w:p w14:paraId="2AC025E6">
            <w:pPr>
              <w:wordWrap w:val="0"/>
              <w:spacing w:after="200" w:line="276" w:lineRule="auto"/>
              <w:jc w:val="center"/>
              <w:rPr>
                <w:rFonts w:cs="仿宋" w:asciiTheme="minorEastAsia" w:hAnsiTheme="minorEastAsia" w:eastAsiaTheme="minorEastAsia"/>
                <w:kern w:val="0"/>
                <w:sz w:val="24"/>
                <w:szCs w:val="24"/>
              </w:rPr>
            </w:pPr>
          </w:p>
        </w:tc>
        <w:tc>
          <w:tcPr>
            <w:tcW w:w="1044" w:type="dxa"/>
            <w:vAlign w:val="center"/>
          </w:tcPr>
          <w:p w14:paraId="3D43BADA">
            <w:pPr>
              <w:wordWrap w:val="0"/>
              <w:spacing w:after="200" w:line="276" w:lineRule="auto"/>
              <w:jc w:val="center"/>
              <w:rPr>
                <w:rFonts w:cs="仿宋" w:asciiTheme="minorEastAsia" w:hAnsiTheme="minorEastAsia" w:eastAsiaTheme="minorEastAsia"/>
                <w:kern w:val="0"/>
                <w:sz w:val="24"/>
                <w:szCs w:val="24"/>
              </w:rPr>
            </w:pPr>
          </w:p>
        </w:tc>
        <w:tc>
          <w:tcPr>
            <w:tcW w:w="992" w:type="dxa"/>
            <w:vAlign w:val="center"/>
          </w:tcPr>
          <w:p w14:paraId="5B16868A">
            <w:pPr>
              <w:wordWrap w:val="0"/>
              <w:spacing w:after="200" w:line="276" w:lineRule="auto"/>
              <w:jc w:val="center"/>
              <w:rPr>
                <w:rFonts w:cs="仿宋" w:asciiTheme="minorEastAsia" w:hAnsiTheme="minorEastAsia" w:eastAsiaTheme="minorEastAsia"/>
                <w:kern w:val="0"/>
                <w:sz w:val="24"/>
                <w:szCs w:val="24"/>
              </w:rPr>
            </w:pPr>
          </w:p>
        </w:tc>
        <w:tc>
          <w:tcPr>
            <w:tcW w:w="851" w:type="dxa"/>
            <w:vAlign w:val="center"/>
          </w:tcPr>
          <w:p w14:paraId="77F84215">
            <w:pPr>
              <w:wordWrap w:val="0"/>
              <w:spacing w:after="200" w:line="276" w:lineRule="auto"/>
              <w:jc w:val="center"/>
              <w:rPr>
                <w:rFonts w:cs="仿宋" w:asciiTheme="minorEastAsia" w:hAnsiTheme="minorEastAsia" w:eastAsiaTheme="minorEastAsia"/>
                <w:kern w:val="0"/>
                <w:sz w:val="24"/>
                <w:szCs w:val="24"/>
              </w:rPr>
            </w:pPr>
          </w:p>
        </w:tc>
        <w:tc>
          <w:tcPr>
            <w:tcW w:w="1487" w:type="dxa"/>
            <w:vAlign w:val="center"/>
          </w:tcPr>
          <w:p w14:paraId="5AB0AC46">
            <w:pPr>
              <w:wordWrap w:val="0"/>
              <w:spacing w:after="200" w:line="276" w:lineRule="auto"/>
              <w:jc w:val="center"/>
              <w:rPr>
                <w:rFonts w:cs="仿宋" w:asciiTheme="minorEastAsia" w:hAnsiTheme="minorEastAsia" w:eastAsiaTheme="minorEastAsia"/>
                <w:kern w:val="0"/>
                <w:sz w:val="24"/>
                <w:szCs w:val="24"/>
              </w:rPr>
            </w:pPr>
          </w:p>
        </w:tc>
        <w:tc>
          <w:tcPr>
            <w:tcW w:w="563" w:type="dxa"/>
            <w:vAlign w:val="center"/>
          </w:tcPr>
          <w:p w14:paraId="1DA9B76E">
            <w:pPr>
              <w:wordWrap w:val="0"/>
              <w:spacing w:after="200" w:line="276" w:lineRule="auto"/>
              <w:jc w:val="center"/>
              <w:rPr>
                <w:rFonts w:cs="仿宋" w:asciiTheme="minorEastAsia" w:hAnsiTheme="minorEastAsia" w:eastAsiaTheme="minorEastAsia"/>
                <w:kern w:val="0"/>
                <w:sz w:val="24"/>
                <w:szCs w:val="24"/>
              </w:rPr>
            </w:pPr>
          </w:p>
        </w:tc>
      </w:tr>
      <w:tr w14:paraId="39B27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36" w:type="dxa"/>
            <w:vAlign w:val="center"/>
          </w:tcPr>
          <w:p w14:paraId="0CEDD004">
            <w:pPr>
              <w:wordWrap w:val="0"/>
              <w:spacing w:after="200" w:line="276" w:lineRule="auto"/>
              <w:jc w:val="center"/>
              <w:rPr>
                <w:rFonts w:cs="仿宋" w:asciiTheme="minorEastAsia" w:hAnsiTheme="minorEastAsia" w:eastAsiaTheme="minorEastAsia"/>
                <w:kern w:val="0"/>
                <w:sz w:val="24"/>
                <w:szCs w:val="24"/>
              </w:rPr>
            </w:pPr>
          </w:p>
        </w:tc>
        <w:tc>
          <w:tcPr>
            <w:tcW w:w="1491" w:type="dxa"/>
            <w:vAlign w:val="center"/>
          </w:tcPr>
          <w:p w14:paraId="260055D6">
            <w:pPr>
              <w:wordWrap w:val="0"/>
              <w:spacing w:after="200" w:line="276" w:lineRule="auto"/>
              <w:jc w:val="center"/>
              <w:rPr>
                <w:rFonts w:cs="仿宋" w:asciiTheme="minorEastAsia" w:hAnsiTheme="minorEastAsia" w:eastAsiaTheme="minorEastAsia"/>
                <w:kern w:val="0"/>
                <w:sz w:val="24"/>
                <w:szCs w:val="24"/>
              </w:rPr>
            </w:pPr>
          </w:p>
        </w:tc>
        <w:tc>
          <w:tcPr>
            <w:tcW w:w="1418" w:type="dxa"/>
            <w:vAlign w:val="center"/>
          </w:tcPr>
          <w:p w14:paraId="48CCF5AD">
            <w:pPr>
              <w:wordWrap w:val="0"/>
              <w:spacing w:after="200" w:line="276" w:lineRule="auto"/>
              <w:jc w:val="center"/>
              <w:rPr>
                <w:rFonts w:cs="仿宋" w:asciiTheme="minorEastAsia" w:hAnsiTheme="minorEastAsia" w:eastAsiaTheme="minorEastAsia"/>
                <w:kern w:val="0"/>
                <w:sz w:val="24"/>
                <w:szCs w:val="24"/>
              </w:rPr>
            </w:pPr>
          </w:p>
        </w:tc>
        <w:tc>
          <w:tcPr>
            <w:tcW w:w="940" w:type="dxa"/>
            <w:vAlign w:val="center"/>
          </w:tcPr>
          <w:p w14:paraId="3503A600">
            <w:pPr>
              <w:wordWrap w:val="0"/>
              <w:spacing w:after="200" w:line="276" w:lineRule="auto"/>
              <w:jc w:val="center"/>
              <w:rPr>
                <w:rFonts w:cs="仿宋" w:asciiTheme="minorEastAsia" w:hAnsiTheme="minorEastAsia" w:eastAsiaTheme="minorEastAsia"/>
                <w:kern w:val="0"/>
                <w:sz w:val="24"/>
                <w:szCs w:val="24"/>
              </w:rPr>
            </w:pPr>
          </w:p>
        </w:tc>
        <w:tc>
          <w:tcPr>
            <w:tcW w:w="851" w:type="dxa"/>
            <w:vAlign w:val="center"/>
          </w:tcPr>
          <w:p w14:paraId="66AA0E35">
            <w:pPr>
              <w:wordWrap w:val="0"/>
              <w:spacing w:after="200" w:line="276" w:lineRule="auto"/>
              <w:jc w:val="center"/>
              <w:rPr>
                <w:rFonts w:cs="仿宋" w:asciiTheme="minorEastAsia" w:hAnsiTheme="minorEastAsia" w:eastAsiaTheme="minorEastAsia"/>
                <w:kern w:val="0"/>
                <w:sz w:val="24"/>
                <w:szCs w:val="24"/>
              </w:rPr>
            </w:pPr>
          </w:p>
        </w:tc>
        <w:tc>
          <w:tcPr>
            <w:tcW w:w="1044" w:type="dxa"/>
            <w:vAlign w:val="center"/>
          </w:tcPr>
          <w:p w14:paraId="444A3420">
            <w:pPr>
              <w:wordWrap w:val="0"/>
              <w:spacing w:after="200" w:line="276" w:lineRule="auto"/>
              <w:jc w:val="center"/>
              <w:rPr>
                <w:rFonts w:cs="仿宋" w:asciiTheme="minorEastAsia" w:hAnsiTheme="minorEastAsia" w:eastAsiaTheme="minorEastAsia"/>
                <w:kern w:val="0"/>
                <w:sz w:val="24"/>
                <w:szCs w:val="24"/>
              </w:rPr>
            </w:pPr>
          </w:p>
        </w:tc>
        <w:tc>
          <w:tcPr>
            <w:tcW w:w="992" w:type="dxa"/>
            <w:vAlign w:val="center"/>
          </w:tcPr>
          <w:p w14:paraId="1FCA3890">
            <w:pPr>
              <w:wordWrap w:val="0"/>
              <w:spacing w:after="200" w:line="276" w:lineRule="auto"/>
              <w:jc w:val="center"/>
              <w:rPr>
                <w:rFonts w:cs="仿宋" w:asciiTheme="minorEastAsia" w:hAnsiTheme="minorEastAsia" w:eastAsiaTheme="minorEastAsia"/>
                <w:kern w:val="0"/>
                <w:sz w:val="24"/>
                <w:szCs w:val="24"/>
              </w:rPr>
            </w:pPr>
          </w:p>
        </w:tc>
        <w:tc>
          <w:tcPr>
            <w:tcW w:w="851" w:type="dxa"/>
            <w:vAlign w:val="center"/>
          </w:tcPr>
          <w:p w14:paraId="1E604392">
            <w:pPr>
              <w:wordWrap w:val="0"/>
              <w:spacing w:after="200" w:line="276" w:lineRule="auto"/>
              <w:jc w:val="center"/>
              <w:rPr>
                <w:rFonts w:cs="仿宋" w:asciiTheme="minorEastAsia" w:hAnsiTheme="minorEastAsia" w:eastAsiaTheme="minorEastAsia"/>
                <w:kern w:val="0"/>
                <w:sz w:val="24"/>
                <w:szCs w:val="24"/>
              </w:rPr>
            </w:pPr>
          </w:p>
        </w:tc>
        <w:tc>
          <w:tcPr>
            <w:tcW w:w="1487" w:type="dxa"/>
            <w:vAlign w:val="center"/>
          </w:tcPr>
          <w:p w14:paraId="2D5B62DC">
            <w:pPr>
              <w:wordWrap w:val="0"/>
              <w:spacing w:after="200" w:line="276" w:lineRule="auto"/>
              <w:jc w:val="center"/>
              <w:rPr>
                <w:rFonts w:cs="仿宋" w:asciiTheme="minorEastAsia" w:hAnsiTheme="minorEastAsia" w:eastAsiaTheme="minorEastAsia"/>
                <w:kern w:val="0"/>
                <w:sz w:val="24"/>
                <w:szCs w:val="24"/>
              </w:rPr>
            </w:pPr>
          </w:p>
        </w:tc>
        <w:tc>
          <w:tcPr>
            <w:tcW w:w="563" w:type="dxa"/>
            <w:vAlign w:val="center"/>
          </w:tcPr>
          <w:p w14:paraId="2CA4EFBE">
            <w:pPr>
              <w:wordWrap w:val="0"/>
              <w:spacing w:after="200" w:line="276" w:lineRule="auto"/>
              <w:jc w:val="center"/>
              <w:rPr>
                <w:rFonts w:cs="仿宋" w:asciiTheme="minorEastAsia" w:hAnsiTheme="minorEastAsia" w:eastAsiaTheme="minorEastAsia"/>
                <w:kern w:val="0"/>
                <w:sz w:val="24"/>
                <w:szCs w:val="24"/>
              </w:rPr>
            </w:pPr>
          </w:p>
        </w:tc>
      </w:tr>
    </w:tbl>
    <w:p w14:paraId="454A392F">
      <w:pPr>
        <w:wordWrap w:val="0"/>
        <w:spacing w:after="200" w:line="440" w:lineRule="exact"/>
        <w:rPr>
          <w:rFonts w:cs="仿宋" w:asciiTheme="minorEastAsia" w:hAnsiTheme="minorEastAsia" w:eastAsiaTheme="minorEastAsia"/>
          <w:kern w:val="0"/>
          <w:sz w:val="24"/>
          <w:szCs w:val="24"/>
        </w:rPr>
      </w:pPr>
    </w:p>
    <w:p w14:paraId="236F3146">
      <w:pPr>
        <w:wordWrap w:val="0"/>
        <w:spacing w:after="200" w:line="440" w:lineRule="exact"/>
        <w:rPr>
          <w:rFonts w:cs="仿宋" w:asciiTheme="minorEastAsia" w:hAnsiTheme="minorEastAsia" w:eastAsiaTheme="minorEastAsia"/>
          <w:kern w:val="0"/>
          <w:sz w:val="24"/>
          <w:szCs w:val="24"/>
        </w:rPr>
      </w:pPr>
    </w:p>
    <w:p w14:paraId="0B646758">
      <w:pPr>
        <w:wordWrap w:val="0"/>
        <w:spacing w:after="200" w:line="440" w:lineRule="exact"/>
        <w:rPr>
          <w:rFonts w:cs="仿宋" w:asciiTheme="minorEastAsia" w:hAnsiTheme="minorEastAsia" w:eastAsiaTheme="minorEastAsia"/>
          <w:kern w:val="0"/>
          <w:sz w:val="24"/>
          <w:szCs w:val="24"/>
        </w:rPr>
      </w:pPr>
    </w:p>
    <w:p w14:paraId="0931359A">
      <w:pPr>
        <w:wordWrap w:val="0"/>
        <w:spacing w:line="300" w:lineRule="auto"/>
        <w:ind w:firstLine="420"/>
        <w:rPr>
          <w:rFonts w:cs="仿宋" w:asciiTheme="minorEastAsia" w:hAnsiTheme="minorEastAsia" w:eastAsiaTheme="minorEastAsia"/>
          <w:kern w:val="1"/>
          <w:szCs w:val="24"/>
        </w:rPr>
      </w:pPr>
    </w:p>
    <w:p w14:paraId="5D4EFF5D">
      <w:pPr>
        <w:wordWrap w:val="0"/>
        <w:spacing w:after="200" w:line="44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附</w:t>
      </w:r>
      <w:bookmarkStart w:id="1592" w:name="_Toc267261693"/>
      <w:bookmarkStart w:id="1593" w:name="_Toc296891054"/>
      <w:bookmarkStart w:id="1594" w:name="_Toc296347225"/>
      <w:bookmarkStart w:id="1595" w:name="_Toc296346727"/>
      <w:bookmarkStart w:id="1596" w:name="_Toc296891266"/>
      <w:bookmarkStart w:id="1597" w:name="_Toc296503226"/>
      <w:bookmarkStart w:id="1598" w:name="_Toc296944565"/>
      <w:r>
        <w:rPr>
          <w:rFonts w:hint="eastAsia" w:cs="仿宋" w:asciiTheme="minorEastAsia" w:hAnsiTheme="minorEastAsia" w:eastAsiaTheme="minorEastAsia"/>
          <w:kern w:val="0"/>
          <w:sz w:val="28"/>
          <w:szCs w:val="28"/>
        </w:rPr>
        <w:t>件3：</w:t>
      </w:r>
      <w:bookmarkEnd w:id="1592"/>
      <w:bookmarkEnd w:id="1593"/>
      <w:bookmarkEnd w:id="1594"/>
      <w:bookmarkEnd w:id="1595"/>
      <w:bookmarkEnd w:id="1596"/>
      <w:bookmarkEnd w:id="1597"/>
      <w:bookmarkEnd w:id="1598"/>
      <w:r>
        <w:rPr>
          <w:rFonts w:hint="eastAsia" w:cs="仿宋" w:asciiTheme="minorEastAsia" w:hAnsiTheme="minorEastAsia" w:eastAsiaTheme="minorEastAsia"/>
          <w:kern w:val="0"/>
          <w:sz w:val="28"/>
          <w:szCs w:val="28"/>
        </w:rPr>
        <w:t xml:space="preserve">    </w:t>
      </w:r>
    </w:p>
    <w:p w14:paraId="2FC785E3">
      <w:pPr>
        <w:wordWrap w:val="0"/>
        <w:spacing w:before="120" w:beforeLines="50" w:after="120" w:afterLines="50" w:line="440" w:lineRule="exact"/>
        <w:jc w:val="center"/>
        <w:rPr>
          <w:rFonts w:cs="仿宋" w:asciiTheme="minorEastAsia" w:hAnsiTheme="minorEastAsia" w:eastAsiaTheme="minorEastAsia"/>
          <w:b/>
          <w:kern w:val="0"/>
          <w:sz w:val="28"/>
          <w:szCs w:val="28"/>
        </w:rPr>
      </w:pPr>
      <w:r>
        <w:rPr>
          <w:rFonts w:hint="eastAsia" w:cs="仿宋" w:asciiTheme="minorEastAsia" w:hAnsiTheme="minorEastAsia" w:eastAsiaTheme="minorEastAsia"/>
          <w:b/>
          <w:kern w:val="0"/>
          <w:sz w:val="28"/>
          <w:szCs w:val="28"/>
        </w:rPr>
        <w:t>工程质量保修书</w:t>
      </w:r>
    </w:p>
    <w:p w14:paraId="1D999B99">
      <w:pPr>
        <w:wordWrap w:val="0"/>
        <w:spacing w:line="460" w:lineRule="exact"/>
        <w:ind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发包人（全称）：</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b/>
          <w:kern w:val="0"/>
          <w:sz w:val="28"/>
          <w:szCs w:val="28"/>
          <w:u w:val="single"/>
        </w:rPr>
        <w:t xml:space="preserve">             </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 xml:space="preserve"> </w:t>
      </w:r>
    </w:p>
    <w:p w14:paraId="5ABFAE54">
      <w:pPr>
        <w:wordWrap w:val="0"/>
        <w:spacing w:line="46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　　承包人（全称）：</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b/>
          <w:kern w:val="0"/>
          <w:sz w:val="28"/>
          <w:szCs w:val="28"/>
          <w:u w:val="single"/>
        </w:rPr>
        <w:t xml:space="preserve">            </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 xml:space="preserve"> </w:t>
      </w:r>
    </w:p>
    <w:p w14:paraId="3D4AFE28">
      <w:pPr>
        <w:wordWrap w:val="0"/>
        <w:spacing w:line="46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　　发包人和承包人根据《中华人民共和国建筑法》和《建设工程质量管理条例》，经协商一致就</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b/>
          <w:kern w:val="0"/>
          <w:sz w:val="28"/>
          <w:szCs w:val="28"/>
          <w:u w:val="single"/>
        </w:rPr>
        <w:t xml:space="preserve">                    </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（工程全称）签订工程质量保修书。</w:t>
      </w:r>
    </w:p>
    <w:p w14:paraId="5B4D9212">
      <w:pPr>
        <w:wordWrap w:val="0"/>
        <w:spacing w:line="46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　　一、工程质量保修范围和内容</w:t>
      </w:r>
    </w:p>
    <w:p w14:paraId="55C6A049">
      <w:pPr>
        <w:wordWrap w:val="0"/>
        <w:spacing w:line="46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　　承包人在质量保修期内，按照有关法律规定和合同约定，承担工程质量保修责任。</w:t>
      </w:r>
    </w:p>
    <w:p w14:paraId="193DC2EC">
      <w:pPr>
        <w:wordWrap w:val="0"/>
        <w:spacing w:line="460" w:lineRule="exact"/>
        <w:rPr>
          <w:rFonts w:cs="仿宋" w:asciiTheme="minorEastAsia" w:hAnsiTheme="minorEastAsia" w:eastAsiaTheme="minorEastAsia"/>
          <w:kern w:val="0"/>
          <w:sz w:val="28"/>
          <w:szCs w:val="28"/>
          <w:u w:val="single"/>
        </w:rPr>
      </w:pPr>
      <w:r>
        <w:rPr>
          <w:rFonts w:hint="eastAsia" w:cs="仿宋" w:asciiTheme="minorEastAsia" w:hAnsiTheme="minorEastAsia" w:eastAsiaTheme="minorEastAsia"/>
          <w:kern w:val="0"/>
          <w:sz w:val="28"/>
          <w:szCs w:val="28"/>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仿宋" w:asciiTheme="minorEastAsia" w:hAnsiTheme="minorEastAsia" w:eastAsiaTheme="minorEastAsia"/>
          <w:kern w:val="0"/>
          <w:sz w:val="28"/>
          <w:szCs w:val="28"/>
          <w:u w:val="single"/>
        </w:rPr>
        <w:t xml:space="preserve"> 包括设计施工图纸中所包含的内容 </w:t>
      </w:r>
      <w:r>
        <w:rPr>
          <w:rFonts w:hint="eastAsia" w:cs="仿宋" w:asciiTheme="minorEastAsia" w:hAnsiTheme="minorEastAsia" w:eastAsiaTheme="minorEastAsia"/>
          <w:kern w:val="0"/>
          <w:sz w:val="28"/>
          <w:szCs w:val="28"/>
        </w:rPr>
        <w:t>。</w:t>
      </w:r>
    </w:p>
    <w:p w14:paraId="5C7BE986">
      <w:pPr>
        <w:wordWrap w:val="0"/>
        <w:spacing w:line="46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　</w:t>
      </w:r>
      <w:r>
        <w:rPr>
          <w:rFonts w:hint="eastAsia" w:cs="仿宋" w:asciiTheme="minorEastAsia" w:hAnsiTheme="minorEastAsia" w:eastAsiaTheme="minorEastAsia"/>
          <w:b/>
          <w:kern w:val="0"/>
          <w:sz w:val="28"/>
          <w:szCs w:val="28"/>
        </w:rPr>
        <w:t>　</w:t>
      </w:r>
      <w:r>
        <w:rPr>
          <w:rFonts w:hint="eastAsia" w:cs="仿宋" w:asciiTheme="minorEastAsia" w:hAnsiTheme="minorEastAsia" w:eastAsiaTheme="minorEastAsia"/>
          <w:kern w:val="0"/>
          <w:sz w:val="28"/>
          <w:szCs w:val="28"/>
        </w:rPr>
        <w:t>二、质量保修期</w:t>
      </w:r>
    </w:p>
    <w:p w14:paraId="56BE7F02">
      <w:pPr>
        <w:wordWrap w:val="0"/>
        <w:spacing w:line="460" w:lineRule="exact"/>
        <w:ind w:firstLine="1120" w:firstLineChars="400"/>
        <w:rPr>
          <w:rFonts w:cs="仿宋" w:asciiTheme="minorEastAsia" w:hAnsiTheme="minorEastAsia" w:eastAsiaTheme="minorEastAsia"/>
          <w:bCs/>
          <w:kern w:val="44"/>
          <w:sz w:val="28"/>
          <w:szCs w:val="28"/>
        </w:rPr>
      </w:pPr>
      <w:r>
        <w:rPr>
          <w:rFonts w:hint="eastAsia" w:cs="仿宋" w:asciiTheme="minorEastAsia" w:hAnsiTheme="minorEastAsia" w:eastAsiaTheme="minorEastAsia"/>
          <w:bCs/>
          <w:kern w:val="44"/>
          <w:sz w:val="28"/>
          <w:szCs w:val="28"/>
        </w:rPr>
        <w:t>根据国务院279号令规定执行。</w:t>
      </w:r>
    </w:p>
    <w:p w14:paraId="5D2D6BF9">
      <w:pPr>
        <w:wordWrap w:val="0"/>
        <w:spacing w:line="460" w:lineRule="exact"/>
        <w:ind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三、缺陷责任期</w:t>
      </w:r>
    </w:p>
    <w:p w14:paraId="7572A61F">
      <w:pPr>
        <w:wordWrap w:val="0"/>
        <w:spacing w:line="460" w:lineRule="exact"/>
        <w:ind w:firstLine="1120" w:firstLineChars="4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工程缺陷责任期为</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b/>
          <w:kern w:val="0"/>
          <w:sz w:val="28"/>
          <w:szCs w:val="28"/>
          <w:u w:val="single"/>
        </w:rPr>
        <w:t>24</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个月，缺陷责任期自工程竣工验收合格之日起计算。单位工程先于全部工程进行验收，单位工程缺陷责任期自单位工程验收合格之日起算。</w:t>
      </w:r>
    </w:p>
    <w:p w14:paraId="14539DE2">
      <w:pPr>
        <w:wordWrap w:val="0"/>
        <w:spacing w:line="460" w:lineRule="exact"/>
        <w:ind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缺陷责任期终止后，发包人应退还剩余的质量保证金。</w:t>
      </w:r>
    </w:p>
    <w:p w14:paraId="76B7496B">
      <w:pPr>
        <w:wordWrap w:val="0"/>
        <w:spacing w:line="46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 xml:space="preserve">    四、质量保修责任</w:t>
      </w:r>
    </w:p>
    <w:p w14:paraId="402EFD7C">
      <w:pPr>
        <w:wordWrap w:val="0"/>
        <w:spacing w:line="460" w:lineRule="exact"/>
        <w:ind w:left="105" w:leftChars="50" w:firstLine="574" w:firstLineChars="205"/>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1．属于保修范围、内容的项目，承包人应当在接到保修通知之日起7天内派人保修。承包人不在约定期限内派人保修的，发包人可以委托他人修理。</w:t>
      </w:r>
    </w:p>
    <w:p w14:paraId="53F7D014">
      <w:pPr>
        <w:wordWrap w:val="0"/>
        <w:spacing w:line="460" w:lineRule="exact"/>
        <w:ind w:left="105" w:leftChars="50" w:firstLine="574" w:firstLineChars="205"/>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2．发生紧急事故需抢修的，承包人在接到事故通知后，应当立即到达事故现场抢修。</w:t>
      </w:r>
    </w:p>
    <w:p w14:paraId="28162F57">
      <w:pPr>
        <w:wordWrap w:val="0"/>
        <w:spacing w:line="460" w:lineRule="exact"/>
        <w:ind w:left="105" w:leftChars="50" w:firstLine="574" w:firstLineChars="205"/>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801846E">
      <w:pPr>
        <w:wordWrap w:val="0"/>
        <w:spacing w:line="460" w:lineRule="exact"/>
        <w:ind w:left="420" w:leftChars="200" w:firstLine="140" w:firstLineChars="5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4．质量保修完成后，由发包人组织验收。</w:t>
      </w:r>
    </w:p>
    <w:p w14:paraId="18D79155">
      <w:pPr>
        <w:wordWrap w:val="0"/>
        <w:spacing w:line="46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　　五、保修费用</w:t>
      </w:r>
    </w:p>
    <w:p w14:paraId="35534BEE">
      <w:pPr>
        <w:wordWrap w:val="0"/>
        <w:spacing w:line="460" w:lineRule="exact"/>
        <w:ind w:firstLine="56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保修费用由造成质量缺陷的责任方承担。</w:t>
      </w:r>
    </w:p>
    <w:p w14:paraId="539D4E71">
      <w:pPr>
        <w:wordWrap w:val="0"/>
        <w:spacing w:line="460" w:lineRule="exact"/>
        <w:ind w:firstLine="560"/>
        <w:rPr>
          <w:rFonts w:cs="仿宋" w:asciiTheme="minorEastAsia" w:hAnsiTheme="minorEastAsia" w:eastAsiaTheme="minorEastAsia"/>
          <w:kern w:val="0"/>
          <w:sz w:val="28"/>
          <w:szCs w:val="28"/>
        </w:rPr>
      </w:pPr>
      <w:r>
        <w:rPr>
          <w:rFonts w:hint="eastAsia" w:cs="仿宋" w:asciiTheme="minorEastAsia" w:hAnsiTheme="minorEastAsia" w:eastAsiaTheme="minorEastAsia"/>
          <w:bCs/>
          <w:kern w:val="0"/>
          <w:sz w:val="28"/>
          <w:szCs w:val="28"/>
        </w:rPr>
        <w:t>六、</w:t>
      </w:r>
      <w:r>
        <w:rPr>
          <w:rFonts w:hint="eastAsia" w:cs="仿宋" w:asciiTheme="minorEastAsia" w:hAnsiTheme="minorEastAsia" w:eastAsiaTheme="minorEastAsia"/>
          <w:kern w:val="0"/>
          <w:sz w:val="28"/>
          <w:szCs w:val="28"/>
        </w:rPr>
        <w:t>双方约定的其他工程质量保修事项：</w:t>
      </w:r>
      <w:r>
        <w:rPr>
          <w:rFonts w:hint="eastAsia" w:cs="仿宋" w:asciiTheme="minorEastAsia" w:hAnsiTheme="minorEastAsia" w:eastAsiaTheme="minorEastAsia"/>
          <w:kern w:val="0"/>
          <w:sz w:val="28"/>
          <w:szCs w:val="28"/>
          <w:u w:val="single"/>
        </w:rPr>
        <w:t>因不可抗力造成的质量缺陷，不属保修范围</w:t>
      </w:r>
      <w:r>
        <w:rPr>
          <w:rFonts w:hint="eastAsia" w:cs="仿宋" w:asciiTheme="minorEastAsia" w:hAnsiTheme="minorEastAsia" w:eastAsiaTheme="minorEastAsia"/>
          <w:kern w:val="0"/>
          <w:sz w:val="28"/>
          <w:szCs w:val="28"/>
        </w:rPr>
        <w:t>。</w:t>
      </w:r>
    </w:p>
    <w:p w14:paraId="08151B72">
      <w:pPr>
        <w:wordWrap w:val="0"/>
        <w:spacing w:line="460" w:lineRule="exact"/>
        <w:ind w:firstLine="532" w:firstLineChars="19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工程质量保修书由发包人、承包人在工程竣工验收前共同签署，作为施工合同附件，其有效期限至保修期满。</w:t>
      </w:r>
    </w:p>
    <w:p w14:paraId="2F11530B">
      <w:pPr>
        <w:wordWrap w:val="0"/>
        <w:spacing w:line="460" w:lineRule="exact"/>
        <w:rPr>
          <w:rFonts w:cs="仿宋" w:asciiTheme="minorEastAsia" w:hAnsiTheme="minorEastAsia" w:eastAsiaTheme="minorEastAsia"/>
          <w:kern w:val="0"/>
          <w:sz w:val="28"/>
          <w:szCs w:val="28"/>
        </w:rPr>
      </w:pPr>
    </w:p>
    <w:p w14:paraId="7C4F2816">
      <w:pPr>
        <w:wordWrap w:val="0"/>
        <w:spacing w:line="46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发包人(公章)：</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 xml:space="preserve">          承包人(公章)：</w:t>
      </w:r>
      <w:r>
        <w:rPr>
          <w:rFonts w:hint="eastAsia" w:cs="仿宋" w:asciiTheme="minorEastAsia" w:hAnsiTheme="minorEastAsia" w:eastAsiaTheme="minorEastAsia"/>
          <w:kern w:val="0"/>
          <w:sz w:val="28"/>
          <w:szCs w:val="28"/>
          <w:u w:val="single"/>
        </w:rPr>
        <w:t xml:space="preserve">           </w:t>
      </w:r>
    </w:p>
    <w:p w14:paraId="2F6BBB7F">
      <w:pPr>
        <w:wordWrap w:val="0"/>
        <w:spacing w:line="46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地  址：</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 xml:space="preserve">              地  址：</w:t>
      </w:r>
      <w:r>
        <w:rPr>
          <w:rFonts w:hint="eastAsia" w:cs="仿宋" w:asciiTheme="minorEastAsia" w:hAnsiTheme="minorEastAsia" w:eastAsiaTheme="minorEastAsia"/>
          <w:kern w:val="0"/>
          <w:sz w:val="28"/>
          <w:szCs w:val="28"/>
          <w:u w:val="single"/>
        </w:rPr>
        <w:t xml:space="preserve">         </w:t>
      </w:r>
    </w:p>
    <w:p w14:paraId="2CB805ED">
      <w:pPr>
        <w:wordWrap w:val="0"/>
        <w:spacing w:line="46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法定代表人(签字)：</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 xml:space="preserve">       法定代表人(签字)：</w:t>
      </w:r>
      <w:r>
        <w:rPr>
          <w:rFonts w:hint="eastAsia" w:cs="仿宋" w:asciiTheme="minorEastAsia" w:hAnsiTheme="minorEastAsia" w:eastAsiaTheme="minorEastAsia"/>
          <w:kern w:val="0"/>
          <w:sz w:val="28"/>
          <w:szCs w:val="28"/>
          <w:u w:val="single"/>
        </w:rPr>
        <w:t xml:space="preserve">      </w:t>
      </w:r>
    </w:p>
    <w:p w14:paraId="36455A03">
      <w:pPr>
        <w:wordWrap w:val="0"/>
        <w:spacing w:line="46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委托代理人(签字)：</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 xml:space="preserve">      委托代理人(签字)：</w:t>
      </w:r>
      <w:r>
        <w:rPr>
          <w:rFonts w:hint="eastAsia" w:cs="仿宋" w:asciiTheme="minorEastAsia" w:hAnsiTheme="minorEastAsia" w:eastAsiaTheme="minorEastAsia"/>
          <w:kern w:val="0"/>
          <w:sz w:val="28"/>
          <w:szCs w:val="28"/>
          <w:u w:val="single"/>
        </w:rPr>
        <w:t xml:space="preserve">         </w:t>
      </w:r>
    </w:p>
    <w:p w14:paraId="17F9D656">
      <w:pPr>
        <w:wordWrap w:val="0"/>
        <w:spacing w:line="46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电  话：</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 xml:space="preserve">              电  话：</w:t>
      </w:r>
      <w:r>
        <w:rPr>
          <w:rFonts w:hint="eastAsia" w:cs="仿宋" w:asciiTheme="minorEastAsia" w:hAnsiTheme="minorEastAsia" w:eastAsiaTheme="minorEastAsia"/>
          <w:kern w:val="0"/>
          <w:sz w:val="28"/>
          <w:szCs w:val="28"/>
          <w:u w:val="single"/>
        </w:rPr>
        <w:t xml:space="preserve">        </w:t>
      </w:r>
    </w:p>
    <w:p w14:paraId="6B4D0D0B">
      <w:pPr>
        <w:wordWrap w:val="0"/>
        <w:spacing w:line="46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传  真：</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 xml:space="preserve">             传  真：</w:t>
      </w:r>
      <w:r>
        <w:rPr>
          <w:rFonts w:hint="eastAsia" w:cs="仿宋" w:asciiTheme="minorEastAsia" w:hAnsiTheme="minorEastAsia" w:eastAsiaTheme="minorEastAsia"/>
          <w:kern w:val="0"/>
          <w:sz w:val="28"/>
          <w:szCs w:val="28"/>
          <w:u w:val="single"/>
        </w:rPr>
        <w:t xml:space="preserve">            </w:t>
      </w:r>
    </w:p>
    <w:p w14:paraId="55A8D9F4">
      <w:pPr>
        <w:wordWrap w:val="0"/>
        <w:spacing w:line="46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开户银行：</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 xml:space="preserve">            开户银行：</w:t>
      </w:r>
      <w:r>
        <w:rPr>
          <w:rFonts w:hint="eastAsia" w:cs="仿宋" w:asciiTheme="minorEastAsia" w:hAnsiTheme="minorEastAsia" w:eastAsiaTheme="minorEastAsia"/>
          <w:kern w:val="0"/>
          <w:sz w:val="28"/>
          <w:szCs w:val="28"/>
          <w:u w:val="single"/>
        </w:rPr>
        <w:t xml:space="preserve">           </w:t>
      </w:r>
    </w:p>
    <w:p w14:paraId="40E6CC6F">
      <w:pPr>
        <w:wordWrap w:val="0"/>
        <w:spacing w:line="46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账  号：</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 xml:space="preserve">            账  号：</w:t>
      </w:r>
      <w:r>
        <w:rPr>
          <w:rFonts w:hint="eastAsia" w:cs="仿宋" w:asciiTheme="minorEastAsia" w:hAnsiTheme="minorEastAsia" w:eastAsiaTheme="minorEastAsia"/>
          <w:kern w:val="0"/>
          <w:sz w:val="28"/>
          <w:szCs w:val="28"/>
          <w:u w:val="single"/>
        </w:rPr>
        <w:t xml:space="preserve">            </w:t>
      </w:r>
    </w:p>
    <w:p w14:paraId="68966AAA">
      <w:pPr>
        <w:wordWrap w:val="0"/>
        <w:spacing w:line="48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邮政编码：</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 xml:space="preserve">            邮政编码：</w:t>
      </w:r>
      <w:r>
        <w:rPr>
          <w:rFonts w:hint="eastAsia" w:cs="仿宋" w:asciiTheme="minorEastAsia" w:hAnsiTheme="minorEastAsia" w:eastAsiaTheme="minorEastAsia"/>
          <w:kern w:val="0"/>
          <w:sz w:val="28"/>
          <w:szCs w:val="28"/>
          <w:u w:val="single"/>
        </w:rPr>
        <w:t xml:space="preserve">          </w:t>
      </w:r>
    </w:p>
    <w:p w14:paraId="2C4A9095">
      <w:pPr>
        <w:wordWrap w:val="0"/>
        <w:spacing w:after="200" w:line="360" w:lineRule="auto"/>
        <w:rPr>
          <w:rFonts w:cs="仿宋" w:asciiTheme="minorEastAsia" w:hAnsiTheme="minorEastAsia" w:eastAsiaTheme="minorEastAsia"/>
          <w:kern w:val="0"/>
          <w:sz w:val="28"/>
          <w:szCs w:val="28"/>
        </w:rPr>
      </w:pPr>
      <w:r>
        <w:rPr>
          <w:rFonts w:hint="eastAsia" w:cs="仿宋" w:asciiTheme="minorEastAsia" w:hAnsiTheme="minorEastAsia" w:eastAsiaTheme="minorEastAsia"/>
          <w:b/>
          <w:kern w:val="0"/>
          <w:sz w:val="28"/>
          <w:szCs w:val="28"/>
        </w:rPr>
        <w:br w:type="page"/>
      </w:r>
      <w:r>
        <w:rPr>
          <w:rFonts w:hint="eastAsia" w:cs="仿宋" w:asciiTheme="minorEastAsia" w:hAnsiTheme="minorEastAsia" w:eastAsiaTheme="minorEastAsia"/>
          <w:kern w:val="0"/>
          <w:sz w:val="28"/>
          <w:szCs w:val="28"/>
        </w:rPr>
        <w:t>附件4：</w:t>
      </w:r>
    </w:p>
    <w:p w14:paraId="6EA55EA1">
      <w:pPr>
        <w:wordWrap w:val="0"/>
        <w:spacing w:before="120" w:beforeLines="50" w:after="120" w:afterLines="50" w:line="440" w:lineRule="exact"/>
        <w:jc w:val="center"/>
        <w:rPr>
          <w:rFonts w:cs="仿宋" w:asciiTheme="minorEastAsia" w:hAnsiTheme="minorEastAsia" w:eastAsiaTheme="minorEastAsia"/>
          <w:b/>
          <w:kern w:val="0"/>
          <w:sz w:val="28"/>
          <w:szCs w:val="28"/>
        </w:rPr>
      </w:pPr>
      <w:r>
        <w:rPr>
          <w:rFonts w:hint="eastAsia" w:cs="仿宋" w:asciiTheme="minorEastAsia" w:hAnsiTheme="minorEastAsia" w:eastAsiaTheme="minorEastAsia"/>
          <w:b/>
          <w:kern w:val="0"/>
          <w:sz w:val="28"/>
          <w:szCs w:val="28"/>
        </w:rPr>
        <w:t>主要建设工程文件目录</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1C73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04C6BFF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文件名称</w:t>
            </w:r>
          </w:p>
        </w:tc>
        <w:tc>
          <w:tcPr>
            <w:tcW w:w="1276" w:type="dxa"/>
            <w:tcBorders>
              <w:top w:val="single" w:color="auto" w:sz="12" w:space="0"/>
              <w:bottom w:val="double" w:color="auto" w:sz="6" w:space="0"/>
            </w:tcBorders>
            <w:vAlign w:val="center"/>
          </w:tcPr>
          <w:p w14:paraId="276FE76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套数</w:t>
            </w:r>
          </w:p>
        </w:tc>
        <w:tc>
          <w:tcPr>
            <w:tcW w:w="1450" w:type="dxa"/>
            <w:tcBorders>
              <w:top w:val="single" w:color="auto" w:sz="12" w:space="0"/>
              <w:bottom w:val="double" w:color="auto" w:sz="6" w:space="0"/>
            </w:tcBorders>
            <w:vAlign w:val="center"/>
          </w:tcPr>
          <w:p w14:paraId="25669B5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费用（元）</w:t>
            </w:r>
          </w:p>
        </w:tc>
        <w:tc>
          <w:tcPr>
            <w:tcW w:w="1243" w:type="dxa"/>
            <w:tcBorders>
              <w:top w:val="single" w:color="auto" w:sz="12" w:space="0"/>
              <w:bottom w:val="double" w:color="auto" w:sz="6" w:space="0"/>
            </w:tcBorders>
            <w:vAlign w:val="center"/>
          </w:tcPr>
          <w:p w14:paraId="7F1ACBC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质量</w:t>
            </w:r>
          </w:p>
        </w:tc>
        <w:tc>
          <w:tcPr>
            <w:tcW w:w="1450" w:type="dxa"/>
            <w:tcBorders>
              <w:top w:val="single" w:color="auto" w:sz="12" w:space="0"/>
              <w:bottom w:val="double" w:color="auto" w:sz="6" w:space="0"/>
            </w:tcBorders>
          </w:tcPr>
          <w:p w14:paraId="0ED3DEFB">
            <w:pPr>
              <w:wordWrap w:val="0"/>
              <w:spacing w:after="200" w:line="440" w:lineRule="exact"/>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移交时间</w:t>
            </w:r>
          </w:p>
        </w:tc>
        <w:tc>
          <w:tcPr>
            <w:tcW w:w="1667" w:type="dxa"/>
            <w:tcBorders>
              <w:top w:val="single" w:color="auto" w:sz="12" w:space="0"/>
              <w:bottom w:val="double" w:color="auto" w:sz="6" w:space="0"/>
            </w:tcBorders>
          </w:tcPr>
          <w:p w14:paraId="4BF3AEC5">
            <w:pPr>
              <w:wordWrap w:val="0"/>
              <w:spacing w:after="200" w:line="440" w:lineRule="exact"/>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责任人</w:t>
            </w:r>
          </w:p>
        </w:tc>
      </w:tr>
      <w:tr w14:paraId="6AFDF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51F8B5E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76" w:type="dxa"/>
            <w:tcBorders>
              <w:top w:val="double" w:color="auto" w:sz="6" w:space="0"/>
              <w:bottom w:val="single" w:color="auto" w:sz="6" w:space="0"/>
            </w:tcBorders>
            <w:vAlign w:val="center"/>
          </w:tcPr>
          <w:p w14:paraId="41D62AF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50" w:type="dxa"/>
            <w:tcBorders>
              <w:top w:val="double" w:color="auto" w:sz="6" w:space="0"/>
              <w:bottom w:val="single" w:color="auto" w:sz="6" w:space="0"/>
            </w:tcBorders>
            <w:vAlign w:val="center"/>
          </w:tcPr>
          <w:p w14:paraId="39338C1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43" w:type="dxa"/>
            <w:tcBorders>
              <w:top w:val="double" w:color="auto" w:sz="6" w:space="0"/>
              <w:bottom w:val="single" w:color="auto" w:sz="6" w:space="0"/>
            </w:tcBorders>
            <w:vAlign w:val="center"/>
          </w:tcPr>
          <w:p w14:paraId="7D59A37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50" w:type="dxa"/>
            <w:tcBorders>
              <w:top w:val="double" w:color="auto" w:sz="6" w:space="0"/>
              <w:bottom w:val="single" w:color="auto" w:sz="6" w:space="0"/>
            </w:tcBorders>
            <w:vAlign w:val="center"/>
          </w:tcPr>
          <w:p w14:paraId="26EB576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667" w:type="dxa"/>
            <w:tcBorders>
              <w:top w:val="double" w:color="auto" w:sz="6" w:space="0"/>
              <w:bottom w:val="single" w:color="auto" w:sz="6" w:space="0"/>
            </w:tcBorders>
            <w:vAlign w:val="center"/>
          </w:tcPr>
          <w:p w14:paraId="0EBE541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72C48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3840AD7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76" w:type="dxa"/>
            <w:tcBorders>
              <w:top w:val="nil"/>
            </w:tcBorders>
            <w:vAlign w:val="center"/>
          </w:tcPr>
          <w:p w14:paraId="4B897FD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50" w:type="dxa"/>
            <w:tcBorders>
              <w:top w:val="nil"/>
            </w:tcBorders>
            <w:vAlign w:val="center"/>
          </w:tcPr>
          <w:p w14:paraId="3B20427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43" w:type="dxa"/>
            <w:tcBorders>
              <w:top w:val="nil"/>
            </w:tcBorders>
            <w:vAlign w:val="center"/>
          </w:tcPr>
          <w:p w14:paraId="3EE8401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50" w:type="dxa"/>
            <w:tcBorders>
              <w:top w:val="nil"/>
            </w:tcBorders>
            <w:vAlign w:val="center"/>
          </w:tcPr>
          <w:p w14:paraId="61A097B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667" w:type="dxa"/>
            <w:tcBorders>
              <w:top w:val="nil"/>
            </w:tcBorders>
            <w:vAlign w:val="center"/>
          </w:tcPr>
          <w:p w14:paraId="0F653B7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4C70D0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32E2F3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76" w:type="dxa"/>
            <w:vAlign w:val="center"/>
          </w:tcPr>
          <w:p w14:paraId="4ED1B5A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50" w:type="dxa"/>
            <w:vAlign w:val="center"/>
          </w:tcPr>
          <w:p w14:paraId="78C3600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43" w:type="dxa"/>
            <w:vAlign w:val="center"/>
          </w:tcPr>
          <w:p w14:paraId="65BF20D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50" w:type="dxa"/>
            <w:vAlign w:val="center"/>
          </w:tcPr>
          <w:p w14:paraId="788BB21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667" w:type="dxa"/>
            <w:vAlign w:val="center"/>
          </w:tcPr>
          <w:p w14:paraId="5A23B69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50039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5F8DB1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76" w:type="dxa"/>
            <w:vAlign w:val="center"/>
          </w:tcPr>
          <w:p w14:paraId="6282838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50" w:type="dxa"/>
            <w:vAlign w:val="center"/>
          </w:tcPr>
          <w:p w14:paraId="2F29367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43" w:type="dxa"/>
            <w:vAlign w:val="center"/>
          </w:tcPr>
          <w:p w14:paraId="597C96E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50" w:type="dxa"/>
            <w:vAlign w:val="center"/>
          </w:tcPr>
          <w:p w14:paraId="767A45C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667" w:type="dxa"/>
            <w:vAlign w:val="center"/>
          </w:tcPr>
          <w:p w14:paraId="43009D9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3DAC2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ED54CA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76" w:type="dxa"/>
            <w:vAlign w:val="center"/>
          </w:tcPr>
          <w:p w14:paraId="023A813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50" w:type="dxa"/>
            <w:vAlign w:val="center"/>
          </w:tcPr>
          <w:p w14:paraId="6A5562A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43" w:type="dxa"/>
            <w:vAlign w:val="center"/>
          </w:tcPr>
          <w:p w14:paraId="1BF9FF4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50" w:type="dxa"/>
            <w:vAlign w:val="center"/>
          </w:tcPr>
          <w:p w14:paraId="0F793FD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667" w:type="dxa"/>
            <w:vAlign w:val="center"/>
          </w:tcPr>
          <w:p w14:paraId="374245F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23D5B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F124C3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76" w:type="dxa"/>
            <w:vAlign w:val="center"/>
          </w:tcPr>
          <w:p w14:paraId="75A4C14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50" w:type="dxa"/>
            <w:vAlign w:val="center"/>
          </w:tcPr>
          <w:p w14:paraId="02BFB02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43" w:type="dxa"/>
            <w:vAlign w:val="center"/>
          </w:tcPr>
          <w:p w14:paraId="70303B4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50" w:type="dxa"/>
            <w:vAlign w:val="center"/>
          </w:tcPr>
          <w:p w14:paraId="5FCC955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667" w:type="dxa"/>
            <w:vAlign w:val="center"/>
          </w:tcPr>
          <w:p w14:paraId="6EB8315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05203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B64E1B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76" w:type="dxa"/>
            <w:vAlign w:val="center"/>
          </w:tcPr>
          <w:p w14:paraId="31390BE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50" w:type="dxa"/>
            <w:vAlign w:val="center"/>
          </w:tcPr>
          <w:p w14:paraId="635C617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43" w:type="dxa"/>
            <w:vAlign w:val="center"/>
          </w:tcPr>
          <w:p w14:paraId="1FB13BF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50" w:type="dxa"/>
            <w:vAlign w:val="center"/>
          </w:tcPr>
          <w:p w14:paraId="1EE2CFC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667" w:type="dxa"/>
            <w:vAlign w:val="center"/>
          </w:tcPr>
          <w:p w14:paraId="4BA2834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7B654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4C3C9A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76" w:type="dxa"/>
            <w:vAlign w:val="center"/>
          </w:tcPr>
          <w:p w14:paraId="6E3A95F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50" w:type="dxa"/>
            <w:vAlign w:val="center"/>
          </w:tcPr>
          <w:p w14:paraId="489311C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43" w:type="dxa"/>
            <w:vAlign w:val="center"/>
          </w:tcPr>
          <w:p w14:paraId="5262372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50" w:type="dxa"/>
            <w:vAlign w:val="center"/>
          </w:tcPr>
          <w:p w14:paraId="2DF78D1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667" w:type="dxa"/>
            <w:vAlign w:val="center"/>
          </w:tcPr>
          <w:p w14:paraId="5259884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212F6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B4C0D1D">
            <w:pPr>
              <w:wordWrap w:val="0"/>
              <w:spacing w:after="200" w:line="276" w:lineRule="auto"/>
              <w:rPr>
                <w:rFonts w:cs="仿宋" w:asciiTheme="minorEastAsia" w:hAnsiTheme="minorEastAsia" w:eastAsiaTheme="minorEastAsia"/>
                <w:kern w:val="0"/>
                <w:sz w:val="24"/>
                <w:szCs w:val="24"/>
              </w:rPr>
            </w:pPr>
          </w:p>
        </w:tc>
        <w:tc>
          <w:tcPr>
            <w:tcW w:w="1276" w:type="dxa"/>
          </w:tcPr>
          <w:p w14:paraId="4C426ECD">
            <w:pPr>
              <w:wordWrap w:val="0"/>
              <w:spacing w:after="200" w:line="276" w:lineRule="auto"/>
              <w:rPr>
                <w:rFonts w:cs="仿宋" w:asciiTheme="minorEastAsia" w:hAnsiTheme="minorEastAsia" w:eastAsiaTheme="minorEastAsia"/>
                <w:kern w:val="0"/>
                <w:sz w:val="24"/>
                <w:szCs w:val="24"/>
              </w:rPr>
            </w:pPr>
          </w:p>
        </w:tc>
        <w:tc>
          <w:tcPr>
            <w:tcW w:w="1450" w:type="dxa"/>
          </w:tcPr>
          <w:p w14:paraId="700D3A31">
            <w:pPr>
              <w:wordWrap w:val="0"/>
              <w:spacing w:after="200" w:line="276" w:lineRule="auto"/>
              <w:rPr>
                <w:rFonts w:cs="仿宋" w:asciiTheme="minorEastAsia" w:hAnsiTheme="minorEastAsia" w:eastAsiaTheme="minorEastAsia"/>
                <w:kern w:val="0"/>
                <w:sz w:val="24"/>
                <w:szCs w:val="24"/>
              </w:rPr>
            </w:pPr>
          </w:p>
        </w:tc>
        <w:tc>
          <w:tcPr>
            <w:tcW w:w="1243" w:type="dxa"/>
          </w:tcPr>
          <w:p w14:paraId="4AFFD92F">
            <w:pPr>
              <w:wordWrap w:val="0"/>
              <w:spacing w:after="200" w:line="276" w:lineRule="auto"/>
              <w:rPr>
                <w:rFonts w:cs="仿宋" w:asciiTheme="minorEastAsia" w:hAnsiTheme="minorEastAsia" w:eastAsiaTheme="minorEastAsia"/>
                <w:kern w:val="0"/>
                <w:sz w:val="24"/>
                <w:szCs w:val="24"/>
              </w:rPr>
            </w:pPr>
          </w:p>
        </w:tc>
        <w:tc>
          <w:tcPr>
            <w:tcW w:w="1450" w:type="dxa"/>
          </w:tcPr>
          <w:p w14:paraId="16753B94">
            <w:pPr>
              <w:wordWrap w:val="0"/>
              <w:spacing w:after="200" w:line="276" w:lineRule="auto"/>
              <w:rPr>
                <w:rFonts w:cs="仿宋" w:asciiTheme="minorEastAsia" w:hAnsiTheme="minorEastAsia" w:eastAsiaTheme="minorEastAsia"/>
                <w:kern w:val="0"/>
                <w:sz w:val="24"/>
                <w:szCs w:val="24"/>
              </w:rPr>
            </w:pPr>
          </w:p>
        </w:tc>
        <w:tc>
          <w:tcPr>
            <w:tcW w:w="1667" w:type="dxa"/>
          </w:tcPr>
          <w:p w14:paraId="374F7E0C">
            <w:pPr>
              <w:wordWrap w:val="0"/>
              <w:spacing w:after="200" w:line="276" w:lineRule="auto"/>
              <w:rPr>
                <w:rFonts w:cs="仿宋" w:asciiTheme="minorEastAsia" w:hAnsiTheme="minorEastAsia" w:eastAsiaTheme="minorEastAsia"/>
                <w:kern w:val="0"/>
                <w:sz w:val="24"/>
                <w:szCs w:val="24"/>
              </w:rPr>
            </w:pPr>
          </w:p>
        </w:tc>
      </w:tr>
      <w:tr w14:paraId="769DC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402C17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76" w:type="dxa"/>
            <w:vAlign w:val="center"/>
          </w:tcPr>
          <w:p w14:paraId="6827AAB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50" w:type="dxa"/>
            <w:vAlign w:val="center"/>
          </w:tcPr>
          <w:p w14:paraId="3B7E8F1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243" w:type="dxa"/>
            <w:vAlign w:val="center"/>
          </w:tcPr>
          <w:p w14:paraId="65CF489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50" w:type="dxa"/>
            <w:vAlign w:val="center"/>
          </w:tcPr>
          <w:p w14:paraId="69B6AE4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667" w:type="dxa"/>
            <w:vAlign w:val="center"/>
          </w:tcPr>
          <w:p w14:paraId="4962E56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0103F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8A614AF">
            <w:pPr>
              <w:wordWrap w:val="0"/>
              <w:spacing w:after="200" w:line="276" w:lineRule="auto"/>
              <w:rPr>
                <w:rFonts w:cs="仿宋" w:asciiTheme="minorEastAsia" w:hAnsiTheme="minorEastAsia" w:eastAsiaTheme="minorEastAsia"/>
                <w:kern w:val="0"/>
                <w:sz w:val="24"/>
                <w:szCs w:val="24"/>
              </w:rPr>
            </w:pPr>
          </w:p>
        </w:tc>
        <w:tc>
          <w:tcPr>
            <w:tcW w:w="1276" w:type="dxa"/>
          </w:tcPr>
          <w:p w14:paraId="2394A867">
            <w:pPr>
              <w:wordWrap w:val="0"/>
              <w:spacing w:after="200" w:line="276" w:lineRule="auto"/>
              <w:rPr>
                <w:rFonts w:cs="仿宋" w:asciiTheme="minorEastAsia" w:hAnsiTheme="minorEastAsia" w:eastAsiaTheme="minorEastAsia"/>
                <w:kern w:val="0"/>
                <w:sz w:val="24"/>
                <w:szCs w:val="24"/>
              </w:rPr>
            </w:pPr>
          </w:p>
        </w:tc>
        <w:tc>
          <w:tcPr>
            <w:tcW w:w="1450" w:type="dxa"/>
          </w:tcPr>
          <w:p w14:paraId="63A3AA0B">
            <w:pPr>
              <w:wordWrap w:val="0"/>
              <w:spacing w:after="200" w:line="276" w:lineRule="auto"/>
              <w:rPr>
                <w:rFonts w:cs="仿宋" w:asciiTheme="minorEastAsia" w:hAnsiTheme="minorEastAsia" w:eastAsiaTheme="minorEastAsia"/>
                <w:kern w:val="0"/>
                <w:sz w:val="24"/>
                <w:szCs w:val="24"/>
              </w:rPr>
            </w:pPr>
          </w:p>
        </w:tc>
        <w:tc>
          <w:tcPr>
            <w:tcW w:w="1243" w:type="dxa"/>
          </w:tcPr>
          <w:p w14:paraId="44BDF3EF">
            <w:pPr>
              <w:wordWrap w:val="0"/>
              <w:spacing w:after="200" w:line="276" w:lineRule="auto"/>
              <w:rPr>
                <w:rFonts w:cs="仿宋" w:asciiTheme="minorEastAsia" w:hAnsiTheme="minorEastAsia" w:eastAsiaTheme="minorEastAsia"/>
                <w:kern w:val="0"/>
                <w:sz w:val="24"/>
                <w:szCs w:val="24"/>
              </w:rPr>
            </w:pPr>
          </w:p>
        </w:tc>
        <w:tc>
          <w:tcPr>
            <w:tcW w:w="1450" w:type="dxa"/>
          </w:tcPr>
          <w:p w14:paraId="5D53A626">
            <w:pPr>
              <w:wordWrap w:val="0"/>
              <w:spacing w:after="200" w:line="276" w:lineRule="auto"/>
              <w:rPr>
                <w:rFonts w:cs="仿宋" w:asciiTheme="minorEastAsia" w:hAnsiTheme="minorEastAsia" w:eastAsiaTheme="minorEastAsia"/>
                <w:kern w:val="0"/>
                <w:sz w:val="24"/>
                <w:szCs w:val="24"/>
              </w:rPr>
            </w:pPr>
          </w:p>
        </w:tc>
        <w:tc>
          <w:tcPr>
            <w:tcW w:w="1667" w:type="dxa"/>
          </w:tcPr>
          <w:p w14:paraId="6DFCE4D5">
            <w:pPr>
              <w:wordWrap w:val="0"/>
              <w:spacing w:after="200" w:line="276" w:lineRule="auto"/>
              <w:rPr>
                <w:rFonts w:cs="仿宋" w:asciiTheme="minorEastAsia" w:hAnsiTheme="minorEastAsia" w:eastAsiaTheme="minorEastAsia"/>
                <w:kern w:val="0"/>
                <w:sz w:val="24"/>
                <w:szCs w:val="24"/>
              </w:rPr>
            </w:pPr>
          </w:p>
        </w:tc>
      </w:tr>
      <w:tr w14:paraId="02B78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4DC322A">
            <w:pPr>
              <w:wordWrap w:val="0"/>
              <w:spacing w:after="200" w:line="276" w:lineRule="auto"/>
              <w:rPr>
                <w:rFonts w:cs="仿宋" w:asciiTheme="minorEastAsia" w:hAnsiTheme="minorEastAsia" w:eastAsiaTheme="minorEastAsia"/>
                <w:kern w:val="0"/>
                <w:sz w:val="24"/>
                <w:szCs w:val="24"/>
              </w:rPr>
            </w:pPr>
          </w:p>
        </w:tc>
        <w:tc>
          <w:tcPr>
            <w:tcW w:w="1276" w:type="dxa"/>
          </w:tcPr>
          <w:p w14:paraId="1F99710D">
            <w:pPr>
              <w:wordWrap w:val="0"/>
              <w:spacing w:after="200" w:line="276" w:lineRule="auto"/>
              <w:rPr>
                <w:rFonts w:cs="仿宋" w:asciiTheme="minorEastAsia" w:hAnsiTheme="minorEastAsia" w:eastAsiaTheme="minorEastAsia"/>
                <w:kern w:val="0"/>
                <w:sz w:val="24"/>
                <w:szCs w:val="24"/>
              </w:rPr>
            </w:pPr>
          </w:p>
        </w:tc>
        <w:tc>
          <w:tcPr>
            <w:tcW w:w="1450" w:type="dxa"/>
          </w:tcPr>
          <w:p w14:paraId="026ABFBE">
            <w:pPr>
              <w:wordWrap w:val="0"/>
              <w:spacing w:after="200" w:line="276" w:lineRule="auto"/>
              <w:rPr>
                <w:rFonts w:cs="仿宋" w:asciiTheme="minorEastAsia" w:hAnsiTheme="minorEastAsia" w:eastAsiaTheme="minorEastAsia"/>
                <w:kern w:val="0"/>
                <w:sz w:val="24"/>
                <w:szCs w:val="24"/>
              </w:rPr>
            </w:pPr>
          </w:p>
        </w:tc>
        <w:tc>
          <w:tcPr>
            <w:tcW w:w="1243" w:type="dxa"/>
          </w:tcPr>
          <w:p w14:paraId="018B7DCD">
            <w:pPr>
              <w:wordWrap w:val="0"/>
              <w:spacing w:after="200" w:line="276" w:lineRule="auto"/>
              <w:rPr>
                <w:rFonts w:cs="仿宋" w:asciiTheme="minorEastAsia" w:hAnsiTheme="minorEastAsia" w:eastAsiaTheme="minorEastAsia"/>
                <w:kern w:val="0"/>
                <w:sz w:val="24"/>
                <w:szCs w:val="24"/>
              </w:rPr>
            </w:pPr>
          </w:p>
        </w:tc>
        <w:tc>
          <w:tcPr>
            <w:tcW w:w="1450" w:type="dxa"/>
          </w:tcPr>
          <w:p w14:paraId="7BDF5837">
            <w:pPr>
              <w:wordWrap w:val="0"/>
              <w:spacing w:after="200" w:line="276" w:lineRule="auto"/>
              <w:rPr>
                <w:rFonts w:cs="仿宋" w:asciiTheme="minorEastAsia" w:hAnsiTheme="minorEastAsia" w:eastAsiaTheme="minorEastAsia"/>
                <w:kern w:val="0"/>
                <w:sz w:val="24"/>
                <w:szCs w:val="24"/>
              </w:rPr>
            </w:pPr>
          </w:p>
        </w:tc>
        <w:tc>
          <w:tcPr>
            <w:tcW w:w="1667" w:type="dxa"/>
          </w:tcPr>
          <w:p w14:paraId="3BD2C866">
            <w:pPr>
              <w:wordWrap w:val="0"/>
              <w:spacing w:after="200" w:line="276" w:lineRule="auto"/>
              <w:rPr>
                <w:rFonts w:cs="仿宋" w:asciiTheme="minorEastAsia" w:hAnsiTheme="minorEastAsia" w:eastAsiaTheme="minorEastAsia"/>
                <w:kern w:val="0"/>
                <w:sz w:val="24"/>
                <w:szCs w:val="24"/>
              </w:rPr>
            </w:pPr>
          </w:p>
        </w:tc>
      </w:tr>
      <w:tr w14:paraId="7DD0B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A606573">
            <w:pPr>
              <w:wordWrap w:val="0"/>
              <w:spacing w:after="200" w:line="276" w:lineRule="auto"/>
              <w:rPr>
                <w:rFonts w:cs="仿宋" w:asciiTheme="minorEastAsia" w:hAnsiTheme="minorEastAsia" w:eastAsiaTheme="minorEastAsia"/>
                <w:kern w:val="0"/>
                <w:sz w:val="24"/>
                <w:szCs w:val="24"/>
              </w:rPr>
            </w:pPr>
          </w:p>
        </w:tc>
        <w:tc>
          <w:tcPr>
            <w:tcW w:w="1276" w:type="dxa"/>
          </w:tcPr>
          <w:p w14:paraId="5BFE3F35">
            <w:pPr>
              <w:wordWrap w:val="0"/>
              <w:spacing w:after="200" w:line="276" w:lineRule="auto"/>
              <w:rPr>
                <w:rFonts w:cs="仿宋" w:asciiTheme="minorEastAsia" w:hAnsiTheme="minorEastAsia" w:eastAsiaTheme="minorEastAsia"/>
                <w:kern w:val="0"/>
                <w:sz w:val="24"/>
                <w:szCs w:val="24"/>
              </w:rPr>
            </w:pPr>
          </w:p>
        </w:tc>
        <w:tc>
          <w:tcPr>
            <w:tcW w:w="1450" w:type="dxa"/>
          </w:tcPr>
          <w:p w14:paraId="0AC6C80D">
            <w:pPr>
              <w:wordWrap w:val="0"/>
              <w:spacing w:after="200" w:line="276" w:lineRule="auto"/>
              <w:rPr>
                <w:rFonts w:cs="仿宋" w:asciiTheme="minorEastAsia" w:hAnsiTheme="minorEastAsia" w:eastAsiaTheme="minorEastAsia"/>
                <w:kern w:val="0"/>
                <w:sz w:val="24"/>
                <w:szCs w:val="24"/>
              </w:rPr>
            </w:pPr>
          </w:p>
        </w:tc>
        <w:tc>
          <w:tcPr>
            <w:tcW w:w="1243" w:type="dxa"/>
          </w:tcPr>
          <w:p w14:paraId="21528E1B">
            <w:pPr>
              <w:wordWrap w:val="0"/>
              <w:spacing w:after="200" w:line="276" w:lineRule="auto"/>
              <w:rPr>
                <w:rFonts w:cs="仿宋" w:asciiTheme="minorEastAsia" w:hAnsiTheme="minorEastAsia" w:eastAsiaTheme="minorEastAsia"/>
                <w:kern w:val="0"/>
                <w:sz w:val="24"/>
                <w:szCs w:val="24"/>
              </w:rPr>
            </w:pPr>
          </w:p>
        </w:tc>
        <w:tc>
          <w:tcPr>
            <w:tcW w:w="1450" w:type="dxa"/>
          </w:tcPr>
          <w:p w14:paraId="331B4053">
            <w:pPr>
              <w:wordWrap w:val="0"/>
              <w:spacing w:after="200" w:line="276" w:lineRule="auto"/>
              <w:rPr>
                <w:rFonts w:cs="仿宋" w:asciiTheme="minorEastAsia" w:hAnsiTheme="minorEastAsia" w:eastAsiaTheme="minorEastAsia"/>
                <w:kern w:val="0"/>
                <w:sz w:val="24"/>
                <w:szCs w:val="24"/>
              </w:rPr>
            </w:pPr>
          </w:p>
        </w:tc>
        <w:tc>
          <w:tcPr>
            <w:tcW w:w="1667" w:type="dxa"/>
          </w:tcPr>
          <w:p w14:paraId="6FA07CD2">
            <w:pPr>
              <w:wordWrap w:val="0"/>
              <w:spacing w:after="200" w:line="276" w:lineRule="auto"/>
              <w:rPr>
                <w:rFonts w:cs="仿宋" w:asciiTheme="minorEastAsia" w:hAnsiTheme="minorEastAsia" w:eastAsiaTheme="minorEastAsia"/>
                <w:kern w:val="0"/>
                <w:sz w:val="24"/>
                <w:szCs w:val="24"/>
              </w:rPr>
            </w:pPr>
          </w:p>
        </w:tc>
      </w:tr>
      <w:tr w14:paraId="44E86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7660EFB">
            <w:pPr>
              <w:wordWrap w:val="0"/>
              <w:spacing w:after="200" w:line="276" w:lineRule="auto"/>
              <w:rPr>
                <w:rFonts w:cs="仿宋" w:asciiTheme="minorEastAsia" w:hAnsiTheme="minorEastAsia" w:eastAsiaTheme="minorEastAsia"/>
                <w:kern w:val="0"/>
                <w:sz w:val="24"/>
                <w:szCs w:val="24"/>
              </w:rPr>
            </w:pPr>
          </w:p>
        </w:tc>
        <w:tc>
          <w:tcPr>
            <w:tcW w:w="1276" w:type="dxa"/>
          </w:tcPr>
          <w:p w14:paraId="616B2DA3">
            <w:pPr>
              <w:wordWrap w:val="0"/>
              <w:spacing w:after="200" w:line="276" w:lineRule="auto"/>
              <w:rPr>
                <w:rFonts w:cs="仿宋" w:asciiTheme="minorEastAsia" w:hAnsiTheme="minorEastAsia" w:eastAsiaTheme="minorEastAsia"/>
                <w:kern w:val="0"/>
                <w:sz w:val="24"/>
                <w:szCs w:val="24"/>
              </w:rPr>
            </w:pPr>
          </w:p>
        </w:tc>
        <w:tc>
          <w:tcPr>
            <w:tcW w:w="1450" w:type="dxa"/>
          </w:tcPr>
          <w:p w14:paraId="525DEE1B">
            <w:pPr>
              <w:wordWrap w:val="0"/>
              <w:spacing w:after="200" w:line="276" w:lineRule="auto"/>
              <w:rPr>
                <w:rFonts w:cs="仿宋" w:asciiTheme="minorEastAsia" w:hAnsiTheme="minorEastAsia" w:eastAsiaTheme="minorEastAsia"/>
                <w:kern w:val="0"/>
                <w:sz w:val="24"/>
                <w:szCs w:val="24"/>
              </w:rPr>
            </w:pPr>
          </w:p>
        </w:tc>
        <w:tc>
          <w:tcPr>
            <w:tcW w:w="1243" w:type="dxa"/>
          </w:tcPr>
          <w:p w14:paraId="73A98F63">
            <w:pPr>
              <w:wordWrap w:val="0"/>
              <w:spacing w:after="200" w:line="276" w:lineRule="auto"/>
              <w:rPr>
                <w:rFonts w:cs="仿宋" w:asciiTheme="minorEastAsia" w:hAnsiTheme="minorEastAsia" w:eastAsiaTheme="minorEastAsia"/>
                <w:kern w:val="0"/>
                <w:sz w:val="24"/>
                <w:szCs w:val="24"/>
              </w:rPr>
            </w:pPr>
          </w:p>
        </w:tc>
        <w:tc>
          <w:tcPr>
            <w:tcW w:w="1450" w:type="dxa"/>
          </w:tcPr>
          <w:p w14:paraId="3410556C">
            <w:pPr>
              <w:wordWrap w:val="0"/>
              <w:spacing w:after="200" w:line="276" w:lineRule="auto"/>
              <w:rPr>
                <w:rFonts w:cs="仿宋" w:asciiTheme="minorEastAsia" w:hAnsiTheme="minorEastAsia" w:eastAsiaTheme="minorEastAsia"/>
                <w:kern w:val="0"/>
                <w:sz w:val="24"/>
                <w:szCs w:val="24"/>
              </w:rPr>
            </w:pPr>
          </w:p>
        </w:tc>
        <w:tc>
          <w:tcPr>
            <w:tcW w:w="1667" w:type="dxa"/>
          </w:tcPr>
          <w:p w14:paraId="58CC418E">
            <w:pPr>
              <w:wordWrap w:val="0"/>
              <w:spacing w:after="200" w:line="276" w:lineRule="auto"/>
              <w:rPr>
                <w:rFonts w:cs="仿宋" w:asciiTheme="minorEastAsia" w:hAnsiTheme="minorEastAsia" w:eastAsiaTheme="minorEastAsia"/>
                <w:kern w:val="0"/>
                <w:sz w:val="24"/>
                <w:szCs w:val="24"/>
              </w:rPr>
            </w:pPr>
          </w:p>
        </w:tc>
      </w:tr>
      <w:tr w14:paraId="2284FD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7BF2392">
            <w:pPr>
              <w:wordWrap w:val="0"/>
              <w:spacing w:after="200" w:line="276" w:lineRule="auto"/>
              <w:rPr>
                <w:rFonts w:cs="仿宋" w:asciiTheme="minorEastAsia" w:hAnsiTheme="minorEastAsia" w:eastAsiaTheme="minorEastAsia"/>
                <w:kern w:val="0"/>
                <w:sz w:val="24"/>
                <w:szCs w:val="24"/>
              </w:rPr>
            </w:pPr>
          </w:p>
        </w:tc>
        <w:tc>
          <w:tcPr>
            <w:tcW w:w="1276" w:type="dxa"/>
          </w:tcPr>
          <w:p w14:paraId="3E5A73EC">
            <w:pPr>
              <w:wordWrap w:val="0"/>
              <w:spacing w:after="200" w:line="276" w:lineRule="auto"/>
              <w:rPr>
                <w:rFonts w:cs="仿宋" w:asciiTheme="minorEastAsia" w:hAnsiTheme="minorEastAsia" w:eastAsiaTheme="minorEastAsia"/>
                <w:kern w:val="0"/>
                <w:sz w:val="24"/>
                <w:szCs w:val="24"/>
              </w:rPr>
            </w:pPr>
          </w:p>
        </w:tc>
        <w:tc>
          <w:tcPr>
            <w:tcW w:w="1450" w:type="dxa"/>
          </w:tcPr>
          <w:p w14:paraId="5DDF8262">
            <w:pPr>
              <w:wordWrap w:val="0"/>
              <w:spacing w:after="200" w:line="276" w:lineRule="auto"/>
              <w:rPr>
                <w:rFonts w:cs="仿宋" w:asciiTheme="minorEastAsia" w:hAnsiTheme="minorEastAsia" w:eastAsiaTheme="minorEastAsia"/>
                <w:kern w:val="0"/>
                <w:sz w:val="24"/>
                <w:szCs w:val="24"/>
              </w:rPr>
            </w:pPr>
          </w:p>
        </w:tc>
        <w:tc>
          <w:tcPr>
            <w:tcW w:w="1243" w:type="dxa"/>
          </w:tcPr>
          <w:p w14:paraId="5628D184">
            <w:pPr>
              <w:wordWrap w:val="0"/>
              <w:spacing w:after="200" w:line="276" w:lineRule="auto"/>
              <w:rPr>
                <w:rFonts w:cs="仿宋" w:asciiTheme="minorEastAsia" w:hAnsiTheme="minorEastAsia" w:eastAsiaTheme="minorEastAsia"/>
                <w:kern w:val="0"/>
                <w:sz w:val="24"/>
                <w:szCs w:val="24"/>
              </w:rPr>
            </w:pPr>
          </w:p>
        </w:tc>
        <w:tc>
          <w:tcPr>
            <w:tcW w:w="1450" w:type="dxa"/>
          </w:tcPr>
          <w:p w14:paraId="06B26B32">
            <w:pPr>
              <w:wordWrap w:val="0"/>
              <w:spacing w:after="200" w:line="276" w:lineRule="auto"/>
              <w:rPr>
                <w:rFonts w:cs="仿宋" w:asciiTheme="minorEastAsia" w:hAnsiTheme="minorEastAsia" w:eastAsiaTheme="minorEastAsia"/>
                <w:kern w:val="0"/>
                <w:sz w:val="24"/>
                <w:szCs w:val="24"/>
              </w:rPr>
            </w:pPr>
          </w:p>
        </w:tc>
        <w:tc>
          <w:tcPr>
            <w:tcW w:w="1667" w:type="dxa"/>
          </w:tcPr>
          <w:p w14:paraId="64483790">
            <w:pPr>
              <w:wordWrap w:val="0"/>
              <w:spacing w:after="200" w:line="276" w:lineRule="auto"/>
              <w:rPr>
                <w:rFonts w:cs="仿宋" w:asciiTheme="minorEastAsia" w:hAnsiTheme="minorEastAsia" w:eastAsiaTheme="minorEastAsia"/>
                <w:kern w:val="0"/>
                <w:sz w:val="24"/>
                <w:szCs w:val="24"/>
              </w:rPr>
            </w:pPr>
          </w:p>
        </w:tc>
      </w:tr>
      <w:tr w14:paraId="0E6EA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B88360C">
            <w:pPr>
              <w:wordWrap w:val="0"/>
              <w:spacing w:after="200" w:line="276" w:lineRule="auto"/>
              <w:rPr>
                <w:rFonts w:cs="仿宋" w:asciiTheme="minorEastAsia" w:hAnsiTheme="minorEastAsia" w:eastAsiaTheme="minorEastAsia"/>
                <w:kern w:val="0"/>
                <w:sz w:val="24"/>
                <w:szCs w:val="24"/>
              </w:rPr>
            </w:pPr>
          </w:p>
        </w:tc>
        <w:tc>
          <w:tcPr>
            <w:tcW w:w="1276" w:type="dxa"/>
          </w:tcPr>
          <w:p w14:paraId="56EB68E0">
            <w:pPr>
              <w:wordWrap w:val="0"/>
              <w:spacing w:after="200" w:line="276" w:lineRule="auto"/>
              <w:rPr>
                <w:rFonts w:cs="仿宋" w:asciiTheme="minorEastAsia" w:hAnsiTheme="minorEastAsia" w:eastAsiaTheme="minorEastAsia"/>
                <w:kern w:val="0"/>
                <w:sz w:val="24"/>
                <w:szCs w:val="24"/>
              </w:rPr>
            </w:pPr>
          </w:p>
        </w:tc>
        <w:tc>
          <w:tcPr>
            <w:tcW w:w="1450" w:type="dxa"/>
          </w:tcPr>
          <w:p w14:paraId="6B7036BB">
            <w:pPr>
              <w:wordWrap w:val="0"/>
              <w:spacing w:after="200" w:line="276" w:lineRule="auto"/>
              <w:rPr>
                <w:rFonts w:cs="仿宋" w:asciiTheme="minorEastAsia" w:hAnsiTheme="minorEastAsia" w:eastAsiaTheme="minorEastAsia"/>
                <w:kern w:val="0"/>
                <w:sz w:val="24"/>
                <w:szCs w:val="24"/>
              </w:rPr>
            </w:pPr>
          </w:p>
        </w:tc>
        <w:tc>
          <w:tcPr>
            <w:tcW w:w="1243" w:type="dxa"/>
          </w:tcPr>
          <w:p w14:paraId="7A09993B">
            <w:pPr>
              <w:wordWrap w:val="0"/>
              <w:spacing w:after="200" w:line="276" w:lineRule="auto"/>
              <w:rPr>
                <w:rFonts w:cs="仿宋" w:asciiTheme="minorEastAsia" w:hAnsiTheme="minorEastAsia" w:eastAsiaTheme="minorEastAsia"/>
                <w:kern w:val="0"/>
                <w:sz w:val="24"/>
                <w:szCs w:val="24"/>
              </w:rPr>
            </w:pPr>
          </w:p>
        </w:tc>
        <w:tc>
          <w:tcPr>
            <w:tcW w:w="1450" w:type="dxa"/>
          </w:tcPr>
          <w:p w14:paraId="65ED028F">
            <w:pPr>
              <w:wordWrap w:val="0"/>
              <w:spacing w:after="200" w:line="276" w:lineRule="auto"/>
              <w:rPr>
                <w:rFonts w:cs="仿宋" w:asciiTheme="minorEastAsia" w:hAnsiTheme="minorEastAsia" w:eastAsiaTheme="minorEastAsia"/>
                <w:kern w:val="0"/>
                <w:sz w:val="24"/>
                <w:szCs w:val="24"/>
              </w:rPr>
            </w:pPr>
          </w:p>
        </w:tc>
        <w:tc>
          <w:tcPr>
            <w:tcW w:w="1667" w:type="dxa"/>
          </w:tcPr>
          <w:p w14:paraId="149147D4">
            <w:pPr>
              <w:wordWrap w:val="0"/>
              <w:spacing w:after="200" w:line="276" w:lineRule="auto"/>
              <w:rPr>
                <w:rFonts w:cs="仿宋" w:asciiTheme="minorEastAsia" w:hAnsiTheme="minorEastAsia" w:eastAsiaTheme="minorEastAsia"/>
                <w:kern w:val="0"/>
                <w:sz w:val="24"/>
                <w:szCs w:val="24"/>
              </w:rPr>
            </w:pPr>
          </w:p>
        </w:tc>
      </w:tr>
      <w:tr w14:paraId="1A301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360143C">
            <w:pPr>
              <w:wordWrap w:val="0"/>
              <w:spacing w:after="200" w:line="276" w:lineRule="auto"/>
              <w:rPr>
                <w:rFonts w:cs="仿宋" w:asciiTheme="minorEastAsia" w:hAnsiTheme="minorEastAsia" w:eastAsiaTheme="minorEastAsia"/>
                <w:kern w:val="0"/>
                <w:sz w:val="24"/>
                <w:szCs w:val="24"/>
              </w:rPr>
            </w:pPr>
          </w:p>
        </w:tc>
        <w:tc>
          <w:tcPr>
            <w:tcW w:w="1276" w:type="dxa"/>
          </w:tcPr>
          <w:p w14:paraId="39B97734">
            <w:pPr>
              <w:wordWrap w:val="0"/>
              <w:spacing w:after="200" w:line="276" w:lineRule="auto"/>
              <w:rPr>
                <w:rFonts w:cs="仿宋" w:asciiTheme="minorEastAsia" w:hAnsiTheme="minorEastAsia" w:eastAsiaTheme="minorEastAsia"/>
                <w:kern w:val="0"/>
                <w:sz w:val="24"/>
                <w:szCs w:val="24"/>
              </w:rPr>
            </w:pPr>
          </w:p>
        </w:tc>
        <w:tc>
          <w:tcPr>
            <w:tcW w:w="1450" w:type="dxa"/>
          </w:tcPr>
          <w:p w14:paraId="4294E68D">
            <w:pPr>
              <w:wordWrap w:val="0"/>
              <w:spacing w:after="200" w:line="276" w:lineRule="auto"/>
              <w:rPr>
                <w:rFonts w:cs="仿宋" w:asciiTheme="minorEastAsia" w:hAnsiTheme="minorEastAsia" w:eastAsiaTheme="minorEastAsia"/>
                <w:kern w:val="0"/>
                <w:sz w:val="24"/>
                <w:szCs w:val="24"/>
              </w:rPr>
            </w:pPr>
          </w:p>
        </w:tc>
        <w:tc>
          <w:tcPr>
            <w:tcW w:w="1243" w:type="dxa"/>
          </w:tcPr>
          <w:p w14:paraId="157726A5">
            <w:pPr>
              <w:wordWrap w:val="0"/>
              <w:spacing w:after="200" w:line="276" w:lineRule="auto"/>
              <w:rPr>
                <w:rFonts w:cs="仿宋" w:asciiTheme="minorEastAsia" w:hAnsiTheme="minorEastAsia" w:eastAsiaTheme="minorEastAsia"/>
                <w:kern w:val="0"/>
                <w:sz w:val="24"/>
                <w:szCs w:val="24"/>
              </w:rPr>
            </w:pPr>
          </w:p>
        </w:tc>
        <w:tc>
          <w:tcPr>
            <w:tcW w:w="1450" w:type="dxa"/>
          </w:tcPr>
          <w:p w14:paraId="5B954CC2">
            <w:pPr>
              <w:wordWrap w:val="0"/>
              <w:spacing w:after="200" w:line="276" w:lineRule="auto"/>
              <w:rPr>
                <w:rFonts w:cs="仿宋" w:asciiTheme="minorEastAsia" w:hAnsiTheme="minorEastAsia" w:eastAsiaTheme="minorEastAsia"/>
                <w:kern w:val="0"/>
                <w:sz w:val="24"/>
                <w:szCs w:val="24"/>
              </w:rPr>
            </w:pPr>
          </w:p>
        </w:tc>
        <w:tc>
          <w:tcPr>
            <w:tcW w:w="1667" w:type="dxa"/>
          </w:tcPr>
          <w:p w14:paraId="3B097437">
            <w:pPr>
              <w:wordWrap w:val="0"/>
              <w:spacing w:after="200" w:line="276" w:lineRule="auto"/>
              <w:rPr>
                <w:rFonts w:cs="仿宋" w:asciiTheme="minorEastAsia" w:hAnsiTheme="minorEastAsia" w:eastAsiaTheme="minorEastAsia"/>
                <w:kern w:val="0"/>
                <w:sz w:val="24"/>
                <w:szCs w:val="24"/>
              </w:rPr>
            </w:pPr>
          </w:p>
        </w:tc>
      </w:tr>
      <w:tr w14:paraId="2F2EF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4B7231F">
            <w:pPr>
              <w:wordWrap w:val="0"/>
              <w:spacing w:after="200" w:line="276" w:lineRule="auto"/>
              <w:rPr>
                <w:rFonts w:cs="仿宋" w:asciiTheme="minorEastAsia" w:hAnsiTheme="minorEastAsia" w:eastAsiaTheme="minorEastAsia"/>
                <w:kern w:val="0"/>
                <w:sz w:val="24"/>
                <w:szCs w:val="24"/>
              </w:rPr>
            </w:pPr>
          </w:p>
        </w:tc>
        <w:tc>
          <w:tcPr>
            <w:tcW w:w="1276" w:type="dxa"/>
          </w:tcPr>
          <w:p w14:paraId="0D2FCA1B">
            <w:pPr>
              <w:wordWrap w:val="0"/>
              <w:spacing w:after="200" w:line="276" w:lineRule="auto"/>
              <w:rPr>
                <w:rFonts w:cs="仿宋" w:asciiTheme="minorEastAsia" w:hAnsiTheme="minorEastAsia" w:eastAsiaTheme="minorEastAsia"/>
                <w:kern w:val="0"/>
                <w:sz w:val="24"/>
                <w:szCs w:val="24"/>
              </w:rPr>
            </w:pPr>
          </w:p>
        </w:tc>
        <w:tc>
          <w:tcPr>
            <w:tcW w:w="1450" w:type="dxa"/>
          </w:tcPr>
          <w:p w14:paraId="2DE4A16D">
            <w:pPr>
              <w:wordWrap w:val="0"/>
              <w:spacing w:after="200" w:line="276" w:lineRule="auto"/>
              <w:rPr>
                <w:rFonts w:cs="仿宋" w:asciiTheme="minorEastAsia" w:hAnsiTheme="minorEastAsia" w:eastAsiaTheme="minorEastAsia"/>
                <w:kern w:val="0"/>
                <w:sz w:val="24"/>
                <w:szCs w:val="24"/>
              </w:rPr>
            </w:pPr>
          </w:p>
        </w:tc>
        <w:tc>
          <w:tcPr>
            <w:tcW w:w="1243" w:type="dxa"/>
          </w:tcPr>
          <w:p w14:paraId="628AB706">
            <w:pPr>
              <w:wordWrap w:val="0"/>
              <w:spacing w:after="200" w:line="276" w:lineRule="auto"/>
              <w:rPr>
                <w:rFonts w:cs="仿宋" w:asciiTheme="minorEastAsia" w:hAnsiTheme="minorEastAsia" w:eastAsiaTheme="minorEastAsia"/>
                <w:kern w:val="0"/>
                <w:sz w:val="24"/>
                <w:szCs w:val="24"/>
              </w:rPr>
            </w:pPr>
          </w:p>
        </w:tc>
        <w:tc>
          <w:tcPr>
            <w:tcW w:w="1450" w:type="dxa"/>
          </w:tcPr>
          <w:p w14:paraId="2629EB34">
            <w:pPr>
              <w:wordWrap w:val="0"/>
              <w:spacing w:after="200" w:line="276" w:lineRule="auto"/>
              <w:rPr>
                <w:rFonts w:cs="仿宋" w:asciiTheme="minorEastAsia" w:hAnsiTheme="minorEastAsia" w:eastAsiaTheme="minorEastAsia"/>
                <w:kern w:val="0"/>
                <w:sz w:val="24"/>
                <w:szCs w:val="24"/>
              </w:rPr>
            </w:pPr>
          </w:p>
        </w:tc>
        <w:tc>
          <w:tcPr>
            <w:tcW w:w="1667" w:type="dxa"/>
          </w:tcPr>
          <w:p w14:paraId="2449F328">
            <w:pPr>
              <w:wordWrap w:val="0"/>
              <w:spacing w:after="200" w:line="276" w:lineRule="auto"/>
              <w:rPr>
                <w:rFonts w:cs="仿宋" w:asciiTheme="minorEastAsia" w:hAnsiTheme="minorEastAsia" w:eastAsiaTheme="minorEastAsia"/>
                <w:kern w:val="0"/>
                <w:sz w:val="24"/>
                <w:szCs w:val="24"/>
              </w:rPr>
            </w:pPr>
          </w:p>
        </w:tc>
      </w:tr>
      <w:tr w14:paraId="14E54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C8D3F21">
            <w:pPr>
              <w:wordWrap w:val="0"/>
              <w:spacing w:after="200" w:line="276" w:lineRule="auto"/>
              <w:rPr>
                <w:rFonts w:cs="仿宋" w:asciiTheme="minorEastAsia" w:hAnsiTheme="minorEastAsia" w:eastAsiaTheme="minorEastAsia"/>
                <w:kern w:val="0"/>
                <w:sz w:val="24"/>
                <w:szCs w:val="24"/>
              </w:rPr>
            </w:pPr>
          </w:p>
        </w:tc>
        <w:tc>
          <w:tcPr>
            <w:tcW w:w="1276" w:type="dxa"/>
          </w:tcPr>
          <w:p w14:paraId="3AFCFD89">
            <w:pPr>
              <w:wordWrap w:val="0"/>
              <w:spacing w:after="200" w:line="276" w:lineRule="auto"/>
              <w:rPr>
                <w:rFonts w:cs="仿宋" w:asciiTheme="minorEastAsia" w:hAnsiTheme="minorEastAsia" w:eastAsiaTheme="minorEastAsia"/>
                <w:kern w:val="0"/>
                <w:sz w:val="24"/>
                <w:szCs w:val="24"/>
              </w:rPr>
            </w:pPr>
          </w:p>
        </w:tc>
        <w:tc>
          <w:tcPr>
            <w:tcW w:w="1450" w:type="dxa"/>
          </w:tcPr>
          <w:p w14:paraId="60DC6775">
            <w:pPr>
              <w:wordWrap w:val="0"/>
              <w:spacing w:after="200" w:line="276" w:lineRule="auto"/>
              <w:rPr>
                <w:rFonts w:cs="仿宋" w:asciiTheme="minorEastAsia" w:hAnsiTheme="minorEastAsia" w:eastAsiaTheme="minorEastAsia"/>
                <w:kern w:val="0"/>
                <w:sz w:val="24"/>
                <w:szCs w:val="24"/>
              </w:rPr>
            </w:pPr>
          </w:p>
        </w:tc>
        <w:tc>
          <w:tcPr>
            <w:tcW w:w="1243" w:type="dxa"/>
          </w:tcPr>
          <w:p w14:paraId="73538EBC">
            <w:pPr>
              <w:wordWrap w:val="0"/>
              <w:spacing w:after="200" w:line="276" w:lineRule="auto"/>
              <w:rPr>
                <w:rFonts w:cs="仿宋" w:asciiTheme="minorEastAsia" w:hAnsiTheme="minorEastAsia" w:eastAsiaTheme="minorEastAsia"/>
                <w:kern w:val="0"/>
                <w:sz w:val="24"/>
                <w:szCs w:val="24"/>
              </w:rPr>
            </w:pPr>
          </w:p>
        </w:tc>
        <w:tc>
          <w:tcPr>
            <w:tcW w:w="1450" w:type="dxa"/>
          </w:tcPr>
          <w:p w14:paraId="2AA0EF20">
            <w:pPr>
              <w:wordWrap w:val="0"/>
              <w:spacing w:after="200" w:line="276" w:lineRule="auto"/>
              <w:rPr>
                <w:rFonts w:cs="仿宋" w:asciiTheme="minorEastAsia" w:hAnsiTheme="minorEastAsia" w:eastAsiaTheme="minorEastAsia"/>
                <w:kern w:val="0"/>
                <w:sz w:val="24"/>
                <w:szCs w:val="24"/>
              </w:rPr>
            </w:pPr>
          </w:p>
        </w:tc>
        <w:tc>
          <w:tcPr>
            <w:tcW w:w="1667" w:type="dxa"/>
          </w:tcPr>
          <w:p w14:paraId="53C05D62">
            <w:pPr>
              <w:wordWrap w:val="0"/>
              <w:spacing w:after="200" w:line="276" w:lineRule="auto"/>
              <w:rPr>
                <w:rFonts w:cs="仿宋" w:asciiTheme="minorEastAsia" w:hAnsiTheme="minorEastAsia" w:eastAsiaTheme="minorEastAsia"/>
                <w:kern w:val="0"/>
                <w:sz w:val="24"/>
                <w:szCs w:val="24"/>
              </w:rPr>
            </w:pPr>
          </w:p>
        </w:tc>
      </w:tr>
    </w:tbl>
    <w:p w14:paraId="00CAAF58">
      <w:pPr>
        <w:wordWrap w:val="0"/>
        <w:spacing w:after="200" w:line="44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4"/>
          <w:szCs w:val="24"/>
        </w:rPr>
        <w:br w:type="page"/>
      </w:r>
      <w:r>
        <w:rPr>
          <w:rFonts w:hint="eastAsia" w:cs="仿宋" w:asciiTheme="minorEastAsia" w:hAnsiTheme="minorEastAsia" w:eastAsiaTheme="minorEastAsia"/>
          <w:kern w:val="0"/>
          <w:sz w:val="28"/>
          <w:szCs w:val="28"/>
        </w:rPr>
        <w:t>附</w:t>
      </w:r>
      <w:bookmarkStart w:id="1599" w:name="_Toc296347226"/>
      <w:bookmarkStart w:id="1600" w:name="_Toc296891055"/>
      <w:bookmarkStart w:id="1601" w:name="_Toc296891267"/>
      <w:bookmarkStart w:id="1602" w:name="_Toc296503227"/>
      <w:bookmarkStart w:id="1603" w:name="_Toc267261698"/>
      <w:bookmarkStart w:id="1604" w:name="_Toc296944566"/>
      <w:bookmarkStart w:id="1605" w:name="_Toc296346728"/>
      <w:r>
        <w:rPr>
          <w:rFonts w:hint="eastAsia" w:cs="仿宋" w:asciiTheme="minorEastAsia" w:hAnsiTheme="minorEastAsia" w:eastAsiaTheme="minorEastAsia"/>
          <w:kern w:val="0"/>
          <w:sz w:val="28"/>
          <w:szCs w:val="28"/>
        </w:rPr>
        <w:t>件5：</w:t>
      </w:r>
    </w:p>
    <w:bookmarkEnd w:id="1599"/>
    <w:bookmarkEnd w:id="1600"/>
    <w:bookmarkEnd w:id="1601"/>
    <w:bookmarkEnd w:id="1602"/>
    <w:bookmarkEnd w:id="1603"/>
    <w:bookmarkEnd w:id="1604"/>
    <w:bookmarkEnd w:id="1605"/>
    <w:p w14:paraId="732E0265">
      <w:pPr>
        <w:wordWrap w:val="0"/>
        <w:spacing w:before="120" w:beforeLines="50" w:after="120" w:afterLines="50" w:line="440" w:lineRule="exact"/>
        <w:jc w:val="center"/>
        <w:rPr>
          <w:rFonts w:cs="仿宋" w:asciiTheme="minorEastAsia" w:hAnsiTheme="minorEastAsia" w:eastAsiaTheme="minorEastAsia"/>
          <w:b/>
          <w:kern w:val="0"/>
          <w:sz w:val="28"/>
          <w:szCs w:val="28"/>
        </w:rPr>
      </w:pPr>
      <w:r>
        <w:rPr>
          <w:rFonts w:hint="eastAsia" w:cs="仿宋" w:asciiTheme="minorEastAsia" w:hAnsiTheme="minorEastAsia" w:eastAsiaTheme="minorEastAsia"/>
          <w:b/>
          <w:kern w:val="0"/>
          <w:sz w:val="28"/>
          <w:szCs w:val="28"/>
        </w:rPr>
        <w:t>承包人用于本工程施工的机械设备表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F2FA0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6C830B8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序号</w:t>
            </w:r>
          </w:p>
        </w:tc>
        <w:tc>
          <w:tcPr>
            <w:tcW w:w="1418" w:type="dxa"/>
            <w:tcBorders>
              <w:top w:val="single" w:color="auto" w:sz="12" w:space="0"/>
              <w:bottom w:val="double" w:color="auto" w:sz="6" w:space="0"/>
            </w:tcBorders>
            <w:vAlign w:val="center"/>
          </w:tcPr>
          <w:p w14:paraId="2C361F5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机械或设备名称</w:t>
            </w:r>
          </w:p>
        </w:tc>
        <w:tc>
          <w:tcPr>
            <w:tcW w:w="850" w:type="dxa"/>
            <w:tcBorders>
              <w:top w:val="single" w:color="auto" w:sz="12" w:space="0"/>
              <w:bottom w:val="double" w:color="auto" w:sz="6" w:space="0"/>
            </w:tcBorders>
            <w:vAlign w:val="center"/>
          </w:tcPr>
          <w:p w14:paraId="5F5A3B1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规格型号</w:t>
            </w:r>
          </w:p>
        </w:tc>
        <w:tc>
          <w:tcPr>
            <w:tcW w:w="1058" w:type="dxa"/>
            <w:tcBorders>
              <w:top w:val="single" w:color="auto" w:sz="12" w:space="0"/>
              <w:bottom w:val="double" w:color="auto" w:sz="6" w:space="0"/>
            </w:tcBorders>
            <w:vAlign w:val="center"/>
          </w:tcPr>
          <w:p w14:paraId="54E9B02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数量</w:t>
            </w:r>
          </w:p>
        </w:tc>
        <w:tc>
          <w:tcPr>
            <w:tcW w:w="880" w:type="dxa"/>
            <w:tcBorders>
              <w:top w:val="single" w:color="auto" w:sz="12" w:space="0"/>
              <w:bottom w:val="double" w:color="auto" w:sz="6" w:space="0"/>
            </w:tcBorders>
            <w:vAlign w:val="center"/>
          </w:tcPr>
          <w:p w14:paraId="7B507E5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产地</w:t>
            </w:r>
          </w:p>
        </w:tc>
        <w:tc>
          <w:tcPr>
            <w:tcW w:w="1020" w:type="dxa"/>
            <w:tcBorders>
              <w:top w:val="single" w:color="auto" w:sz="12" w:space="0"/>
              <w:bottom w:val="double" w:color="auto" w:sz="6" w:space="0"/>
            </w:tcBorders>
            <w:vAlign w:val="center"/>
          </w:tcPr>
          <w:p w14:paraId="2783302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制造年份</w:t>
            </w:r>
          </w:p>
        </w:tc>
        <w:tc>
          <w:tcPr>
            <w:tcW w:w="1480" w:type="dxa"/>
            <w:tcBorders>
              <w:top w:val="single" w:color="auto" w:sz="12" w:space="0"/>
              <w:bottom w:val="double" w:color="auto" w:sz="6" w:space="0"/>
            </w:tcBorders>
            <w:vAlign w:val="center"/>
          </w:tcPr>
          <w:p w14:paraId="20CECE0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额定功率(kW)</w:t>
            </w:r>
          </w:p>
        </w:tc>
        <w:tc>
          <w:tcPr>
            <w:tcW w:w="1020" w:type="dxa"/>
            <w:tcBorders>
              <w:top w:val="single" w:color="auto" w:sz="12" w:space="0"/>
              <w:bottom w:val="double" w:color="auto" w:sz="6" w:space="0"/>
            </w:tcBorders>
            <w:vAlign w:val="center"/>
          </w:tcPr>
          <w:p w14:paraId="75A9B10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生产能力</w:t>
            </w:r>
          </w:p>
        </w:tc>
        <w:tc>
          <w:tcPr>
            <w:tcW w:w="921" w:type="dxa"/>
            <w:tcBorders>
              <w:top w:val="single" w:color="auto" w:sz="12" w:space="0"/>
              <w:bottom w:val="double" w:color="auto" w:sz="6" w:space="0"/>
            </w:tcBorders>
            <w:vAlign w:val="center"/>
          </w:tcPr>
          <w:p w14:paraId="29F84A2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备注</w:t>
            </w:r>
          </w:p>
        </w:tc>
      </w:tr>
      <w:tr w14:paraId="31638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14:paraId="34E86A2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Borders>
              <w:top w:val="double" w:color="auto" w:sz="6" w:space="0"/>
              <w:bottom w:val="single" w:color="auto" w:sz="6" w:space="0"/>
            </w:tcBorders>
            <w:vAlign w:val="center"/>
          </w:tcPr>
          <w:p w14:paraId="3E04EA0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top w:val="double" w:color="auto" w:sz="6" w:space="0"/>
              <w:bottom w:val="single" w:color="auto" w:sz="6" w:space="0"/>
            </w:tcBorders>
            <w:vAlign w:val="center"/>
          </w:tcPr>
          <w:p w14:paraId="0122EDE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58" w:type="dxa"/>
            <w:tcBorders>
              <w:top w:val="double" w:color="auto" w:sz="6" w:space="0"/>
              <w:bottom w:val="single" w:color="auto" w:sz="6" w:space="0"/>
            </w:tcBorders>
            <w:vAlign w:val="center"/>
          </w:tcPr>
          <w:p w14:paraId="5F631D5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80" w:type="dxa"/>
            <w:tcBorders>
              <w:top w:val="double" w:color="auto" w:sz="6" w:space="0"/>
              <w:bottom w:val="single" w:color="auto" w:sz="6" w:space="0"/>
            </w:tcBorders>
            <w:vAlign w:val="center"/>
          </w:tcPr>
          <w:p w14:paraId="250F838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20" w:type="dxa"/>
            <w:tcBorders>
              <w:top w:val="double" w:color="auto" w:sz="6" w:space="0"/>
              <w:bottom w:val="single" w:color="auto" w:sz="6" w:space="0"/>
            </w:tcBorders>
            <w:vAlign w:val="center"/>
          </w:tcPr>
          <w:p w14:paraId="7C37D12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80" w:type="dxa"/>
            <w:tcBorders>
              <w:top w:val="double" w:color="auto" w:sz="6" w:space="0"/>
              <w:bottom w:val="single" w:color="auto" w:sz="6" w:space="0"/>
            </w:tcBorders>
            <w:vAlign w:val="center"/>
          </w:tcPr>
          <w:p w14:paraId="407E1BA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20" w:type="dxa"/>
            <w:tcBorders>
              <w:top w:val="double" w:color="auto" w:sz="6" w:space="0"/>
              <w:bottom w:val="single" w:color="auto" w:sz="6" w:space="0"/>
            </w:tcBorders>
            <w:vAlign w:val="center"/>
          </w:tcPr>
          <w:p w14:paraId="66497D8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21" w:type="dxa"/>
            <w:tcBorders>
              <w:top w:val="double" w:color="auto" w:sz="6" w:space="0"/>
              <w:bottom w:val="single" w:color="auto" w:sz="6" w:space="0"/>
            </w:tcBorders>
            <w:vAlign w:val="center"/>
          </w:tcPr>
          <w:p w14:paraId="1AA67CF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68576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46CD685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Borders>
              <w:top w:val="nil"/>
            </w:tcBorders>
            <w:vAlign w:val="center"/>
          </w:tcPr>
          <w:p w14:paraId="649430E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tcBorders>
              <w:top w:val="nil"/>
            </w:tcBorders>
            <w:vAlign w:val="center"/>
          </w:tcPr>
          <w:p w14:paraId="29B7F50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58" w:type="dxa"/>
            <w:tcBorders>
              <w:top w:val="nil"/>
            </w:tcBorders>
            <w:vAlign w:val="center"/>
          </w:tcPr>
          <w:p w14:paraId="2066E35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80" w:type="dxa"/>
            <w:tcBorders>
              <w:top w:val="nil"/>
            </w:tcBorders>
            <w:vAlign w:val="center"/>
          </w:tcPr>
          <w:p w14:paraId="7ABC207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20" w:type="dxa"/>
            <w:tcBorders>
              <w:top w:val="nil"/>
            </w:tcBorders>
            <w:vAlign w:val="center"/>
          </w:tcPr>
          <w:p w14:paraId="3EA3666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80" w:type="dxa"/>
            <w:tcBorders>
              <w:top w:val="nil"/>
            </w:tcBorders>
            <w:vAlign w:val="center"/>
          </w:tcPr>
          <w:p w14:paraId="14ACCD1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20" w:type="dxa"/>
            <w:tcBorders>
              <w:top w:val="nil"/>
            </w:tcBorders>
            <w:vAlign w:val="center"/>
          </w:tcPr>
          <w:p w14:paraId="48AA633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21" w:type="dxa"/>
            <w:tcBorders>
              <w:top w:val="nil"/>
            </w:tcBorders>
            <w:vAlign w:val="center"/>
          </w:tcPr>
          <w:p w14:paraId="5D80B6C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20B80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825FC5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vAlign w:val="center"/>
          </w:tcPr>
          <w:p w14:paraId="2C38D36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vAlign w:val="center"/>
          </w:tcPr>
          <w:p w14:paraId="73D2EB0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58" w:type="dxa"/>
            <w:vAlign w:val="center"/>
          </w:tcPr>
          <w:p w14:paraId="6EBF5E5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80" w:type="dxa"/>
            <w:vAlign w:val="center"/>
          </w:tcPr>
          <w:p w14:paraId="6F0C605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20" w:type="dxa"/>
            <w:vAlign w:val="center"/>
          </w:tcPr>
          <w:p w14:paraId="27552AD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80" w:type="dxa"/>
            <w:vAlign w:val="center"/>
          </w:tcPr>
          <w:p w14:paraId="40F030F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20" w:type="dxa"/>
            <w:vAlign w:val="center"/>
          </w:tcPr>
          <w:p w14:paraId="163FBDB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21" w:type="dxa"/>
            <w:vAlign w:val="center"/>
          </w:tcPr>
          <w:p w14:paraId="3657E3A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2C1A3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F73B89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vAlign w:val="center"/>
          </w:tcPr>
          <w:p w14:paraId="312EEB6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vAlign w:val="center"/>
          </w:tcPr>
          <w:p w14:paraId="177703F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58" w:type="dxa"/>
            <w:vAlign w:val="center"/>
          </w:tcPr>
          <w:p w14:paraId="4BA306F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80" w:type="dxa"/>
            <w:vAlign w:val="center"/>
          </w:tcPr>
          <w:p w14:paraId="0228F99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20" w:type="dxa"/>
            <w:vAlign w:val="center"/>
          </w:tcPr>
          <w:p w14:paraId="04DCFEA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80" w:type="dxa"/>
            <w:vAlign w:val="center"/>
          </w:tcPr>
          <w:p w14:paraId="4358DE4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20" w:type="dxa"/>
            <w:vAlign w:val="center"/>
          </w:tcPr>
          <w:p w14:paraId="0ED5A0F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21" w:type="dxa"/>
            <w:vAlign w:val="center"/>
          </w:tcPr>
          <w:p w14:paraId="7B9B02D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60A7C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9A342E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vAlign w:val="center"/>
          </w:tcPr>
          <w:p w14:paraId="32B0B8C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vAlign w:val="center"/>
          </w:tcPr>
          <w:p w14:paraId="2A92BE3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58" w:type="dxa"/>
            <w:vAlign w:val="center"/>
          </w:tcPr>
          <w:p w14:paraId="7C148D4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80" w:type="dxa"/>
            <w:vAlign w:val="center"/>
          </w:tcPr>
          <w:p w14:paraId="14DEB0A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20" w:type="dxa"/>
            <w:vAlign w:val="center"/>
          </w:tcPr>
          <w:p w14:paraId="3B76990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80" w:type="dxa"/>
            <w:vAlign w:val="center"/>
          </w:tcPr>
          <w:p w14:paraId="066845D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20" w:type="dxa"/>
            <w:vAlign w:val="center"/>
          </w:tcPr>
          <w:p w14:paraId="6CBABC3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21" w:type="dxa"/>
            <w:vAlign w:val="center"/>
          </w:tcPr>
          <w:p w14:paraId="41D750F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5D4ED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DCE2E0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vAlign w:val="center"/>
          </w:tcPr>
          <w:p w14:paraId="1AA7DF6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vAlign w:val="center"/>
          </w:tcPr>
          <w:p w14:paraId="232E24A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58" w:type="dxa"/>
            <w:vAlign w:val="center"/>
          </w:tcPr>
          <w:p w14:paraId="02FDC2A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80" w:type="dxa"/>
            <w:vAlign w:val="center"/>
          </w:tcPr>
          <w:p w14:paraId="4CF24E3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20" w:type="dxa"/>
            <w:vAlign w:val="center"/>
          </w:tcPr>
          <w:p w14:paraId="4B8FD00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80" w:type="dxa"/>
            <w:vAlign w:val="center"/>
          </w:tcPr>
          <w:p w14:paraId="472D023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20" w:type="dxa"/>
            <w:vAlign w:val="center"/>
          </w:tcPr>
          <w:p w14:paraId="230A89B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21" w:type="dxa"/>
            <w:vAlign w:val="center"/>
          </w:tcPr>
          <w:p w14:paraId="230AAEB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5AF4A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199CDD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vAlign w:val="center"/>
          </w:tcPr>
          <w:p w14:paraId="1572852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vAlign w:val="center"/>
          </w:tcPr>
          <w:p w14:paraId="1FDAD27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58" w:type="dxa"/>
            <w:vAlign w:val="center"/>
          </w:tcPr>
          <w:p w14:paraId="5E285DA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80" w:type="dxa"/>
            <w:vAlign w:val="center"/>
          </w:tcPr>
          <w:p w14:paraId="564832D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20" w:type="dxa"/>
            <w:vAlign w:val="center"/>
          </w:tcPr>
          <w:p w14:paraId="36CDFEB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80" w:type="dxa"/>
            <w:vAlign w:val="center"/>
          </w:tcPr>
          <w:p w14:paraId="5030044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20" w:type="dxa"/>
            <w:vAlign w:val="center"/>
          </w:tcPr>
          <w:p w14:paraId="28D2383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21" w:type="dxa"/>
            <w:vAlign w:val="center"/>
          </w:tcPr>
          <w:p w14:paraId="26A5481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2C89A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9117C7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vAlign w:val="center"/>
          </w:tcPr>
          <w:p w14:paraId="16D3538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vAlign w:val="center"/>
          </w:tcPr>
          <w:p w14:paraId="01BF95F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58" w:type="dxa"/>
            <w:vAlign w:val="center"/>
          </w:tcPr>
          <w:p w14:paraId="3114602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80" w:type="dxa"/>
            <w:vAlign w:val="center"/>
          </w:tcPr>
          <w:p w14:paraId="2437C71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20" w:type="dxa"/>
            <w:vAlign w:val="center"/>
          </w:tcPr>
          <w:p w14:paraId="6D339C0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80" w:type="dxa"/>
            <w:vAlign w:val="center"/>
          </w:tcPr>
          <w:p w14:paraId="533E557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20" w:type="dxa"/>
            <w:vAlign w:val="center"/>
          </w:tcPr>
          <w:p w14:paraId="299227D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21" w:type="dxa"/>
            <w:vAlign w:val="center"/>
          </w:tcPr>
          <w:p w14:paraId="7C8A5D3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7A3C0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987021B">
            <w:pPr>
              <w:wordWrap w:val="0"/>
              <w:spacing w:after="200" w:line="276" w:lineRule="auto"/>
              <w:rPr>
                <w:rFonts w:cs="仿宋" w:asciiTheme="minorEastAsia" w:hAnsiTheme="minorEastAsia" w:eastAsiaTheme="minorEastAsia"/>
                <w:kern w:val="0"/>
                <w:sz w:val="24"/>
                <w:szCs w:val="24"/>
              </w:rPr>
            </w:pPr>
          </w:p>
        </w:tc>
        <w:tc>
          <w:tcPr>
            <w:tcW w:w="1418" w:type="dxa"/>
          </w:tcPr>
          <w:p w14:paraId="1360E4CF">
            <w:pPr>
              <w:wordWrap w:val="0"/>
              <w:spacing w:after="200" w:line="276" w:lineRule="auto"/>
              <w:rPr>
                <w:rFonts w:cs="仿宋" w:asciiTheme="minorEastAsia" w:hAnsiTheme="minorEastAsia" w:eastAsiaTheme="minorEastAsia"/>
                <w:kern w:val="0"/>
                <w:sz w:val="24"/>
                <w:szCs w:val="24"/>
              </w:rPr>
            </w:pPr>
          </w:p>
        </w:tc>
        <w:tc>
          <w:tcPr>
            <w:tcW w:w="850" w:type="dxa"/>
          </w:tcPr>
          <w:p w14:paraId="647C2191">
            <w:pPr>
              <w:wordWrap w:val="0"/>
              <w:spacing w:after="200" w:line="276" w:lineRule="auto"/>
              <w:rPr>
                <w:rFonts w:cs="仿宋" w:asciiTheme="minorEastAsia" w:hAnsiTheme="minorEastAsia" w:eastAsiaTheme="minorEastAsia"/>
                <w:kern w:val="0"/>
                <w:sz w:val="24"/>
                <w:szCs w:val="24"/>
              </w:rPr>
            </w:pPr>
          </w:p>
        </w:tc>
        <w:tc>
          <w:tcPr>
            <w:tcW w:w="1058" w:type="dxa"/>
          </w:tcPr>
          <w:p w14:paraId="0C132FA5">
            <w:pPr>
              <w:wordWrap w:val="0"/>
              <w:spacing w:after="200" w:line="276" w:lineRule="auto"/>
              <w:rPr>
                <w:rFonts w:cs="仿宋" w:asciiTheme="minorEastAsia" w:hAnsiTheme="minorEastAsia" w:eastAsiaTheme="minorEastAsia"/>
                <w:kern w:val="0"/>
                <w:sz w:val="24"/>
                <w:szCs w:val="24"/>
              </w:rPr>
            </w:pPr>
          </w:p>
        </w:tc>
        <w:tc>
          <w:tcPr>
            <w:tcW w:w="880" w:type="dxa"/>
          </w:tcPr>
          <w:p w14:paraId="1587A16D">
            <w:pPr>
              <w:wordWrap w:val="0"/>
              <w:spacing w:after="200" w:line="276" w:lineRule="auto"/>
              <w:rPr>
                <w:rFonts w:cs="仿宋" w:asciiTheme="minorEastAsia" w:hAnsiTheme="minorEastAsia" w:eastAsiaTheme="minorEastAsia"/>
                <w:kern w:val="0"/>
                <w:sz w:val="24"/>
                <w:szCs w:val="24"/>
              </w:rPr>
            </w:pPr>
          </w:p>
        </w:tc>
        <w:tc>
          <w:tcPr>
            <w:tcW w:w="1020" w:type="dxa"/>
          </w:tcPr>
          <w:p w14:paraId="7ABA0B66">
            <w:pPr>
              <w:wordWrap w:val="0"/>
              <w:spacing w:after="200" w:line="276" w:lineRule="auto"/>
              <w:rPr>
                <w:rFonts w:cs="仿宋" w:asciiTheme="minorEastAsia" w:hAnsiTheme="minorEastAsia" w:eastAsiaTheme="minorEastAsia"/>
                <w:kern w:val="0"/>
                <w:sz w:val="24"/>
                <w:szCs w:val="24"/>
              </w:rPr>
            </w:pPr>
          </w:p>
        </w:tc>
        <w:tc>
          <w:tcPr>
            <w:tcW w:w="1480" w:type="dxa"/>
          </w:tcPr>
          <w:p w14:paraId="59AD33B1">
            <w:pPr>
              <w:wordWrap w:val="0"/>
              <w:spacing w:after="200" w:line="276" w:lineRule="auto"/>
              <w:rPr>
                <w:rFonts w:cs="仿宋" w:asciiTheme="minorEastAsia" w:hAnsiTheme="minorEastAsia" w:eastAsiaTheme="minorEastAsia"/>
                <w:kern w:val="0"/>
                <w:sz w:val="24"/>
                <w:szCs w:val="24"/>
              </w:rPr>
            </w:pPr>
          </w:p>
        </w:tc>
        <w:tc>
          <w:tcPr>
            <w:tcW w:w="1020" w:type="dxa"/>
          </w:tcPr>
          <w:p w14:paraId="05FAC639">
            <w:pPr>
              <w:wordWrap w:val="0"/>
              <w:spacing w:after="200" w:line="276" w:lineRule="auto"/>
              <w:rPr>
                <w:rFonts w:cs="仿宋" w:asciiTheme="minorEastAsia" w:hAnsiTheme="minorEastAsia" w:eastAsiaTheme="minorEastAsia"/>
                <w:kern w:val="0"/>
                <w:sz w:val="24"/>
                <w:szCs w:val="24"/>
              </w:rPr>
            </w:pPr>
          </w:p>
        </w:tc>
        <w:tc>
          <w:tcPr>
            <w:tcW w:w="921" w:type="dxa"/>
          </w:tcPr>
          <w:p w14:paraId="33AB7216">
            <w:pPr>
              <w:wordWrap w:val="0"/>
              <w:spacing w:after="200" w:line="276" w:lineRule="auto"/>
              <w:rPr>
                <w:rFonts w:cs="仿宋" w:asciiTheme="minorEastAsia" w:hAnsiTheme="minorEastAsia" w:eastAsiaTheme="minorEastAsia"/>
                <w:kern w:val="0"/>
                <w:sz w:val="24"/>
                <w:szCs w:val="24"/>
              </w:rPr>
            </w:pPr>
          </w:p>
        </w:tc>
      </w:tr>
      <w:tr w14:paraId="0D505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D9937F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vAlign w:val="center"/>
          </w:tcPr>
          <w:p w14:paraId="4567BF9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0" w:type="dxa"/>
            <w:vAlign w:val="center"/>
          </w:tcPr>
          <w:p w14:paraId="02C58D5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58" w:type="dxa"/>
            <w:vAlign w:val="center"/>
          </w:tcPr>
          <w:p w14:paraId="0FED530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80" w:type="dxa"/>
            <w:vAlign w:val="center"/>
          </w:tcPr>
          <w:p w14:paraId="3784725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20" w:type="dxa"/>
            <w:vAlign w:val="center"/>
          </w:tcPr>
          <w:p w14:paraId="0EED46A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80" w:type="dxa"/>
            <w:vAlign w:val="center"/>
          </w:tcPr>
          <w:p w14:paraId="15A9C7D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020" w:type="dxa"/>
            <w:vAlign w:val="center"/>
          </w:tcPr>
          <w:p w14:paraId="2ABBCD9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921" w:type="dxa"/>
            <w:vAlign w:val="center"/>
          </w:tcPr>
          <w:p w14:paraId="2FCAE77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7F1582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AD0477F">
            <w:pPr>
              <w:wordWrap w:val="0"/>
              <w:spacing w:after="200" w:line="276" w:lineRule="auto"/>
              <w:rPr>
                <w:rFonts w:cs="仿宋" w:asciiTheme="minorEastAsia" w:hAnsiTheme="minorEastAsia" w:eastAsiaTheme="minorEastAsia"/>
                <w:kern w:val="0"/>
                <w:sz w:val="24"/>
                <w:szCs w:val="24"/>
              </w:rPr>
            </w:pPr>
          </w:p>
        </w:tc>
        <w:tc>
          <w:tcPr>
            <w:tcW w:w="1418" w:type="dxa"/>
          </w:tcPr>
          <w:p w14:paraId="4EFB2C92">
            <w:pPr>
              <w:wordWrap w:val="0"/>
              <w:spacing w:after="200" w:line="276" w:lineRule="auto"/>
              <w:rPr>
                <w:rFonts w:cs="仿宋" w:asciiTheme="minorEastAsia" w:hAnsiTheme="minorEastAsia" w:eastAsiaTheme="minorEastAsia"/>
                <w:kern w:val="0"/>
                <w:sz w:val="24"/>
                <w:szCs w:val="24"/>
              </w:rPr>
            </w:pPr>
          </w:p>
        </w:tc>
        <w:tc>
          <w:tcPr>
            <w:tcW w:w="850" w:type="dxa"/>
          </w:tcPr>
          <w:p w14:paraId="130633D1">
            <w:pPr>
              <w:wordWrap w:val="0"/>
              <w:spacing w:after="200" w:line="276" w:lineRule="auto"/>
              <w:rPr>
                <w:rFonts w:cs="仿宋" w:asciiTheme="minorEastAsia" w:hAnsiTheme="minorEastAsia" w:eastAsiaTheme="minorEastAsia"/>
                <w:kern w:val="0"/>
                <w:sz w:val="24"/>
                <w:szCs w:val="24"/>
              </w:rPr>
            </w:pPr>
          </w:p>
        </w:tc>
        <w:tc>
          <w:tcPr>
            <w:tcW w:w="1058" w:type="dxa"/>
          </w:tcPr>
          <w:p w14:paraId="7C878E28">
            <w:pPr>
              <w:wordWrap w:val="0"/>
              <w:spacing w:after="200" w:line="276" w:lineRule="auto"/>
              <w:rPr>
                <w:rFonts w:cs="仿宋" w:asciiTheme="minorEastAsia" w:hAnsiTheme="minorEastAsia" w:eastAsiaTheme="minorEastAsia"/>
                <w:kern w:val="0"/>
                <w:sz w:val="24"/>
                <w:szCs w:val="24"/>
              </w:rPr>
            </w:pPr>
          </w:p>
        </w:tc>
        <w:tc>
          <w:tcPr>
            <w:tcW w:w="880" w:type="dxa"/>
          </w:tcPr>
          <w:p w14:paraId="693357F8">
            <w:pPr>
              <w:wordWrap w:val="0"/>
              <w:spacing w:after="200" w:line="276" w:lineRule="auto"/>
              <w:rPr>
                <w:rFonts w:cs="仿宋" w:asciiTheme="minorEastAsia" w:hAnsiTheme="minorEastAsia" w:eastAsiaTheme="minorEastAsia"/>
                <w:kern w:val="0"/>
                <w:sz w:val="24"/>
                <w:szCs w:val="24"/>
              </w:rPr>
            </w:pPr>
          </w:p>
        </w:tc>
        <w:tc>
          <w:tcPr>
            <w:tcW w:w="1020" w:type="dxa"/>
          </w:tcPr>
          <w:p w14:paraId="04EFB80C">
            <w:pPr>
              <w:wordWrap w:val="0"/>
              <w:spacing w:after="200" w:line="276" w:lineRule="auto"/>
              <w:rPr>
                <w:rFonts w:cs="仿宋" w:asciiTheme="minorEastAsia" w:hAnsiTheme="minorEastAsia" w:eastAsiaTheme="minorEastAsia"/>
                <w:kern w:val="0"/>
                <w:sz w:val="24"/>
                <w:szCs w:val="24"/>
              </w:rPr>
            </w:pPr>
          </w:p>
        </w:tc>
        <w:tc>
          <w:tcPr>
            <w:tcW w:w="1480" w:type="dxa"/>
          </w:tcPr>
          <w:p w14:paraId="512534AE">
            <w:pPr>
              <w:wordWrap w:val="0"/>
              <w:spacing w:after="200" w:line="276" w:lineRule="auto"/>
              <w:rPr>
                <w:rFonts w:cs="仿宋" w:asciiTheme="minorEastAsia" w:hAnsiTheme="minorEastAsia" w:eastAsiaTheme="minorEastAsia"/>
                <w:kern w:val="0"/>
                <w:sz w:val="24"/>
                <w:szCs w:val="24"/>
              </w:rPr>
            </w:pPr>
          </w:p>
        </w:tc>
        <w:tc>
          <w:tcPr>
            <w:tcW w:w="1020" w:type="dxa"/>
          </w:tcPr>
          <w:p w14:paraId="32824909">
            <w:pPr>
              <w:wordWrap w:val="0"/>
              <w:spacing w:after="200" w:line="276" w:lineRule="auto"/>
              <w:rPr>
                <w:rFonts w:cs="仿宋" w:asciiTheme="minorEastAsia" w:hAnsiTheme="minorEastAsia" w:eastAsiaTheme="minorEastAsia"/>
                <w:kern w:val="0"/>
                <w:sz w:val="24"/>
                <w:szCs w:val="24"/>
              </w:rPr>
            </w:pPr>
          </w:p>
        </w:tc>
        <w:tc>
          <w:tcPr>
            <w:tcW w:w="921" w:type="dxa"/>
          </w:tcPr>
          <w:p w14:paraId="6BABC245">
            <w:pPr>
              <w:wordWrap w:val="0"/>
              <w:spacing w:after="200" w:line="276" w:lineRule="auto"/>
              <w:rPr>
                <w:rFonts w:cs="仿宋" w:asciiTheme="minorEastAsia" w:hAnsiTheme="minorEastAsia" w:eastAsiaTheme="minorEastAsia"/>
                <w:kern w:val="0"/>
                <w:sz w:val="24"/>
                <w:szCs w:val="24"/>
              </w:rPr>
            </w:pPr>
          </w:p>
        </w:tc>
      </w:tr>
      <w:tr w14:paraId="13CFC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FFDF500">
            <w:pPr>
              <w:wordWrap w:val="0"/>
              <w:spacing w:after="200" w:line="276" w:lineRule="auto"/>
              <w:rPr>
                <w:rFonts w:cs="仿宋" w:asciiTheme="minorEastAsia" w:hAnsiTheme="minorEastAsia" w:eastAsiaTheme="minorEastAsia"/>
                <w:kern w:val="0"/>
                <w:sz w:val="24"/>
                <w:szCs w:val="24"/>
              </w:rPr>
            </w:pPr>
          </w:p>
        </w:tc>
        <w:tc>
          <w:tcPr>
            <w:tcW w:w="1418" w:type="dxa"/>
          </w:tcPr>
          <w:p w14:paraId="2A5CA73B">
            <w:pPr>
              <w:wordWrap w:val="0"/>
              <w:spacing w:after="200" w:line="276" w:lineRule="auto"/>
              <w:rPr>
                <w:rFonts w:cs="仿宋" w:asciiTheme="minorEastAsia" w:hAnsiTheme="minorEastAsia" w:eastAsiaTheme="minorEastAsia"/>
                <w:kern w:val="0"/>
                <w:sz w:val="24"/>
                <w:szCs w:val="24"/>
              </w:rPr>
            </w:pPr>
          </w:p>
        </w:tc>
        <w:tc>
          <w:tcPr>
            <w:tcW w:w="850" w:type="dxa"/>
          </w:tcPr>
          <w:p w14:paraId="562476BD">
            <w:pPr>
              <w:wordWrap w:val="0"/>
              <w:spacing w:after="200" w:line="276" w:lineRule="auto"/>
              <w:rPr>
                <w:rFonts w:cs="仿宋" w:asciiTheme="minorEastAsia" w:hAnsiTheme="minorEastAsia" w:eastAsiaTheme="minorEastAsia"/>
                <w:kern w:val="0"/>
                <w:sz w:val="24"/>
                <w:szCs w:val="24"/>
              </w:rPr>
            </w:pPr>
          </w:p>
        </w:tc>
        <w:tc>
          <w:tcPr>
            <w:tcW w:w="1058" w:type="dxa"/>
          </w:tcPr>
          <w:p w14:paraId="691B175E">
            <w:pPr>
              <w:wordWrap w:val="0"/>
              <w:spacing w:after="200" w:line="276" w:lineRule="auto"/>
              <w:rPr>
                <w:rFonts w:cs="仿宋" w:asciiTheme="minorEastAsia" w:hAnsiTheme="minorEastAsia" w:eastAsiaTheme="minorEastAsia"/>
                <w:kern w:val="0"/>
                <w:sz w:val="24"/>
                <w:szCs w:val="24"/>
              </w:rPr>
            </w:pPr>
          </w:p>
        </w:tc>
        <w:tc>
          <w:tcPr>
            <w:tcW w:w="880" w:type="dxa"/>
          </w:tcPr>
          <w:p w14:paraId="6C929283">
            <w:pPr>
              <w:wordWrap w:val="0"/>
              <w:spacing w:after="200" w:line="276" w:lineRule="auto"/>
              <w:rPr>
                <w:rFonts w:cs="仿宋" w:asciiTheme="minorEastAsia" w:hAnsiTheme="minorEastAsia" w:eastAsiaTheme="minorEastAsia"/>
                <w:kern w:val="0"/>
                <w:sz w:val="24"/>
                <w:szCs w:val="24"/>
              </w:rPr>
            </w:pPr>
          </w:p>
        </w:tc>
        <w:tc>
          <w:tcPr>
            <w:tcW w:w="1020" w:type="dxa"/>
          </w:tcPr>
          <w:p w14:paraId="6358CA15">
            <w:pPr>
              <w:wordWrap w:val="0"/>
              <w:spacing w:after="200" w:line="276" w:lineRule="auto"/>
              <w:rPr>
                <w:rFonts w:cs="仿宋" w:asciiTheme="minorEastAsia" w:hAnsiTheme="minorEastAsia" w:eastAsiaTheme="minorEastAsia"/>
                <w:kern w:val="0"/>
                <w:sz w:val="24"/>
                <w:szCs w:val="24"/>
              </w:rPr>
            </w:pPr>
          </w:p>
        </w:tc>
        <w:tc>
          <w:tcPr>
            <w:tcW w:w="1480" w:type="dxa"/>
          </w:tcPr>
          <w:p w14:paraId="2387D5A3">
            <w:pPr>
              <w:wordWrap w:val="0"/>
              <w:spacing w:after="200" w:line="276" w:lineRule="auto"/>
              <w:rPr>
                <w:rFonts w:cs="仿宋" w:asciiTheme="minorEastAsia" w:hAnsiTheme="minorEastAsia" w:eastAsiaTheme="minorEastAsia"/>
                <w:kern w:val="0"/>
                <w:sz w:val="24"/>
                <w:szCs w:val="24"/>
              </w:rPr>
            </w:pPr>
          </w:p>
        </w:tc>
        <w:tc>
          <w:tcPr>
            <w:tcW w:w="1020" w:type="dxa"/>
          </w:tcPr>
          <w:p w14:paraId="580963DD">
            <w:pPr>
              <w:wordWrap w:val="0"/>
              <w:spacing w:after="200" w:line="276" w:lineRule="auto"/>
              <w:rPr>
                <w:rFonts w:cs="仿宋" w:asciiTheme="minorEastAsia" w:hAnsiTheme="minorEastAsia" w:eastAsiaTheme="minorEastAsia"/>
                <w:kern w:val="0"/>
                <w:sz w:val="24"/>
                <w:szCs w:val="24"/>
              </w:rPr>
            </w:pPr>
          </w:p>
        </w:tc>
        <w:tc>
          <w:tcPr>
            <w:tcW w:w="921" w:type="dxa"/>
          </w:tcPr>
          <w:p w14:paraId="7424BF47">
            <w:pPr>
              <w:wordWrap w:val="0"/>
              <w:spacing w:after="200" w:line="276" w:lineRule="auto"/>
              <w:rPr>
                <w:rFonts w:cs="仿宋" w:asciiTheme="minorEastAsia" w:hAnsiTheme="minorEastAsia" w:eastAsiaTheme="minorEastAsia"/>
                <w:kern w:val="0"/>
                <w:sz w:val="24"/>
                <w:szCs w:val="24"/>
              </w:rPr>
            </w:pPr>
          </w:p>
        </w:tc>
      </w:tr>
      <w:tr w14:paraId="35F26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37AA2B4">
            <w:pPr>
              <w:wordWrap w:val="0"/>
              <w:spacing w:after="200" w:line="276" w:lineRule="auto"/>
              <w:rPr>
                <w:rFonts w:cs="仿宋" w:asciiTheme="minorEastAsia" w:hAnsiTheme="minorEastAsia" w:eastAsiaTheme="minorEastAsia"/>
                <w:kern w:val="0"/>
                <w:sz w:val="24"/>
                <w:szCs w:val="24"/>
              </w:rPr>
            </w:pPr>
          </w:p>
        </w:tc>
        <w:tc>
          <w:tcPr>
            <w:tcW w:w="1418" w:type="dxa"/>
          </w:tcPr>
          <w:p w14:paraId="5E73A3F9">
            <w:pPr>
              <w:wordWrap w:val="0"/>
              <w:spacing w:after="200" w:line="276" w:lineRule="auto"/>
              <w:rPr>
                <w:rFonts w:cs="仿宋" w:asciiTheme="minorEastAsia" w:hAnsiTheme="minorEastAsia" w:eastAsiaTheme="minorEastAsia"/>
                <w:kern w:val="0"/>
                <w:sz w:val="24"/>
                <w:szCs w:val="24"/>
              </w:rPr>
            </w:pPr>
          </w:p>
        </w:tc>
        <w:tc>
          <w:tcPr>
            <w:tcW w:w="850" w:type="dxa"/>
          </w:tcPr>
          <w:p w14:paraId="17FC23BE">
            <w:pPr>
              <w:wordWrap w:val="0"/>
              <w:spacing w:after="200" w:line="276" w:lineRule="auto"/>
              <w:rPr>
                <w:rFonts w:cs="仿宋" w:asciiTheme="minorEastAsia" w:hAnsiTheme="minorEastAsia" w:eastAsiaTheme="minorEastAsia"/>
                <w:kern w:val="0"/>
                <w:sz w:val="24"/>
                <w:szCs w:val="24"/>
              </w:rPr>
            </w:pPr>
          </w:p>
        </w:tc>
        <w:tc>
          <w:tcPr>
            <w:tcW w:w="1058" w:type="dxa"/>
          </w:tcPr>
          <w:p w14:paraId="5CA9D9BB">
            <w:pPr>
              <w:wordWrap w:val="0"/>
              <w:spacing w:after="200" w:line="276" w:lineRule="auto"/>
              <w:rPr>
                <w:rFonts w:cs="仿宋" w:asciiTheme="minorEastAsia" w:hAnsiTheme="minorEastAsia" w:eastAsiaTheme="minorEastAsia"/>
                <w:kern w:val="0"/>
                <w:sz w:val="24"/>
                <w:szCs w:val="24"/>
              </w:rPr>
            </w:pPr>
          </w:p>
        </w:tc>
        <w:tc>
          <w:tcPr>
            <w:tcW w:w="880" w:type="dxa"/>
          </w:tcPr>
          <w:p w14:paraId="39F7CFC6">
            <w:pPr>
              <w:wordWrap w:val="0"/>
              <w:spacing w:after="200" w:line="276" w:lineRule="auto"/>
              <w:rPr>
                <w:rFonts w:cs="仿宋" w:asciiTheme="minorEastAsia" w:hAnsiTheme="minorEastAsia" w:eastAsiaTheme="minorEastAsia"/>
                <w:kern w:val="0"/>
                <w:sz w:val="24"/>
                <w:szCs w:val="24"/>
              </w:rPr>
            </w:pPr>
          </w:p>
        </w:tc>
        <w:tc>
          <w:tcPr>
            <w:tcW w:w="1020" w:type="dxa"/>
          </w:tcPr>
          <w:p w14:paraId="0BB02E2E">
            <w:pPr>
              <w:wordWrap w:val="0"/>
              <w:spacing w:after="200" w:line="276" w:lineRule="auto"/>
              <w:rPr>
                <w:rFonts w:cs="仿宋" w:asciiTheme="minorEastAsia" w:hAnsiTheme="minorEastAsia" w:eastAsiaTheme="minorEastAsia"/>
                <w:kern w:val="0"/>
                <w:sz w:val="24"/>
                <w:szCs w:val="24"/>
              </w:rPr>
            </w:pPr>
          </w:p>
        </w:tc>
        <w:tc>
          <w:tcPr>
            <w:tcW w:w="1480" w:type="dxa"/>
          </w:tcPr>
          <w:p w14:paraId="4CE09450">
            <w:pPr>
              <w:wordWrap w:val="0"/>
              <w:spacing w:after="200" w:line="276" w:lineRule="auto"/>
              <w:rPr>
                <w:rFonts w:cs="仿宋" w:asciiTheme="minorEastAsia" w:hAnsiTheme="minorEastAsia" w:eastAsiaTheme="minorEastAsia"/>
                <w:kern w:val="0"/>
                <w:sz w:val="24"/>
                <w:szCs w:val="24"/>
              </w:rPr>
            </w:pPr>
          </w:p>
        </w:tc>
        <w:tc>
          <w:tcPr>
            <w:tcW w:w="1020" w:type="dxa"/>
          </w:tcPr>
          <w:p w14:paraId="1EDE299C">
            <w:pPr>
              <w:wordWrap w:val="0"/>
              <w:spacing w:after="200" w:line="276" w:lineRule="auto"/>
              <w:rPr>
                <w:rFonts w:cs="仿宋" w:asciiTheme="minorEastAsia" w:hAnsiTheme="minorEastAsia" w:eastAsiaTheme="minorEastAsia"/>
                <w:kern w:val="0"/>
                <w:sz w:val="24"/>
                <w:szCs w:val="24"/>
              </w:rPr>
            </w:pPr>
          </w:p>
        </w:tc>
        <w:tc>
          <w:tcPr>
            <w:tcW w:w="921" w:type="dxa"/>
          </w:tcPr>
          <w:p w14:paraId="51E13D58">
            <w:pPr>
              <w:wordWrap w:val="0"/>
              <w:spacing w:after="200" w:line="276" w:lineRule="auto"/>
              <w:rPr>
                <w:rFonts w:cs="仿宋" w:asciiTheme="minorEastAsia" w:hAnsiTheme="minorEastAsia" w:eastAsiaTheme="minorEastAsia"/>
                <w:kern w:val="0"/>
                <w:sz w:val="24"/>
                <w:szCs w:val="24"/>
              </w:rPr>
            </w:pPr>
          </w:p>
        </w:tc>
      </w:tr>
      <w:tr w14:paraId="4E46C4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AD3492B">
            <w:pPr>
              <w:wordWrap w:val="0"/>
              <w:spacing w:after="200" w:line="276" w:lineRule="auto"/>
              <w:rPr>
                <w:rFonts w:cs="仿宋" w:asciiTheme="minorEastAsia" w:hAnsiTheme="minorEastAsia" w:eastAsiaTheme="minorEastAsia"/>
                <w:kern w:val="0"/>
                <w:sz w:val="24"/>
                <w:szCs w:val="24"/>
              </w:rPr>
            </w:pPr>
          </w:p>
        </w:tc>
        <w:tc>
          <w:tcPr>
            <w:tcW w:w="1418" w:type="dxa"/>
          </w:tcPr>
          <w:p w14:paraId="5E4803EF">
            <w:pPr>
              <w:wordWrap w:val="0"/>
              <w:spacing w:after="200" w:line="276" w:lineRule="auto"/>
              <w:rPr>
                <w:rFonts w:cs="仿宋" w:asciiTheme="minorEastAsia" w:hAnsiTheme="minorEastAsia" w:eastAsiaTheme="minorEastAsia"/>
                <w:kern w:val="0"/>
                <w:sz w:val="24"/>
                <w:szCs w:val="24"/>
              </w:rPr>
            </w:pPr>
          </w:p>
        </w:tc>
        <w:tc>
          <w:tcPr>
            <w:tcW w:w="850" w:type="dxa"/>
          </w:tcPr>
          <w:p w14:paraId="7EB2FE59">
            <w:pPr>
              <w:wordWrap w:val="0"/>
              <w:spacing w:after="200" w:line="276" w:lineRule="auto"/>
              <w:rPr>
                <w:rFonts w:cs="仿宋" w:asciiTheme="minorEastAsia" w:hAnsiTheme="minorEastAsia" w:eastAsiaTheme="minorEastAsia"/>
                <w:kern w:val="0"/>
                <w:sz w:val="24"/>
                <w:szCs w:val="24"/>
              </w:rPr>
            </w:pPr>
          </w:p>
        </w:tc>
        <w:tc>
          <w:tcPr>
            <w:tcW w:w="1058" w:type="dxa"/>
          </w:tcPr>
          <w:p w14:paraId="66AE2539">
            <w:pPr>
              <w:wordWrap w:val="0"/>
              <w:spacing w:after="200" w:line="276" w:lineRule="auto"/>
              <w:rPr>
                <w:rFonts w:cs="仿宋" w:asciiTheme="minorEastAsia" w:hAnsiTheme="minorEastAsia" w:eastAsiaTheme="minorEastAsia"/>
                <w:kern w:val="0"/>
                <w:sz w:val="24"/>
                <w:szCs w:val="24"/>
              </w:rPr>
            </w:pPr>
          </w:p>
        </w:tc>
        <w:tc>
          <w:tcPr>
            <w:tcW w:w="880" w:type="dxa"/>
          </w:tcPr>
          <w:p w14:paraId="0D09BBEF">
            <w:pPr>
              <w:wordWrap w:val="0"/>
              <w:spacing w:after="200" w:line="276" w:lineRule="auto"/>
              <w:rPr>
                <w:rFonts w:cs="仿宋" w:asciiTheme="minorEastAsia" w:hAnsiTheme="minorEastAsia" w:eastAsiaTheme="minorEastAsia"/>
                <w:kern w:val="0"/>
                <w:sz w:val="24"/>
                <w:szCs w:val="24"/>
              </w:rPr>
            </w:pPr>
          </w:p>
        </w:tc>
        <w:tc>
          <w:tcPr>
            <w:tcW w:w="1020" w:type="dxa"/>
          </w:tcPr>
          <w:p w14:paraId="68C602FD">
            <w:pPr>
              <w:wordWrap w:val="0"/>
              <w:spacing w:after="200" w:line="276" w:lineRule="auto"/>
              <w:rPr>
                <w:rFonts w:cs="仿宋" w:asciiTheme="minorEastAsia" w:hAnsiTheme="minorEastAsia" w:eastAsiaTheme="minorEastAsia"/>
                <w:kern w:val="0"/>
                <w:sz w:val="24"/>
                <w:szCs w:val="24"/>
              </w:rPr>
            </w:pPr>
          </w:p>
        </w:tc>
        <w:tc>
          <w:tcPr>
            <w:tcW w:w="1480" w:type="dxa"/>
          </w:tcPr>
          <w:p w14:paraId="385A3A8F">
            <w:pPr>
              <w:wordWrap w:val="0"/>
              <w:spacing w:after="200" w:line="276" w:lineRule="auto"/>
              <w:rPr>
                <w:rFonts w:cs="仿宋" w:asciiTheme="minorEastAsia" w:hAnsiTheme="minorEastAsia" w:eastAsiaTheme="minorEastAsia"/>
                <w:kern w:val="0"/>
                <w:sz w:val="24"/>
                <w:szCs w:val="24"/>
              </w:rPr>
            </w:pPr>
          </w:p>
        </w:tc>
        <w:tc>
          <w:tcPr>
            <w:tcW w:w="1020" w:type="dxa"/>
          </w:tcPr>
          <w:p w14:paraId="13E8DBA5">
            <w:pPr>
              <w:wordWrap w:val="0"/>
              <w:spacing w:after="200" w:line="276" w:lineRule="auto"/>
              <w:rPr>
                <w:rFonts w:cs="仿宋" w:asciiTheme="minorEastAsia" w:hAnsiTheme="minorEastAsia" w:eastAsiaTheme="minorEastAsia"/>
                <w:kern w:val="0"/>
                <w:sz w:val="24"/>
                <w:szCs w:val="24"/>
              </w:rPr>
            </w:pPr>
          </w:p>
        </w:tc>
        <w:tc>
          <w:tcPr>
            <w:tcW w:w="921" w:type="dxa"/>
          </w:tcPr>
          <w:p w14:paraId="6BF72DC5">
            <w:pPr>
              <w:wordWrap w:val="0"/>
              <w:spacing w:after="200" w:line="276" w:lineRule="auto"/>
              <w:rPr>
                <w:rFonts w:cs="仿宋" w:asciiTheme="minorEastAsia" w:hAnsiTheme="minorEastAsia" w:eastAsiaTheme="minorEastAsia"/>
                <w:kern w:val="0"/>
                <w:sz w:val="24"/>
                <w:szCs w:val="24"/>
              </w:rPr>
            </w:pPr>
          </w:p>
        </w:tc>
      </w:tr>
      <w:tr w14:paraId="73677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119A95C">
            <w:pPr>
              <w:wordWrap w:val="0"/>
              <w:spacing w:after="200" w:line="276" w:lineRule="auto"/>
              <w:rPr>
                <w:rFonts w:cs="仿宋" w:asciiTheme="minorEastAsia" w:hAnsiTheme="minorEastAsia" w:eastAsiaTheme="minorEastAsia"/>
                <w:kern w:val="0"/>
                <w:sz w:val="24"/>
                <w:szCs w:val="24"/>
              </w:rPr>
            </w:pPr>
          </w:p>
        </w:tc>
        <w:tc>
          <w:tcPr>
            <w:tcW w:w="1418" w:type="dxa"/>
          </w:tcPr>
          <w:p w14:paraId="5799D2C5">
            <w:pPr>
              <w:wordWrap w:val="0"/>
              <w:spacing w:after="200" w:line="276" w:lineRule="auto"/>
              <w:rPr>
                <w:rFonts w:cs="仿宋" w:asciiTheme="minorEastAsia" w:hAnsiTheme="minorEastAsia" w:eastAsiaTheme="minorEastAsia"/>
                <w:kern w:val="0"/>
                <w:sz w:val="24"/>
                <w:szCs w:val="24"/>
              </w:rPr>
            </w:pPr>
          </w:p>
        </w:tc>
        <w:tc>
          <w:tcPr>
            <w:tcW w:w="850" w:type="dxa"/>
          </w:tcPr>
          <w:p w14:paraId="721D7C9C">
            <w:pPr>
              <w:wordWrap w:val="0"/>
              <w:spacing w:after="200" w:line="276" w:lineRule="auto"/>
              <w:rPr>
                <w:rFonts w:cs="仿宋" w:asciiTheme="minorEastAsia" w:hAnsiTheme="minorEastAsia" w:eastAsiaTheme="minorEastAsia"/>
                <w:kern w:val="0"/>
                <w:sz w:val="24"/>
                <w:szCs w:val="24"/>
              </w:rPr>
            </w:pPr>
          </w:p>
        </w:tc>
        <w:tc>
          <w:tcPr>
            <w:tcW w:w="1058" w:type="dxa"/>
          </w:tcPr>
          <w:p w14:paraId="75778388">
            <w:pPr>
              <w:wordWrap w:val="0"/>
              <w:spacing w:after="200" w:line="276" w:lineRule="auto"/>
              <w:rPr>
                <w:rFonts w:cs="仿宋" w:asciiTheme="minorEastAsia" w:hAnsiTheme="minorEastAsia" w:eastAsiaTheme="minorEastAsia"/>
                <w:kern w:val="0"/>
                <w:sz w:val="24"/>
                <w:szCs w:val="24"/>
              </w:rPr>
            </w:pPr>
          </w:p>
        </w:tc>
        <w:tc>
          <w:tcPr>
            <w:tcW w:w="880" w:type="dxa"/>
          </w:tcPr>
          <w:p w14:paraId="6A84E0FB">
            <w:pPr>
              <w:wordWrap w:val="0"/>
              <w:spacing w:after="200" w:line="276" w:lineRule="auto"/>
              <w:rPr>
                <w:rFonts w:cs="仿宋" w:asciiTheme="minorEastAsia" w:hAnsiTheme="minorEastAsia" w:eastAsiaTheme="minorEastAsia"/>
                <w:kern w:val="0"/>
                <w:sz w:val="24"/>
                <w:szCs w:val="24"/>
              </w:rPr>
            </w:pPr>
          </w:p>
        </w:tc>
        <w:tc>
          <w:tcPr>
            <w:tcW w:w="1020" w:type="dxa"/>
          </w:tcPr>
          <w:p w14:paraId="7CE0ABA2">
            <w:pPr>
              <w:wordWrap w:val="0"/>
              <w:spacing w:after="200" w:line="276" w:lineRule="auto"/>
              <w:rPr>
                <w:rFonts w:cs="仿宋" w:asciiTheme="minorEastAsia" w:hAnsiTheme="minorEastAsia" w:eastAsiaTheme="minorEastAsia"/>
                <w:kern w:val="0"/>
                <w:sz w:val="24"/>
                <w:szCs w:val="24"/>
              </w:rPr>
            </w:pPr>
          </w:p>
        </w:tc>
        <w:tc>
          <w:tcPr>
            <w:tcW w:w="1480" w:type="dxa"/>
          </w:tcPr>
          <w:p w14:paraId="0996D9CF">
            <w:pPr>
              <w:wordWrap w:val="0"/>
              <w:spacing w:after="200" w:line="276" w:lineRule="auto"/>
              <w:rPr>
                <w:rFonts w:cs="仿宋" w:asciiTheme="minorEastAsia" w:hAnsiTheme="minorEastAsia" w:eastAsiaTheme="minorEastAsia"/>
                <w:kern w:val="0"/>
                <w:sz w:val="24"/>
                <w:szCs w:val="24"/>
              </w:rPr>
            </w:pPr>
          </w:p>
        </w:tc>
        <w:tc>
          <w:tcPr>
            <w:tcW w:w="1020" w:type="dxa"/>
          </w:tcPr>
          <w:p w14:paraId="7F53D614">
            <w:pPr>
              <w:wordWrap w:val="0"/>
              <w:spacing w:after="200" w:line="276" w:lineRule="auto"/>
              <w:rPr>
                <w:rFonts w:cs="仿宋" w:asciiTheme="minorEastAsia" w:hAnsiTheme="minorEastAsia" w:eastAsiaTheme="minorEastAsia"/>
                <w:kern w:val="0"/>
                <w:sz w:val="24"/>
                <w:szCs w:val="24"/>
              </w:rPr>
            </w:pPr>
          </w:p>
        </w:tc>
        <w:tc>
          <w:tcPr>
            <w:tcW w:w="921" w:type="dxa"/>
          </w:tcPr>
          <w:p w14:paraId="140B3E2B">
            <w:pPr>
              <w:wordWrap w:val="0"/>
              <w:spacing w:after="200" w:line="276" w:lineRule="auto"/>
              <w:rPr>
                <w:rFonts w:cs="仿宋" w:asciiTheme="minorEastAsia" w:hAnsiTheme="minorEastAsia" w:eastAsiaTheme="minorEastAsia"/>
                <w:kern w:val="0"/>
                <w:sz w:val="24"/>
                <w:szCs w:val="24"/>
              </w:rPr>
            </w:pPr>
          </w:p>
        </w:tc>
      </w:tr>
      <w:tr w14:paraId="0455E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C3F15EA">
            <w:pPr>
              <w:wordWrap w:val="0"/>
              <w:spacing w:after="200" w:line="276" w:lineRule="auto"/>
              <w:rPr>
                <w:rFonts w:cs="仿宋" w:asciiTheme="minorEastAsia" w:hAnsiTheme="minorEastAsia" w:eastAsiaTheme="minorEastAsia"/>
                <w:kern w:val="0"/>
                <w:sz w:val="24"/>
                <w:szCs w:val="24"/>
              </w:rPr>
            </w:pPr>
          </w:p>
        </w:tc>
        <w:tc>
          <w:tcPr>
            <w:tcW w:w="1418" w:type="dxa"/>
          </w:tcPr>
          <w:p w14:paraId="1B5B3570">
            <w:pPr>
              <w:wordWrap w:val="0"/>
              <w:spacing w:after="200" w:line="276" w:lineRule="auto"/>
              <w:rPr>
                <w:rFonts w:cs="仿宋" w:asciiTheme="minorEastAsia" w:hAnsiTheme="minorEastAsia" w:eastAsiaTheme="minorEastAsia"/>
                <w:kern w:val="0"/>
                <w:sz w:val="24"/>
                <w:szCs w:val="24"/>
              </w:rPr>
            </w:pPr>
          </w:p>
        </w:tc>
        <w:tc>
          <w:tcPr>
            <w:tcW w:w="850" w:type="dxa"/>
          </w:tcPr>
          <w:p w14:paraId="209E1D7A">
            <w:pPr>
              <w:wordWrap w:val="0"/>
              <w:spacing w:after="200" w:line="276" w:lineRule="auto"/>
              <w:rPr>
                <w:rFonts w:cs="仿宋" w:asciiTheme="minorEastAsia" w:hAnsiTheme="minorEastAsia" w:eastAsiaTheme="minorEastAsia"/>
                <w:kern w:val="0"/>
                <w:sz w:val="24"/>
                <w:szCs w:val="24"/>
              </w:rPr>
            </w:pPr>
          </w:p>
        </w:tc>
        <w:tc>
          <w:tcPr>
            <w:tcW w:w="1058" w:type="dxa"/>
          </w:tcPr>
          <w:p w14:paraId="74952EFE">
            <w:pPr>
              <w:wordWrap w:val="0"/>
              <w:spacing w:after="200" w:line="276" w:lineRule="auto"/>
              <w:rPr>
                <w:rFonts w:cs="仿宋" w:asciiTheme="minorEastAsia" w:hAnsiTheme="minorEastAsia" w:eastAsiaTheme="minorEastAsia"/>
                <w:kern w:val="0"/>
                <w:sz w:val="24"/>
                <w:szCs w:val="24"/>
              </w:rPr>
            </w:pPr>
          </w:p>
        </w:tc>
        <w:tc>
          <w:tcPr>
            <w:tcW w:w="880" w:type="dxa"/>
          </w:tcPr>
          <w:p w14:paraId="50306333">
            <w:pPr>
              <w:wordWrap w:val="0"/>
              <w:spacing w:after="200" w:line="276" w:lineRule="auto"/>
              <w:rPr>
                <w:rFonts w:cs="仿宋" w:asciiTheme="minorEastAsia" w:hAnsiTheme="minorEastAsia" w:eastAsiaTheme="minorEastAsia"/>
                <w:kern w:val="0"/>
                <w:sz w:val="24"/>
                <w:szCs w:val="24"/>
              </w:rPr>
            </w:pPr>
          </w:p>
        </w:tc>
        <w:tc>
          <w:tcPr>
            <w:tcW w:w="1020" w:type="dxa"/>
          </w:tcPr>
          <w:p w14:paraId="2A54DCA3">
            <w:pPr>
              <w:wordWrap w:val="0"/>
              <w:spacing w:after="200" w:line="276" w:lineRule="auto"/>
              <w:rPr>
                <w:rFonts w:cs="仿宋" w:asciiTheme="minorEastAsia" w:hAnsiTheme="minorEastAsia" w:eastAsiaTheme="minorEastAsia"/>
                <w:kern w:val="0"/>
                <w:sz w:val="24"/>
                <w:szCs w:val="24"/>
              </w:rPr>
            </w:pPr>
          </w:p>
        </w:tc>
        <w:tc>
          <w:tcPr>
            <w:tcW w:w="1480" w:type="dxa"/>
          </w:tcPr>
          <w:p w14:paraId="24C3F350">
            <w:pPr>
              <w:wordWrap w:val="0"/>
              <w:spacing w:after="200" w:line="276" w:lineRule="auto"/>
              <w:rPr>
                <w:rFonts w:cs="仿宋" w:asciiTheme="minorEastAsia" w:hAnsiTheme="minorEastAsia" w:eastAsiaTheme="minorEastAsia"/>
                <w:kern w:val="0"/>
                <w:sz w:val="24"/>
                <w:szCs w:val="24"/>
              </w:rPr>
            </w:pPr>
          </w:p>
        </w:tc>
        <w:tc>
          <w:tcPr>
            <w:tcW w:w="1020" w:type="dxa"/>
          </w:tcPr>
          <w:p w14:paraId="754D4BA6">
            <w:pPr>
              <w:wordWrap w:val="0"/>
              <w:spacing w:after="200" w:line="276" w:lineRule="auto"/>
              <w:rPr>
                <w:rFonts w:cs="仿宋" w:asciiTheme="minorEastAsia" w:hAnsiTheme="minorEastAsia" w:eastAsiaTheme="minorEastAsia"/>
                <w:kern w:val="0"/>
                <w:sz w:val="24"/>
                <w:szCs w:val="24"/>
              </w:rPr>
            </w:pPr>
          </w:p>
        </w:tc>
        <w:tc>
          <w:tcPr>
            <w:tcW w:w="921" w:type="dxa"/>
          </w:tcPr>
          <w:p w14:paraId="19D37133">
            <w:pPr>
              <w:wordWrap w:val="0"/>
              <w:spacing w:after="200" w:line="276" w:lineRule="auto"/>
              <w:rPr>
                <w:rFonts w:cs="仿宋" w:asciiTheme="minorEastAsia" w:hAnsiTheme="minorEastAsia" w:eastAsiaTheme="minorEastAsia"/>
                <w:kern w:val="0"/>
                <w:sz w:val="24"/>
                <w:szCs w:val="24"/>
              </w:rPr>
            </w:pPr>
          </w:p>
        </w:tc>
      </w:tr>
      <w:tr w14:paraId="0BC03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2FAA334">
            <w:pPr>
              <w:wordWrap w:val="0"/>
              <w:spacing w:after="200" w:line="276" w:lineRule="auto"/>
              <w:rPr>
                <w:rFonts w:cs="仿宋" w:asciiTheme="minorEastAsia" w:hAnsiTheme="minorEastAsia" w:eastAsiaTheme="minorEastAsia"/>
                <w:kern w:val="0"/>
                <w:sz w:val="24"/>
                <w:szCs w:val="24"/>
              </w:rPr>
            </w:pPr>
          </w:p>
        </w:tc>
        <w:tc>
          <w:tcPr>
            <w:tcW w:w="1418" w:type="dxa"/>
          </w:tcPr>
          <w:p w14:paraId="7C0AFD27">
            <w:pPr>
              <w:wordWrap w:val="0"/>
              <w:spacing w:after="200" w:line="276" w:lineRule="auto"/>
              <w:rPr>
                <w:rFonts w:cs="仿宋" w:asciiTheme="minorEastAsia" w:hAnsiTheme="minorEastAsia" w:eastAsiaTheme="minorEastAsia"/>
                <w:kern w:val="0"/>
                <w:sz w:val="24"/>
                <w:szCs w:val="24"/>
              </w:rPr>
            </w:pPr>
          </w:p>
        </w:tc>
        <w:tc>
          <w:tcPr>
            <w:tcW w:w="850" w:type="dxa"/>
          </w:tcPr>
          <w:p w14:paraId="1697896B">
            <w:pPr>
              <w:wordWrap w:val="0"/>
              <w:spacing w:after="200" w:line="276" w:lineRule="auto"/>
              <w:rPr>
                <w:rFonts w:cs="仿宋" w:asciiTheme="minorEastAsia" w:hAnsiTheme="minorEastAsia" w:eastAsiaTheme="minorEastAsia"/>
                <w:kern w:val="0"/>
                <w:sz w:val="24"/>
                <w:szCs w:val="24"/>
              </w:rPr>
            </w:pPr>
          </w:p>
        </w:tc>
        <w:tc>
          <w:tcPr>
            <w:tcW w:w="1058" w:type="dxa"/>
          </w:tcPr>
          <w:p w14:paraId="51EE929E">
            <w:pPr>
              <w:wordWrap w:val="0"/>
              <w:spacing w:after="200" w:line="276" w:lineRule="auto"/>
              <w:rPr>
                <w:rFonts w:cs="仿宋" w:asciiTheme="minorEastAsia" w:hAnsiTheme="minorEastAsia" w:eastAsiaTheme="minorEastAsia"/>
                <w:kern w:val="0"/>
                <w:sz w:val="24"/>
                <w:szCs w:val="24"/>
              </w:rPr>
            </w:pPr>
          </w:p>
        </w:tc>
        <w:tc>
          <w:tcPr>
            <w:tcW w:w="880" w:type="dxa"/>
          </w:tcPr>
          <w:p w14:paraId="666C9663">
            <w:pPr>
              <w:wordWrap w:val="0"/>
              <w:spacing w:after="200" w:line="276" w:lineRule="auto"/>
              <w:rPr>
                <w:rFonts w:cs="仿宋" w:asciiTheme="minorEastAsia" w:hAnsiTheme="minorEastAsia" w:eastAsiaTheme="minorEastAsia"/>
                <w:kern w:val="0"/>
                <w:sz w:val="24"/>
                <w:szCs w:val="24"/>
              </w:rPr>
            </w:pPr>
          </w:p>
        </w:tc>
        <w:tc>
          <w:tcPr>
            <w:tcW w:w="1020" w:type="dxa"/>
          </w:tcPr>
          <w:p w14:paraId="1EC3E3C4">
            <w:pPr>
              <w:wordWrap w:val="0"/>
              <w:spacing w:after="200" w:line="276" w:lineRule="auto"/>
              <w:rPr>
                <w:rFonts w:cs="仿宋" w:asciiTheme="minorEastAsia" w:hAnsiTheme="minorEastAsia" w:eastAsiaTheme="minorEastAsia"/>
                <w:kern w:val="0"/>
                <w:sz w:val="24"/>
                <w:szCs w:val="24"/>
              </w:rPr>
            </w:pPr>
          </w:p>
        </w:tc>
        <w:tc>
          <w:tcPr>
            <w:tcW w:w="1480" w:type="dxa"/>
          </w:tcPr>
          <w:p w14:paraId="4B635C80">
            <w:pPr>
              <w:wordWrap w:val="0"/>
              <w:spacing w:after="200" w:line="276" w:lineRule="auto"/>
              <w:rPr>
                <w:rFonts w:cs="仿宋" w:asciiTheme="minorEastAsia" w:hAnsiTheme="minorEastAsia" w:eastAsiaTheme="minorEastAsia"/>
                <w:kern w:val="0"/>
                <w:sz w:val="24"/>
                <w:szCs w:val="24"/>
              </w:rPr>
            </w:pPr>
          </w:p>
        </w:tc>
        <w:tc>
          <w:tcPr>
            <w:tcW w:w="1020" w:type="dxa"/>
          </w:tcPr>
          <w:p w14:paraId="42598EC0">
            <w:pPr>
              <w:wordWrap w:val="0"/>
              <w:spacing w:after="200" w:line="276" w:lineRule="auto"/>
              <w:rPr>
                <w:rFonts w:cs="仿宋" w:asciiTheme="minorEastAsia" w:hAnsiTheme="minorEastAsia" w:eastAsiaTheme="minorEastAsia"/>
                <w:kern w:val="0"/>
                <w:sz w:val="24"/>
                <w:szCs w:val="24"/>
              </w:rPr>
            </w:pPr>
          </w:p>
        </w:tc>
        <w:tc>
          <w:tcPr>
            <w:tcW w:w="921" w:type="dxa"/>
          </w:tcPr>
          <w:p w14:paraId="1C5D2ABD">
            <w:pPr>
              <w:wordWrap w:val="0"/>
              <w:spacing w:after="200" w:line="276" w:lineRule="auto"/>
              <w:rPr>
                <w:rFonts w:cs="仿宋" w:asciiTheme="minorEastAsia" w:hAnsiTheme="minorEastAsia" w:eastAsiaTheme="minorEastAsia"/>
                <w:kern w:val="0"/>
                <w:sz w:val="24"/>
                <w:szCs w:val="24"/>
              </w:rPr>
            </w:pPr>
          </w:p>
        </w:tc>
      </w:tr>
      <w:tr w14:paraId="03E6F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7EF5DE6">
            <w:pPr>
              <w:wordWrap w:val="0"/>
              <w:spacing w:after="200" w:line="276" w:lineRule="auto"/>
              <w:rPr>
                <w:rFonts w:cs="仿宋" w:asciiTheme="minorEastAsia" w:hAnsiTheme="minorEastAsia" w:eastAsiaTheme="minorEastAsia"/>
                <w:kern w:val="0"/>
                <w:sz w:val="24"/>
                <w:szCs w:val="24"/>
              </w:rPr>
            </w:pPr>
          </w:p>
        </w:tc>
        <w:tc>
          <w:tcPr>
            <w:tcW w:w="1418" w:type="dxa"/>
          </w:tcPr>
          <w:p w14:paraId="419A8992">
            <w:pPr>
              <w:wordWrap w:val="0"/>
              <w:spacing w:after="200" w:line="276" w:lineRule="auto"/>
              <w:rPr>
                <w:rFonts w:cs="仿宋" w:asciiTheme="minorEastAsia" w:hAnsiTheme="minorEastAsia" w:eastAsiaTheme="minorEastAsia"/>
                <w:kern w:val="0"/>
                <w:sz w:val="24"/>
                <w:szCs w:val="24"/>
              </w:rPr>
            </w:pPr>
          </w:p>
        </w:tc>
        <w:tc>
          <w:tcPr>
            <w:tcW w:w="850" w:type="dxa"/>
          </w:tcPr>
          <w:p w14:paraId="1357F0C9">
            <w:pPr>
              <w:wordWrap w:val="0"/>
              <w:spacing w:after="200" w:line="276" w:lineRule="auto"/>
              <w:rPr>
                <w:rFonts w:cs="仿宋" w:asciiTheme="minorEastAsia" w:hAnsiTheme="minorEastAsia" w:eastAsiaTheme="minorEastAsia"/>
                <w:kern w:val="0"/>
                <w:sz w:val="24"/>
                <w:szCs w:val="24"/>
              </w:rPr>
            </w:pPr>
          </w:p>
        </w:tc>
        <w:tc>
          <w:tcPr>
            <w:tcW w:w="1058" w:type="dxa"/>
          </w:tcPr>
          <w:p w14:paraId="1243833B">
            <w:pPr>
              <w:wordWrap w:val="0"/>
              <w:spacing w:after="200" w:line="276" w:lineRule="auto"/>
              <w:rPr>
                <w:rFonts w:cs="仿宋" w:asciiTheme="minorEastAsia" w:hAnsiTheme="minorEastAsia" w:eastAsiaTheme="minorEastAsia"/>
                <w:kern w:val="0"/>
                <w:sz w:val="24"/>
                <w:szCs w:val="24"/>
              </w:rPr>
            </w:pPr>
          </w:p>
        </w:tc>
        <w:tc>
          <w:tcPr>
            <w:tcW w:w="880" w:type="dxa"/>
          </w:tcPr>
          <w:p w14:paraId="3DB6908B">
            <w:pPr>
              <w:wordWrap w:val="0"/>
              <w:spacing w:after="200" w:line="276" w:lineRule="auto"/>
              <w:rPr>
                <w:rFonts w:cs="仿宋" w:asciiTheme="minorEastAsia" w:hAnsiTheme="minorEastAsia" w:eastAsiaTheme="minorEastAsia"/>
                <w:kern w:val="0"/>
                <w:sz w:val="24"/>
                <w:szCs w:val="24"/>
              </w:rPr>
            </w:pPr>
          </w:p>
        </w:tc>
        <w:tc>
          <w:tcPr>
            <w:tcW w:w="1020" w:type="dxa"/>
          </w:tcPr>
          <w:p w14:paraId="22266B0C">
            <w:pPr>
              <w:wordWrap w:val="0"/>
              <w:spacing w:after="200" w:line="276" w:lineRule="auto"/>
              <w:rPr>
                <w:rFonts w:cs="仿宋" w:asciiTheme="minorEastAsia" w:hAnsiTheme="minorEastAsia" w:eastAsiaTheme="minorEastAsia"/>
                <w:kern w:val="0"/>
                <w:sz w:val="24"/>
                <w:szCs w:val="24"/>
              </w:rPr>
            </w:pPr>
          </w:p>
        </w:tc>
        <w:tc>
          <w:tcPr>
            <w:tcW w:w="1480" w:type="dxa"/>
          </w:tcPr>
          <w:p w14:paraId="7161F0E6">
            <w:pPr>
              <w:wordWrap w:val="0"/>
              <w:spacing w:after="200" w:line="276" w:lineRule="auto"/>
              <w:rPr>
                <w:rFonts w:cs="仿宋" w:asciiTheme="minorEastAsia" w:hAnsiTheme="minorEastAsia" w:eastAsiaTheme="minorEastAsia"/>
                <w:kern w:val="0"/>
                <w:sz w:val="24"/>
                <w:szCs w:val="24"/>
              </w:rPr>
            </w:pPr>
          </w:p>
        </w:tc>
        <w:tc>
          <w:tcPr>
            <w:tcW w:w="1020" w:type="dxa"/>
          </w:tcPr>
          <w:p w14:paraId="4E1D6F48">
            <w:pPr>
              <w:wordWrap w:val="0"/>
              <w:spacing w:after="200" w:line="276" w:lineRule="auto"/>
              <w:rPr>
                <w:rFonts w:cs="仿宋" w:asciiTheme="minorEastAsia" w:hAnsiTheme="minorEastAsia" w:eastAsiaTheme="minorEastAsia"/>
                <w:kern w:val="0"/>
                <w:sz w:val="24"/>
                <w:szCs w:val="24"/>
              </w:rPr>
            </w:pPr>
          </w:p>
        </w:tc>
        <w:tc>
          <w:tcPr>
            <w:tcW w:w="921" w:type="dxa"/>
          </w:tcPr>
          <w:p w14:paraId="5F54A054">
            <w:pPr>
              <w:wordWrap w:val="0"/>
              <w:spacing w:after="200" w:line="276" w:lineRule="auto"/>
              <w:rPr>
                <w:rFonts w:cs="仿宋" w:asciiTheme="minorEastAsia" w:hAnsiTheme="minorEastAsia" w:eastAsiaTheme="minorEastAsia"/>
                <w:kern w:val="0"/>
                <w:sz w:val="24"/>
                <w:szCs w:val="24"/>
              </w:rPr>
            </w:pPr>
          </w:p>
        </w:tc>
      </w:tr>
      <w:tr w14:paraId="69D10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A6FD59D">
            <w:pPr>
              <w:wordWrap w:val="0"/>
              <w:spacing w:after="200" w:line="276" w:lineRule="auto"/>
              <w:rPr>
                <w:rFonts w:cs="仿宋" w:asciiTheme="minorEastAsia" w:hAnsiTheme="minorEastAsia" w:eastAsiaTheme="minorEastAsia"/>
                <w:kern w:val="0"/>
                <w:sz w:val="24"/>
                <w:szCs w:val="24"/>
              </w:rPr>
            </w:pPr>
          </w:p>
        </w:tc>
        <w:tc>
          <w:tcPr>
            <w:tcW w:w="1418" w:type="dxa"/>
          </w:tcPr>
          <w:p w14:paraId="7945E257">
            <w:pPr>
              <w:wordWrap w:val="0"/>
              <w:spacing w:after="200" w:line="276" w:lineRule="auto"/>
              <w:rPr>
                <w:rFonts w:cs="仿宋" w:asciiTheme="minorEastAsia" w:hAnsiTheme="minorEastAsia" w:eastAsiaTheme="minorEastAsia"/>
                <w:kern w:val="0"/>
                <w:sz w:val="24"/>
                <w:szCs w:val="24"/>
              </w:rPr>
            </w:pPr>
          </w:p>
        </w:tc>
        <w:tc>
          <w:tcPr>
            <w:tcW w:w="850" w:type="dxa"/>
          </w:tcPr>
          <w:p w14:paraId="162FCDC8">
            <w:pPr>
              <w:wordWrap w:val="0"/>
              <w:spacing w:after="200" w:line="276" w:lineRule="auto"/>
              <w:rPr>
                <w:rFonts w:cs="仿宋" w:asciiTheme="minorEastAsia" w:hAnsiTheme="minorEastAsia" w:eastAsiaTheme="minorEastAsia"/>
                <w:kern w:val="0"/>
                <w:sz w:val="24"/>
                <w:szCs w:val="24"/>
              </w:rPr>
            </w:pPr>
          </w:p>
        </w:tc>
        <w:tc>
          <w:tcPr>
            <w:tcW w:w="1058" w:type="dxa"/>
          </w:tcPr>
          <w:p w14:paraId="096BDB2E">
            <w:pPr>
              <w:wordWrap w:val="0"/>
              <w:spacing w:after="200" w:line="276" w:lineRule="auto"/>
              <w:rPr>
                <w:rFonts w:cs="仿宋" w:asciiTheme="minorEastAsia" w:hAnsiTheme="minorEastAsia" w:eastAsiaTheme="minorEastAsia"/>
                <w:kern w:val="0"/>
                <w:sz w:val="24"/>
                <w:szCs w:val="24"/>
              </w:rPr>
            </w:pPr>
          </w:p>
        </w:tc>
        <w:tc>
          <w:tcPr>
            <w:tcW w:w="880" w:type="dxa"/>
          </w:tcPr>
          <w:p w14:paraId="3588266D">
            <w:pPr>
              <w:wordWrap w:val="0"/>
              <w:spacing w:after="200" w:line="276" w:lineRule="auto"/>
              <w:rPr>
                <w:rFonts w:cs="仿宋" w:asciiTheme="minorEastAsia" w:hAnsiTheme="minorEastAsia" w:eastAsiaTheme="minorEastAsia"/>
                <w:kern w:val="0"/>
                <w:sz w:val="24"/>
                <w:szCs w:val="24"/>
              </w:rPr>
            </w:pPr>
          </w:p>
        </w:tc>
        <w:tc>
          <w:tcPr>
            <w:tcW w:w="1020" w:type="dxa"/>
          </w:tcPr>
          <w:p w14:paraId="2F48F4DA">
            <w:pPr>
              <w:wordWrap w:val="0"/>
              <w:spacing w:after="200" w:line="276" w:lineRule="auto"/>
              <w:rPr>
                <w:rFonts w:cs="仿宋" w:asciiTheme="minorEastAsia" w:hAnsiTheme="minorEastAsia" w:eastAsiaTheme="minorEastAsia"/>
                <w:kern w:val="0"/>
                <w:sz w:val="24"/>
                <w:szCs w:val="24"/>
              </w:rPr>
            </w:pPr>
          </w:p>
        </w:tc>
        <w:tc>
          <w:tcPr>
            <w:tcW w:w="1480" w:type="dxa"/>
          </w:tcPr>
          <w:p w14:paraId="5BE0B776">
            <w:pPr>
              <w:wordWrap w:val="0"/>
              <w:spacing w:after="200" w:line="276" w:lineRule="auto"/>
              <w:rPr>
                <w:rFonts w:cs="仿宋" w:asciiTheme="minorEastAsia" w:hAnsiTheme="minorEastAsia" w:eastAsiaTheme="minorEastAsia"/>
                <w:kern w:val="0"/>
                <w:sz w:val="24"/>
                <w:szCs w:val="24"/>
              </w:rPr>
            </w:pPr>
          </w:p>
        </w:tc>
        <w:tc>
          <w:tcPr>
            <w:tcW w:w="1020" w:type="dxa"/>
          </w:tcPr>
          <w:p w14:paraId="6A4CE122">
            <w:pPr>
              <w:wordWrap w:val="0"/>
              <w:spacing w:after="200" w:line="276" w:lineRule="auto"/>
              <w:rPr>
                <w:rFonts w:cs="仿宋" w:asciiTheme="minorEastAsia" w:hAnsiTheme="minorEastAsia" w:eastAsiaTheme="minorEastAsia"/>
                <w:kern w:val="0"/>
                <w:sz w:val="24"/>
                <w:szCs w:val="24"/>
              </w:rPr>
            </w:pPr>
          </w:p>
        </w:tc>
        <w:tc>
          <w:tcPr>
            <w:tcW w:w="921" w:type="dxa"/>
          </w:tcPr>
          <w:p w14:paraId="6ED4C129">
            <w:pPr>
              <w:wordWrap w:val="0"/>
              <w:spacing w:after="200" w:line="276" w:lineRule="auto"/>
              <w:rPr>
                <w:rFonts w:cs="仿宋" w:asciiTheme="minorEastAsia" w:hAnsiTheme="minorEastAsia" w:eastAsiaTheme="minorEastAsia"/>
                <w:kern w:val="0"/>
                <w:sz w:val="24"/>
                <w:szCs w:val="24"/>
              </w:rPr>
            </w:pPr>
          </w:p>
        </w:tc>
      </w:tr>
    </w:tbl>
    <w:p w14:paraId="01BDFC05">
      <w:pPr>
        <w:wordWrap w:val="0"/>
        <w:spacing w:after="200" w:line="440" w:lineRule="exact"/>
        <w:rPr>
          <w:rFonts w:cs="仿宋" w:asciiTheme="minorEastAsia" w:hAnsiTheme="minorEastAsia" w:eastAsiaTheme="minorEastAsia"/>
          <w:kern w:val="0"/>
          <w:sz w:val="24"/>
          <w:szCs w:val="24"/>
        </w:rPr>
      </w:pPr>
    </w:p>
    <w:p w14:paraId="3FC5DED0">
      <w:pPr>
        <w:wordWrap w:val="0"/>
        <w:spacing w:after="200" w:line="44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附</w:t>
      </w:r>
      <w:bookmarkStart w:id="1606" w:name="_Toc296346729"/>
      <w:bookmarkStart w:id="1607" w:name="_Toc296347227"/>
      <w:bookmarkStart w:id="1608" w:name="_Toc267261699"/>
      <w:bookmarkStart w:id="1609" w:name="_Toc296891056"/>
      <w:bookmarkStart w:id="1610" w:name="_Toc296891268"/>
      <w:bookmarkStart w:id="1611" w:name="_Toc296503228"/>
      <w:bookmarkStart w:id="1612" w:name="_Toc296944567"/>
      <w:r>
        <w:rPr>
          <w:rFonts w:hint="eastAsia" w:cs="仿宋" w:asciiTheme="minorEastAsia" w:hAnsiTheme="minorEastAsia" w:eastAsiaTheme="minorEastAsia"/>
          <w:kern w:val="0"/>
          <w:sz w:val="28"/>
          <w:szCs w:val="28"/>
        </w:rPr>
        <w:t>件6：</w:t>
      </w:r>
    </w:p>
    <w:bookmarkEnd w:id="1606"/>
    <w:bookmarkEnd w:id="1607"/>
    <w:bookmarkEnd w:id="1608"/>
    <w:bookmarkEnd w:id="1609"/>
    <w:bookmarkEnd w:id="1610"/>
    <w:bookmarkEnd w:id="1611"/>
    <w:bookmarkEnd w:id="1612"/>
    <w:p w14:paraId="1FA27BB4">
      <w:pPr>
        <w:wordWrap w:val="0"/>
        <w:spacing w:before="120" w:beforeLines="50" w:after="120" w:afterLines="50" w:line="440" w:lineRule="exact"/>
        <w:jc w:val="center"/>
        <w:rPr>
          <w:rFonts w:cs="仿宋" w:asciiTheme="minorEastAsia" w:hAnsiTheme="minorEastAsia" w:eastAsiaTheme="minorEastAsia"/>
          <w:b/>
          <w:kern w:val="0"/>
          <w:sz w:val="28"/>
          <w:szCs w:val="28"/>
        </w:rPr>
      </w:pPr>
      <w:r>
        <w:rPr>
          <w:rFonts w:hint="eastAsia" w:cs="仿宋" w:asciiTheme="minorEastAsia" w:hAnsiTheme="minorEastAsia" w:eastAsiaTheme="minorEastAsia"/>
          <w:b/>
          <w:kern w:val="0"/>
          <w:sz w:val="28"/>
          <w:szCs w:val="28"/>
        </w:rPr>
        <w:t>承包人主要施工管理人员表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10DA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7A772F8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名    称</w:t>
            </w:r>
          </w:p>
        </w:tc>
        <w:tc>
          <w:tcPr>
            <w:tcW w:w="1418" w:type="dxa"/>
            <w:tcBorders>
              <w:top w:val="single" w:color="auto" w:sz="12" w:space="0"/>
              <w:bottom w:val="double" w:color="auto" w:sz="6" w:space="0"/>
            </w:tcBorders>
            <w:vAlign w:val="center"/>
          </w:tcPr>
          <w:p w14:paraId="0516F56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姓名</w:t>
            </w:r>
          </w:p>
        </w:tc>
        <w:tc>
          <w:tcPr>
            <w:tcW w:w="1134" w:type="dxa"/>
            <w:tcBorders>
              <w:top w:val="single" w:color="auto" w:sz="12" w:space="0"/>
              <w:bottom w:val="double" w:color="auto" w:sz="6" w:space="0"/>
            </w:tcBorders>
            <w:vAlign w:val="center"/>
          </w:tcPr>
          <w:p w14:paraId="781AA72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职务</w:t>
            </w:r>
          </w:p>
        </w:tc>
        <w:tc>
          <w:tcPr>
            <w:tcW w:w="1134" w:type="dxa"/>
            <w:tcBorders>
              <w:top w:val="single" w:color="auto" w:sz="12" w:space="0"/>
              <w:bottom w:val="double" w:color="auto" w:sz="6" w:space="0"/>
            </w:tcBorders>
            <w:vAlign w:val="center"/>
          </w:tcPr>
          <w:p w14:paraId="4CBDD32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职称</w:t>
            </w:r>
          </w:p>
        </w:tc>
        <w:tc>
          <w:tcPr>
            <w:tcW w:w="4252" w:type="dxa"/>
            <w:tcBorders>
              <w:top w:val="single" w:color="auto" w:sz="12" w:space="0"/>
              <w:bottom w:val="double" w:color="auto" w:sz="6" w:space="0"/>
            </w:tcBorders>
            <w:vAlign w:val="center"/>
          </w:tcPr>
          <w:p w14:paraId="42B17A9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主要资历、经验及承担过的项目</w:t>
            </w:r>
          </w:p>
        </w:tc>
      </w:tr>
      <w:tr w14:paraId="21D9A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4876ED6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一、总部人员</w:t>
            </w:r>
          </w:p>
        </w:tc>
      </w:tr>
      <w:tr w14:paraId="780B5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31F9E0F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项目主管</w:t>
            </w:r>
          </w:p>
        </w:tc>
        <w:tc>
          <w:tcPr>
            <w:tcW w:w="1418" w:type="dxa"/>
            <w:tcBorders>
              <w:top w:val="nil"/>
            </w:tcBorders>
            <w:vAlign w:val="center"/>
          </w:tcPr>
          <w:p w14:paraId="06708A5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tcBorders>
              <w:top w:val="nil"/>
            </w:tcBorders>
            <w:vAlign w:val="center"/>
          </w:tcPr>
          <w:p w14:paraId="589D1E7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tcBorders>
              <w:top w:val="nil"/>
            </w:tcBorders>
            <w:vAlign w:val="center"/>
          </w:tcPr>
          <w:p w14:paraId="3EFDE80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tcBorders>
              <w:top w:val="nil"/>
            </w:tcBorders>
            <w:vAlign w:val="center"/>
          </w:tcPr>
          <w:p w14:paraId="2836722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7BE7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048A80E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vAlign w:val="center"/>
          </w:tcPr>
          <w:p w14:paraId="54FF578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737168B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3E5D27D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4445284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2C294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FF9C8E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其他人员</w:t>
            </w:r>
          </w:p>
        </w:tc>
        <w:tc>
          <w:tcPr>
            <w:tcW w:w="1418" w:type="dxa"/>
            <w:vAlign w:val="center"/>
          </w:tcPr>
          <w:p w14:paraId="62BFAB3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0E16010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0FAD31C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5375D54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0EC87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918C74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vAlign w:val="center"/>
          </w:tcPr>
          <w:p w14:paraId="6162569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7560528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5589326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101674E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0B698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21367BE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二、现场人员</w:t>
            </w:r>
          </w:p>
        </w:tc>
      </w:tr>
      <w:tr w14:paraId="392FC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977F79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项目经理</w:t>
            </w:r>
          </w:p>
        </w:tc>
        <w:tc>
          <w:tcPr>
            <w:tcW w:w="1418" w:type="dxa"/>
            <w:vAlign w:val="center"/>
          </w:tcPr>
          <w:p w14:paraId="5CCBFAA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3920DCE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58EA35B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66AFFE3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0ADE0A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321B8D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项目副经理</w:t>
            </w:r>
          </w:p>
        </w:tc>
        <w:tc>
          <w:tcPr>
            <w:tcW w:w="1418" w:type="dxa"/>
            <w:vAlign w:val="center"/>
          </w:tcPr>
          <w:p w14:paraId="161BB0D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0ECEAA3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7B3E03B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446D91A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7B08CD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3954BE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技术负责人</w:t>
            </w:r>
          </w:p>
        </w:tc>
        <w:tc>
          <w:tcPr>
            <w:tcW w:w="1418" w:type="dxa"/>
            <w:vAlign w:val="center"/>
          </w:tcPr>
          <w:p w14:paraId="1F718EF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0B894B2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043E964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22F0999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4143A2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27769A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造价管理</w:t>
            </w:r>
          </w:p>
        </w:tc>
        <w:tc>
          <w:tcPr>
            <w:tcW w:w="1418" w:type="dxa"/>
            <w:vAlign w:val="center"/>
          </w:tcPr>
          <w:p w14:paraId="3D9C853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72B4017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2F52B72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5D494CF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4DBFF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D4E833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质量管理</w:t>
            </w:r>
          </w:p>
        </w:tc>
        <w:tc>
          <w:tcPr>
            <w:tcW w:w="1418" w:type="dxa"/>
            <w:vAlign w:val="center"/>
          </w:tcPr>
          <w:p w14:paraId="665B9FC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2E5D991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1F11568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109ECD0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6FBE2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98A3BF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材料管理</w:t>
            </w:r>
          </w:p>
        </w:tc>
        <w:tc>
          <w:tcPr>
            <w:tcW w:w="1418" w:type="dxa"/>
            <w:vAlign w:val="center"/>
          </w:tcPr>
          <w:p w14:paraId="24A8B07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5CCA65B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2BCFFEE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6E3D4D6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6F0D1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307850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计划管理</w:t>
            </w:r>
          </w:p>
        </w:tc>
        <w:tc>
          <w:tcPr>
            <w:tcW w:w="1418" w:type="dxa"/>
            <w:vAlign w:val="center"/>
          </w:tcPr>
          <w:p w14:paraId="16A6D20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215C041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3010A30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1CEE7F6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522E5B30">
        <w:tblPrEx>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B8F429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安全管理</w:t>
            </w:r>
          </w:p>
        </w:tc>
        <w:tc>
          <w:tcPr>
            <w:tcW w:w="1418" w:type="dxa"/>
            <w:vAlign w:val="center"/>
          </w:tcPr>
          <w:p w14:paraId="38AF705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18A186A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116161B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6FB8F63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66147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2490C8A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其他人员</w:t>
            </w:r>
          </w:p>
        </w:tc>
        <w:tc>
          <w:tcPr>
            <w:tcW w:w="1418" w:type="dxa"/>
            <w:vAlign w:val="center"/>
          </w:tcPr>
          <w:p w14:paraId="442CFB8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516729D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1C7D00F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048FA52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10B0EC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51A3D63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Borders>
              <w:bottom w:val="nil"/>
            </w:tcBorders>
            <w:vAlign w:val="center"/>
          </w:tcPr>
          <w:p w14:paraId="616057A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tcBorders>
              <w:bottom w:val="nil"/>
            </w:tcBorders>
            <w:vAlign w:val="center"/>
          </w:tcPr>
          <w:p w14:paraId="5A80D52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tcBorders>
              <w:bottom w:val="nil"/>
            </w:tcBorders>
            <w:vAlign w:val="center"/>
          </w:tcPr>
          <w:p w14:paraId="54E8922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tcBorders>
              <w:bottom w:val="nil"/>
            </w:tcBorders>
            <w:vAlign w:val="center"/>
          </w:tcPr>
          <w:p w14:paraId="2BA670D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15CAD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B5DF48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vAlign w:val="center"/>
          </w:tcPr>
          <w:p w14:paraId="68CF8E9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3DB703A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56889A3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3895710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77061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5A910F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vAlign w:val="center"/>
          </w:tcPr>
          <w:p w14:paraId="5E492F2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4D3CF62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5B2E5BD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5EA73BA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2D8DB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5E5A9E7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vAlign w:val="center"/>
          </w:tcPr>
          <w:p w14:paraId="4C2283E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05CF36E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03D2104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0E7C50C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4A4EB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1DDAAB5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Borders>
              <w:bottom w:val="single" w:color="auto" w:sz="12" w:space="0"/>
            </w:tcBorders>
            <w:vAlign w:val="center"/>
          </w:tcPr>
          <w:p w14:paraId="1731218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tcBorders>
              <w:bottom w:val="single" w:color="auto" w:sz="12" w:space="0"/>
            </w:tcBorders>
            <w:vAlign w:val="center"/>
          </w:tcPr>
          <w:p w14:paraId="168DD1D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tcBorders>
              <w:bottom w:val="single" w:color="auto" w:sz="12" w:space="0"/>
            </w:tcBorders>
            <w:vAlign w:val="center"/>
          </w:tcPr>
          <w:p w14:paraId="685646D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tcBorders>
              <w:bottom w:val="single" w:color="auto" w:sz="12" w:space="0"/>
            </w:tcBorders>
            <w:vAlign w:val="center"/>
          </w:tcPr>
          <w:p w14:paraId="0B4918E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bl>
    <w:p w14:paraId="00D041E8">
      <w:pPr>
        <w:wordWrap w:val="0"/>
        <w:spacing w:after="200" w:line="44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4"/>
          <w:szCs w:val="24"/>
        </w:rPr>
        <w:br w:type="page"/>
      </w:r>
      <w:r>
        <w:rPr>
          <w:rFonts w:hint="eastAsia" w:cs="仿宋" w:asciiTheme="minorEastAsia" w:hAnsiTheme="minorEastAsia" w:eastAsiaTheme="minorEastAsia"/>
          <w:kern w:val="0"/>
          <w:sz w:val="28"/>
          <w:szCs w:val="28"/>
        </w:rPr>
        <w:t>附</w:t>
      </w:r>
      <w:bookmarkStart w:id="1613" w:name="_Toc296347228"/>
      <w:bookmarkStart w:id="1614" w:name="_Toc296891057"/>
      <w:bookmarkStart w:id="1615" w:name="_Toc296346730"/>
      <w:bookmarkStart w:id="1616" w:name="_Toc296891269"/>
      <w:bookmarkStart w:id="1617" w:name="_Toc296503229"/>
      <w:bookmarkStart w:id="1618" w:name="_Toc296944568"/>
      <w:r>
        <w:rPr>
          <w:rFonts w:hint="eastAsia" w:cs="仿宋" w:asciiTheme="minorEastAsia" w:hAnsiTheme="minorEastAsia" w:eastAsiaTheme="minorEastAsia"/>
          <w:kern w:val="0"/>
          <w:sz w:val="28"/>
          <w:szCs w:val="28"/>
        </w:rPr>
        <w:t>件7：</w:t>
      </w:r>
    </w:p>
    <w:bookmarkEnd w:id="1613"/>
    <w:bookmarkEnd w:id="1614"/>
    <w:bookmarkEnd w:id="1615"/>
    <w:bookmarkEnd w:id="1616"/>
    <w:bookmarkEnd w:id="1617"/>
    <w:bookmarkEnd w:id="1618"/>
    <w:p w14:paraId="194E70DD">
      <w:pPr>
        <w:wordWrap w:val="0"/>
        <w:spacing w:before="120" w:beforeLines="50" w:after="120" w:afterLines="50" w:line="440" w:lineRule="exact"/>
        <w:jc w:val="center"/>
        <w:rPr>
          <w:rFonts w:cs="仿宋" w:asciiTheme="minorEastAsia" w:hAnsiTheme="minorEastAsia" w:eastAsiaTheme="minorEastAsia"/>
          <w:b/>
          <w:kern w:val="0"/>
          <w:sz w:val="28"/>
          <w:szCs w:val="28"/>
        </w:rPr>
      </w:pPr>
      <w:r>
        <w:rPr>
          <w:rFonts w:hint="eastAsia" w:cs="仿宋" w:asciiTheme="minorEastAsia" w:hAnsiTheme="minorEastAsia" w:eastAsiaTheme="minorEastAsia"/>
          <w:b/>
          <w:kern w:val="0"/>
          <w:sz w:val="28"/>
          <w:szCs w:val="28"/>
        </w:rPr>
        <w:t>分包人主要施工管理人员表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2886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1178371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名    称</w:t>
            </w:r>
          </w:p>
        </w:tc>
        <w:tc>
          <w:tcPr>
            <w:tcW w:w="1418" w:type="dxa"/>
            <w:tcBorders>
              <w:top w:val="single" w:color="auto" w:sz="12" w:space="0"/>
              <w:bottom w:val="double" w:color="auto" w:sz="6" w:space="0"/>
            </w:tcBorders>
            <w:vAlign w:val="center"/>
          </w:tcPr>
          <w:p w14:paraId="3469E25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姓名</w:t>
            </w:r>
          </w:p>
        </w:tc>
        <w:tc>
          <w:tcPr>
            <w:tcW w:w="1134" w:type="dxa"/>
            <w:tcBorders>
              <w:top w:val="single" w:color="auto" w:sz="12" w:space="0"/>
              <w:bottom w:val="double" w:color="auto" w:sz="6" w:space="0"/>
            </w:tcBorders>
            <w:vAlign w:val="center"/>
          </w:tcPr>
          <w:p w14:paraId="43517F3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职务</w:t>
            </w:r>
          </w:p>
        </w:tc>
        <w:tc>
          <w:tcPr>
            <w:tcW w:w="1134" w:type="dxa"/>
            <w:tcBorders>
              <w:top w:val="single" w:color="auto" w:sz="12" w:space="0"/>
              <w:bottom w:val="double" w:color="auto" w:sz="6" w:space="0"/>
            </w:tcBorders>
            <w:vAlign w:val="center"/>
          </w:tcPr>
          <w:p w14:paraId="3DA73E7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职称</w:t>
            </w:r>
          </w:p>
        </w:tc>
        <w:tc>
          <w:tcPr>
            <w:tcW w:w="4252" w:type="dxa"/>
            <w:tcBorders>
              <w:top w:val="single" w:color="auto" w:sz="12" w:space="0"/>
              <w:bottom w:val="double" w:color="auto" w:sz="6" w:space="0"/>
            </w:tcBorders>
            <w:vAlign w:val="center"/>
          </w:tcPr>
          <w:p w14:paraId="3EB1BB4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主要资历、经验及承担过的项目</w:t>
            </w:r>
          </w:p>
        </w:tc>
      </w:tr>
      <w:tr w14:paraId="66EA2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1AD161F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一、总部人员</w:t>
            </w:r>
          </w:p>
        </w:tc>
      </w:tr>
      <w:tr w14:paraId="4A07B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3752ACC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项目主管</w:t>
            </w:r>
          </w:p>
        </w:tc>
        <w:tc>
          <w:tcPr>
            <w:tcW w:w="1418" w:type="dxa"/>
            <w:tcBorders>
              <w:top w:val="nil"/>
            </w:tcBorders>
            <w:vAlign w:val="center"/>
          </w:tcPr>
          <w:p w14:paraId="51FB23E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tcBorders>
              <w:top w:val="nil"/>
            </w:tcBorders>
            <w:vAlign w:val="center"/>
          </w:tcPr>
          <w:p w14:paraId="7EF98F8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tcBorders>
              <w:top w:val="nil"/>
            </w:tcBorders>
            <w:vAlign w:val="center"/>
          </w:tcPr>
          <w:p w14:paraId="59C036D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tcBorders>
              <w:top w:val="nil"/>
            </w:tcBorders>
            <w:vAlign w:val="center"/>
          </w:tcPr>
          <w:p w14:paraId="324214B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45275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3AEE800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vAlign w:val="center"/>
          </w:tcPr>
          <w:p w14:paraId="4955D5D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75DB48D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0D78768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21265E8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41253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3019A81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其他人员</w:t>
            </w:r>
          </w:p>
        </w:tc>
        <w:tc>
          <w:tcPr>
            <w:tcW w:w="1418" w:type="dxa"/>
            <w:vAlign w:val="center"/>
          </w:tcPr>
          <w:p w14:paraId="5BDB1D0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276D679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17B5B94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756A42C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6B708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083A6D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vAlign w:val="center"/>
          </w:tcPr>
          <w:p w14:paraId="2798B20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1E24AC1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09E4C10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1AE5DC1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31A62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4E9FA41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二、现场人员</w:t>
            </w:r>
          </w:p>
        </w:tc>
      </w:tr>
      <w:tr w14:paraId="7BE54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09BB91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项目经理</w:t>
            </w:r>
          </w:p>
        </w:tc>
        <w:tc>
          <w:tcPr>
            <w:tcW w:w="1418" w:type="dxa"/>
            <w:vAlign w:val="center"/>
          </w:tcPr>
          <w:p w14:paraId="799E2AF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058E9B2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2B602BF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100F0D0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15BBD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194C71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项目副经理</w:t>
            </w:r>
          </w:p>
        </w:tc>
        <w:tc>
          <w:tcPr>
            <w:tcW w:w="1418" w:type="dxa"/>
            <w:vAlign w:val="center"/>
          </w:tcPr>
          <w:p w14:paraId="63B5BF8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7A2FAB6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09AF924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1C5F626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426EF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68DA2E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技术负责人</w:t>
            </w:r>
          </w:p>
        </w:tc>
        <w:tc>
          <w:tcPr>
            <w:tcW w:w="1418" w:type="dxa"/>
            <w:vAlign w:val="center"/>
          </w:tcPr>
          <w:p w14:paraId="406AD2C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3453B96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45D2C06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2BF4B9E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1912C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F73A16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造价管理</w:t>
            </w:r>
          </w:p>
        </w:tc>
        <w:tc>
          <w:tcPr>
            <w:tcW w:w="1418" w:type="dxa"/>
            <w:vAlign w:val="center"/>
          </w:tcPr>
          <w:p w14:paraId="5969F18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01AB82E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687B6CB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34945DE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1F7CA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ADD280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质量管理</w:t>
            </w:r>
          </w:p>
        </w:tc>
        <w:tc>
          <w:tcPr>
            <w:tcW w:w="1418" w:type="dxa"/>
            <w:vAlign w:val="center"/>
          </w:tcPr>
          <w:p w14:paraId="3287A93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6C81B8A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1824E94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6A9D4B8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2873B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A3D40D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材料管理</w:t>
            </w:r>
          </w:p>
        </w:tc>
        <w:tc>
          <w:tcPr>
            <w:tcW w:w="1418" w:type="dxa"/>
            <w:vAlign w:val="center"/>
          </w:tcPr>
          <w:p w14:paraId="7A500E3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7AD013B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4A2F60C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0DFA64E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0DB43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C6BB60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计划管理</w:t>
            </w:r>
          </w:p>
        </w:tc>
        <w:tc>
          <w:tcPr>
            <w:tcW w:w="1418" w:type="dxa"/>
            <w:vAlign w:val="center"/>
          </w:tcPr>
          <w:p w14:paraId="7FBA2FE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671F537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0BAEB3C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1126D47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6A7D4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713C51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安全管理</w:t>
            </w:r>
          </w:p>
        </w:tc>
        <w:tc>
          <w:tcPr>
            <w:tcW w:w="1418" w:type="dxa"/>
            <w:vAlign w:val="center"/>
          </w:tcPr>
          <w:p w14:paraId="48D6E03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6623532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06CCFD4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634CE7A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1F940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278E541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其他人员</w:t>
            </w:r>
          </w:p>
        </w:tc>
        <w:tc>
          <w:tcPr>
            <w:tcW w:w="1418" w:type="dxa"/>
            <w:vAlign w:val="center"/>
          </w:tcPr>
          <w:p w14:paraId="73C438C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716690B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69F8354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54009D3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3BA09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C5C59F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Borders>
              <w:bottom w:val="nil"/>
            </w:tcBorders>
            <w:vAlign w:val="center"/>
          </w:tcPr>
          <w:p w14:paraId="33DF158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tcBorders>
              <w:bottom w:val="nil"/>
            </w:tcBorders>
            <w:vAlign w:val="center"/>
          </w:tcPr>
          <w:p w14:paraId="0FE39BF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tcBorders>
              <w:bottom w:val="nil"/>
            </w:tcBorders>
            <w:vAlign w:val="center"/>
          </w:tcPr>
          <w:p w14:paraId="41EAF52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tcBorders>
              <w:bottom w:val="nil"/>
            </w:tcBorders>
            <w:vAlign w:val="center"/>
          </w:tcPr>
          <w:p w14:paraId="14D8EB1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21C73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D35A68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vAlign w:val="center"/>
          </w:tcPr>
          <w:p w14:paraId="79912E0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1B59139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479CC74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773FB4C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424CF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2516E4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vAlign w:val="center"/>
          </w:tcPr>
          <w:p w14:paraId="4DF989D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47984FE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1EE35DB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4C1BB03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72FC3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7F7F7D9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vAlign w:val="center"/>
          </w:tcPr>
          <w:p w14:paraId="647A007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18FA583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vAlign w:val="center"/>
          </w:tcPr>
          <w:p w14:paraId="38B33A2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vAlign w:val="center"/>
          </w:tcPr>
          <w:p w14:paraId="3CFEB7E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37F04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0BDD412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Borders>
              <w:bottom w:val="single" w:color="auto" w:sz="12" w:space="0"/>
            </w:tcBorders>
            <w:vAlign w:val="center"/>
          </w:tcPr>
          <w:p w14:paraId="6B63359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tcBorders>
              <w:bottom w:val="single" w:color="auto" w:sz="12" w:space="0"/>
            </w:tcBorders>
            <w:vAlign w:val="center"/>
          </w:tcPr>
          <w:p w14:paraId="5D1CCF3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134" w:type="dxa"/>
            <w:tcBorders>
              <w:bottom w:val="single" w:color="auto" w:sz="12" w:space="0"/>
            </w:tcBorders>
            <w:vAlign w:val="center"/>
          </w:tcPr>
          <w:p w14:paraId="21C6C7B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4252" w:type="dxa"/>
            <w:tcBorders>
              <w:bottom w:val="single" w:color="auto" w:sz="12" w:space="0"/>
            </w:tcBorders>
            <w:vAlign w:val="center"/>
          </w:tcPr>
          <w:p w14:paraId="272AAAF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bl>
    <w:p w14:paraId="11E52183">
      <w:pPr>
        <w:wordWrap w:val="0"/>
        <w:spacing w:after="200" w:line="460" w:lineRule="exact"/>
        <w:rPr>
          <w:rFonts w:cs="仿宋" w:asciiTheme="minorEastAsia" w:hAnsiTheme="minorEastAsia" w:eastAsiaTheme="minorEastAsia"/>
          <w:b/>
          <w:kern w:val="0"/>
          <w:sz w:val="28"/>
          <w:szCs w:val="28"/>
        </w:rPr>
      </w:pPr>
      <w:r>
        <w:rPr>
          <w:rFonts w:hint="eastAsia" w:cs="仿宋" w:asciiTheme="minorEastAsia" w:hAnsiTheme="minorEastAsia" w:eastAsiaTheme="minorEastAsia"/>
          <w:kern w:val="0"/>
          <w:sz w:val="24"/>
          <w:szCs w:val="24"/>
        </w:rPr>
        <w:br w:type="page"/>
      </w:r>
      <w:bookmarkStart w:id="1619" w:name="_Toc267261701"/>
      <w:r>
        <w:rPr>
          <w:rFonts w:hint="eastAsia" w:cs="仿宋" w:asciiTheme="minorEastAsia" w:hAnsiTheme="minorEastAsia" w:eastAsiaTheme="minorEastAsia"/>
          <w:kern w:val="0"/>
          <w:sz w:val="28"/>
          <w:szCs w:val="28"/>
        </w:rPr>
        <w:t>附</w:t>
      </w:r>
      <w:bookmarkStart w:id="1620" w:name="_Toc296347230"/>
      <w:bookmarkStart w:id="1621" w:name="_Toc296891271"/>
      <w:bookmarkStart w:id="1622" w:name="_Toc296503231"/>
      <w:bookmarkStart w:id="1623" w:name="_Toc296944570"/>
      <w:bookmarkStart w:id="1624" w:name="_Toc296891059"/>
      <w:bookmarkStart w:id="1625" w:name="_Toc296346732"/>
      <w:r>
        <w:rPr>
          <w:rFonts w:hint="eastAsia" w:cs="仿宋" w:asciiTheme="minorEastAsia" w:hAnsiTheme="minorEastAsia" w:eastAsiaTheme="minorEastAsia"/>
          <w:kern w:val="0"/>
          <w:sz w:val="28"/>
          <w:szCs w:val="28"/>
        </w:rPr>
        <w:t>件8：</w:t>
      </w:r>
      <w:bookmarkEnd w:id="1619"/>
      <w:bookmarkEnd w:id="1620"/>
      <w:bookmarkEnd w:id="1621"/>
      <w:bookmarkEnd w:id="1622"/>
      <w:bookmarkEnd w:id="1623"/>
      <w:bookmarkEnd w:id="1624"/>
      <w:bookmarkEnd w:id="1625"/>
      <w:r>
        <w:rPr>
          <w:rFonts w:hint="eastAsia" w:cs="仿宋" w:asciiTheme="minorEastAsia" w:hAnsiTheme="minorEastAsia" w:eastAsiaTheme="minorEastAsia"/>
          <w:kern w:val="0"/>
          <w:sz w:val="28"/>
          <w:szCs w:val="28"/>
        </w:rPr>
        <w:t xml:space="preserve">                </w:t>
      </w:r>
      <w:r>
        <w:rPr>
          <w:rFonts w:hint="eastAsia" w:cs="仿宋" w:asciiTheme="minorEastAsia" w:hAnsiTheme="minorEastAsia" w:eastAsiaTheme="minorEastAsia"/>
          <w:b/>
          <w:kern w:val="0"/>
          <w:sz w:val="28"/>
          <w:szCs w:val="28"/>
        </w:rPr>
        <w:t xml:space="preserve">  </w:t>
      </w:r>
    </w:p>
    <w:p w14:paraId="0BDAFEB9">
      <w:pPr>
        <w:wordWrap w:val="0"/>
        <w:spacing w:after="200" w:line="460" w:lineRule="exact"/>
        <w:jc w:val="center"/>
        <w:rPr>
          <w:rFonts w:cs="仿宋" w:asciiTheme="minorEastAsia" w:hAnsiTheme="minorEastAsia" w:eastAsiaTheme="minorEastAsia"/>
          <w:b/>
          <w:kern w:val="0"/>
          <w:sz w:val="28"/>
          <w:szCs w:val="28"/>
        </w:rPr>
      </w:pPr>
      <w:r>
        <w:rPr>
          <w:rFonts w:hint="eastAsia" w:cs="仿宋" w:asciiTheme="minorEastAsia" w:hAnsiTheme="minorEastAsia" w:eastAsiaTheme="minorEastAsia"/>
          <w:b/>
          <w:kern w:val="0"/>
          <w:sz w:val="28"/>
          <w:szCs w:val="28"/>
        </w:rPr>
        <w:t>履约担保</w:t>
      </w:r>
    </w:p>
    <w:p w14:paraId="46BB9A28">
      <w:pPr>
        <w:wordWrap w:val="0"/>
        <w:spacing w:after="200" w:line="38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b/>
          <w:kern w:val="0"/>
          <w:sz w:val="28"/>
          <w:szCs w:val="28"/>
          <w:u w:val="single"/>
        </w:rPr>
        <w:t xml:space="preserve">                     </w:t>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rPr>
        <w:t>：</w:t>
      </w:r>
    </w:p>
    <w:p w14:paraId="2A1419FD">
      <w:pPr>
        <w:wordWrap w:val="0"/>
        <w:spacing w:after="200" w:line="380" w:lineRule="exact"/>
        <w:ind w:firstLine="560" w:firstLineChars="200"/>
        <w:rPr>
          <w:rFonts w:cs="仿宋" w:asciiTheme="minorEastAsia" w:hAnsiTheme="minorEastAsia" w:eastAsiaTheme="minorEastAsia"/>
          <w:b/>
          <w:kern w:val="0"/>
          <w:sz w:val="28"/>
          <w:szCs w:val="28"/>
          <w:u w:val="single"/>
        </w:rPr>
      </w:pPr>
      <w:r>
        <w:rPr>
          <w:rFonts w:hint="eastAsia" w:cs="仿宋" w:asciiTheme="minorEastAsia" w:hAnsiTheme="minorEastAsia" w:eastAsiaTheme="minorEastAsia"/>
          <w:kern w:val="0"/>
          <w:sz w:val="28"/>
          <w:szCs w:val="28"/>
        </w:rPr>
        <w:t>鉴于</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b/>
          <w:kern w:val="0"/>
          <w:sz w:val="28"/>
          <w:szCs w:val="28"/>
          <w:u w:val="single"/>
        </w:rPr>
        <w:t xml:space="preserve"> </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（发包人名称，以下简称“发包人”）与</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b/>
          <w:kern w:val="0"/>
          <w:sz w:val="28"/>
          <w:szCs w:val="28"/>
          <w:u w:val="single"/>
        </w:rPr>
        <w:t xml:space="preserve"> </w:t>
      </w:r>
      <w:r>
        <w:rPr>
          <w:rFonts w:hint="eastAsia" w:cs="仿宋" w:asciiTheme="minorEastAsia" w:hAnsiTheme="minorEastAsia" w:eastAsiaTheme="minorEastAsia"/>
          <w:kern w:val="0"/>
          <w:sz w:val="28"/>
          <w:szCs w:val="28"/>
        </w:rPr>
        <w:t>（承包人名称）（以下称“承包人”）于</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b/>
          <w:kern w:val="0"/>
          <w:sz w:val="28"/>
          <w:szCs w:val="28"/>
          <w:u w:val="single"/>
        </w:rPr>
        <w:t xml:space="preserve">   </w:t>
      </w:r>
      <w:r>
        <w:rPr>
          <w:rFonts w:hint="eastAsia" w:cs="仿宋" w:asciiTheme="minorEastAsia" w:hAnsiTheme="minorEastAsia" w:eastAsiaTheme="minorEastAsia"/>
          <w:kern w:val="0"/>
          <w:sz w:val="28"/>
          <w:szCs w:val="28"/>
        </w:rPr>
        <w:t>年</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b/>
          <w:kern w:val="0"/>
          <w:sz w:val="28"/>
          <w:szCs w:val="28"/>
          <w:u w:val="single"/>
        </w:rPr>
        <w:t xml:space="preserve">  </w:t>
      </w:r>
      <w:r>
        <w:rPr>
          <w:rFonts w:hint="eastAsia" w:cs="仿宋" w:asciiTheme="minorEastAsia" w:hAnsiTheme="minorEastAsia" w:eastAsiaTheme="minorEastAsia"/>
          <w:kern w:val="0"/>
          <w:sz w:val="28"/>
          <w:szCs w:val="28"/>
        </w:rPr>
        <w:t>月</w:t>
      </w:r>
      <w:r>
        <w:rPr>
          <w:rFonts w:hint="eastAsia" w:cs="仿宋" w:asciiTheme="minorEastAsia" w:hAnsiTheme="minorEastAsia" w:eastAsiaTheme="minorEastAsia"/>
          <w:b/>
          <w:kern w:val="0"/>
          <w:sz w:val="28"/>
          <w:szCs w:val="28"/>
          <w:u w:val="single"/>
        </w:rPr>
        <w:t xml:space="preserve">   </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日就</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b/>
          <w:kern w:val="0"/>
          <w:sz w:val="28"/>
          <w:szCs w:val="28"/>
          <w:u w:val="single"/>
        </w:rPr>
        <w:t xml:space="preserve">               </w:t>
      </w:r>
    </w:p>
    <w:p w14:paraId="3D40AFED">
      <w:pPr>
        <w:wordWrap w:val="0"/>
        <w:spacing w:after="200" w:line="380" w:lineRule="exact"/>
        <w:ind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 xml:space="preserve">（工程名称）施工及有关事项协商一致共同签订《建设工程施工合同》。我方愿意无条件地、不可撤销地就承包人履行与你方签订的合同，向你方提供连带责任担保。 </w:t>
      </w:r>
    </w:p>
    <w:p w14:paraId="5E7CF794">
      <w:pPr>
        <w:wordWrap w:val="0"/>
        <w:spacing w:after="200" w:line="380" w:lineRule="exact"/>
        <w:ind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1. 担保金额人民币（大写）</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b/>
          <w:kern w:val="0"/>
          <w:sz w:val="28"/>
          <w:szCs w:val="28"/>
          <w:u w:val="single"/>
        </w:rPr>
        <w:t xml:space="preserve">     </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元（¥</w:t>
      </w:r>
      <w:r>
        <w:rPr>
          <w:rFonts w:hint="eastAsia" w:cs="仿宋" w:asciiTheme="minorEastAsia" w:hAnsiTheme="minorEastAsia" w:eastAsiaTheme="minorEastAsia"/>
          <w:b/>
          <w:kern w:val="0"/>
          <w:sz w:val="28"/>
          <w:szCs w:val="28"/>
          <w:u w:val="single"/>
        </w:rPr>
        <w:t xml:space="preserve">        </w:t>
      </w:r>
      <w:r>
        <w:rPr>
          <w:rFonts w:hint="eastAsia" w:cs="仿宋" w:asciiTheme="minorEastAsia" w:hAnsiTheme="minorEastAsia" w:eastAsiaTheme="minorEastAsia"/>
          <w:kern w:val="0"/>
          <w:sz w:val="28"/>
          <w:szCs w:val="28"/>
          <w:u w:val="single"/>
        </w:rPr>
        <w:t>元</w:t>
      </w:r>
      <w:r>
        <w:rPr>
          <w:rFonts w:hint="eastAsia" w:cs="仿宋" w:asciiTheme="minorEastAsia" w:hAnsiTheme="minorEastAsia" w:eastAsiaTheme="minorEastAsia"/>
          <w:kern w:val="0"/>
          <w:sz w:val="28"/>
          <w:szCs w:val="28"/>
        </w:rPr>
        <w:t>）。</w:t>
      </w:r>
    </w:p>
    <w:p w14:paraId="57DDC705">
      <w:pPr>
        <w:wordWrap w:val="0"/>
        <w:spacing w:after="200" w:line="380" w:lineRule="exact"/>
        <w:ind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2. 担保有效期自你方与承包人签订的合同生效之日起至你方签发或应签发工程接收证书之日止。</w:t>
      </w:r>
    </w:p>
    <w:p w14:paraId="15E39EDD">
      <w:pPr>
        <w:wordWrap w:val="0"/>
        <w:spacing w:after="200" w:line="380" w:lineRule="exact"/>
        <w:ind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3. 在本担保有效期内，因承包人违反合同约定的义务给你方造成经济损失时，我方在收到你方以书面形式提出的在担保金额内的赔偿要求后，在7天内无条件支付。</w:t>
      </w:r>
    </w:p>
    <w:p w14:paraId="4EE2C436">
      <w:pPr>
        <w:wordWrap w:val="0"/>
        <w:spacing w:after="200" w:line="380" w:lineRule="exact"/>
        <w:ind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4. 你方和承包人按合同约定变更合同时，我方承担本担保规定的义务不变。</w:t>
      </w:r>
    </w:p>
    <w:p w14:paraId="7C05EDDA">
      <w:pPr>
        <w:wordWrap w:val="0"/>
        <w:spacing w:after="200" w:line="380" w:lineRule="exact"/>
        <w:ind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5. 因本保函发生的纠纷，可由双方协商解决，协商不成的，任何一方均可提请</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仲裁委员会仲裁。</w:t>
      </w:r>
    </w:p>
    <w:p w14:paraId="6EDDBAF8">
      <w:pPr>
        <w:wordWrap w:val="0"/>
        <w:spacing w:after="200" w:line="380" w:lineRule="exact"/>
        <w:ind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6. 本保函自我方法定代表人（或其授权代理人）签字并加盖公章之日起生效。</w:t>
      </w:r>
    </w:p>
    <w:p w14:paraId="35F160AB">
      <w:pPr>
        <w:wordWrap w:val="0"/>
        <w:spacing w:after="200" w:line="380" w:lineRule="exact"/>
        <w:ind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担 保 人：</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（盖单位章）</w:t>
      </w:r>
    </w:p>
    <w:p w14:paraId="07FE2AF8">
      <w:pPr>
        <w:wordWrap w:val="0"/>
        <w:spacing w:after="200" w:line="380" w:lineRule="exact"/>
        <w:ind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法定代表人或其委托代理人：</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（签字）</w:t>
      </w:r>
    </w:p>
    <w:p w14:paraId="41B3B2BA">
      <w:pPr>
        <w:wordWrap w:val="0"/>
        <w:spacing w:after="200" w:line="380" w:lineRule="exact"/>
        <w:ind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地    址：</w:t>
      </w:r>
      <w:r>
        <w:rPr>
          <w:rFonts w:hint="eastAsia" w:cs="仿宋" w:asciiTheme="minorEastAsia" w:hAnsiTheme="minorEastAsia" w:eastAsiaTheme="minorEastAsia"/>
          <w:kern w:val="0"/>
          <w:sz w:val="28"/>
          <w:szCs w:val="28"/>
          <w:u w:val="single"/>
        </w:rPr>
        <w:t xml:space="preserve">                                      </w:t>
      </w:r>
    </w:p>
    <w:p w14:paraId="24CEEC03">
      <w:pPr>
        <w:wordWrap w:val="0"/>
        <w:spacing w:after="200" w:line="380" w:lineRule="exact"/>
        <w:ind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邮政编码：</w:t>
      </w:r>
      <w:r>
        <w:rPr>
          <w:rFonts w:hint="eastAsia" w:cs="仿宋" w:asciiTheme="minorEastAsia" w:hAnsiTheme="minorEastAsia" w:eastAsiaTheme="minorEastAsia"/>
          <w:kern w:val="0"/>
          <w:sz w:val="28"/>
          <w:szCs w:val="28"/>
          <w:u w:val="single"/>
        </w:rPr>
        <w:t xml:space="preserve">                                      </w:t>
      </w:r>
    </w:p>
    <w:p w14:paraId="5CAC43F3">
      <w:pPr>
        <w:wordWrap w:val="0"/>
        <w:spacing w:after="200" w:line="380" w:lineRule="exact"/>
        <w:ind w:firstLine="560" w:firstLineChars="200"/>
        <w:rPr>
          <w:rFonts w:cs="仿宋" w:asciiTheme="minorEastAsia" w:hAnsiTheme="minorEastAsia" w:eastAsiaTheme="minorEastAsia"/>
          <w:kern w:val="0"/>
          <w:sz w:val="28"/>
          <w:szCs w:val="28"/>
          <w:u w:val="single"/>
        </w:rPr>
      </w:pPr>
      <w:r>
        <w:rPr>
          <w:rFonts w:hint="eastAsia" w:cs="仿宋" w:asciiTheme="minorEastAsia" w:hAnsiTheme="minorEastAsia" w:eastAsiaTheme="minorEastAsia"/>
          <w:kern w:val="0"/>
          <w:sz w:val="28"/>
          <w:szCs w:val="28"/>
        </w:rPr>
        <w:t>电    话：</w:t>
      </w:r>
      <w:r>
        <w:rPr>
          <w:rFonts w:hint="eastAsia" w:cs="仿宋" w:asciiTheme="minorEastAsia" w:hAnsiTheme="minorEastAsia" w:eastAsiaTheme="minorEastAsia"/>
          <w:kern w:val="0"/>
          <w:sz w:val="28"/>
          <w:szCs w:val="28"/>
          <w:u w:val="single"/>
        </w:rPr>
        <w:t xml:space="preserve">                                      </w:t>
      </w:r>
    </w:p>
    <w:p w14:paraId="7DD1FBDB">
      <w:pPr>
        <w:wordWrap w:val="0"/>
        <w:spacing w:after="200" w:line="380" w:lineRule="exact"/>
        <w:ind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传    真：</w:t>
      </w:r>
      <w:r>
        <w:rPr>
          <w:rFonts w:hint="eastAsia" w:cs="仿宋" w:asciiTheme="minorEastAsia" w:hAnsiTheme="minorEastAsia" w:eastAsiaTheme="minorEastAsia"/>
          <w:kern w:val="0"/>
          <w:sz w:val="28"/>
          <w:szCs w:val="28"/>
          <w:u w:val="single"/>
        </w:rPr>
        <w:t xml:space="preserve">                                      </w:t>
      </w:r>
    </w:p>
    <w:p w14:paraId="21F17C6B">
      <w:pPr>
        <w:wordWrap w:val="0"/>
        <w:spacing w:after="200" w:line="380" w:lineRule="exact"/>
        <w:ind w:left="1772" w:hanging="1772" w:hangingChars="633"/>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 xml:space="preserve">                   </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年</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月</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日</w:t>
      </w:r>
    </w:p>
    <w:p w14:paraId="3501427B">
      <w:pPr>
        <w:wordWrap w:val="0"/>
        <w:spacing w:after="200" w:line="420" w:lineRule="exact"/>
        <w:rPr>
          <w:rFonts w:cs="仿宋" w:asciiTheme="minorEastAsia" w:hAnsiTheme="minorEastAsia" w:eastAsiaTheme="minorEastAsia"/>
          <w:b/>
          <w:kern w:val="0"/>
          <w:sz w:val="28"/>
          <w:szCs w:val="28"/>
        </w:rPr>
      </w:pPr>
      <w:r>
        <w:rPr>
          <w:rFonts w:hint="eastAsia" w:cs="仿宋" w:asciiTheme="minorEastAsia" w:hAnsiTheme="minorEastAsia" w:eastAsiaTheme="minorEastAsia"/>
          <w:kern w:val="0"/>
          <w:sz w:val="28"/>
          <w:szCs w:val="28"/>
        </w:rPr>
        <w:t>附</w:t>
      </w:r>
      <w:bookmarkStart w:id="1626" w:name="_Toc296347231"/>
      <w:bookmarkStart w:id="1627" w:name="_Toc296944571"/>
      <w:bookmarkStart w:id="1628" w:name="_Toc267261702"/>
      <w:bookmarkStart w:id="1629" w:name="_Toc296503232"/>
      <w:bookmarkStart w:id="1630" w:name="_Toc296346733"/>
      <w:bookmarkStart w:id="1631" w:name="_Toc296891060"/>
      <w:bookmarkStart w:id="1632" w:name="_Toc296891272"/>
      <w:r>
        <w:rPr>
          <w:rFonts w:hint="eastAsia" w:cs="仿宋" w:asciiTheme="minorEastAsia" w:hAnsiTheme="minorEastAsia" w:eastAsiaTheme="minorEastAsia"/>
          <w:kern w:val="0"/>
          <w:sz w:val="28"/>
          <w:szCs w:val="28"/>
        </w:rPr>
        <w:t>件9 ：</w:t>
      </w:r>
      <w:bookmarkEnd w:id="1626"/>
      <w:bookmarkEnd w:id="1627"/>
      <w:bookmarkEnd w:id="1628"/>
      <w:bookmarkEnd w:id="1629"/>
      <w:bookmarkEnd w:id="1630"/>
      <w:bookmarkEnd w:id="1631"/>
      <w:bookmarkEnd w:id="1632"/>
      <w:r>
        <w:rPr>
          <w:rFonts w:hint="eastAsia" w:cs="仿宋" w:asciiTheme="minorEastAsia" w:hAnsiTheme="minorEastAsia" w:eastAsiaTheme="minorEastAsia"/>
          <w:kern w:val="0"/>
          <w:sz w:val="28"/>
          <w:szCs w:val="28"/>
        </w:rPr>
        <w:t xml:space="preserve">               </w:t>
      </w:r>
      <w:r>
        <w:rPr>
          <w:rFonts w:hint="eastAsia" w:cs="仿宋" w:asciiTheme="minorEastAsia" w:hAnsiTheme="minorEastAsia" w:eastAsiaTheme="minorEastAsia"/>
          <w:b/>
          <w:kern w:val="0"/>
          <w:sz w:val="28"/>
          <w:szCs w:val="28"/>
        </w:rPr>
        <w:t xml:space="preserve"> </w:t>
      </w:r>
    </w:p>
    <w:p w14:paraId="7475C4F6">
      <w:pPr>
        <w:wordWrap w:val="0"/>
        <w:spacing w:after="200" w:line="420" w:lineRule="exact"/>
        <w:jc w:val="center"/>
        <w:rPr>
          <w:rFonts w:cs="仿宋" w:asciiTheme="minorEastAsia" w:hAnsiTheme="minorEastAsia" w:eastAsiaTheme="minorEastAsia"/>
          <w:b/>
          <w:kern w:val="0"/>
          <w:sz w:val="28"/>
          <w:szCs w:val="28"/>
        </w:rPr>
      </w:pPr>
      <w:r>
        <w:rPr>
          <w:rFonts w:hint="eastAsia" w:cs="仿宋" w:asciiTheme="minorEastAsia" w:hAnsiTheme="minorEastAsia" w:eastAsiaTheme="minorEastAsia"/>
          <w:b/>
          <w:kern w:val="0"/>
          <w:sz w:val="28"/>
          <w:szCs w:val="28"/>
        </w:rPr>
        <w:t>预付款担保</w:t>
      </w:r>
    </w:p>
    <w:p w14:paraId="42535533">
      <w:pPr>
        <w:wordWrap w:val="0"/>
        <w:spacing w:after="200" w:line="36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 xml:space="preserve"> （发包人名称）：</w:t>
      </w:r>
    </w:p>
    <w:p w14:paraId="11A55505">
      <w:pPr>
        <w:wordWrap w:val="0"/>
        <w:spacing w:after="200" w:line="360" w:lineRule="exact"/>
        <w:ind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根据</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b/>
          <w:kern w:val="0"/>
          <w:sz w:val="28"/>
          <w:szCs w:val="28"/>
          <w:u w:val="single"/>
        </w:rPr>
        <w:t xml:space="preserve"> </w:t>
      </w:r>
      <w:r>
        <w:rPr>
          <w:rFonts w:hint="eastAsia" w:cs="仿宋" w:asciiTheme="minorEastAsia" w:hAnsiTheme="minorEastAsia" w:eastAsiaTheme="minorEastAsia"/>
          <w:kern w:val="0"/>
          <w:sz w:val="28"/>
          <w:szCs w:val="28"/>
        </w:rPr>
        <w:t>（承包人名称）（以下称“承包人”）与</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b/>
          <w:kern w:val="0"/>
          <w:sz w:val="28"/>
          <w:szCs w:val="28"/>
          <w:u w:val="single"/>
        </w:rPr>
        <w:t xml:space="preserve">                      </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（发包人名称）（以下简称“发包人”）于</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b/>
          <w:kern w:val="0"/>
          <w:sz w:val="28"/>
          <w:szCs w:val="28"/>
          <w:u w:val="single"/>
        </w:rPr>
        <w:t xml:space="preserve">   </w:t>
      </w:r>
      <w:r>
        <w:rPr>
          <w:rFonts w:hint="eastAsia" w:cs="仿宋" w:asciiTheme="minorEastAsia" w:hAnsiTheme="minorEastAsia" w:eastAsiaTheme="minorEastAsia"/>
          <w:kern w:val="0"/>
          <w:sz w:val="28"/>
          <w:szCs w:val="28"/>
        </w:rPr>
        <w:t>年</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b/>
          <w:kern w:val="0"/>
          <w:sz w:val="28"/>
          <w:szCs w:val="28"/>
          <w:u w:val="single"/>
        </w:rPr>
        <w:t xml:space="preserve">  </w:t>
      </w:r>
      <w:r>
        <w:rPr>
          <w:rFonts w:hint="eastAsia" w:cs="仿宋" w:asciiTheme="minorEastAsia" w:hAnsiTheme="minorEastAsia" w:eastAsiaTheme="minorEastAsia"/>
          <w:kern w:val="0"/>
          <w:sz w:val="28"/>
          <w:szCs w:val="28"/>
        </w:rPr>
        <w:t>月</w:t>
      </w:r>
      <w:r>
        <w:rPr>
          <w:rFonts w:hint="eastAsia" w:cs="仿宋" w:asciiTheme="minorEastAsia" w:hAnsiTheme="minorEastAsia" w:eastAsiaTheme="minorEastAsia"/>
          <w:b/>
          <w:kern w:val="0"/>
          <w:sz w:val="28"/>
          <w:szCs w:val="28"/>
          <w:u w:val="single"/>
        </w:rPr>
        <w:t xml:space="preserve">   </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日签订的</w:t>
      </w:r>
      <w:r>
        <w:rPr>
          <w:rFonts w:hint="eastAsia" w:cs="仿宋" w:asciiTheme="minorEastAsia" w:hAnsiTheme="minorEastAsia" w:eastAsiaTheme="minorEastAsia"/>
          <w:b/>
          <w:kern w:val="0"/>
          <w:sz w:val="28"/>
          <w:szCs w:val="28"/>
          <w:u w:val="single"/>
        </w:rPr>
        <w:t xml:space="preserve">                     </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（工程名称）《建设工程施工合同》，承包人按约定的金额向你方提交一份预付款担保，即有权得到你方支付相等金额的预付款。我方愿意就你方提供给承包人的预付款为承包人提供连带责任担保。</w:t>
      </w:r>
    </w:p>
    <w:p w14:paraId="0135C065">
      <w:pPr>
        <w:wordWrap w:val="0"/>
        <w:spacing w:after="200" w:line="360" w:lineRule="exact"/>
        <w:ind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1. 担保金额人民币（大写）</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元（¥</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w:t>
      </w:r>
    </w:p>
    <w:p w14:paraId="2EB2C263">
      <w:pPr>
        <w:wordWrap w:val="0"/>
        <w:spacing w:after="200" w:line="360" w:lineRule="exact"/>
        <w:ind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2. 担保有效期自预付款支付给承包人起生效，至你方签发的进度款支付证书说明已完全扣清止。</w:t>
      </w:r>
    </w:p>
    <w:p w14:paraId="1329CDD4">
      <w:pPr>
        <w:wordWrap w:val="0"/>
        <w:spacing w:after="200" w:line="360" w:lineRule="exact"/>
        <w:ind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EB3DBCC">
      <w:pPr>
        <w:wordWrap w:val="0"/>
        <w:spacing w:after="200" w:line="360" w:lineRule="exact"/>
        <w:ind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4. 你方和承包人按合同约定变更合同时，我方承担本保函规定的义务不变。</w:t>
      </w:r>
    </w:p>
    <w:p w14:paraId="10A50F5E">
      <w:pPr>
        <w:wordWrap w:val="0"/>
        <w:spacing w:after="200" w:line="36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5. 因本保函发生的纠纷，可由双方协商解决，协商不成的，任何一方均可提请</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仲裁委员会仲裁。</w:t>
      </w:r>
    </w:p>
    <w:p w14:paraId="4B790BEF">
      <w:pPr>
        <w:wordWrap w:val="0"/>
        <w:spacing w:after="200" w:line="36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6. 本保函自我方法定代表人（或其授权代理人）签字并加盖公章之日起生效。</w:t>
      </w:r>
    </w:p>
    <w:p w14:paraId="7156EEAB">
      <w:pPr>
        <w:wordWrap w:val="0"/>
        <w:spacing w:after="200" w:line="360" w:lineRule="exact"/>
        <w:ind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担保人：</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（盖单位章）</w:t>
      </w:r>
    </w:p>
    <w:p w14:paraId="785D8440">
      <w:pPr>
        <w:wordWrap w:val="0"/>
        <w:spacing w:after="200" w:line="360" w:lineRule="exact"/>
        <w:ind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法定代表人或其委托代理人：</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（签字）</w:t>
      </w:r>
    </w:p>
    <w:p w14:paraId="1DC06FDC">
      <w:pPr>
        <w:wordWrap w:val="0"/>
        <w:spacing w:after="200" w:line="360" w:lineRule="exact"/>
        <w:ind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地    址：</w:t>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u w:val="single"/>
        </w:rPr>
        <w:tab/>
      </w:r>
    </w:p>
    <w:p w14:paraId="6AEC0498">
      <w:pPr>
        <w:wordWrap w:val="0"/>
        <w:spacing w:after="200" w:line="360" w:lineRule="exact"/>
        <w:ind w:firstLine="560" w:firstLineChars="200"/>
        <w:rPr>
          <w:rFonts w:cs="仿宋" w:asciiTheme="minorEastAsia" w:hAnsiTheme="minorEastAsia" w:eastAsiaTheme="minorEastAsia"/>
          <w:kern w:val="0"/>
          <w:sz w:val="28"/>
          <w:szCs w:val="28"/>
          <w:u w:val="single"/>
        </w:rPr>
      </w:pPr>
      <w:r>
        <w:rPr>
          <w:rFonts w:hint="eastAsia" w:cs="仿宋" w:asciiTheme="minorEastAsia" w:hAnsiTheme="minorEastAsia" w:eastAsiaTheme="minorEastAsia"/>
          <w:kern w:val="0"/>
          <w:sz w:val="28"/>
          <w:szCs w:val="28"/>
        </w:rPr>
        <w:t>邮政编码：</w:t>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u w:val="single"/>
        </w:rPr>
        <w:tab/>
      </w:r>
    </w:p>
    <w:p w14:paraId="73CA111B">
      <w:pPr>
        <w:wordWrap w:val="0"/>
        <w:spacing w:after="200" w:line="360" w:lineRule="exact"/>
        <w:ind w:firstLine="560" w:firstLineChars="200"/>
        <w:rPr>
          <w:rFonts w:cs="仿宋" w:asciiTheme="minorEastAsia" w:hAnsiTheme="minorEastAsia" w:eastAsiaTheme="minorEastAsia"/>
          <w:kern w:val="0"/>
          <w:sz w:val="28"/>
          <w:szCs w:val="28"/>
          <w:u w:val="single"/>
        </w:rPr>
      </w:pPr>
      <w:r>
        <w:rPr>
          <w:rFonts w:hint="eastAsia" w:cs="仿宋" w:asciiTheme="minorEastAsia" w:hAnsiTheme="minorEastAsia" w:eastAsiaTheme="minorEastAsia"/>
          <w:kern w:val="0"/>
          <w:sz w:val="28"/>
          <w:szCs w:val="28"/>
        </w:rPr>
        <w:t>电    话：</w:t>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u w:val="single"/>
        </w:rPr>
        <w:tab/>
      </w:r>
    </w:p>
    <w:p w14:paraId="638DDBFD">
      <w:pPr>
        <w:wordWrap w:val="0"/>
        <w:spacing w:after="200" w:line="360" w:lineRule="exact"/>
        <w:ind w:firstLine="560" w:firstLineChars="200"/>
        <w:rPr>
          <w:rFonts w:cs="仿宋" w:asciiTheme="minorEastAsia" w:hAnsiTheme="minorEastAsia" w:eastAsiaTheme="minorEastAsia"/>
          <w:kern w:val="0"/>
          <w:sz w:val="28"/>
          <w:szCs w:val="28"/>
          <w:u w:val="single"/>
        </w:rPr>
      </w:pPr>
      <w:r>
        <w:rPr>
          <w:rFonts w:hint="eastAsia" w:cs="仿宋" w:asciiTheme="minorEastAsia" w:hAnsiTheme="minorEastAsia" w:eastAsiaTheme="minorEastAsia"/>
          <w:kern w:val="0"/>
          <w:sz w:val="28"/>
          <w:szCs w:val="28"/>
        </w:rPr>
        <w:t>传    真：</w:t>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u w:val="single"/>
        </w:rPr>
        <w:tab/>
      </w:r>
      <w:r>
        <w:rPr>
          <w:rFonts w:hint="eastAsia" w:cs="仿宋" w:asciiTheme="minorEastAsia" w:hAnsiTheme="minorEastAsia" w:eastAsiaTheme="minorEastAsia"/>
          <w:kern w:val="0"/>
          <w:sz w:val="28"/>
          <w:szCs w:val="28"/>
          <w:u w:val="single"/>
        </w:rPr>
        <w:tab/>
      </w:r>
    </w:p>
    <w:p w14:paraId="4832C990">
      <w:pPr>
        <w:wordWrap w:val="0"/>
        <w:spacing w:after="200" w:line="36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 xml:space="preserve">           </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年</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月</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日</w:t>
      </w:r>
    </w:p>
    <w:p w14:paraId="04DA9D20">
      <w:pPr>
        <w:wordWrap w:val="0"/>
        <w:spacing w:after="200" w:line="40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b/>
          <w:kern w:val="0"/>
          <w:sz w:val="28"/>
          <w:szCs w:val="28"/>
        </w:rPr>
        <w:br w:type="page"/>
      </w:r>
      <w:r>
        <w:rPr>
          <w:rFonts w:hint="eastAsia" w:cs="仿宋" w:asciiTheme="minorEastAsia" w:hAnsiTheme="minorEastAsia" w:eastAsiaTheme="minorEastAsia"/>
          <w:kern w:val="0"/>
          <w:sz w:val="28"/>
          <w:szCs w:val="28"/>
        </w:rPr>
        <w:t>附</w:t>
      </w:r>
      <w:bookmarkStart w:id="1633" w:name="_Toc296346734"/>
      <w:bookmarkStart w:id="1634" w:name="_Toc296347232"/>
      <w:bookmarkStart w:id="1635" w:name="_Toc296891273"/>
      <w:bookmarkStart w:id="1636" w:name="_Toc296891061"/>
      <w:bookmarkStart w:id="1637" w:name="_Toc296944572"/>
      <w:bookmarkStart w:id="1638" w:name="_Toc296503233"/>
      <w:r>
        <w:rPr>
          <w:rFonts w:hint="eastAsia" w:cs="仿宋" w:asciiTheme="minorEastAsia" w:hAnsiTheme="minorEastAsia" w:eastAsiaTheme="minorEastAsia"/>
          <w:kern w:val="0"/>
          <w:sz w:val="28"/>
          <w:szCs w:val="28"/>
        </w:rPr>
        <w:t>件10:</w:t>
      </w:r>
      <w:bookmarkEnd w:id="1633"/>
      <w:bookmarkEnd w:id="1634"/>
      <w:bookmarkEnd w:id="1635"/>
      <w:bookmarkEnd w:id="1636"/>
      <w:bookmarkEnd w:id="1637"/>
      <w:bookmarkEnd w:id="1638"/>
      <w:r>
        <w:rPr>
          <w:rFonts w:hint="eastAsia" w:cs="仿宋" w:asciiTheme="minorEastAsia" w:hAnsiTheme="minorEastAsia" w:eastAsiaTheme="minorEastAsia"/>
          <w:kern w:val="0"/>
          <w:sz w:val="28"/>
          <w:szCs w:val="28"/>
        </w:rPr>
        <w:t xml:space="preserve">                   </w:t>
      </w:r>
    </w:p>
    <w:p w14:paraId="6114E1A3">
      <w:pPr>
        <w:wordWrap w:val="0"/>
        <w:spacing w:after="200" w:line="400" w:lineRule="exact"/>
        <w:jc w:val="center"/>
        <w:rPr>
          <w:rFonts w:cs="仿宋" w:asciiTheme="minorEastAsia" w:hAnsiTheme="minorEastAsia" w:eastAsiaTheme="minorEastAsia"/>
          <w:kern w:val="0"/>
          <w:sz w:val="28"/>
          <w:szCs w:val="28"/>
        </w:rPr>
      </w:pPr>
      <w:r>
        <w:rPr>
          <w:rFonts w:hint="eastAsia" w:cs="仿宋" w:asciiTheme="minorEastAsia" w:hAnsiTheme="minorEastAsia" w:eastAsiaTheme="minorEastAsia"/>
          <w:b/>
          <w:kern w:val="0"/>
          <w:sz w:val="28"/>
          <w:szCs w:val="28"/>
        </w:rPr>
        <w:t>支付担保</w:t>
      </w:r>
    </w:p>
    <w:p w14:paraId="4E2A70F4">
      <w:pPr>
        <w:wordWrap w:val="0"/>
        <w:spacing w:after="200" w:line="400" w:lineRule="exact"/>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b/>
          <w:kern w:val="0"/>
          <w:sz w:val="28"/>
          <w:szCs w:val="28"/>
          <w:u w:val="single"/>
        </w:rPr>
        <w:t xml:space="preserve">                </w:t>
      </w:r>
      <w:r>
        <w:rPr>
          <w:rFonts w:hint="eastAsia" w:cs="仿宋" w:asciiTheme="minorEastAsia" w:hAnsiTheme="minorEastAsia" w:eastAsiaTheme="minorEastAsia"/>
          <w:kern w:val="0"/>
          <w:sz w:val="28"/>
          <w:szCs w:val="28"/>
        </w:rPr>
        <w:t>（承包人）：</w:t>
      </w:r>
    </w:p>
    <w:p w14:paraId="65514B74">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鉴于你方作为承包人已经与</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b/>
          <w:kern w:val="0"/>
          <w:sz w:val="28"/>
          <w:szCs w:val="28"/>
          <w:u w:val="single"/>
        </w:rPr>
        <w:t xml:space="preserve">                 </w:t>
      </w:r>
      <w:r>
        <w:rPr>
          <w:rFonts w:hint="eastAsia" w:cs="仿宋" w:asciiTheme="minorEastAsia" w:hAnsiTheme="minorEastAsia" w:eastAsiaTheme="minorEastAsia"/>
          <w:kern w:val="0"/>
          <w:sz w:val="28"/>
          <w:szCs w:val="28"/>
        </w:rPr>
        <w:t>（发包人名称）（以下称“发包人”）于</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b/>
          <w:kern w:val="0"/>
          <w:sz w:val="28"/>
          <w:szCs w:val="28"/>
          <w:u w:val="single"/>
        </w:rPr>
        <w:t xml:space="preserve">  </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年</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b/>
          <w:kern w:val="0"/>
          <w:sz w:val="28"/>
          <w:szCs w:val="28"/>
          <w:u w:val="single"/>
        </w:rPr>
        <w:t xml:space="preserve"> </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月</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b/>
          <w:kern w:val="0"/>
          <w:sz w:val="28"/>
          <w:szCs w:val="28"/>
          <w:u w:val="single"/>
        </w:rPr>
        <w:t xml:space="preserve"> </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日签订了</w:t>
      </w:r>
      <w:r>
        <w:rPr>
          <w:rFonts w:hint="eastAsia" w:cs="仿宋" w:asciiTheme="minorEastAsia" w:hAnsiTheme="minorEastAsia" w:eastAsiaTheme="minorEastAsia"/>
          <w:b/>
          <w:kern w:val="0"/>
          <w:sz w:val="28"/>
          <w:szCs w:val="28"/>
          <w:u w:val="single"/>
        </w:rPr>
        <w:t xml:space="preserve">                       </w:t>
      </w:r>
      <w:r>
        <w:rPr>
          <w:rFonts w:hint="eastAsia" w:cs="仿宋" w:asciiTheme="minorEastAsia" w:hAnsiTheme="minorEastAsia" w:eastAsiaTheme="minorEastAsia"/>
          <w:kern w:val="0"/>
          <w:sz w:val="28"/>
          <w:szCs w:val="28"/>
        </w:rPr>
        <w:t>（工程名称）《建设工程施工合同》（以下称“主合同”），应发包人的申请，我方愿就发包人履行主合同约定的工程款支付义务以保证的方式向你方提供如下担保：</w:t>
      </w:r>
    </w:p>
    <w:p w14:paraId="783FEE69">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一、保证的范围及保证金额</w:t>
      </w:r>
    </w:p>
    <w:p w14:paraId="2DB8DCD0">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1. 我方的保证范围是主合同约定的工程款。</w:t>
      </w:r>
    </w:p>
    <w:p w14:paraId="23126138">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2. 本保函所称主合同约定的工程款是指主合同约定的除工程质量保证金以外的合同价款。</w:t>
      </w:r>
    </w:p>
    <w:p w14:paraId="7D43D48F">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3. 我方保证的金额是主合同约定的工程款的</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%，数额最高不超过人民币</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元（大写：</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w:t>
      </w:r>
    </w:p>
    <w:p w14:paraId="4E105DF7">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二、保证的方式及保证期间</w:t>
      </w:r>
    </w:p>
    <w:p w14:paraId="7B263E46">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1. 我方保证的方式为：连带责任保证。</w:t>
      </w:r>
    </w:p>
    <w:p w14:paraId="4EDFB977">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2. 我方保证的期间为：自本合同生效之日起至主合同约定的工程款支付完毕之日后</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日内。</w:t>
      </w:r>
    </w:p>
    <w:p w14:paraId="329130A7">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3. 你方与发包人协议变更工程款支付日期的，经我方书面同意后，保证期间按照变更后的支付日期做相应调整。</w:t>
      </w:r>
    </w:p>
    <w:p w14:paraId="579DDD3C">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三、承担保证责任的形式</w:t>
      </w:r>
    </w:p>
    <w:p w14:paraId="3E7E51E2">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我方承担保证责任的形式是代为支付。发包人未按主合同约定向你方支付工程款的，由我方在保证金额内代为支付。</w:t>
      </w:r>
    </w:p>
    <w:p w14:paraId="38894B9D">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四、代偿的安排</w:t>
      </w:r>
    </w:p>
    <w:p w14:paraId="45D3982C">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1. 你方要求我方承担保证责任的，应向我方发出书面索赔通知及发包人未支付主合同约定工程款的证明材料。索赔通知应写明要求索赔的金额，支付款项应到达的账号。</w:t>
      </w:r>
    </w:p>
    <w:p w14:paraId="4EAE2992">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2. 在出现你方与发包人因工程质量发生争议，发包人拒绝向你方支付工程款的情形时，你方要求我方履行保证责任代为支付的，需提供符合相应条件要求的工程质量检测机构出具的质量说明材料。</w:t>
      </w:r>
    </w:p>
    <w:p w14:paraId="096DA384">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3. 我方收到你方的书面索赔通知及相应的证明材料后７天内无条件支付。</w:t>
      </w:r>
    </w:p>
    <w:p w14:paraId="587C4E8D">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五、保证责任的解除</w:t>
      </w:r>
    </w:p>
    <w:p w14:paraId="65D80FAC">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1. 在本保函承诺的保证期间内，你方未书面向我方主张保证责任的，自保证期间届满次日起，我方保证责任解除。</w:t>
      </w:r>
    </w:p>
    <w:p w14:paraId="07750B75">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2. 发包人按主合同约定履行了工程款的全部支付义务的，自本保函承诺的保证期间届满次日起，我方保证责任解除。</w:t>
      </w:r>
    </w:p>
    <w:p w14:paraId="67D61C92">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3. 我方按照本保函向你方履行保证责任所支付金额达到本保函保证金额时，自我方向你方支付（支付款项从我方账户划出）之日起，保证责任即解除。</w:t>
      </w:r>
    </w:p>
    <w:p w14:paraId="43310CB5">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4. 按照法律法规的规定或出现应解除我方保证责任的其他情形的，我方在本保函项下的保证责任亦解除。</w:t>
      </w:r>
    </w:p>
    <w:p w14:paraId="7207C9EB">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5. 我方解除保证责任后，你方应自我方保证责任解除之日起</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个工作日内，将本保函原件返还我方。</w:t>
      </w:r>
    </w:p>
    <w:p w14:paraId="0619A1DB">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六、免责条款</w:t>
      </w:r>
    </w:p>
    <w:p w14:paraId="7DE2A6F5">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1. 因你方违约致使发包人不能履行义务的，我方不承担保证责任。</w:t>
      </w:r>
    </w:p>
    <w:p w14:paraId="1E4C8764">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2. 依照法律法规的规定或你方与发包人的另行约定，免除发包人部分或全部义务的，我方亦免除其相应的保证责任。</w:t>
      </w:r>
    </w:p>
    <w:p w14:paraId="1F983D58">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3. 你方与发包人协议变更主合同的，如加重发包人责任致使我方保证责任加重的，需征得我方书面同意，否则我方不再承担因此而加重部分的保证责任，但主合同第10条〔变更〕约定的变更不受本款限制。</w:t>
      </w:r>
    </w:p>
    <w:p w14:paraId="042615A9">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4. 因不可抗力造成发包人不能履行义务的，我方不承担保证责任。</w:t>
      </w:r>
    </w:p>
    <w:p w14:paraId="4D4BAFB6">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七、争议解决</w:t>
      </w:r>
    </w:p>
    <w:p w14:paraId="2ED0E0E0">
      <w:pPr>
        <w:wordWrap w:val="0"/>
        <w:spacing w:after="120" w:line="400" w:lineRule="exact"/>
        <w:ind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因本保函或本保函相关事项发生的纠纷，可由双方协商解决，协商不成的，按下列第</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种方式解决：</w:t>
      </w:r>
    </w:p>
    <w:p w14:paraId="46C23631">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（1）向</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仲裁委员会申请仲裁；</w:t>
      </w:r>
    </w:p>
    <w:p w14:paraId="3753352F">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（2）向</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人民法院起诉。</w:t>
      </w:r>
    </w:p>
    <w:p w14:paraId="0E72F4D2">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八、保函的生效</w:t>
      </w:r>
    </w:p>
    <w:p w14:paraId="24FDB10C">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本保函自我方法定代表人（或其授权代理人）签字并加盖公章之日起生效。</w:t>
      </w:r>
    </w:p>
    <w:p w14:paraId="59B04405">
      <w:pPr>
        <w:wordWrap w:val="0"/>
        <w:spacing w:after="200" w:line="400" w:lineRule="exact"/>
        <w:ind w:firstLine="560" w:firstLineChars="200"/>
        <w:jc w:val="left"/>
        <w:rPr>
          <w:rFonts w:cs="仿宋" w:asciiTheme="minorEastAsia" w:hAnsiTheme="minorEastAsia" w:eastAsiaTheme="minorEastAsia"/>
          <w:kern w:val="0"/>
          <w:sz w:val="28"/>
          <w:szCs w:val="28"/>
        </w:rPr>
      </w:pPr>
    </w:p>
    <w:p w14:paraId="7660EF0D">
      <w:pPr>
        <w:wordWrap w:val="0"/>
        <w:spacing w:after="200" w:line="400" w:lineRule="exact"/>
        <w:ind w:right="600"/>
        <w:jc w:val="left"/>
        <w:rPr>
          <w:rFonts w:cs="仿宋" w:asciiTheme="minorEastAsia" w:hAnsiTheme="minorEastAsia" w:eastAsiaTheme="minorEastAsia"/>
          <w:kern w:val="0"/>
          <w:sz w:val="28"/>
          <w:szCs w:val="28"/>
        </w:rPr>
      </w:pPr>
    </w:p>
    <w:p w14:paraId="5513E61C">
      <w:pPr>
        <w:wordWrap w:val="0"/>
        <w:spacing w:after="200" w:line="400" w:lineRule="exact"/>
        <w:ind w:right="600"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担保人：</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（盖章）</w:t>
      </w:r>
    </w:p>
    <w:p w14:paraId="3FAF5CAD">
      <w:pPr>
        <w:wordWrap w:val="0"/>
        <w:spacing w:after="200" w:line="400" w:lineRule="exact"/>
        <w:ind w:right="1200" w:firstLine="560" w:firstLineChars="20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法定代表人或委托代理人：</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（签字）</w:t>
      </w:r>
    </w:p>
    <w:p w14:paraId="204BA2A8">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地    址：</w:t>
      </w:r>
      <w:r>
        <w:rPr>
          <w:rFonts w:hint="eastAsia" w:cs="仿宋" w:asciiTheme="minorEastAsia" w:hAnsiTheme="minorEastAsia" w:eastAsiaTheme="minorEastAsia"/>
          <w:kern w:val="0"/>
          <w:sz w:val="28"/>
          <w:szCs w:val="28"/>
          <w:u w:val="single"/>
        </w:rPr>
        <w:t xml:space="preserve">                                        </w:t>
      </w:r>
    </w:p>
    <w:p w14:paraId="524E2909">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邮政编码：</w:t>
      </w:r>
      <w:r>
        <w:rPr>
          <w:rFonts w:hint="eastAsia" w:cs="仿宋" w:asciiTheme="minorEastAsia" w:hAnsiTheme="minorEastAsia" w:eastAsiaTheme="minorEastAsia"/>
          <w:kern w:val="0"/>
          <w:sz w:val="28"/>
          <w:szCs w:val="28"/>
          <w:u w:val="single"/>
        </w:rPr>
        <w:t xml:space="preserve">                                        </w:t>
      </w:r>
    </w:p>
    <w:p w14:paraId="2A974FE7">
      <w:pPr>
        <w:wordWrap w:val="0"/>
        <w:spacing w:after="200" w:line="400" w:lineRule="exact"/>
        <w:ind w:firstLine="560" w:firstLineChars="20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传    真：</w:t>
      </w:r>
      <w:r>
        <w:rPr>
          <w:rFonts w:hint="eastAsia" w:cs="仿宋" w:asciiTheme="minorEastAsia" w:hAnsiTheme="minorEastAsia" w:eastAsiaTheme="minorEastAsia"/>
          <w:kern w:val="0"/>
          <w:sz w:val="28"/>
          <w:szCs w:val="28"/>
          <w:u w:val="single"/>
        </w:rPr>
        <w:t xml:space="preserve">                                        </w:t>
      </w:r>
    </w:p>
    <w:p w14:paraId="66CA91A0">
      <w:pPr>
        <w:wordWrap w:val="0"/>
        <w:spacing w:after="200" w:line="400" w:lineRule="exact"/>
        <w:ind w:right="150"/>
        <w:jc w:val="lef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 xml:space="preserve">        </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年</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月</w:t>
      </w:r>
      <w:r>
        <w:rPr>
          <w:rFonts w:hint="eastAsia" w:cs="仿宋" w:asciiTheme="minorEastAsia" w:hAnsiTheme="minorEastAsia" w:eastAsiaTheme="minorEastAsia"/>
          <w:kern w:val="0"/>
          <w:sz w:val="28"/>
          <w:szCs w:val="28"/>
          <w:u w:val="single"/>
        </w:rPr>
        <w:t xml:space="preserve">      </w:t>
      </w:r>
      <w:r>
        <w:rPr>
          <w:rFonts w:hint="eastAsia" w:cs="仿宋" w:asciiTheme="minorEastAsia" w:hAnsiTheme="minorEastAsia" w:eastAsiaTheme="minorEastAsia"/>
          <w:kern w:val="0"/>
          <w:sz w:val="28"/>
          <w:szCs w:val="28"/>
        </w:rPr>
        <w:t>日</w:t>
      </w:r>
    </w:p>
    <w:p w14:paraId="42359A0C">
      <w:pPr>
        <w:wordWrap w:val="0"/>
        <w:spacing w:after="200" w:line="600" w:lineRule="exact"/>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br w:type="page"/>
      </w:r>
      <w:r>
        <w:rPr>
          <w:rFonts w:hint="eastAsia" w:cs="仿宋" w:asciiTheme="minorEastAsia" w:hAnsiTheme="minorEastAsia" w:eastAsiaTheme="minorEastAsia"/>
          <w:kern w:val="0"/>
          <w:sz w:val="28"/>
          <w:szCs w:val="28"/>
        </w:rPr>
        <w:t xml:space="preserve">附件11：        </w:t>
      </w:r>
    </w:p>
    <w:p w14:paraId="7341FE60">
      <w:pPr>
        <w:wordWrap w:val="0"/>
        <w:spacing w:after="200" w:line="600" w:lineRule="exact"/>
        <w:jc w:val="center"/>
        <w:rPr>
          <w:rFonts w:cs="仿宋" w:asciiTheme="minorEastAsia" w:hAnsiTheme="minorEastAsia" w:eastAsiaTheme="minorEastAsia"/>
          <w:b/>
          <w:kern w:val="0"/>
          <w:sz w:val="28"/>
          <w:szCs w:val="28"/>
        </w:rPr>
      </w:pPr>
      <w:r>
        <w:rPr>
          <w:rFonts w:hint="eastAsia" w:cs="仿宋" w:asciiTheme="minorEastAsia" w:hAnsiTheme="minorEastAsia" w:eastAsiaTheme="minorEastAsia"/>
          <w:b/>
          <w:kern w:val="0"/>
          <w:sz w:val="28"/>
          <w:szCs w:val="28"/>
        </w:rPr>
        <w:t>11-1：材料暂估价表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7291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tcPr>
          <w:p w14:paraId="112501A0">
            <w:pPr>
              <w:keepNext/>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序号</w:t>
            </w:r>
          </w:p>
        </w:tc>
        <w:tc>
          <w:tcPr>
            <w:tcW w:w="1984" w:type="dxa"/>
            <w:tcBorders>
              <w:top w:val="single" w:color="auto" w:sz="12" w:space="0"/>
              <w:bottom w:val="double" w:color="auto" w:sz="6" w:space="0"/>
            </w:tcBorders>
          </w:tcPr>
          <w:p w14:paraId="1AD55F7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名称</w:t>
            </w:r>
          </w:p>
        </w:tc>
        <w:tc>
          <w:tcPr>
            <w:tcW w:w="851" w:type="dxa"/>
            <w:tcBorders>
              <w:top w:val="single" w:color="auto" w:sz="12" w:space="0"/>
              <w:bottom w:val="double" w:color="auto" w:sz="6" w:space="0"/>
            </w:tcBorders>
          </w:tcPr>
          <w:p w14:paraId="7010C21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单位</w:t>
            </w:r>
          </w:p>
        </w:tc>
        <w:tc>
          <w:tcPr>
            <w:tcW w:w="774" w:type="dxa"/>
            <w:tcBorders>
              <w:top w:val="single" w:color="auto" w:sz="12" w:space="0"/>
              <w:bottom w:val="double" w:color="auto" w:sz="6" w:space="0"/>
            </w:tcBorders>
          </w:tcPr>
          <w:p w14:paraId="3FA5515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数量</w:t>
            </w:r>
          </w:p>
        </w:tc>
        <w:tc>
          <w:tcPr>
            <w:tcW w:w="1352" w:type="dxa"/>
            <w:tcBorders>
              <w:top w:val="single" w:color="auto" w:sz="12" w:space="0"/>
              <w:bottom w:val="double" w:color="auto" w:sz="6" w:space="0"/>
            </w:tcBorders>
          </w:tcPr>
          <w:p w14:paraId="420FBBE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单价（元）</w:t>
            </w:r>
          </w:p>
        </w:tc>
        <w:tc>
          <w:tcPr>
            <w:tcW w:w="1418" w:type="dxa"/>
            <w:tcBorders>
              <w:top w:val="single" w:color="auto" w:sz="12" w:space="0"/>
              <w:bottom w:val="double" w:color="auto" w:sz="6" w:space="0"/>
            </w:tcBorders>
          </w:tcPr>
          <w:p w14:paraId="1BDCC35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合价（元）</w:t>
            </w:r>
          </w:p>
        </w:tc>
        <w:tc>
          <w:tcPr>
            <w:tcW w:w="1701" w:type="dxa"/>
            <w:tcBorders>
              <w:top w:val="single" w:color="auto" w:sz="12" w:space="0"/>
              <w:bottom w:val="double" w:color="auto" w:sz="6" w:space="0"/>
            </w:tcBorders>
          </w:tcPr>
          <w:p w14:paraId="1E7D3FF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备注</w:t>
            </w:r>
          </w:p>
        </w:tc>
      </w:tr>
      <w:tr w14:paraId="772E6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tcPr>
          <w:p w14:paraId="1F9D09E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Borders>
              <w:top w:val="double" w:color="auto" w:sz="6" w:space="0"/>
              <w:bottom w:val="single" w:color="auto" w:sz="6" w:space="0"/>
            </w:tcBorders>
          </w:tcPr>
          <w:p w14:paraId="32A22C0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Borders>
              <w:top w:val="double" w:color="auto" w:sz="6" w:space="0"/>
              <w:bottom w:val="single" w:color="auto" w:sz="6" w:space="0"/>
            </w:tcBorders>
          </w:tcPr>
          <w:p w14:paraId="2F30952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Borders>
              <w:top w:val="double" w:color="auto" w:sz="6" w:space="0"/>
              <w:bottom w:val="single" w:color="auto" w:sz="6" w:space="0"/>
            </w:tcBorders>
          </w:tcPr>
          <w:p w14:paraId="62DB5B7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Borders>
              <w:top w:val="double" w:color="auto" w:sz="6" w:space="0"/>
              <w:bottom w:val="single" w:color="auto" w:sz="6" w:space="0"/>
            </w:tcBorders>
          </w:tcPr>
          <w:p w14:paraId="01B4E96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Borders>
              <w:top w:val="double" w:color="auto" w:sz="6" w:space="0"/>
              <w:bottom w:val="single" w:color="auto" w:sz="6" w:space="0"/>
            </w:tcBorders>
          </w:tcPr>
          <w:p w14:paraId="15C6600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Borders>
              <w:top w:val="double" w:color="auto" w:sz="6" w:space="0"/>
              <w:bottom w:val="single" w:color="auto" w:sz="6" w:space="0"/>
            </w:tcBorders>
          </w:tcPr>
          <w:p w14:paraId="451DEE1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0C21F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tcPr>
          <w:p w14:paraId="68B2D1D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Borders>
              <w:top w:val="nil"/>
            </w:tcBorders>
          </w:tcPr>
          <w:p w14:paraId="7150988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Borders>
              <w:top w:val="nil"/>
            </w:tcBorders>
          </w:tcPr>
          <w:p w14:paraId="26F4265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Borders>
              <w:top w:val="nil"/>
            </w:tcBorders>
          </w:tcPr>
          <w:p w14:paraId="143AE40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Borders>
              <w:top w:val="nil"/>
            </w:tcBorders>
          </w:tcPr>
          <w:p w14:paraId="3D8B555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Borders>
              <w:top w:val="nil"/>
            </w:tcBorders>
          </w:tcPr>
          <w:p w14:paraId="65C9ECD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Borders>
              <w:top w:val="nil"/>
            </w:tcBorders>
          </w:tcPr>
          <w:p w14:paraId="3B67B96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21700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1384568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7A5957F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4289839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6108784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538513F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442D382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749063F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5AF2C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1008542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3CAE7E0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4F9764E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5679817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6CEC22A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4425229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66DB930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674E7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3618018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74AC058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5F5BEF3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147BE98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331751A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21860F2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063D098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40E3B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A78E9E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55C853E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47EE6DC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1E7C525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4FB5A66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3C9D8A0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7A992CF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04229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22534F2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60FBFDF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785E639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21164FD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302E3EF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0E4E8BA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725BB53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1FB78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3E84D69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7398728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44E2544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6FEB24A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0DDB94F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6AE1483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058534B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5316F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21AC2DF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50D2A4E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32F0220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451E3AD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0242E3C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6859B9D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11ADE4E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5D9C5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5F94E1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43AC78F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64B2658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7DFA6E9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58E3735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6B70EFD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7B87812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23083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43B5592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60428DE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5C5F78A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7C782B2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2DA2ED1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37853A1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7E3E794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12254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AD309D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5A4BE7B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69C7915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7DC827F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287D21F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42904FF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3BC579A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03AFA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73DB26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0AEECCD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6132267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59E03B4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50D290E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40E19F0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5923481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1C171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1BBD2DF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0FB42D5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5B0B649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4AA3B0C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745C566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23F0C9C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37E8216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2C25A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364532A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7042141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5948255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24FFA84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779931D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6F81A49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1EED322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68BA2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7CFCD7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58E0C5C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6E275C3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2728CF8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6C8FD5D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005F7B3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49B2C02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6278C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450FE2B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0AD87F0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688766A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0EA15FF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21B0E5B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03AADCA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351A21C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37E27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5A9DA71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1703721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2F1B940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2435600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2540DE8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1D6C498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61C8FFA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4DDF2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1D89FFC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2731974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3A627BB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25E2D0D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5567CCA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351A372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0DD0900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49C6E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57C2C81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1411513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3CB43F8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62D909D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7F9AA1C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6D8CBD7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1017EE7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6C673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6462CC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0EC6981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6F46684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7FDDEEB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7FD34FD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5119C90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3AC8261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54EDF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8E9D88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72376B7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7595D82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58D5966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1F8491F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4AD67BB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15C044D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27222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10AC0DC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1EEBA9D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0D2F908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293DB53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2FD31C1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1185AE8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4B313C8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bl>
    <w:p w14:paraId="36BDD46A">
      <w:pPr>
        <w:wordWrap w:val="0"/>
        <w:spacing w:before="120" w:beforeLines="50" w:after="120" w:afterLines="50" w:line="440" w:lineRule="exact"/>
        <w:rPr>
          <w:rFonts w:cs="仿宋" w:asciiTheme="minorEastAsia" w:hAnsiTheme="minorEastAsia" w:eastAsiaTheme="minorEastAsia"/>
          <w:kern w:val="0"/>
          <w:sz w:val="24"/>
          <w:szCs w:val="24"/>
        </w:rPr>
      </w:pPr>
    </w:p>
    <w:p w14:paraId="4E924679">
      <w:pPr>
        <w:wordWrap w:val="0"/>
        <w:spacing w:before="120" w:beforeLines="50" w:after="120" w:afterLines="50" w:line="440" w:lineRule="exact"/>
        <w:jc w:val="center"/>
        <w:rPr>
          <w:rFonts w:cs="仿宋" w:asciiTheme="minorEastAsia" w:hAnsiTheme="minorEastAsia" w:eastAsiaTheme="minorEastAsia"/>
          <w:b/>
          <w:kern w:val="0"/>
          <w:sz w:val="28"/>
          <w:szCs w:val="28"/>
        </w:rPr>
      </w:pPr>
      <w:r>
        <w:rPr>
          <w:rFonts w:hint="eastAsia" w:cs="仿宋" w:asciiTheme="minorEastAsia" w:hAnsiTheme="minorEastAsia" w:eastAsiaTheme="minorEastAsia"/>
          <w:b/>
          <w:kern w:val="0"/>
          <w:sz w:val="28"/>
          <w:szCs w:val="28"/>
        </w:rPr>
        <w:br w:type="page"/>
      </w:r>
      <w:r>
        <w:rPr>
          <w:rFonts w:hint="eastAsia" w:cs="仿宋" w:asciiTheme="minorEastAsia" w:hAnsiTheme="minorEastAsia" w:eastAsiaTheme="minorEastAsia"/>
          <w:b/>
          <w:kern w:val="0"/>
          <w:sz w:val="28"/>
          <w:szCs w:val="28"/>
        </w:rPr>
        <w:t>11-2：工程设备暂估价表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F60E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tcPr>
          <w:p w14:paraId="63D6A6B1">
            <w:pPr>
              <w:keepNext/>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序号</w:t>
            </w:r>
          </w:p>
        </w:tc>
        <w:tc>
          <w:tcPr>
            <w:tcW w:w="1984" w:type="dxa"/>
            <w:tcBorders>
              <w:top w:val="single" w:color="auto" w:sz="12" w:space="0"/>
              <w:bottom w:val="double" w:color="auto" w:sz="6" w:space="0"/>
            </w:tcBorders>
          </w:tcPr>
          <w:p w14:paraId="32A19E5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名称</w:t>
            </w:r>
          </w:p>
        </w:tc>
        <w:tc>
          <w:tcPr>
            <w:tcW w:w="851" w:type="dxa"/>
            <w:tcBorders>
              <w:top w:val="single" w:color="auto" w:sz="12" w:space="0"/>
              <w:bottom w:val="double" w:color="auto" w:sz="6" w:space="0"/>
            </w:tcBorders>
          </w:tcPr>
          <w:p w14:paraId="0B214ED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单位</w:t>
            </w:r>
          </w:p>
        </w:tc>
        <w:tc>
          <w:tcPr>
            <w:tcW w:w="774" w:type="dxa"/>
            <w:tcBorders>
              <w:top w:val="single" w:color="auto" w:sz="12" w:space="0"/>
              <w:bottom w:val="double" w:color="auto" w:sz="6" w:space="0"/>
            </w:tcBorders>
          </w:tcPr>
          <w:p w14:paraId="2922969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数量</w:t>
            </w:r>
          </w:p>
        </w:tc>
        <w:tc>
          <w:tcPr>
            <w:tcW w:w="1352" w:type="dxa"/>
            <w:tcBorders>
              <w:top w:val="single" w:color="auto" w:sz="12" w:space="0"/>
              <w:bottom w:val="double" w:color="auto" w:sz="6" w:space="0"/>
            </w:tcBorders>
          </w:tcPr>
          <w:p w14:paraId="681C9B3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单价（元）</w:t>
            </w:r>
          </w:p>
        </w:tc>
        <w:tc>
          <w:tcPr>
            <w:tcW w:w="1418" w:type="dxa"/>
            <w:tcBorders>
              <w:top w:val="single" w:color="auto" w:sz="12" w:space="0"/>
              <w:bottom w:val="double" w:color="auto" w:sz="6" w:space="0"/>
            </w:tcBorders>
          </w:tcPr>
          <w:p w14:paraId="128A1B7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合价（元）</w:t>
            </w:r>
          </w:p>
        </w:tc>
        <w:tc>
          <w:tcPr>
            <w:tcW w:w="1701" w:type="dxa"/>
            <w:tcBorders>
              <w:top w:val="single" w:color="auto" w:sz="12" w:space="0"/>
              <w:bottom w:val="double" w:color="auto" w:sz="6" w:space="0"/>
            </w:tcBorders>
          </w:tcPr>
          <w:p w14:paraId="0CF942C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备注</w:t>
            </w:r>
          </w:p>
        </w:tc>
      </w:tr>
      <w:tr w14:paraId="58A97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tcPr>
          <w:p w14:paraId="5311720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Borders>
              <w:top w:val="double" w:color="auto" w:sz="6" w:space="0"/>
              <w:bottom w:val="single" w:color="auto" w:sz="6" w:space="0"/>
            </w:tcBorders>
          </w:tcPr>
          <w:p w14:paraId="05ECD10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Borders>
              <w:top w:val="double" w:color="auto" w:sz="6" w:space="0"/>
              <w:bottom w:val="single" w:color="auto" w:sz="6" w:space="0"/>
            </w:tcBorders>
          </w:tcPr>
          <w:p w14:paraId="084BFFB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Borders>
              <w:top w:val="double" w:color="auto" w:sz="6" w:space="0"/>
              <w:bottom w:val="single" w:color="auto" w:sz="6" w:space="0"/>
            </w:tcBorders>
          </w:tcPr>
          <w:p w14:paraId="2D771B9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Borders>
              <w:top w:val="double" w:color="auto" w:sz="6" w:space="0"/>
              <w:bottom w:val="single" w:color="auto" w:sz="6" w:space="0"/>
            </w:tcBorders>
          </w:tcPr>
          <w:p w14:paraId="4AA2500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Borders>
              <w:top w:val="double" w:color="auto" w:sz="6" w:space="0"/>
              <w:bottom w:val="single" w:color="auto" w:sz="6" w:space="0"/>
            </w:tcBorders>
          </w:tcPr>
          <w:p w14:paraId="3BB1AC3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Borders>
              <w:top w:val="double" w:color="auto" w:sz="6" w:space="0"/>
              <w:bottom w:val="single" w:color="auto" w:sz="6" w:space="0"/>
            </w:tcBorders>
          </w:tcPr>
          <w:p w14:paraId="4D47715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340DA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tcPr>
          <w:p w14:paraId="3F95DDB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Borders>
              <w:top w:val="nil"/>
            </w:tcBorders>
          </w:tcPr>
          <w:p w14:paraId="26D4738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Borders>
              <w:top w:val="nil"/>
            </w:tcBorders>
          </w:tcPr>
          <w:p w14:paraId="3E9725E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Borders>
              <w:top w:val="nil"/>
            </w:tcBorders>
          </w:tcPr>
          <w:p w14:paraId="288325E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Borders>
              <w:top w:val="nil"/>
            </w:tcBorders>
          </w:tcPr>
          <w:p w14:paraId="301F7D2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Borders>
              <w:top w:val="nil"/>
            </w:tcBorders>
          </w:tcPr>
          <w:p w14:paraId="7A92FD8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Borders>
              <w:top w:val="nil"/>
            </w:tcBorders>
          </w:tcPr>
          <w:p w14:paraId="0124213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71EC9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885043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3EC5492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5808F2F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5136B05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29FC8C3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297703F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0E6A4A3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3D925E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4A86E66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0BC5FA2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385CB09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7786E0C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6A7C068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2082E30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078769B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705CA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2FF6BD3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3CFFF26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73C4555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3679638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2252F32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286BEE7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16A5B9E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0FDB2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376F96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04C46AA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7E5FCD7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0C2D04F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0766E9F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665DA5E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703AC3E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35728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F02294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174B2E0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163472B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100F15D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34AD95C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4726B1A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5B7EAEB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4944D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9B9542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31FC7AE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03AC81B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46DDD29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5828190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0D5FCA8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4EE0068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5B120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6CA955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7AB4B0A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7393E0D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05A3092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07F8C55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3A0DAFD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054270C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1A8CA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8B5233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4B530D0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75AE97F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611267C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483CB02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7982625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7BDC814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766E5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21DA54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7986015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2CDC58B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3BC9450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6505C53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52F57D0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08A3B26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0C52DF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15001AE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6347CDF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7EB76D4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7516BC9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077A726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57FBB7C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790EF9E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46289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106F64E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65DB428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6CDAB77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630ABE3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68BF041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17BECAF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2DC0D6E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22096E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C859C1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08A78B1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420D09B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386A221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452DEB0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6F2C3E0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02F3A23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2B593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481D9C7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56EB9D5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6163858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299D4C7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2CBE064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1E54968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64AD4B1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72901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44EFC84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3C7A648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0902B75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011E6CB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58A92BA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1369E91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6A47E91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3FAFCD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36987B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17803EC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2A0E6AA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7686C87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50BE367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3ABBE52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58CE26E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4E1F5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4C2674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4F9E3F3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71AFE72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7091CBF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2FBB3A2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29457F1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6692FEA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417F9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3C05CD3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6C3B496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3DB889E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326A30E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60086FD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6D9D892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0AD8C0F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6EC9E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D13140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33DFD71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236F75F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0190013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0729B37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619F7D2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6070DB1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77A31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5005C66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1E5E6FE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08E7416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5938767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007B2B1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1ABF6D9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6E6C9F4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3AFD8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47F68CA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61E0F0A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4AA9E2B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1D5B14F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5AA616B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55C1B83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39326C8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122ED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1E0BD5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1106B23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604FE2D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3C95E50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73E5A06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20E5EA7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6C2555A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43183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859521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6B72025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3B9668A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655D899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42328A8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3EEC858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1934914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687F4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41C4628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984" w:type="dxa"/>
          </w:tcPr>
          <w:p w14:paraId="4DA81D1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51" w:type="dxa"/>
          </w:tcPr>
          <w:p w14:paraId="26B2093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74" w:type="dxa"/>
          </w:tcPr>
          <w:p w14:paraId="19A7DAA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52" w:type="dxa"/>
          </w:tcPr>
          <w:p w14:paraId="166AB5D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18" w:type="dxa"/>
          </w:tcPr>
          <w:p w14:paraId="67489F7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01" w:type="dxa"/>
          </w:tcPr>
          <w:p w14:paraId="32916FB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bl>
    <w:p w14:paraId="068E6023">
      <w:pPr>
        <w:wordWrap w:val="0"/>
        <w:spacing w:after="200" w:line="440" w:lineRule="exact"/>
        <w:rPr>
          <w:rFonts w:cs="仿宋" w:asciiTheme="minorEastAsia" w:hAnsiTheme="minorEastAsia" w:eastAsiaTheme="minorEastAsia"/>
          <w:kern w:val="0"/>
          <w:sz w:val="24"/>
          <w:szCs w:val="24"/>
        </w:rPr>
      </w:pPr>
    </w:p>
    <w:p w14:paraId="0A19F740">
      <w:pPr>
        <w:wordWrap w:val="0"/>
        <w:jc w:val="center"/>
        <w:rPr>
          <w:rFonts w:cs="仿宋" w:asciiTheme="minorEastAsia" w:hAnsiTheme="minorEastAsia" w:eastAsiaTheme="minorEastAsia"/>
          <w:b/>
          <w:kern w:val="0"/>
          <w:sz w:val="28"/>
          <w:szCs w:val="28"/>
        </w:rPr>
      </w:pPr>
      <w:r>
        <w:rPr>
          <w:rFonts w:hint="eastAsia" w:cs="仿宋" w:asciiTheme="minorEastAsia" w:hAnsiTheme="minorEastAsia" w:eastAsiaTheme="minorEastAsia"/>
          <w:b/>
          <w:kern w:val="0"/>
          <w:sz w:val="24"/>
          <w:szCs w:val="24"/>
        </w:rPr>
        <w:br w:type="page"/>
      </w:r>
      <w:r>
        <w:rPr>
          <w:rFonts w:hint="eastAsia" w:cs="仿宋" w:asciiTheme="minorEastAsia" w:hAnsiTheme="minorEastAsia" w:eastAsiaTheme="minorEastAsia"/>
          <w:b/>
          <w:kern w:val="0"/>
          <w:sz w:val="28"/>
          <w:szCs w:val="28"/>
        </w:rPr>
        <w:t>11-3：专业工程暂估价表</w:t>
      </w:r>
    </w:p>
    <w:tbl>
      <w:tblPr>
        <w:tblStyle w:val="35"/>
        <w:tblW w:w="91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06"/>
        <w:gridCol w:w="2011"/>
        <w:gridCol w:w="862"/>
        <w:gridCol w:w="784"/>
        <w:gridCol w:w="1370"/>
        <w:gridCol w:w="1437"/>
        <w:gridCol w:w="1724"/>
      </w:tblGrid>
      <w:tr w14:paraId="79024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7" w:hRule="atLeast"/>
          <w:jc w:val="center"/>
        </w:trPr>
        <w:tc>
          <w:tcPr>
            <w:tcW w:w="1006" w:type="dxa"/>
            <w:tcBorders>
              <w:top w:val="single" w:color="auto" w:sz="12" w:space="0"/>
              <w:bottom w:val="double" w:color="auto" w:sz="6" w:space="0"/>
            </w:tcBorders>
          </w:tcPr>
          <w:p w14:paraId="1FFEDCF1">
            <w:pPr>
              <w:keepNext/>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序号</w:t>
            </w:r>
          </w:p>
        </w:tc>
        <w:tc>
          <w:tcPr>
            <w:tcW w:w="2011" w:type="dxa"/>
            <w:tcBorders>
              <w:top w:val="single" w:color="auto" w:sz="12" w:space="0"/>
              <w:bottom w:val="double" w:color="auto" w:sz="6" w:space="0"/>
            </w:tcBorders>
          </w:tcPr>
          <w:p w14:paraId="41EF1AF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名称</w:t>
            </w:r>
          </w:p>
        </w:tc>
        <w:tc>
          <w:tcPr>
            <w:tcW w:w="862" w:type="dxa"/>
            <w:tcBorders>
              <w:top w:val="single" w:color="auto" w:sz="12" w:space="0"/>
              <w:bottom w:val="double" w:color="auto" w:sz="6" w:space="0"/>
            </w:tcBorders>
          </w:tcPr>
          <w:p w14:paraId="3D402B2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单位</w:t>
            </w:r>
          </w:p>
        </w:tc>
        <w:tc>
          <w:tcPr>
            <w:tcW w:w="784" w:type="dxa"/>
            <w:tcBorders>
              <w:top w:val="single" w:color="auto" w:sz="12" w:space="0"/>
              <w:bottom w:val="double" w:color="auto" w:sz="6" w:space="0"/>
            </w:tcBorders>
          </w:tcPr>
          <w:p w14:paraId="699DCB6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数量</w:t>
            </w:r>
          </w:p>
        </w:tc>
        <w:tc>
          <w:tcPr>
            <w:tcW w:w="1370" w:type="dxa"/>
            <w:tcBorders>
              <w:top w:val="single" w:color="auto" w:sz="12" w:space="0"/>
              <w:bottom w:val="double" w:color="auto" w:sz="6" w:space="0"/>
            </w:tcBorders>
          </w:tcPr>
          <w:p w14:paraId="44CB01D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单价（元）</w:t>
            </w:r>
          </w:p>
        </w:tc>
        <w:tc>
          <w:tcPr>
            <w:tcW w:w="1437" w:type="dxa"/>
            <w:tcBorders>
              <w:top w:val="single" w:color="auto" w:sz="12" w:space="0"/>
              <w:bottom w:val="double" w:color="auto" w:sz="6" w:space="0"/>
            </w:tcBorders>
          </w:tcPr>
          <w:p w14:paraId="67F5BAB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合价（元）</w:t>
            </w:r>
          </w:p>
        </w:tc>
        <w:tc>
          <w:tcPr>
            <w:tcW w:w="1724" w:type="dxa"/>
            <w:tcBorders>
              <w:top w:val="single" w:color="auto" w:sz="12" w:space="0"/>
              <w:bottom w:val="double" w:color="auto" w:sz="6" w:space="0"/>
            </w:tcBorders>
          </w:tcPr>
          <w:p w14:paraId="4953A05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备注</w:t>
            </w:r>
          </w:p>
        </w:tc>
      </w:tr>
      <w:tr w14:paraId="2685A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9" w:hRule="atLeast"/>
          <w:jc w:val="center"/>
        </w:trPr>
        <w:tc>
          <w:tcPr>
            <w:tcW w:w="1006" w:type="dxa"/>
            <w:tcBorders>
              <w:top w:val="double" w:color="auto" w:sz="6" w:space="0"/>
              <w:bottom w:val="single" w:color="auto" w:sz="6" w:space="0"/>
            </w:tcBorders>
          </w:tcPr>
          <w:p w14:paraId="2A857FA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Borders>
              <w:top w:val="double" w:color="auto" w:sz="6" w:space="0"/>
              <w:bottom w:val="single" w:color="auto" w:sz="6" w:space="0"/>
            </w:tcBorders>
          </w:tcPr>
          <w:p w14:paraId="625DF34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Borders>
              <w:top w:val="double" w:color="auto" w:sz="6" w:space="0"/>
              <w:bottom w:val="single" w:color="auto" w:sz="6" w:space="0"/>
            </w:tcBorders>
          </w:tcPr>
          <w:p w14:paraId="0ABE783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Borders>
              <w:top w:val="double" w:color="auto" w:sz="6" w:space="0"/>
              <w:bottom w:val="single" w:color="auto" w:sz="6" w:space="0"/>
            </w:tcBorders>
          </w:tcPr>
          <w:p w14:paraId="79B2C29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Borders>
              <w:top w:val="double" w:color="auto" w:sz="6" w:space="0"/>
              <w:bottom w:val="single" w:color="auto" w:sz="6" w:space="0"/>
            </w:tcBorders>
          </w:tcPr>
          <w:p w14:paraId="3701B7C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Borders>
              <w:top w:val="double" w:color="auto" w:sz="6" w:space="0"/>
              <w:bottom w:val="single" w:color="auto" w:sz="6" w:space="0"/>
            </w:tcBorders>
          </w:tcPr>
          <w:p w14:paraId="5802F93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Borders>
              <w:top w:val="double" w:color="auto" w:sz="6" w:space="0"/>
              <w:bottom w:val="single" w:color="auto" w:sz="6" w:space="0"/>
            </w:tcBorders>
          </w:tcPr>
          <w:p w14:paraId="47470E9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291CA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6" w:type="dxa"/>
            <w:tcBorders>
              <w:top w:val="nil"/>
            </w:tcBorders>
          </w:tcPr>
          <w:p w14:paraId="595EE47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Borders>
              <w:top w:val="nil"/>
            </w:tcBorders>
          </w:tcPr>
          <w:p w14:paraId="1C591AF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Borders>
              <w:top w:val="nil"/>
            </w:tcBorders>
          </w:tcPr>
          <w:p w14:paraId="1011536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Borders>
              <w:top w:val="nil"/>
            </w:tcBorders>
          </w:tcPr>
          <w:p w14:paraId="6D0CCD2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Borders>
              <w:top w:val="nil"/>
            </w:tcBorders>
          </w:tcPr>
          <w:p w14:paraId="0A28023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Borders>
              <w:top w:val="nil"/>
            </w:tcBorders>
          </w:tcPr>
          <w:p w14:paraId="5D2939D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Borders>
              <w:top w:val="nil"/>
            </w:tcBorders>
          </w:tcPr>
          <w:p w14:paraId="1CD002C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7CB36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6" w:type="dxa"/>
          </w:tcPr>
          <w:p w14:paraId="498EF31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Pr>
          <w:p w14:paraId="5885F5C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Pr>
          <w:p w14:paraId="25C14BA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Pr>
          <w:p w14:paraId="4AB2195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Pr>
          <w:p w14:paraId="12A0BD3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Pr>
          <w:p w14:paraId="2CD8C53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Pr>
          <w:p w14:paraId="47AF750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6B3EC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6" w:type="dxa"/>
          </w:tcPr>
          <w:p w14:paraId="4FE87A5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Pr>
          <w:p w14:paraId="511A919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Pr>
          <w:p w14:paraId="344A2A6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Pr>
          <w:p w14:paraId="203DCDE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Pr>
          <w:p w14:paraId="7A7D665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Pr>
          <w:p w14:paraId="5CC2CD9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Pr>
          <w:p w14:paraId="59CDB16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34F5D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6" w:type="dxa"/>
          </w:tcPr>
          <w:p w14:paraId="15EC525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Pr>
          <w:p w14:paraId="1364B15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Pr>
          <w:p w14:paraId="1B9BE64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Pr>
          <w:p w14:paraId="7C63D97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Pr>
          <w:p w14:paraId="78F7599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Pr>
          <w:p w14:paraId="688A5DE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Pr>
          <w:p w14:paraId="7558A49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6DAEE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6" w:type="dxa"/>
          </w:tcPr>
          <w:p w14:paraId="07CBBB3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Pr>
          <w:p w14:paraId="2433C1B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Pr>
          <w:p w14:paraId="3AD25C7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Pr>
          <w:p w14:paraId="50F707C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Pr>
          <w:p w14:paraId="1A27B4E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Pr>
          <w:p w14:paraId="27F34A5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Pr>
          <w:p w14:paraId="6F03C41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160A0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6" w:type="dxa"/>
          </w:tcPr>
          <w:p w14:paraId="254B8B3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Pr>
          <w:p w14:paraId="578FD02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Pr>
          <w:p w14:paraId="4765D2D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Pr>
          <w:p w14:paraId="78576ED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Pr>
          <w:p w14:paraId="78CB80A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Pr>
          <w:p w14:paraId="2ED7CE8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Pr>
          <w:p w14:paraId="6A0CD5F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16E04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6" w:type="dxa"/>
          </w:tcPr>
          <w:p w14:paraId="04B21E7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Pr>
          <w:p w14:paraId="0804FC2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Pr>
          <w:p w14:paraId="440EFD4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Pr>
          <w:p w14:paraId="3115DE1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Pr>
          <w:p w14:paraId="6F1C5E4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Pr>
          <w:p w14:paraId="274F05B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Pr>
          <w:p w14:paraId="1061ABC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6AEB4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6" w:type="dxa"/>
          </w:tcPr>
          <w:p w14:paraId="0BA2BF9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Pr>
          <w:p w14:paraId="45188B9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Pr>
          <w:p w14:paraId="55D8820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Pr>
          <w:p w14:paraId="1CAD2D5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Pr>
          <w:p w14:paraId="2A20C9D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Pr>
          <w:p w14:paraId="479D9C8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Pr>
          <w:p w14:paraId="0B73237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47279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6" w:type="dxa"/>
          </w:tcPr>
          <w:p w14:paraId="5B7D6DD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Pr>
          <w:p w14:paraId="338EFFF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Pr>
          <w:p w14:paraId="18F2BAA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Pr>
          <w:p w14:paraId="58135D8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Pr>
          <w:p w14:paraId="42B2A35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Pr>
          <w:p w14:paraId="153FAAE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Pr>
          <w:p w14:paraId="4C31E3A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5D726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6" w:type="dxa"/>
          </w:tcPr>
          <w:p w14:paraId="1D77E43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Pr>
          <w:p w14:paraId="1AB2754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Pr>
          <w:p w14:paraId="289F968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Pr>
          <w:p w14:paraId="0426D8C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Pr>
          <w:p w14:paraId="72382B1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Pr>
          <w:p w14:paraId="6BD4804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Pr>
          <w:p w14:paraId="21E875E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50F57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6" w:type="dxa"/>
          </w:tcPr>
          <w:p w14:paraId="7646697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Pr>
          <w:p w14:paraId="0770BDE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Pr>
          <w:p w14:paraId="6FA7AFB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Pr>
          <w:p w14:paraId="7D50297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Pr>
          <w:p w14:paraId="3F9CABD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Pr>
          <w:p w14:paraId="04F24BC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Pr>
          <w:p w14:paraId="1F95090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463194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6" w:type="dxa"/>
          </w:tcPr>
          <w:p w14:paraId="291451C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Pr>
          <w:p w14:paraId="058B09C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Pr>
          <w:p w14:paraId="553B7D4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Pr>
          <w:p w14:paraId="3CFB3D0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Pr>
          <w:p w14:paraId="4B08C14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Pr>
          <w:p w14:paraId="2C81AA8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Pr>
          <w:p w14:paraId="4272BF1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6733E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6" w:type="dxa"/>
          </w:tcPr>
          <w:p w14:paraId="0BA877B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Pr>
          <w:p w14:paraId="0C8DD78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Pr>
          <w:p w14:paraId="079ECFB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Pr>
          <w:p w14:paraId="120DF8F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Pr>
          <w:p w14:paraId="2F61706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Pr>
          <w:p w14:paraId="369E5B7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Pr>
          <w:p w14:paraId="3CCB10D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6DABC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6" w:type="dxa"/>
          </w:tcPr>
          <w:p w14:paraId="13E5045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Pr>
          <w:p w14:paraId="5E45A33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Pr>
          <w:p w14:paraId="5DBB4BB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Pr>
          <w:p w14:paraId="0E49EA9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Pr>
          <w:p w14:paraId="1327EFD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Pr>
          <w:p w14:paraId="698852C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Pr>
          <w:p w14:paraId="1FB66A5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146D2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6" w:type="dxa"/>
          </w:tcPr>
          <w:p w14:paraId="2420956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Pr>
          <w:p w14:paraId="7D80A7E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Pr>
          <w:p w14:paraId="3B0571F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Pr>
          <w:p w14:paraId="7D7A903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Pr>
          <w:p w14:paraId="6E1CD74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Pr>
          <w:p w14:paraId="33EC40B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Pr>
          <w:p w14:paraId="5CEF40A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6F1FE5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6" w:type="dxa"/>
          </w:tcPr>
          <w:p w14:paraId="5CAF20C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Pr>
          <w:p w14:paraId="6001ABA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Pr>
          <w:p w14:paraId="4AE79BB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Pr>
          <w:p w14:paraId="01DA37D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Pr>
          <w:p w14:paraId="09EBD9C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Pr>
          <w:p w14:paraId="68D20F0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Pr>
          <w:p w14:paraId="27A94A7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106E5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6" w:type="dxa"/>
          </w:tcPr>
          <w:p w14:paraId="2B15A10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Pr>
          <w:p w14:paraId="6CD6006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Pr>
          <w:p w14:paraId="6D78B3B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Pr>
          <w:p w14:paraId="092A9A2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Pr>
          <w:p w14:paraId="54E95DC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Pr>
          <w:p w14:paraId="62E5C94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Pr>
          <w:p w14:paraId="3031AA0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5348C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6" w:type="dxa"/>
          </w:tcPr>
          <w:p w14:paraId="7A42EBA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Pr>
          <w:p w14:paraId="69BCD65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Pr>
          <w:p w14:paraId="3B0DED1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Pr>
          <w:p w14:paraId="72096BA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Pr>
          <w:p w14:paraId="68F1D14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Pr>
          <w:p w14:paraId="00B42E3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Pr>
          <w:p w14:paraId="0EA3BBB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7FCF53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6" w:type="dxa"/>
          </w:tcPr>
          <w:p w14:paraId="4C9EF0B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Pr>
          <w:p w14:paraId="48767B6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Pr>
          <w:p w14:paraId="5FA827DA">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Pr>
          <w:p w14:paraId="58B3D00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Pr>
          <w:p w14:paraId="4316BC6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Pr>
          <w:p w14:paraId="55120AC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Pr>
          <w:p w14:paraId="4A515ED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24851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6" w:type="dxa"/>
          </w:tcPr>
          <w:p w14:paraId="1E5DA81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Pr>
          <w:p w14:paraId="736C240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Pr>
          <w:p w14:paraId="37FDCDE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Pr>
          <w:p w14:paraId="295B4CF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Pr>
          <w:p w14:paraId="004D88D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Pr>
          <w:p w14:paraId="6360354F">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Pr>
          <w:p w14:paraId="55F6B78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63F0C8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6" w:type="dxa"/>
          </w:tcPr>
          <w:p w14:paraId="4903755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Pr>
          <w:p w14:paraId="7FDCED7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Pr>
          <w:p w14:paraId="7438BE6B">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Pr>
          <w:p w14:paraId="349DDC77">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Pr>
          <w:p w14:paraId="2889538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Pr>
          <w:p w14:paraId="3AD957D5">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Pr>
          <w:p w14:paraId="2DE393CE">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75951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6" w:type="dxa"/>
          </w:tcPr>
          <w:p w14:paraId="22F69398">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Pr>
          <w:p w14:paraId="7DF705E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Pr>
          <w:p w14:paraId="722BF45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Pr>
          <w:p w14:paraId="7AE9147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Pr>
          <w:p w14:paraId="3F21B44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Pr>
          <w:p w14:paraId="4DA0603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Pr>
          <w:p w14:paraId="0B474944">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5E5300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6" w:type="dxa"/>
          </w:tcPr>
          <w:p w14:paraId="28C9776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Pr>
          <w:p w14:paraId="20FBCEA1">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Pr>
          <w:p w14:paraId="7DDBB936">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Pr>
          <w:p w14:paraId="089B8A49">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Pr>
          <w:p w14:paraId="6465EE2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Pr>
          <w:p w14:paraId="079A402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Pr>
          <w:p w14:paraId="73A35F2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r w14:paraId="57CA4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9" w:hRule="atLeast"/>
          <w:jc w:val="center"/>
        </w:trPr>
        <w:tc>
          <w:tcPr>
            <w:tcW w:w="1006" w:type="dxa"/>
          </w:tcPr>
          <w:p w14:paraId="410D072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2011" w:type="dxa"/>
          </w:tcPr>
          <w:p w14:paraId="5DB5F98C">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862" w:type="dxa"/>
          </w:tcPr>
          <w:p w14:paraId="513DD7A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784" w:type="dxa"/>
          </w:tcPr>
          <w:p w14:paraId="4A30C552">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370" w:type="dxa"/>
          </w:tcPr>
          <w:p w14:paraId="1B14BCD3">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437" w:type="dxa"/>
          </w:tcPr>
          <w:p w14:paraId="01D9CA60">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c>
          <w:tcPr>
            <w:tcW w:w="1724" w:type="dxa"/>
          </w:tcPr>
          <w:p w14:paraId="2FA6C5FD">
            <w:pPr>
              <w:keepNext/>
              <w:wordWrap w:val="0"/>
              <w:adjustRightInd w:val="0"/>
              <w:spacing w:line="440" w:lineRule="exact"/>
              <w:ind w:left="63" w:leftChars="30" w:right="63" w:rightChars="30"/>
              <w:jc w:val="center"/>
              <w:textAlignment w:val="baseline"/>
              <w:rPr>
                <w:rFonts w:cs="仿宋" w:asciiTheme="minorEastAsia" w:hAnsiTheme="minorEastAsia" w:eastAsiaTheme="minorEastAsia"/>
                <w:kern w:val="0"/>
                <w:sz w:val="24"/>
                <w:szCs w:val="24"/>
              </w:rPr>
            </w:pPr>
          </w:p>
        </w:tc>
      </w:tr>
    </w:tbl>
    <w:p w14:paraId="0EB77836">
      <w:pPr>
        <w:wordWrap w:val="0"/>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br w:type="page"/>
      </w:r>
    </w:p>
    <w:p w14:paraId="7E7ACBE5">
      <w:pPr>
        <w:pStyle w:val="2"/>
        <w:wordWrap w:val="0"/>
        <w:spacing w:line="360" w:lineRule="auto"/>
        <w:jc w:val="center"/>
        <w:rPr>
          <w:rFonts w:cs="宋体" w:asciiTheme="minorEastAsia" w:hAnsiTheme="minorEastAsia" w:eastAsiaTheme="minorEastAsia"/>
          <w:sz w:val="36"/>
          <w:szCs w:val="36"/>
        </w:rPr>
      </w:pPr>
      <w:bookmarkStart w:id="1639" w:name="_Toc13643"/>
      <w:bookmarkStart w:id="1640" w:name="_Toc23459"/>
      <w:bookmarkStart w:id="1641" w:name="_Toc193796123"/>
      <w:bookmarkStart w:id="1642" w:name="_Toc6941"/>
      <w:bookmarkStart w:id="1643" w:name="OLE_LINK33"/>
      <w:bookmarkStart w:id="1644" w:name="OLE_LINK34"/>
      <w:r>
        <w:rPr>
          <w:rFonts w:hint="eastAsia" w:cs="宋体" w:asciiTheme="minorEastAsia" w:hAnsiTheme="minorEastAsia" w:eastAsiaTheme="minorEastAsia"/>
          <w:sz w:val="36"/>
          <w:szCs w:val="36"/>
        </w:rPr>
        <w:t>第五章 磋商响应文件格式</w:t>
      </w:r>
      <w:bookmarkEnd w:id="916"/>
      <w:bookmarkEnd w:id="922"/>
      <w:bookmarkEnd w:id="1639"/>
      <w:bookmarkEnd w:id="1640"/>
      <w:bookmarkEnd w:id="1641"/>
      <w:bookmarkEnd w:id="1642"/>
    </w:p>
    <w:bookmarkEnd w:id="1643"/>
    <w:bookmarkEnd w:id="1644"/>
    <w:p w14:paraId="217DD46E">
      <w:pPr>
        <w:pStyle w:val="14"/>
        <w:wordWrap w:val="0"/>
        <w:rPr>
          <w:rFonts w:asciiTheme="minorEastAsia" w:hAnsiTheme="minorEastAsia" w:eastAsiaTheme="minorEastAsia"/>
          <w:b/>
          <w:bCs/>
          <w:sz w:val="28"/>
          <w:szCs w:val="28"/>
        </w:rPr>
      </w:pPr>
      <w:bookmarkStart w:id="1645" w:name="_Toc344216246"/>
      <w:bookmarkStart w:id="1646" w:name="_Toc280259731"/>
      <w:bookmarkStart w:id="1647" w:name="_Toc235935141"/>
      <w:bookmarkStart w:id="1648" w:name="_Toc341949419"/>
      <w:r>
        <w:rPr>
          <w:rFonts w:hint="eastAsia" w:asciiTheme="minorEastAsia" w:hAnsiTheme="minorEastAsia" w:eastAsiaTheme="minorEastAsia"/>
          <w:b/>
          <w:bCs/>
          <w:sz w:val="28"/>
          <w:szCs w:val="28"/>
        </w:rPr>
        <w:t>附：磋商响应文件封面格式</w:t>
      </w:r>
      <w:bookmarkEnd w:id="1645"/>
      <w:bookmarkEnd w:id="1646"/>
      <w:bookmarkEnd w:id="1647"/>
      <w:bookmarkEnd w:id="1648"/>
    </w:p>
    <w:p w14:paraId="30F37377">
      <w:pPr>
        <w:wordWrap w:val="0"/>
        <w:spacing w:before="120" w:after="120" w:line="360" w:lineRule="auto"/>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36"/>
          <w:szCs w:val="36"/>
        </w:rPr>
        <w:t xml:space="preserve">  </w:t>
      </w:r>
      <w:r>
        <w:rPr>
          <w:rFonts w:cs="宋体" w:asciiTheme="minorEastAsia" w:hAnsiTheme="minorEastAsia" w:eastAsiaTheme="minorEastAsia"/>
          <w:b/>
          <w:bCs/>
          <w:sz w:val="36"/>
          <w:szCs w:val="36"/>
        </w:rPr>
        <w:t xml:space="preserve">                                           </w:t>
      </w:r>
    </w:p>
    <w:p w14:paraId="56F9E5CA">
      <w:pPr>
        <w:wordWrap w:val="0"/>
        <w:spacing w:before="120" w:after="120" w:line="360" w:lineRule="auto"/>
        <w:jc w:val="center"/>
        <w:rPr>
          <w:rFonts w:cs="宋体" w:asciiTheme="minorEastAsia" w:hAnsiTheme="minorEastAsia" w:eastAsiaTheme="minorEastAsia"/>
          <w:b/>
          <w:sz w:val="48"/>
          <w:szCs w:val="48"/>
        </w:rPr>
      </w:pPr>
    </w:p>
    <w:p w14:paraId="767F81E5">
      <w:pPr>
        <w:wordWrap w:val="0"/>
        <w:spacing w:before="120" w:after="120" w:line="360" w:lineRule="auto"/>
        <w:jc w:val="center"/>
        <w:rPr>
          <w:rFonts w:cs="宋体" w:asciiTheme="minorEastAsia" w:hAnsiTheme="minorEastAsia" w:eastAsiaTheme="minorEastAsia"/>
          <w:sz w:val="24"/>
          <w:szCs w:val="24"/>
          <w:u w:val="single"/>
        </w:rPr>
      </w:pPr>
      <w:r>
        <w:rPr>
          <w:rFonts w:hint="eastAsia" w:cs="宋体" w:asciiTheme="minorEastAsia" w:hAnsiTheme="minorEastAsia" w:eastAsiaTheme="minorEastAsia"/>
          <w:b/>
          <w:sz w:val="48"/>
          <w:szCs w:val="48"/>
          <w:u w:val="single"/>
        </w:rPr>
        <w:t>（项目名称）</w:t>
      </w:r>
    </w:p>
    <w:p w14:paraId="5D307188">
      <w:pPr>
        <w:wordWrap w:val="0"/>
        <w:spacing w:before="120" w:after="120" w:line="360" w:lineRule="auto"/>
        <w:rPr>
          <w:rFonts w:cs="宋体" w:asciiTheme="minorEastAsia" w:hAnsiTheme="minorEastAsia" w:eastAsiaTheme="minorEastAsia"/>
          <w:sz w:val="24"/>
          <w:szCs w:val="24"/>
        </w:rPr>
      </w:pPr>
    </w:p>
    <w:p w14:paraId="6EFF5F01">
      <w:pPr>
        <w:wordWrap w:val="0"/>
        <w:spacing w:before="120" w:after="120" w:line="360" w:lineRule="auto"/>
        <w:jc w:val="center"/>
        <w:rPr>
          <w:rFonts w:cs="宋体" w:asciiTheme="minorEastAsia" w:hAnsiTheme="minorEastAsia" w:eastAsiaTheme="minorEastAsia"/>
          <w:sz w:val="72"/>
          <w:szCs w:val="72"/>
        </w:rPr>
      </w:pPr>
    </w:p>
    <w:p w14:paraId="19F1A6D2">
      <w:pPr>
        <w:wordWrap w:val="0"/>
        <w:spacing w:before="120" w:after="120" w:line="360" w:lineRule="auto"/>
        <w:jc w:val="center"/>
        <w:rPr>
          <w:rFonts w:cs="宋体" w:asciiTheme="minorEastAsia" w:hAnsiTheme="minorEastAsia" w:eastAsiaTheme="minorEastAsia"/>
          <w:b/>
          <w:sz w:val="72"/>
          <w:szCs w:val="72"/>
        </w:rPr>
      </w:pPr>
      <w:r>
        <w:rPr>
          <w:rFonts w:hint="eastAsia" w:cs="宋体" w:asciiTheme="minorEastAsia" w:hAnsiTheme="minorEastAsia" w:eastAsiaTheme="minorEastAsia"/>
          <w:b/>
          <w:sz w:val="72"/>
          <w:szCs w:val="72"/>
        </w:rPr>
        <w:t>磋商响应文件</w:t>
      </w:r>
    </w:p>
    <w:p w14:paraId="3F104ECA">
      <w:pPr>
        <w:wordWrap w:val="0"/>
        <w:spacing w:before="120" w:after="120" w:line="360" w:lineRule="auto"/>
        <w:jc w:val="center"/>
        <w:rPr>
          <w:rFonts w:cs="宋体" w:asciiTheme="minorEastAsia" w:hAnsiTheme="minorEastAsia" w:eastAsiaTheme="minorEastAsia"/>
          <w:b/>
          <w:bCs/>
          <w:sz w:val="30"/>
          <w:szCs w:val="30"/>
        </w:rPr>
      </w:pPr>
    </w:p>
    <w:p w14:paraId="073E838B">
      <w:pPr>
        <w:wordWrap w:val="0"/>
        <w:spacing w:before="120" w:after="120" w:line="360" w:lineRule="auto"/>
        <w:jc w:val="center"/>
        <w:rPr>
          <w:rFonts w:cs="宋体" w:asciiTheme="minorEastAsia" w:hAnsiTheme="minorEastAsia" w:eastAsiaTheme="minorEastAsia"/>
          <w:b/>
          <w:bCs/>
          <w:sz w:val="30"/>
          <w:szCs w:val="30"/>
        </w:rPr>
      </w:pPr>
    </w:p>
    <w:p w14:paraId="0038EA4B">
      <w:pPr>
        <w:wordWrap w:val="0"/>
        <w:spacing w:before="120" w:after="120" w:line="360" w:lineRule="auto"/>
        <w:rPr>
          <w:rFonts w:cs="宋体" w:asciiTheme="minorEastAsia" w:hAnsiTheme="minorEastAsia" w:eastAsiaTheme="minorEastAsia"/>
          <w:b/>
          <w:sz w:val="30"/>
          <w:szCs w:val="30"/>
        </w:rPr>
      </w:pPr>
    </w:p>
    <w:p w14:paraId="18ED4EAA">
      <w:pPr>
        <w:wordWrap w:val="0"/>
        <w:spacing w:before="120" w:after="120" w:line="360" w:lineRule="auto"/>
        <w:rPr>
          <w:rFonts w:cs="宋体" w:asciiTheme="minorEastAsia" w:hAnsiTheme="minorEastAsia" w:eastAsiaTheme="minorEastAsia"/>
          <w:b/>
          <w:sz w:val="30"/>
          <w:szCs w:val="30"/>
        </w:rPr>
      </w:pPr>
    </w:p>
    <w:p w14:paraId="2A8CE587">
      <w:pPr>
        <w:wordWrap w:val="0"/>
        <w:spacing w:line="360" w:lineRule="auto"/>
        <w:ind w:firstLine="600" w:firstLineChars="200"/>
        <w:rPr>
          <w:rFonts w:cs="宋体" w:asciiTheme="minorEastAsia" w:hAnsiTheme="minorEastAsia" w:eastAsiaTheme="minorEastAsia"/>
          <w:bCs/>
          <w:sz w:val="30"/>
          <w:szCs w:val="30"/>
          <w:u w:val="single"/>
        </w:rPr>
      </w:pPr>
      <w:r>
        <w:rPr>
          <w:rFonts w:hint="eastAsia" w:cs="宋体" w:asciiTheme="minorEastAsia" w:hAnsiTheme="minorEastAsia" w:eastAsiaTheme="minorEastAsia"/>
          <w:bCs/>
          <w:sz w:val="30"/>
          <w:szCs w:val="30"/>
          <w:lang w:val="zh-CN"/>
        </w:rPr>
        <w:t>磋商供应商</w:t>
      </w:r>
      <w:r>
        <w:rPr>
          <w:rFonts w:hint="eastAsia" w:cs="宋体" w:asciiTheme="minorEastAsia" w:hAnsiTheme="minorEastAsia" w:eastAsiaTheme="minorEastAsia"/>
          <w:bCs/>
          <w:sz w:val="30"/>
          <w:szCs w:val="30"/>
        </w:rPr>
        <w:t>(加盖公章)：</w:t>
      </w:r>
    </w:p>
    <w:p w14:paraId="2250FC26">
      <w:pPr>
        <w:wordWrap w:val="0"/>
        <w:spacing w:line="360" w:lineRule="auto"/>
        <w:ind w:firstLine="600" w:firstLineChars="200"/>
        <w:rPr>
          <w:rFonts w:cs="宋体" w:asciiTheme="minorEastAsia" w:hAnsiTheme="minorEastAsia" w:eastAsiaTheme="minorEastAsia"/>
          <w:bCs/>
          <w:sz w:val="30"/>
          <w:szCs w:val="30"/>
          <w:u w:val="single"/>
        </w:rPr>
      </w:pPr>
      <w:r>
        <w:rPr>
          <w:rFonts w:hint="eastAsia" w:cs="宋体" w:asciiTheme="minorEastAsia" w:hAnsiTheme="minorEastAsia" w:eastAsiaTheme="minorEastAsia"/>
          <w:bCs/>
          <w:sz w:val="30"/>
          <w:szCs w:val="30"/>
        </w:rPr>
        <w:t>地  址：</w:t>
      </w:r>
    </w:p>
    <w:p w14:paraId="2BEFCA09">
      <w:pPr>
        <w:wordWrap w:val="0"/>
        <w:spacing w:line="360" w:lineRule="auto"/>
        <w:ind w:firstLine="600" w:firstLineChars="200"/>
        <w:rPr>
          <w:rFonts w:cs="宋体" w:asciiTheme="minorEastAsia" w:hAnsiTheme="minorEastAsia" w:eastAsiaTheme="minorEastAsia"/>
          <w:bCs/>
          <w:sz w:val="30"/>
          <w:szCs w:val="30"/>
          <w:u w:val="single"/>
        </w:rPr>
      </w:pPr>
      <w:r>
        <w:rPr>
          <w:rFonts w:hint="eastAsia" w:cs="宋体" w:asciiTheme="minorEastAsia" w:hAnsiTheme="minorEastAsia" w:eastAsiaTheme="minorEastAsia"/>
          <w:bCs/>
          <w:sz w:val="30"/>
          <w:szCs w:val="30"/>
        </w:rPr>
        <w:t xml:space="preserve">联系人：   </w:t>
      </w:r>
      <w:r>
        <w:rPr>
          <w:rFonts w:cs="宋体" w:asciiTheme="minorEastAsia" w:hAnsiTheme="minorEastAsia" w:eastAsiaTheme="minorEastAsia"/>
          <w:bCs/>
          <w:sz w:val="30"/>
          <w:szCs w:val="30"/>
        </w:rPr>
        <w:t xml:space="preserve">     </w:t>
      </w:r>
      <w:r>
        <w:rPr>
          <w:rFonts w:hint="eastAsia" w:cs="宋体" w:asciiTheme="minorEastAsia" w:hAnsiTheme="minorEastAsia" w:eastAsiaTheme="minorEastAsia"/>
          <w:bCs/>
          <w:sz w:val="30"/>
          <w:szCs w:val="30"/>
        </w:rPr>
        <w:t xml:space="preserve">   联系电话：</w:t>
      </w:r>
    </w:p>
    <w:p w14:paraId="71EDFF6B">
      <w:pPr>
        <w:wordWrap w:val="0"/>
        <w:spacing w:line="360" w:lineRule="auto"/>
        <w:ind w:firstLine="600" w:firstLineChars="200"/>
        <w:rPr>
          <w:rFonts w:cs="宋体" w:asciiTheme="minorEastAsia" w:hAnsiTheme="minorEastAsia" w:eastAsiaTheme="minorEastAsia"/>
          <w:bCs/>
          <w:sz w:val="30"/>
          <w:szCs w:val="30"/>
        </w:rPr>
      </w:pPr>
      <w:r>
        <w:rPr>
          <w:rFonts w:hint="eastAsia" w:cs="宋体" w:asciiTheme="minorEastAsia" w:hAnsiTheme="minorEastAsia" w:eastAsiaTheme="minorEastAsia"/>
          <w:bCs/>
          <w:sz w:val="30"/>
          <w:szCs w:val="30"/>
        </w:rPr>
        <w:t>日</w:t>
      </w:r>
      <w:r>
        <w:rPr>
          <w:rFonts w:cs="宋体" w:asciiTheme="minorEastAsia" w:hAnsiTheme="minorEastAsia" w:eastAsiaTheme="minorEastAsia"/>
          <w:bCs/>
          <w:sz w:val="30"/>
          <w:szCs w:val="30"/>
        </w:rPr>
        <w:t xml:space="preserve">  </w:t>
      </w:r>
      <w:r>
        <w:rPr>
          <w:rFonts w:hint="eastAsia" w:cs="宋体" w:asciiTheme="minorEastAsia" w:hAnsiTheme="minorEastAsia" w:eastAsiaTheme="minorEastAsia"/>
          <w:bCs/>
          <w:sz w:val="30"/>
          <w:szCs w:val="30"/>
        </w:rPr>
        <w:t>期：</w:t>
      </w:r>
    </w:p>
    <w:p w14:paraId="50F772BD">
      <w:pPr>
        <w:widowControl/>
        <w:wordWrap w:val="0"/>
        <w:jc w:val="left"/>
        <w:rPr>
          <w:rFonts w:cs="宋体" w:asciiTheme="minorEastAsia" w:hAnsiTheme="minorEastAsia" w:eastAsiaTheme="minorEastAsia"/>
          <w:bCs/>
          <w:sz w:val="30"/>
          <w:szCs w:val="30"/>
        </w:rPr>
      </w:pPr>
    </w:p>
    <w:p w14:paraId="72C12CA5">
      <w:pPr>
        <w:wordWrap w:val="0"/>
        <w:rPr>
          <w:rFonts w:cs="宋体" w:asciiTheme="minorEastAsia" w:hAnsiTheme="minorEastAsia" w:eastAsiaTheme="minorEastAsia"/>
          <w:b/>
          <w:snapToGrid w:val="0"/>
          <w:kern w:val="0"/>
          <w:sz w:val="28"/>
          <w:szCs w:val="28"/>
        </w:rPr>
      </w:pPr>
      <w:bookmarkStart w:id="1649" w:name="_Toc132376780"/>
      <w:r>
        <w:rPr>
          <w:rFonts w:hint="eastAsia" w:cs="宋体" w:asciiTheme="minorEastAsia" w:hAnsiTheme="minorEastAsia" w:eastAsiaTheme="minorEastAsia"/>
          <w:b/>
          <w:snapToGrid w:val="0"/>
          <w:kern w:val="0"/>
          <w:sz w:val="28"/>
          <w:szCs w:val="28"/>
        </w:rPr>
        <w:br w:type="page"/>
      </w:r>
    </w:p>
    <w:p w14:paraId="148B99D2">
      <w:pPr>
        <w:numPr>
          <w:ilvl w:val="0"/>
          <w:numId w:val="5"/>
        </w:numPr>
        <w:wordWrap w:val="0"/>
        <w:spacing w:line="360" w:lineRule="auto"/>
        <w:jc w:val="center"/>
        <w:outlineLvl w:val="2"/>
        <w:rPr>
          <w:rFonts w:cs="宋体" w:asciiTheme="minorEastAsia" w:hAnsiTheme="minorEastAsia" w:eastAsiaTheme="minorEastAsia"/>
          <w:b/>
          <w:snapToGrid w:val="0"/>
          <w:kern w:val="0"/>
          <w:sz w:val="28"/>
          <w:szCs w:val="28"/>
        </w:rPr>
      </w:pPr>
      <w:bookmarkStart w:id="1650" w:name="_Toc15803"/>
      <w:bookmarkStart w:id="1651" w:name="_Toc28540"/>
      <w:bookmarkStart w:id="1652" w:name="_Toc27604"/>
      <w:bookmarkStart w:id="1653" w:name="_Toc9172"/>
      <w:bookmarkStart w:id="1654" w:name="_Toc21617"/>
      <w:bookmarkStart w:id="1655" w:name="_Toc193796124"/>
      <w:r>
        <w:rPr>
          <w:rFonts w:hint="eastAsia" w:cs="宋体" w:asciiTheme="minorEastAsia" w:hAnsiTheme="minorEastAsia" w:eastAsiaTheme="minorEastAsia"/>
          <w:b/>
          <w:snapToGrid w:val="0"/>
          <w:kern w:val="0"/>
          <w:sz w:val="28"/>
          <w:szCs w:val="28"/>
        </w:rPr>
        <w:t>资格审查文件格式</w:t>
      </w:r>
      <w:bookmarkEnd w:id="1649"/>
      <w:bookmarkEnd w:id="1650"/>
      <w:bookmarkEnd w:id="1651"/>
      <w:bookmarkEnd w:id="1652"/>
      <w:bookmarkEnd w:id="1653"/>
      <w:bookmarkEnd w:id="1654"/>
      <w:bookmarkEnd w:id="1655"/>
    </w:p>
    <w:p w14:paraId="6B465546">
      <w:pPr>
        <w:pStyle w:val="5"/>
        <w:widowControl/>
        <w:numPr>
          <w:ilvl w:val="2"/>
          <w:numId w:val="0"/>
        </w:numPr>
        <w:tabs>
          <w:tab w:val="left" w:pos="432"/>
          <w:tab w:val="left" w:pos="720"/>
        </w:tabs>
        <w:wordWrap w:val="0"/>
        <w:spacing w:before="120" w:after="120"/>
        <w:ind w:left="720" w:hanging="720"/>
        <w:jc w:val="center"/>
        <w:rPr>
          <w:rFonts w:cs="宋体" w:asciiTheme="minorEastAsia" w:hAnsiTheme="minorEastAsia" w:eastAsiaTheme="minorEastAsia"/>
          <w:bCs/>
          <w:szCs w:val="28"/>
        </w:rPr>
      </w:pPr>
      <w:bookmarkStart w:id="1656" w:name="_Toc8082"/>
      <w:bookmarkStart w:id="1657" w:name="Book25"/>
      <w:r>
        <w:rPr>
          <w:rFonts w:hint="eastAsia" w:cs="宋体" w:asciiTheme="minorEastAsia" w:hAnsiTheme="minorEastAsia" w:eastAsiaTheme="minorEastAsia"/>
          <w:bCs/>
          <w:szCs w:val="28"/>
        </w:rPr>
        <w:t>一、磋商供应商基本情况表</w:t>
      </w:r>
      <w:bookmarkEnd w:id="1656"/>
    </w:p>
    <w:tbl>
      <w:tblPr>
        <w:tblStyle w:val="35"/>
        <w:tblW w:w="10000" w:type="dxa"/>
        <w:jc w:val="center"/>
        <w:tblLayout w:type="fixed"/>
        <w:tblCellMar>
          <w:top w:w="15" w:type="dxa"/>
          <w:left w:w="15" w:type="dxa"/>
          <w:bottom w:w="15" w:type="dxa"/>
          <w:right w:w="15" w:type="dxa"/>
        </w:tblCellMar>
      </w:tblPr>
      <w:tblGrid>
        <w:gridCol w:w="1920"/>
        <w:gridCol w:w="1314"/>
        <w:gridCol w:w="1314"/>
        <w:gridCol w:w="1314"/>
        <w:gridCol w:w="1414"/>
        <w:gridCol w:w="1314"/>
        <w:gridCol w:w="1410"/>
      </w:tblGrid>
      <w:tr w14:paraId="6262845A">
        <w:tblPrEx>
          <w:tblCellMar>
            <w:top w:w="15" w:type="dxa"/>
            <w:left w:w="15" w:type="dxa"/>
            <w:bottom w:w="15" w:type="dxa"/>
            <w:right w:w="15" w:type="dxa"/>
          </w:tblCellMar>
        </w:tblPrEx>
        <w:trPr>
          <w:trHeight w:val="798" w:hRule="atLeast"/>
          <w:jc w:val="center"/>
        </w:trPr>
        <w:tc>
          <w:tcPr>
            <w:tcW w:w="1920" w:type="dxa"/>
            <w:tcBorders>
              <w:top w:val="single" w:color="000000" w:sz="6" w:space="0"/>
              <w:left w:val="single" w:color="000000" w:sz="6" w:space="0"/>
              <w:bottom w:val="single" w:color="000000" w:sz="6" w:space="0"/>
              <w:right w:val="single" w:color="000000" w:sz="6" w:space="0"/>
            </w:tcBorders>
            <w:vAlign w:val="center"/>
          </w:tcPr>
          <w:p w14:paraId="597AEA05">
            <w:pPr>
              <w:wordWrap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磋商供应商名称</w:t>
            </w:r>
          </w:p>
        </w:tc>
        <w:tc>
          <w:tcPr>
            <w:tcW w:w="8080" w:type="dxa"/>
            <w:gridSpan w:val="6"/>
            <w:tcBorders>
              <w:top w:val="single" w:color="000000" w:sz="6" w:space="0"/>
              <w:left w:val="single" w:color="000000" w:sz="6" w:space="0"/>
              <w:bottom w:val="single" w:color="000000" w:sz="6" w:space="0"/>
              <w:right w:val="single" w:color="000000" w:sz="6" w:space="0"/>
            </w:tcBorders>
            <w:vAlign w:val="center"/>
          </w:tcPr>
          <w:p w14:paraId="589CD237">
            <w:pPr>
              <w:wordWrap w:val="0"/>
              <w:jc w:val="center"/>
              <w:rPr>
                <w:rFonts w:cs="宋体" w:asciiTheme="minorEastAsia" w:hAnsiTheme="minorEastAsia" w:eastAsiaTheme="minorEastAsia"/>
                <w:sz w:val="24"/>
                <w:szCs w:val="24"/>
              </w:rPr>
            </w:pPr>
          </w:p>
        </w:tc>
      </w:tr>
      <w:tr w14:paraId="69A3D6F4">
        <w:tblPrEx>
          <w:tblCellMar>
            <w:top w:w="15" w:type="dxa"/>
            <w:left w:w="15" w:type="dxa"/>
            <w:bottom w:w="15" w:type="dxa"/>
            <w:right w:w="15" w:type="dxa"/>
          </w:tblCellMar>
        </w:tblPrEx>
        <w:trPr>
          <w:trHeight w:val="809" w:hRule="atLeast"/>
          <w:jc w:val="center"/>
        </w:trPr>
        <w:tc>
          <w:tcPr>
            <w:tcW w:w="1920" w:type="dxa"/>
            <w:tcBorders>
              <w:top w:val="single" w:color="000000" w:sz="6" w:space="0"/>
              <w:left w:val="single" w:color="000000" w:sz="6" w:space="0"/>
              <w:bottom w:val="single" w:color="000000" w:sz="6" w:space="0"/>
              <w:right w:val="single" w:color="000000" w:sz="6" w:space="0"/>
            </w:tcBorders>
            <w:vAlign w:val="center"/>
          </w:tcPr>
          <w:p w14:paraId="16DA4218">
            <w:pPr>
              <w:wordWrap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注册地址</w:t>
            </w:r>
          </w:p>
        </w:tc>
        <w:tc>
          <w:tcPr>
            <w:tcW w:w="3942" w:type="dxa"/>
            <w:gridSpan w:val="3"/>
            <w:tcBorders>
              <w:top w:val="single" w:color="000000" w:sz="6" w:space="0"/>
              <w:left w:val="single" w:color="000000" w:sz="6" w:space="0"/>
              <w:bottom w:val="single" w:color="000000" w:sz="6" w:space="0"/>
              <w:right w:val="single" w:color="000000" w:sz="6" w:space="0"/>
            </w:tcBorders>
            <w:vAlign w:val="center"/>
          </w:tcPr>
          <w:p w14:paraId="2C611C15">
            <w:pPr>
              <w:wordWrap w:val="0"/>
              <w:jc w:val="center"/>
              <w:rPr>
                <w:rFonts w:cs="宋体" w:asciiTheme="minorEastAsia" w:hAnsiTheme="minorEastAsia" w:eastAsiaTheme="minorEastAsia"/>
                <w:sz w:val="24"/>
                <w:szCs w:val="24"/>
              </w:rPr>
            </w:pPr>
          </w:p>
        </w:tc>
        <w:tc>
          <w:tcPr>
            <w:tcW w:w="1414" w:type="dxa"/>
            <w:tcBorders>
              <w:top w:val="single" w:color="000000" w:sz="6" w:space="0"/>
              <w:left w:val="single" w:color="000000" w:sz="6" w:space="0"/>
              <w:bottom w:val="single" w:color="000000" w:sz="6" w:space="0"/>
              <w:right w:val="single" w:color="000000" w:sz="6" w:space="0"/>
            </w:tcBorders>
            <w:vAlign w:val="center"/>
          </w:tcPr>
          <w:p w14:paraId="11B0C1F7">
            <w:pPr>
              <w:wordWrap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邮政编码</w:t>
            </w:r>
          </w:p>
        </w:tc>
        <w:tc>
          <w:tcPr>
            <w:tcW w:w="2724" w:type="dxa"/>
            <w:gridSpan w:val="2"/>
            <w:tcBorders>
              <w:top w:val="single" w:color="000000" w:sz="6" w:space="0"/>
              <w:left w:val="single" w:color="000000" w:sz="6" w:space="0"/>
              <w:bottom w:val="single" w:color="000000" w:sz="6" w:space="0"/>
              <w:right w:val="single" w:color="000000" w:sz="6" w:space="0"/>
            </w:tcBorders>
            <w:vAlign w:val="center"/>
          </w:tcPr>
          <w:p w14:paraId="2441CAE0">
            <w:pPr>
              <w:wordWrap w:val="0"/>
              <w:jc w:val="center"/>
              <w:rPr>
                <w:rFonts w:cs="宋体" w:asciiTheme="minorEastAsia" w:hAnsiTheme="minorEastAsia" w:eastAsiaTheme="minorEastAsia"/>
                <w:sz w:val="24"/>
                <w:szCs w:val="24"/>
              </w:rPr>
            </w:pPr>
          </w:p>
        </w:tc>
      </w:tr>
      <w:tr w14:paraId="363FF941">
        <w:tblPrEx>
          <w:tblCellMar>
            <w:top w:w="15" w:type="dxa"/>
            <w:left w:w="15" w:type="dxa"/>
            <w:bottom w:w="15" w:type="dxa"/>
            <w:right w:w="15" w:type="dxa"/>
          </w:tblCellMar>
        </w:tblPrEx>
        <w:trPr>
          <w:trHeight w:val="808" w:hRule="atLeast"/>
          <w:jc w:val="center"/>
        </w:trPr>
        <w:tc>
          <w:tcPr>
            <w:tcW w:w="1920" w:type="dxa"/>
            <w:vMerge w:val="restart"/>
            <w:tcBorders>
              <w:top w:val="single" w:color="000000" w:sz="6" w:space="0"/>
              <w:left w:val="single" w:color="000000" w:sz="6" w:space="0"/>
              <w:bottom w:val="single" w:color="000000" w:sz="6" w:space="0"/>
              <w:right w:val="single" w:color="000000" w:sz="6" w:space="0"/>
            </w:tcBorders>
            <w:vAlign w:val="center"/>
          </w:tcPr>
          <w:p w14:paraId="1C26036C">
            <w:pPr>
              <w:wordWrap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联系方式</w:t>
            </w:r>
          </w:p>
        </w:tc>
        <w:tc>
          <w:tcPr>
            <w:tcW w:w="1314" w:type="dxa"/>
            <w:tcBorders>
              <w:top w:val="single" w:color="000000" w:sz="6" w:space="0"/>
              <w:left w:val="single" w:color="000000" w:sz="6" w:space="0"/>
              <w:bottom w:val="single" w:color="000000" w:sz="6" w:space="0"/>
              <w:right w:val="single" w:color="000000" w:sz="6" w:space="0"/>
            </w:tcBorders>
            <w:vAlign w:val="center"/>
          </w:tcPr>
          <w:p w14:paraId="512CC2CF">
            <w:pPr>
              <w:wordWrap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联系人</w:t>
            </w:r>
          </w:p>
        </w:tc>
        <w:tc>
          <w:tcPr>
            <w:tcW w:w="2628" w:type="dxa"/>
            <w:gridSpan w:val="2"/>
            <w:tcBorders>
              <w:top w:val="single" w:color="000000" w:sz="6" w:space="0"/>
              <w:left w:val="single" w:color="000000" w:sz="6" w:space="0"/>
              <w:bottom w:val="single" w:color="000000" w:sz="6" w:space="0"/>
              <w:right w:val="single" w:color="000000" w:sz="6" w:space="0"/>
            </w:tcBorders>
            <w:vAlign w:val="center"/>
          </w:tcPr>
          <w:p w14:paraId="5DC24340">
            <w:pPr>
              <w:wordWrap w:val="0"/>
              <w:jc w:val="center"/>
              <w:rPr>
                <w:rFonts w:cs="宋体" w:asciiTheme="minorEastAsia" w:hAnsiTheme="minorEastAsia" w:eastAsiaTheme="minorEastAsia"/>
                <w:sz w:val="24"/>
                <w:szCs w:val="24"/>
              </w:rPr>
            </w:pPr>
          </w:p>
        </w:tc>
        <w:tc>
          <w:tcPr>
            <w:tcW w:w="1414" w:type="dxa"/>
            <w:tcBorders>
              <w:top w:val="single" w:color="000000" w:sz="6" w:space="0"/>
              <w:left w:val="single" w:color="000000" w:sz="6" w:space="0"/>
              <w:bottom w:val="single" w:color="000000" w:sz="6" w:space="0"/>
              <w:right w:val="single" w:color="000000" w:sz="6" w:space="0"/>
            </w:tcBorders>
            <w:vAlign w:val="center"/>
          </w:tcPr>
          <w:p w14:paraId="7A15734D">
            <w:pPr>
              <w:wordWrap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电话</w:t>
            </w:r>
          </w:p>
        </w:tc>
        <w:tc>
          <w:tcPr>
            <w:tcW w:w="2724" w:type="dxa"/>
            <w:gridSpan w:val="2"/>
            <w:tcBorders>
              <w:top w:val="single" w:color="000000" w:sz="6" w:space="0"/>
              <w:left w:val="single" w:color="000000" w:sz="6" w:space="0"/>
              <w:bottom w:val="single" w:color="000000" w:sz="6" w:space="0"/>
              <w:right w:val="single" w:color="000000" w:sz="6" w:space="0"/>
            </w:tcBorders>
            <w:vAlign w:val="center"/>
          </w:tcPr>
          <w:p w14:paraId="32034986">
            <w:pPr>
              <w:wordWrap w:val="0"/>
              <w:jc w:val="center"/>
              <w:rPr>
                <w:rFonts w:cs="宋体" w:asciiTheme="minorEastAsia" w:hAnsiTheme="minorEastAsia" w:eastAsiaTheme="minorEastAsia"/>
                <w:sz w:val="24"/>
                <w:szCs w:val="24"/>
              </w:rPr>
            </w:pPr>
          </w:p>
        </w:tc>
      </w:tr>
      <w:tr w14:paraId="62D5D1C8">
        <w:tblPrEx>
          <w:tblCellMar>
            <w:top w:w="15" w:type="dxa"/>
            <w:left w:w="15" w:type="dxa"/>
            <w:bottom w:w="15" w:type="dxa"/>
            <w:right w:w="15" w:type="dxa"/>
          </w:tblCellMar>
        </w:tblPrEx>
        <w:trPr>
          <w:trHeight w:val="805" w:hRule="atLeast"/>
          <w:jc w:val="center"/>
        </w:trPr>
        <w:tc>
          <w:tcPr>
            <w:tcW w:w="1920" w:type="dxa"/>
            <w:vMerge w:val="continue"/>
            <w:tcBorders>
              <w:top w:val="single" w:color="000000" w:sz="6" w:space="0"/>
              <w:left w:val="single" w:color="000000" w:sz="6" w:space="0"/>
              <w:bottom w:val="single" w:color="000000" w:sz="6" w:space="0"/>
              <w:right w:val="single" w:color="000000" w:sz="6" w:space="0"/>
            </w:tcBorders>
            <w:vAlign w:val="center"/>
          </w:tcPr>
          <w:p w14:paraId="0C3272DF">
            <w:pPr>
              <w:wordWrap w:val="0"/>
              <w:jc w:val="center"/>
              <w:rPr>
                <w:rFonts w:cs="宋体" w:asciiTheme="minorEastAsia" w:hAnsiTheme="minorEastAsia" w:eastAsiaTheme="minorEastAsia"/>
                <w:sz w:val="24"/>
                <w:szCs w:val="24"/>
              </w:rPr>
            </w:pPr>
          </w:p>
        </w:tc>
        <w:tc>
          <w:tcPr>
            <w:tcW w:w="1314" w:type="dxa"/>
            <w:tcBorders>
              <w:top w:val="single" w:color="000000" w:sz="6" w:space="0"/>
              <w:left w:val="single" w:color="000000" w:sz="6" w:space="0"/>
              <w:bottom w:val="single" w:color="000000" w:sz="6" w:space="0"/>
              <w:right w:val="single" w:color="000000" w:sz="6" w:space="0"/>
            </w:tcBorders>
            <w:vAlign w:val="center"/>
          </w:tcPr>
          <w:p w14:paraId="5FAF9853">
            <w:pPr>
              <w:wordWrap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传真</w:t>
            </w:r>
          </w:p>
        </w:tc>
        <w:tc>
          <w:tcPr>
            <w:tcW w:w="2628" w:type="dxa"/>
            <w:gridSpan w:val="2"/>
            <w:tcBorders>
              <w:top w:val="single" w:color="000000" w:sz="6" w:space="0"/>
              <w:left w:val="single" w:color="000000" w:sz="6" w:space="0"/>
              <w:bottom w:val="single" w:color="000000" w:sz="6" w:space="0"/>
              <w:right w:val="single" w:color="000000" w:sz="6" w:space="0"/>
            </w:tcBorders>
            <w:vAlign w:val="center"/>
          </w:tcPr>
          <w:p w14:paraId="35E37F57">
            <w:pPr>
              <w:wordWrap w:val="0"/>
              <w:jc w:val="center"/>
              <w:rPr>
                <w:rFonts w:cs="宋体" w:asciiTheme="minorEastAsia" w:hAnsiTheme="minorEastAsia" w:eastAsiaTheme="minorEastAsia"/>
                <w:sz w:val="24"/>
                <w:szCs w:val="24"/>
              </w:rPr>
            </w:pPr>
          </w:p>
        </w:tc>
        <w:tc>
          <w:tcPr>
            <w:tcW w:w="1414" w:type="dxa"/>
            <w:tcBorders>
              <w:top w:val="single" w:color="000000" w:sz="6" w:space="0"/>
              <w:left w:val="single" w:color="000000" w:sz="6" w:space="0"/>
              <w:bottom w:val="single" w:color="000000" w:sz="6" w:space="0"/>
              <w:right w:val="single" w:color="000000" w:sz="6" w:space="0"/>
            </w:tcBorders>
            <w:vAlign w:val="center"/>
          </w:tcPr>
          <w:p w14:paraId="644BED13">
            <w:pPr>
              <w:wordWrap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网址</w:t>
            </w:r>
          </w:p>
        </w:tc>
        <w:tc>
          <w:tcPr>
            <w:tcW w:w="2724" w:type="dxa"/>
            <w:gridSpan w:val="2"/>
            <w:tcBorders>
              <w:top w:val="single" w:color="000000" w:sz="6" w:space="0"/>
              <w:left w:val="single" w:color="000000" w:sz="6" w:space="0"/>
              <w:bottom w:val="single" w:color="000000" w:sz="6" w:space="0"/>
              <w:right w:val="single" w:color="000000" w:sz="6" w:space="0"/>
            </w:tcBorders>
            <w:vAlign w:val="center"/>
          </w:tcPr>
          <w:p w14:paraId="3FFC7F52">
            <w:pPr>
              <w:wordWrap w:val="0"/>
              <w:jc w:val="center"/>
              <w:rPr>
                <w:rFonts w:cs="宋体" w:asciiTheme="minorEastAsia" w:hAnsiTheme="minorEastAsia" w:eastAsiaTheme="minorEastAsia"/>
                <w:sz w:val="24"/>
                <w:szCs w:val="24"/>
              </w:rPr>
            </w:pPr>
          </w:p>
        </w:tc>
      </w:tr>
      <w:tr w14:paraId="6C61D33F">
        <w:tblPrEx>
          <w:tblCellMar>
            <w:top w:w="15" w:type="dxa"/>
            <w:left w:w="15" w:type="dxa"/>
            <w:bottom w:w="15" w:type="dxa"/>
            <w:right w:w="15" w:type="dxa"/>
          </w:tblCellMar>
        </w:tblPrEx>
        <w:trPr>
          <w:trHeight w:val="804" w:hRule="atLeast"/>
          <w:jc w:val="center"/>
        </w:trPr>
        <w:tc>
          <w:tcPr>
            <w:tcW w:w="1920" w:type="dxa"/>
            <w:tcBorders>
              <w:top w:val="single" w:color="000000" w:sz="6" w:space="0"/>
              <w:left w:val="single" w:color="000000" w:sz="6" w:space="0"/>
              <w:bottom w:val="single" w:color="000000" w:sz="6" w:space="0"/>
              <w:right w:val="single" w:color="000000" w:sz="6" w:space="0"/>
            </w:tcBorders>
            <w:vAlign w:val="center"/>
          </w:tcPr>
          <w:p w14:paraId="5D428CFF">
            <w:pPr>
              <w:wordWrap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w:t>
            </w:r>
          </w:p>
        </w:tc>
        <w:tc>
          <w:tcPr>
            <w:tcW w:w="1314" w:type="dxa"/>
            <w:tcBorders>
              <w:top w:val="single" w:color="000000" w:sz="6" w:space="0"/>
              <w:left w:val="single" w:color="000000" w:sz="6" w:space="0"/>
              <w:bottom w:val="single" w:color="000000" w:sz="6" w:space="0"/>
              <w:right w:val="single" w:color="000000" w:sz="6" w:space="0"/>
            </w:tcBorders>
            <w:vAlign w:val="center"/>
          </w:tcPr>
          <w:p w14:paraId="260661F9">
            <w:pPr>
              <w:wordWrap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姓名</w:t>
            </w:r>
          </w:p>
        </w:tc>
        <w:tc>
          <w:tcPr>
            <w:tcW w:w="1314" w:type="dxa"/>
            <w:tcBorders>
              <w:top w:val="single" w:color="000000" w:sz="6" w:space="0"/>
              <w:left w:val="single" w:color="000000" w:sz="6" w:space="0"/>
              <w:bottom w:val="single" w:color="000000" w:sz="6" w:space="0"/>
              <w:right w:val="single" w:color="000000" w:sz="6" w:space="0"/>
            </w:tcBorders>
            <w:vAlign w:val="center"/>
          </w:tcPr>
          <w:p w14:paraId="3376F297">
            <w:pPr>
              <w:wordWrap w:val="0"/>
              <w:jc w:val="center"/>
              <w:rPr>
                <w:rFonts w:cs="宋体" w:asciiTheme="minorEastAsia" w:hAnsiTheme="minorEastAsia" w:eastAsiaTheme="minorEastAsia"/>
                <w:sz w:val="24"/>
                <w:szCs w:val="24"/>
              </w:rPr>
            </w:pPr>
          </w:p>
        </w:tc>
        <w:tc>
          <w:tcPr>
            <w:tcW w:w="1314" w:type="dxa"/>
            <w:tcBorders>
              <w:top w:val="single" w:color="000000" w:sz="6" w:space="0"/>
              <w:left w:val="single" w:color="000000" w:sz="6" w:space="0"/>
              <w:bottom w:val="single" w:color="000000" w:sz="6" w:space="0"/>
              <w:right w:val="single" w:color="000000" w:sz="6" w:space="0"/>
            </w:tcBorders>
            <w:vAlign w:val="center"/>
          </w:tcPr>
          <w:p w14:paraId="37159BBD">
            <w:pPr>
              <w:wordWrap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技术职称（若有）</w:t>
            </w:r>
          </w:p>
        </w:tc>
        <w:tc>
          <w:tcPr>
            <w:tcW w:w="1414" w:type="dxa"/>
            <w:tcBorders>
              <w:top w:val="single" w:color="000000" w:sz="6" w:space="0"/>
              <w:left w:val="single" w:color="000000" w:sz="6" w:space="0"/>
              <w:bottom w:val="single" w:color="000000" w:sz="6" w:space="0"/>
              <w:right w:val="single" w:color="000000" w:sz="6" w:space="0"/>
            </w:tcBorders>
            <w:vAlign w:val="center"/>
          </w:tcPr>
          <w:p w14:paraId="62B3776E">
            <w:pPr>
              <w:wordWrap w:val="0"/>
              <w:jc w:val="center"/>
              <w:rPr>
                <w:rFonts w:cs="宋体" w:asciiTheme="minorEastAsia" w:hAnsiTheme="minorEastAsia" w:eastAsiaTheme="minorEastAsia"/>
                <w:sz w:val="24"/>
                <w:szCs w:val="24"/>
              </w:rPr>
            </w:pPr>
          </w:p>
        </w:tc>
        <w:tc>
          <w:tcPr>
            <w:tcW w:w="1314" w:type="dxa"/>
            <w:tcBorders>
              <w:top w:val="single" w:color="000000" w:sz="6" w:space="0"/>
              <w:left w:val="single" w:color="000000" w:sz="6" w:space="0"/>
              <w:bottom w:val="single" w:color="000000" w:sz="6" w:space="0"/>
              <w:right w:val="single" w:color="000000" w:sz="6" w:space="0"/>
            </w:tcBorders>
            <w:vAlign w:val="center"/>
          </w:tcPr>
          <w:p w14:paraId="629758DF">
            <w:pPr>
              <w:wordWrap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电话</w:t>
            </w:r>
          </w:p>
        </w:tc>
        <w:tc>
          <w:tcPr>
            <w:tcW w:w="1410" w:type="dxa"/>
            <w:tcBorders>
              <w:top w:val="single" w:color="000000" w:sz="6" w:space="0"/>
              <w:left w:val="single" w:color="000000" w:sz="6" w:space="0"/>
              <w:bottom w:val="single" w:color="000000" w:sz="6" w:space="0"/>
              <w:right w:val="single" w:color="000000" w:sz="6" w:space="0"/>
            </w:tcBorders>
            <w:vAlign w:val="center"/>
          </w:tcPr>
          <w:p w14:paraId="1C0E7C37">
            <w:pPr>
              <w:wordWrap w:val="0"/>
              <w:jc w:val="center"/>
              <w:rPr>
                <w:rFonts w:cs="宋体" w:asciiTheme="minorEastAsia" w:hAnsiTheme="minorEastAsia" w:eastAsiaTheme="minorEastAsia"/>
                <w:sz w:val="24"/>
                <w:szCs w:val="24"/>
              </w:rPr>
            </w:pPr>
          </w:p>
        </w:tc>
      </w:tr>
      <w:tr w14:paraId="20326F1E">
        <w:tblPrEx>
          <w:tblCellMar>
            <w:top w:w="15" w:type="dxa"/>
            <w:left w:w="15" w:type="dxa"/>
            <w:bottom w:w="15" w:type="dxa"/>
            <w:right w:w="15" w:type="dxa"/>
          </w:tblCellMar>
        </w:tblPrEx>
        <w:trPr>
          <w:trHeight w:val="815" w:hRule="atLeast"/>
          <w:jc w:val="center"/>
        </w:trPr>
        <w:tc>
          <w:tcPr>
            <w:tcW w:w="1920" w:type="dxa"/>
            <w:tcBorders>
              <w:top w:val="single" w:color="000000" w:sz="6" w:space="0"/>
              <w:left w:val="single" w:color="000000" w:sz="6" w:space="0"/>
              <w:bottom w:val="single" w:color="000000" w:sz="6" w:space="0"/>
              <w:right w:val="single" w:color="000000" w:sz="6" w:space="0"/>
            </w:tcBorders>
            <w:vAlign w:val="center"/>
          </w:tcPr>
          <w:p w14:paraId="43948AD4">
            <w:pPr>
              <w:wordWrap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项目负责人</w:t>
            </w:r>
          </w:p>
        </w:tc>
        <w:tc>
          <w:tcPr>
            <w:tcW w:w="1314" w:type="dxa"/>
            <w:tcBorders>
              <w:top w:val="single" w:color="000000" w:sz="6" w:space="0"/>
              <w:left w:val="single" w:color="000000" w:sz="6" w:space="0"/>
              <w:bottom w:val="single" w:color="000000" w:sz="6" w:space="0"/>
              <w:right w:val="single" w:color="000000" w:sz="6" w:space="0"/>
            </w:tcBorders>
            <w:vAlign w:val="center"/>
          </w:tcPr>
          <w:p w14:paraId="325ED66D">
            <w:pPr>
              <w:wordWrap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姓名</w:t>
            </w:r>
          </w:p>
        </w:tc>
        <w:tc>
          <w:tcPr>
            <w:tcW w:w="1314" w:type="dxa"/>
            <w:tcBorders>
              <w:top w:val="single" w:color="000000" w:sz="6" w:space="0"/>
              <w:left w:val="single" w:color="000000" w:sz="6" w:space="0"/>
              <w:bottom w:val="single" w:color="000000" w:sz="6" w:space="0"/>
              <w:right w:val="single" w:color="000000" w:sz="6" w:space="0"/>
            </w:tcBorders>
            <w:vAlign w:val="center"/>
          </w:tcPr>
          <w:p w14:paraId="1E5F9213">
            <w:pPr>
              <w:wordWrap w:val="0"/>
              <w:jc w:val="center"/>
              <w:rPr>
                <w:rFonts w:cs="宋体" w:asciiTheme="minorEastAsia" w:hAnsiTheme="minorEastAsia" w:eastAsiaTheme="minorEastAsia"/>
                <w:sz w:val="24"/>
                <w:szCs w:val="24"/>
              </w:rPr>
            </w:pPr>
          </w:p>
        </w:tc>
        <w:tc>
          <w:tcPr>
            <w:tcW w:w="1314" w:type="dxa"/>
            <w:tcBorders>
              <w:top w:val="single" w:color="000000" w:sz="6" w:space="0"/>
              <w:left w:val="single" w:color="000000" w:sz="6" w:space="0"/>
              <w:bottom w:val="single" w:color="000000" w:sz="6" w:space="0"/>
              <w:right w:val="single" w:color="000000" w:sz="6" w:space="0"/>
            </w:tcBorders>
            <w:vAlign w:val="center"/>
          </w:tcPr>
          <w:p w14:paraId="7B33664B">
            <w:pPr>
              <w:wordWrap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技术职称</w:t>
            </w:r>
          </w:p>
          <w:p w14:paraId="5BFDE99F">
            <w:pPr>
              <w:pStyle w:val="10"/>
              <w:wordWrap w:val="0"/>
              <w:ind w:firstLine="0"/>
              <w:jc w:val="center"/>
              <w:rPr>
                <w:rFonts w:asciiTheme="minorEastAsia" w:hAnsiTheme="minorEastAsia" w:eastAsiaTheme="minorEastAsia"/>
              </w:rPr>
            </w:pPr>
            <w:r>
              <w:rPr>
                <w:rFonts w:hint="eastAsia" w:cs="宋体" w:asciiTheme="minorEastAsia" w:hAnsiTheme="minorEastAsia" w:eastAsiaTheme="minorEastAsia"/>
              </w:rPr>
              <w:t>（若有）</w:t>
            </w:r>
          </w:p>
        </w:tc>
        <w:tc>
          <w:tcPr>
            <w:tcW w:w="1414" w:type="dxa"/>
            <w:tcBorders>
              <w:top w:val="single" w:color="000000" w:sz="6" w:space="0"/>
              <w:left w:val="single" w:color="000000" w:sz="6" w:space="0"/>
              <w:bottom w:val="single" w:color="000000" w:sz="6" w:space="0"/>
              <w:right w:val="single" w:color="000000" w:sz="6" w:space="0"/>
            </w:tcBorders>
            <w:vAlign w:val="center"/>
          </w:tcPr>
          <w:p w14:paraId="7F1E4C7E">
            <w:pPr>
              <w:wordWrap w:val="0"/>
              <w:jc w:val="center"/>
              <w:rPr>
                <w:rFonts w:cs="宋体" w:asciiTheme="minorEastAsia" w:hAnsiTheme="minorEastAsia" w:eastAsiaTheme="minorEastAsia"/>
                <w:sz w:val="24"/>
                <w:szCs w:val="24"/>
              </w:rPr>
            </w:pPr>
          </w:p>
        </w:tc>
        <w:tc>
          <w:tcPr>
            <w:tcW w:w="1314" w:type="dxa"/>
            <w:tcBorders>
              <w:top w:val="single" w:color="000000" w:sz="6" w:space="0"/>
              <w:left w:val="single" w:color="000000" w:sz="6" w:space="0"/>
              <w:bottom w:val="single" w:color="000000" w:sz="6" w:space="0"/>
              <w:right w:val="single" w:color="000000" w:sz="6" w:space="0"/>
            </w:tcBorders>
            <w:vAlign w:val="center"/>
          </w:tcPr>
          <w:p w14:paraId="50FBDB40">
            <w:pPr>
              <w:wordWrap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电话</w:t>
            </w:r>
          </w:p>
        </w:tc>
        <w:tc>
          <w:tcPr>
            <w:tcW w:w="1410" w:type="dxa"/>
            <w:tcBorders>
              <w:top w:val="single" w:color="000000" w:sz="6" w:space="0"/>
              <w:left w:val="single" w:color="000000" w:sz="6" w:space="0"/>
              <w:bottom w:val="single" w:color="000000" w:sz="6" w:space="0"/>
              <w:right w:val="single" w:color="000000" w:sz="6" w:space="0"/>
            </w:tcBorders>
            <w:vAlign w:val="center"/>
          </w:tcPr>
          <w:p w14:paraId="5E8115CA">
            <w:pPr>
              <w:wordWrap w:val="0"/>
              <w:jc w:val="center"/>
              <w:rPr>
                <w:rFonts w:cs="宋体" w:asciiTheme="minorEastAsia" w:hAnsiTheme="minorEastAsia" w:eastAsiaTheme="minorEastAsia"/>
                <w:sz w:val="24"/>
                <w:szCs w:val="24"/>
              </w:rPr>
            </w:pPr>
          </w:p>
        </w:tc>
      </w:tr>
      <w:tr w14:paraId="3BD9C0D9">
        <w:tblPrEx>
          <w:tblCellMar>
            <w:top w:w="15" w:type="dxa"/>
            <w:left w:w="15" w:type="dxa"/>
            <w:bottom w:w="15" w:type="dxa"/>
            <w:right w:w="15" w:type="dxa"/>
          </w:tblCellMar>
        </w:tblPrEx>
        <w:trPr>
          <w:trHeight w:val="786" w:hRule="atLeast"/>
          <w:jc w:val="center"/>
        </w:trPr>
        <w:tc>
          <w:tcPr>
            <w:tcW w:w="1920" w:type="dxa"/>
            <w:tcBorders>
              <w:top w:val="single" w:color="000000" w:sz="6" w:space="0"/>
              <w:left w:val="single" w:color="000000" w:sz="6" w:space="0"/>
              <w:bottom w:val="single" w:color="000000" w:sz="6" w:space="0"/>
              <w:right w:val="single" w:color="000000" w:sz="6" w:space="0"/>
            </w:tcBorders>
            <w:vAlign w:val="center"/>
          </w:tcPr>
          <w:p w14:paraId="5E3A01EC">
            <w:pPr>
              <w:wordWrap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成立时间</w:t>
            </w:r>
          </w:p>
        </w:tc>
        <w:tc>
          <w:tcPr>
            <w:tcW w:w="8080" w:type="dxa"/>
            <w:gridSpan w:val="6"/>
            <w:tcBorders>
              <w:top w:val="single" w:color="000000" w:sz="6" w:space="0"/>
              <w:left w:val="single" w:color="000000" w:sz="6" w:space="0"/>
              <w:bottom w:val="single" w:color="000000" w:sz="6" w:space="0"/>
              <w:right w:val="single" w:color="000000" w:sz="6" w:space="0"/>
            </w:tcBorders>
            <w:vAlign w:val="center"/>
          </w:tcPr>
          <w:p w14:paraId="5DFF2B20">
            <w:pPr>
              <w:widowControl/>
              <w:wordWrap w:val="0"/>
              <w:spacing w:before="100" w:beforeAutospacing="1" w:after="100" w:afterAutospacing="1" w:line="360" w:lineRule="auto"/>
              <w:jc w:val="left"/>
              <w:rPr>
                <w:rFonts w:cs="宋体" w:asciiTheme="minorEastAsia" w:hAnsiTheme="minorEastAsia" w:eastAsiaTheme="minorEastAsia"/>
                <w:kern w:val="0"/>
                <w:sz w:val="24"/>
                <w:szCs w:val="24"/>
              </w:rPr>
            </w:pPr>
          </w:p>
        </w:tc>
      </w:tr>
      <w:tr w14:paraId="1F1AE880">
        <w:tblPrEx>
          <w:tblCellMar>
            <w:top w:w="15" w:type="dxa"/>
            <w:left w:w="15" w:type="dxa"/>
            <w:bottom w:w="15" w:type="dxa"/>
            <w:right w:w="15" w:type="dxa"/>
          </w:tblCellMar>
        </w:tblPrEx>
        <w:trPr>
          <w:trHeight w:val="786" w:hRule="atLeast"/>
          <w:jc w:val="center"/>
        </w:trPr>
        <w:tc>
          <w:tcPr>
            <w:tcW w:w="1920" w:type="dxa"/>
            <w:tcBorders>
              <w:top w:val="single" w:color="000000" w:sz="6" w:space="0"/>
              <w:left w:val="single" w:color="000000" w:sz="6" w:space="0"/>
              <w:bottom w:val="single" w:color="000000" w:sz="6" w:space="0"/>
              <w:right w:val="single" w:color="000000" w:sz="6" w:space="0"/>
            </w:tcBorders>
            <w:vAlign w:val="center"/>
          </w:tcPr>
          <w:p w14:paraId="243003CB">
            <w:pPr>
              <w:wordWrap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经营范围</w:t>
            </w:r>
          </w:p>
        </w:tc>
        <w:tc>
          <w:tcPr>
            <w:tcW w:w="8080" w:type="dxa"/>
            <w:gridSpan w:val="6"/>
            <w:tcBorders>
              <w:top w:val="single" w:color="000000" w:sz="6" w:space="0"/>
              <w:left w:val="single" w:color="000000" w:sz="6" w:space="0"/>
              <w:bottom w:val="single" w:color="000000" w:sz="6" w:space="0"/>
              <w:right w:val="single" w:color="000000" w:sz="6" w:space="0"/>
            </w:tcBorders>
            <w:vAlign w:val="center"/>
          </w:tcPr>
          <w:p w14:paraId="6938B54B">
            <w:pPr>
              <w:widowControl/>
              <w:wordWrap w:val="0"/>
              <w:spacing w:before="100" w:beforeAutospacing="1" w:after="100" w:afterAutospacing="1" w:line="360" w:lineRule="auto"/>
              <w:jc w:val="left"/>
              <w:rPr>
                <w:rFonts w:cs="宋体" w:asciiTheme="minorEastAsia" w:hAnsiTheme="minorEastAsia" w:eastAsiaTheme="minorEastAsia"/>
                <w:kern w:val="0"/>
                <w:sz w:val="24"/>
                <w:szCs w:val="24"/>
              </w:rPr>
            </w:pPr>
          </w:p>
        </w:tc>
      </w:tr>
      <w:tr w14:paraId="4C8A5200">
        <w:tblPrEx>
          <w:tblCellMar>
            <w:top w:w="15" w:type="dxa"/>
            <w:left w:w="15" w:type="dxa"/>
            <w:bottom w:w="15" w:type="dxa"/>
            <w:right w:w="15" w:type="dxa"/>
          </w:tblCellMar>
        </w:tblPrEx>
        <w:trPr>
          <w:trHeight w:val="811" w:hRule="atLeast"/>
          <w:jc w:val="center"/>
        </w:trPr>
        <w:tc>
          <w:tcPr>
            <w:tcW w:w="1920" w:type="dxa"/>
            <w:tcBorders>
              <w:top w:val="single" w:color="000000" w:sz="6" w:space="0"/>
              <w:left w:val="single" w:color="000000" w:sz="6" w:space="0"/>
              <w:bottom w:val="single" w:color="000000" w:sz="6" w:space="0"/>
              <w:right w:val="single" w:color="000000" w:sz="6" w:space="0"/>
            </w:tcBorders>
            <w:vAlign w:val="center"/>
          </w:tcPr>
          <w:p w14:paraId="3DB9B024">
            <w:pPr>
              <w:wordWrap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开户银行</w:t>
            </w:r>
          </w:p>
        </w:tc>
        <w:tc>
          <w:tcPr>
            <w:tcW w:w="8080" w:type="dxa"/>
            <w:gridSpan w:val="6"/>
            <w:tcBorders>
              <w:top w:val="single" w:color="000000" w:sz="6" w:space="0"/>
              <w:left w:val="single" w:color="000000" w:sz="6" w:space="0"/>
              <w:bottom w:val="single" w:color="000000" w:sz="6" w:space="0"/>
              <w:right w:val="single" w:color="000000" w:sz="6" w:space="0"/>
            </w:tcBorders>
            <w:vAlign w:val="center"/>
          </w:tcPr>
          <w:p w14:paraId="5B97E2F2">
            <w:pPr>
              <w:widowControl/>
              <w:wordWrap w:val="0"/>
              <w:spacing w:before="100" w:beforeAutospacing="1" w:after="100" w:afterAutospacing="1" w:line="360" w:lineRule="auto"/>
              <w:jc w:val="left"/>
              <w:rPr>
                <w:rFonts w:cs="宋体" w:asciiTheme="minorEastAsia" w:hAnsiTheme="minorEastAsia" w:eastAsiaTheme="minorEastAsia"/>
                <w:kern w:val="0"/>
                <w:sz w:val="24"/>
                <w:szCs w:val="24"/>
              </w:rPr>
            </w:pPr>
          </w:p>
        </w:tc>
      </w:tr>
      <w:tr w14:paraId="456ED32A">
        <w:tblPrEx>
          <w:tblCellMar>
            <w:top w:w="15" w:type="dxa"/>
            <w:left w:w="15" w:type="dxa"/>
            <w:bottom w:w="15" w:type="dxa"/>
            <w:right w:w="15" w:type="dxa"/>
          </w:tblCellMar>
        </w:tblPrEx>
        <w:trPr>
          <w:trHeight w:val="809" w:hRule="atLeast"/>
          <w:jc w:val="center"/>
        </w:trPr>
        <w:tc>
          <w:tcPr>
            <w:tcW w:w="1920" w:type="dxa"/>
            <w:tcBorders>
              <w:top w:val="single" w:color="000000" w:sz="6" w:space="0"/>
              <w:left w:val="single" w:color="000000" w:sz="6" w:space="0"/>
              <w:bottom w:val="single" w:color="000000" w:sz="6" w:space="0"/>
              <w:right w:val="single" w:color="000000" w:sz="6" w:space="0"/>
            </w:tcBorders>
            <w:vAlign w:val="center"/>
          </w:tcPr>
          <w:p w14:paraId="7F1C2D05">
            <w:pPr>
              <w:wordWrap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账号</w:t>
            </w:r>
          </w:p>
        </w:tc>
        <w:tc>
          <w:tcPr>
            <w:tcW w:w="8080" w:type="dxa"/>
            <w:gridSpan w:val="6"/>
            <w:tcBorders>
              <w:top w:val="single" w:color="000000" w:sz="6" w:space="0"/>
              <w:left w:val="single" w:color="000000" w:sz="6" w:space="0"/>
              <w:bottom w:val="single" w:color="000000" w:sz="6" w:space="0"/>
              <w:right w:val="single" w:color="000000" w:sz="6" w:space="0"/>
            </w:tcBorders>
            <w:vAlign w:val="center"/>
          </w:tcPr>
          <w:p w14:paraId="421861B8">
            <w:pPr>
              <w:widowControl/>
              <w:wordWrap w:val="0"/>
              <w:spacing w:before="100" w:beforeAutospacing="1" w:after="100" w:afterAutospacing="1" w:line="360" w:lineRule="auto"/>
              <w:jc w:val="left"/>
              <w:rPr>
                <w:rFonts w:cs="宋体" w:asciiTheme="minorEastAsia" w:hAnsiTheme="minorEastAsia" w:eastAsiaTheme="minorEastAsia"/>
                <w:kern w:val="0"/>
                <w:sz w:val="24"/>
                <w:szCs w:val="24"/>
              </w:rPr>
            </w:pPr>
          </w:p>
        </w:tc>
      </w:tr>
      <w:tr w14:paraId="015D53B0">
        <w:tblPrEx>
          <w:tblCellMar>
            <w:top w:w="15" w:type="dxa"/>
            <w:left w:w="15" w:type="dxa"/>
            <w:bottom w:w="15" w:type="dxa"/>
            <w:right w:w="15" w:type="dxa"/>
          </w:tblCellMar>
        </w:tblPrEx>
        <w:trPr>
          <w:trHeight w:val="1651" w:hRule="atLeast"/>
          <w:jc w:val="center"/>
        </w:trPr>
        <w:tc>
          <w:tcPr>
            <w:tcW w:w="1920" w:type="dxa"/>
            <w:tcBorders>
              <w:top w:val="single" w:color="000000" w:sz="6" w:space="0"/>
              <w:left w:val="single" w:color="000000" w:sz="6" w:space="0"/>
              <w:bottom w:val="single" w:color="000000" w:sz="6" w:space="0"/>
              <w:right w:val="single" w:color="000000" w:sz="6" w:space="0"/>
            </w:tcBorders>
            <w:vAlign w:val="center"/>
          </w:tcPr>
          <w:p w14:paraId="37830C55">
            <w:pPr>
              <w:wordWrap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备注</w:t>
            </w:r>
          </w:p>
        </w:tc>
        <w:tc>
          <w:tcPr>
            <w:tcW w:w="8080" w:type="dxa"/>
            <w:gridSpan w:val="6"/>
            <w:tcBorders>
              <w:top w:val="single" w:color="000000" w:sz="6" w:space="0"/>
              <w:left w:val="single" w:color="000000" w:sz="6" w:space="0"/>
              <w:bottom w:val="single" w:color="000000" w:sz="6" w:space="0"/>
              <w:right w:val="single" w:color="000000" w:sz="6" w:space="0"/>
            </w:tcBorders>
            <w:vAlign w:val="center"/>
          </w:tcPr>
          <w:p w14:paraId="75E2541A">
            <w:pPr>
              <w:widowControl/>
              <w:wordWrap w:val="0"/>
              <w:spacing w:before="100" w:beforeAutospacing="1" w:after="100" w:afterAutospacing="1" w:line="360" w:lineRule="auto"/>
              <w:jc w:val="left"/>
              <w:rPr>
                <w:rFonts w:cs="宋体" w:asciiTheme="minorEastAsia" w:hAnsiTheme="minorEastAsia" w:eastAsiaTheme="minorEastAsia"/>
                <w:kern w:val="0"/>
                <w:sz w:val="24"/>
                <w:szCs w:val="24"/>
              </w:rPr>
            </w:pPr>
          </w:p>
        </w:tc>
      </w:tr>
      <w:bookmarkEnd w:id="1657"/>
    </w:tbl>
    <w:p w14:paraId="63CA71C8">
      <w:pPr>
        <w:wordWrap w:val="0"/>
        <w:spacing w:line="360" w:lineRule="auto"/>
        <w:jc w:val="left"/>
        <w:rPr>
          <w:rFonts w:cs="宋体" w:asciiTheme="minorEastAsia" w:hAnsiTheme="minorEastAsia" w:eastAsiaTheme="minorEastAsia"/>
          <w:b/>
          <w:bCs/>
          <w:snapToGrid w:val="0"/>
          <w:kern w:val="0"/>
          <w:sz w:val="24"/>
          <w:szCs w:val="24"/>
        </w:rPr>
      </w:pPr>
    </w:p>
    <w:p w14:paraId="54A4A64A">
      <w:pPr>
        <w:wordWrap w:val="0"/>
        <w:spacing w:line="360" w:lineRule="auto"/>
        <w:jc w:val="left"/>
        <w:rPr>
          <w:rFonts w:cs="宋体" w:asciiTheme="minorEastAsia" w:hAnsiTheme="minorEastAsia" w:eastAsiaTheme="minorEastAsia"/>
          <w:snapToGrid w:val="0"/>
          <w:kern w:val="0"/>
          <w:sz w:val="24"/>
          <w:szCs w:val="24"/>
          <w:lang w:val="zh-CN"/>
        </w:rPr>
      </w:pPr>
      <w:r>
        <w:rPr>
          <w:rFonts w:hint="eastAsia" w:cs="宋体" w:asciiTheme="minorEastAsia" w:hAnsiTheme="minorEastAsia" w:eastAsiaTheme="minorEastAsia"/>
          <w:snapToGrid w:val="0"/>
          <w:kern w:val="0"/>
          <w:sz w:val="24"/>
          <w:szCs w:val="24"/>
          <w:lang w:val="zh-CN"/>
        </w:rPr>
        <w:t>磋商供应商（电子签章）：_____________________________________________</w:t>
      </w:r>
    </w:p>
    <w:p w14:paraId="71E02F8B">
      <w:pPr>
        <w:wordWrap w:val="0"/>
        <w:spacing w:line="360" w:lineRule="auto"/>
        <w:jc w:val="left"/>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z w:val="24"/>
          <w:szCs w:val="24"/>
        </w:rPr>
        <w:t>法定代表人</w:t>
      </w:r>
      <w:r>
        <w:rPr>
          <w:rFonts w:hint="eastAsia" w:cs="宋体" w:asciiTheme="minorEastAsia" w:hAnsiTheme="minorEastAsia" w:eastAsiaTheme="minorEastAsia"/>
          <w:snapToGrid w:val="0"/>
          <w:kern w:val="0"/>
          <w:sz w:val="24"/>
          <w:szCs w:val="24"/>
        </w:rPr>
        <w:t>或其委托代理人（电子签名或电子签章）</w:t>
      </w:r>
      <w:r>
        <w:rPr>
          <w:rFonts w:hint="eastAsia" w:cs="宋体" w:asciiTheme="minorEastAsia" w:hAnsiTheme="minorEastAsia" w:eastAsiaTheme="minorEastAsia"/>
          <w:snapToGrid w:val="0"/>
          <w:kern w:val="0"/>
          <w:sz w:val="24"/>
          <w:szCs w:val="24"/>
          <w:lang w:val="zh-CN"/>
        </w:rPr>
        <w:t>：________________________</w:t>
      </w:r>
    </w:p>
    <w:p w14:paraId="04375791">
      <w:pPr>
        <w:wordWrap w:val="0"/>
        <w:spacing w:line="360" w:lineRule="auto"/>
        <w:jc w:val="left"/>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日  期：______年_____月_____日</w:t>
      </w:r>
    </w:p>
    <w:p w14:paraId="66ED2A56">
      <w:pPr>
        <w:pStyle w:val="14"/>
        <w:wordWrap w:val="0"/>
        <w:rPr>
          <w:rFonts w:asciiTheme="minorEastAsia" w:hAnsiTheme="minorEastAsia" w:eastAsiaTheme="minorEastAsia"/>
        </w:rPr>
      </w:pPr>
    </w:p>
    <w:p w14:paraId="3E74B2F1">
      <w:pPr>
        <w:pStyle w:val="5"/>
        <w:widowControl/>
        <w:numPr>
          <w:ilvl w:val="2"/>
          <w:numId w:val="0"/>
        </w:numPr>
        <w:tabs>
          <w:tab w:val="left" w:pos="432"/>
          <w:tab w:val="left" w:pos="720"/>
        </w:tabs>
        <w:wordWrap w:val="0"/>
        <w:spacing w:before="120" w:after="120"/>
        <w:ind w:left="720" w:hanging="720"/>
        <w:jc w:val="center"/>
        <w:rPr>
          <w:rFonts w:cs="宋体" w:asciiTheme="minorEastAsia" w:hAnsiTheme="minorEastAsia" w:eastAsiaTheme="minorEastAsia"/>
          <w:bCs/>
          <w:szCs w:val="28"/>
        </w:rPr>
      </w:pPr>
      <w:bookmarkStart w:id="1658" w:name="Book26"/>
      <w:bookmarkStart w:id="1659" w:name="_Toc12163"/>
      <w:r>
        <w:rPr>
          <w:rFonts w:hint="eastAsia" w:cs="宋体" w:asciiTheme="minorEastAsia" w:hAnsiTheme="minorEastAsia" w:eastAsiaTheme="minorEastAsia"/>
          <w:bCs/>
          <w:szCs w:val="28"/>
        </w:rPr>
        <w:t>二、法定代表人身份证明书及授权委托书</w:t>
      </w:r>
      <w:bookmarkEnd w:id="1658"/>
      <w:bookmarkEnd w:id="1659"/>
    </w:p>
    <w:p w14:paraId="31444B55">
      <w:pPr>
        <w:wordWrap w:val="0"/>
        <w:spacing w:line="360" w:lineRule="auto"/>
        <w:jc w:val="center"/>
        <w:rPr>
          <w:rFonts w:cs="宋体" w:asciiTheme="minorEastAsia" w:hAnsiTheme="minorEastAsia" w:eastAsiaTheme="minorEastAsia"/>
          <w:b/>
          <w:snapToGrid w:val="0"/>
          <w:kern w:val="0"/>
          <w:sz w:val="24"/>
        </w:rPr>
      </w:pPr>
      <w:r>
        <w:rPr>
          <w:rFonts w:hint="eastAsia" w:cs="宋体" w:asciiTheme="minorEastAsia" w:hAnsiTheme="minorEastAsia" w:eastAsiaTheme="minorEastAsia"/>
          <w:b/>
          <w:snapToGrid w:val="0"/>
          <w:kern w:val="0"/>
          <w:sz w:val="24"/>
        </w:rPr>
        <w:t>（一）法定代表人身份证明书</w:t>
      </w:r>
    </w:p>
    <w:p w14:paraId="1F0CCDF7">
      <w:pPr>
        <w:wordWrap w:val="0"/>
        <w:spacing w:line="360" w:lineRule="auto"/>
        <w:ind w:firstLine="480" w:firstLineChars="200"/>
        <w:jc w:val="left"/>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单位名称：____________________________________</w:t>
      </w:r>
    </w:p>
    <w:p w14:paraId="2B9644BF">
      <w:pPr>
        <w:wordWrap w:val="0"/>
        <w:spacing w:line="360" w:lineRule="auto"/>
        <w:ind w:firstLine="480" w:firstLineChars="200"/>
        <w:jc w:val="left"/>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单位性质：____________________________________</w:t>
      </w:r>
    </w:p>
    <w:p w14:paraId="4D357C8A">
      <w:pPr>
        <w:wordWrap w:val="0"/>
        <w:spacing w:line="360" w:lineRule="auto"/>
        <w:ind w:firstLine="480" w:firstLineChars="200"/>
        <w:jc w:val="left"/>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地    址：____________________________________</w:t>
      </w:r>
    </w:p>
    <w:p w14:paraId="45B3BEAE">
      <w:pPr>
        <w:wordWrap w:val="0"/>
        <w:spacing w:line="360" w:lineRule="auto"/>
        <w:ind w:firstLine="480" w:firstLineChars="200"/>
        <w:jc w:val="left"/>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成立时间：_______年_____月______日</w:t>
      </w:r>
    </w:p>
    <w:p w14:paraId="4CAC8E2F">
      <w:pPr>
        <w:wordWrap w:val="0"/>
        <w:spacing w:line="360" w:lineRule="auto"/>
        <w:ind w:firstLine="480" w:firstLineChars="200"/>
        <w:jc w:val="left"/>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经营期限：____________________________________</w:t>
      </w:r>
    </w:p>
    <w:p w14:paraId="0C7946A8">
      <w:pPr>
        <w:wordWrap w:val="0"/>
        <w:spacing w:line="360" w:lineRule="auto"/>
        <w:ind w:firstLine="480" w:firstLineChars="200"/>
        <w:jc w:val="left"/>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姓    名：__________性别：_____年龄：______职务：______</w:t>
      </w:r>
    </w:p>
    <w:p w14:paraId="26B1D139">
      <w:pPr>
        <w:wordWrap w:val="0"/>
        <w:spacing w:line="360" w:lineRule="auto"/>
        <w:ind w:firstLine="480" w:firstLineChars="200"/>
        <w:jc w:val="left"/>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系__________</w:t>
      </w:r>
      <w:r>
        <w:rPr>
          <w:rFonts w:hint="eastAsia" w:cs="宋体" w:asciiTheme="minorEastAsia" w:hAnsiTheme="minorEastAsia" w:eastAsiaTheme="minorEastAsia"/>
          <w:snapToGrid w:val="0"/>
          <w:kern w:val="0"/>
          <w:sz w:val="24"/>
          <w:szCs w:val="24"/>
          <w:u w:val="single"/>
        </w:rPr>
        <w:t>（磋商供应商单位名称）</w:t>
      </w:r>
      <w:r>
        <w:rPr>
          <w:rFonts w:hint="eastAsia" w:cs="宋体" w:asciiTheme="minorEastAsia" w:hAnsiTheme="minorEastAsia" w:eastAsiaTheme="minorEastAsia"/>
          <w:snapToGrid w:val="0"/>
          <w:kern w:val="0"/>
          <w:sz w:val="24"/>
          <w:szCs w:val="24"/>
        </w:rPr>
        <w:t>_________的</w:t>
      </w:r>
      <w:r>
        <w:rPr>
          <w:rFonts w:hint="eastAsia" w:cs="宋体" w:asciiTheme="minorEastAsia" w:hAnsiTheme="minorEastAsia" w:eastAsiaTheme="minorEastAsia"/>
          <w:sz w:val="24"/>
          <w:szCs w:val="24"/>
        </w:rPr>
        <w:t>法定代表人</w:t>
      </w:r>
      <w:r>
        <w:rPr>
          <w:rFonts w:hint="eastAsia" w:cs="宋体" w:asciiTheme="minorEastAsia" w:hAnsiTheme="minorEastAsia" w:eastAsiaTheme="minorEastAsia"/>
          <w:snapToGrid w:val="0"/>
          <w:kern w:val="0"/>
          <w:sz w:val="24"/>
          <w:szCs w:val="24"/>
        </w:rPr>
        <w:t>。</w:t>
      </w:r>
    </w:p>
    <w:p w14:paraId="4B896A91">
      <w:pPr>
        <w:wordWrap w:val="0"/>
        <w:spacing w:line="360" w:lineRule="auto"/>
        <w:ind w:firstLine="480" w:firstLineChars="200"/>
        <w:jc w:val="left"/>
        <w:rPr>
          <w:rFonts w:cs="宋体" w:asciiTheme="minorEastAsia" w:hAnsiTheme="minorEastAsia" w:eastAsiaTheme="minorEastAsia"/>
          <w:snapToGrid w:val="0"/>
          <w:kern w:val="0"/>
          <w:sz w:val="24"/>
          <w:szCs w:val="24"/>
        </w:rPr>
      </w:pPr>
    </w:p>
    <w:p w14:paraId="05799131">
      <w:pPr>
        <w:wordWrap w:val="0"/>
        <w:spacing w:line="360" w:lineRule="auto"/>
        <w:ind w:firstLine="480" w:firstLineChars="200"/>
        <w:jc w:val="left"/>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特此证明。</w:t>
      </w:r>
    </w:p>
    <w:p w14:paraId="22B03FEB">
      <w:pPr>
        <w:wordWrap w:val="0"/>
        <w:spacing w:line="360" w:lineRule="auto"/>
        <w:ind w:firstLine="480" w:firstLineChars="200"/>
        <w:jc w:val="left"/>
        <w:rPr>
          <w:rFonts w:cs="宋体" w:asciiTheme="minorEastAsia" w:hAnsiTheme="minorEastAsia" w:eastAsiaTheme="minorEastAsia"/>
          <w:snapToGrid w:val="0"/>
          <w:kern w:val="0"/>
          <w:sz w:val="24"/>
          <w:szCs w:val="24"/>
        </w:rPr>
      </w:pPr>
    </w:p>
    <w:p w14:paraId="3B2A9718">
      <w:pPr>
        <w:wordWrap w:val="0"/>
        <w:spacing w:line="360" w:lineRule="auto"/>
        <w:ind w:firstLine="480" w:firstLineChars="200"/>
        <w:jc w:val="left"/>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磋商供应商</w:t>
      </w:r>
      <w:r>
        <w:rPr>
          <w:rFonts w:hint="eastAsia" w:cs="宋体" w:asciiTheme="minorEastAsia" w:hAnsiTheme="minorEastAsia" w:eastAsiaTheme="minorEastAsia"/>
          <w:snapToGrid w:val="0"/>
          <w:kern w:val="0"/>
          <w:sz w:val="24"/>
          <w:szCs w:val="24"/>
          <w:lang w:val="zh-CN"/>
        </w:rPr>
        <w:t>（电子签章）</w:t>
      </w:r>
      <w:r>
        <w:rPr>
          <w:rFonts w:hint="eastAsia" w:cs="宋体" w:asciiTheme="minorEastAsia" w:hAnsiTheme="minorEastAsia" w:eastAsiaTheme="minorEastAsia"/>
          <w:snapToGrid w:val="0"/>
          <w:kern w:val="0"/>
          <w:sz w:val="24"/>
          <w:szCs w:val="24"/>
        </w:rPr>
        <w:t>：_____________</w:t>
      </w:r>
    </w:p>
    <w:p w14:paraId="69D6104D">
      <w:pPr>
        <w:wordWrap w:val="0"/>
        <w:spacing w:line="360" w:lineRule="auto"/>
        <w:ind w:firstLine="480" w:firstLineChars="200"/>
        <w:jc w:val="left"/>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日  期：_____年_____月_____日</w:t>
      </w:r>
    </w:p>
    <w:p w14:paraId="42C9D58C">
      <w:pPr>
        <w:wordWrap w:val="0"/>
        <w:spacing w:line="480" w:lineRule="auto"/>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附：法定代表人身份证复印件（正反面）</w:t>
      </w:r>
    </w:p>
    <w:p w14:paraId="099B3A3D">
      <w:pPr>
        <w:wordWrap w:val="0"/>
        <w:spacing w:line="360" w:lineRule="auto"/>
        <w:ind w:firstLine="420" w:firstLineChars="200"/>
        <w:jc w:val="left"/>
        <w:rPr>
          <w:rFonts w:cs="宋体" w:asciiTheme="minorEastAsia" w:hAnsiTheme="minorEastAsia" w:eastAsiaTheme="minorEastAsia"/>
          <w:snapToGrid w:val="0"/>
          <w:kern w:val="0"/>
        </w:rPr>
      </w:pPr>
      <w:r>
        <w:rPr>
          <w:rFonts w:hint="eastAsia" w:cs="宋体" w:asciiTheme="minorEastAsia" w:hAnsiTheme="minorEastAsia" w:eastAsiaTheme="minorEastAsia"/>
          <w:snapToGrid w:val="0"/>
          <w:kern w:val="0"/>
        </w:rPr>
        <w:br w:type="page"/>
      </w:r>
    </w:p>
    <w:p w14:paraId="102230A3">
      <w:pPr>
        <w:wordWrap w:val="0"/>
        <w:spacing w:line="360" w:lineRule="auto"/>
        <w:jc w:val="center"/>
        <w:rPr>
          <w:rFonts w:cs="宋体" w:asciiTheme="minorEastAsia" w:hAnsiTheme="minorEastAsia" w:eastAsiaTheme="minorEastAsia"/>
          <w:b/>
          <w:snapToGrid w:val="0"/>
          <w:kern w:val="0"/>
          <w:sz w:val="24"/>
        </w:rPr>
      </w:pPr>
      <w:r>
        <w:rPr>
          <w:rFonts w:hint="eastAsia" w:cs="宋体" w:asciiTheme="minorEastAsia" w:hAnsiTheme="minorEastAsia" w:eastAsiaTheme="minorEastAsia"/>
          <w:b/>
          <w:snapToGrid w:val="0"/>
          <w:kern w:val="0"/>
          <w:sz w:val="24"/>
        </w:rPr>
        <w:t>（二）磋商响应文件签署授权委托书</w:t>
      </w:r>
    </w:p>
    <w:p w14:paraId="2B543C93">
      <w:pPr>
        <w:wordWrap w:val="0"/>
        <w:spacing w:line="360" w:lineRule="auto"/>
        <w:jc w:val="center"/>
        <w:rPr>
          <w:rFonts w:cs="宋体" w:asciiTheme="minorEastAsia" w:hAnsiTheme="minorEastAsia" w:eastAsiaTheme="minorEastAsia"/>
          <w:b/>
          <w:snapToGrid w:val="0"/>
          <w:kern w:val="0"/>
          <w:sz w:val="24"/>
        </w:rPr>
      </w:pPr>
    </w:p>
    <w:p w14:paraId="0B2C308F">
      <w:pPr>
        <w:wordWrap w:val="0"/>
        <w:spacing w:line="360" w:lineRule="auto"/>
        <w:jc w:val="center"/>
        <w:rPr>
          <w:rFonts w:cs="宋体" w:asciiTheme="minorEastAsia" w:hAnsiTheme="minorEastAsia" w:eastAsiaTheme="minorEastAsia"/>
          <w:b/>
          <w:snapToGrid w:val="0"/>
          <w:kern w:val="0"/>
          <w:sz w:val="24"/>
        </w:rPr>
      </w:pPr>
      <w:r>
        <w:rPr>
          <w:rFonts w:hint="eastAsia" w:cs="宋体" w:asciiTheme="minorEastAsia" w:hAnsiTheme="minorEastAsia" w:eastAsiaTheme="minorEastAsia"/>
          <w:b/>
          <w:snapToGrid w:val="0"/>
          <w:kern w:val="0"/>
          <w:sz w:val="24"/>
        </w:rPr>
        <w:t>（若未发生授权情况，则无需提供此授权）</w:t>
      </w:r>
    </w:p>
    <w:p w14:paraId="035FC813">
      <w:pPr>
        <w:wordWrap w:val="0"/>
        <w:spacing w:line="360" w:lineRule="auto"/>
        <w:ind w:firstLine="480" w:firstLineChars="200"/>
        <w:jc w:val="left"/>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本授权委托书声明：我_____________（姓名）系_____________</w:t>
      </w:r>
      <w:r>
        <w:rPr>
          <w:rFonts w:hint="eastAsia" w:cs="宋体" w:asciiTheme="minorEastAsia" w:hAnsiTheme="minorEastAsia" w:eastAsiaTheme="minorEastAsia"/>
          <w:snapToGrid w:val="0"/>
          <w:kern w:val="0"/>
          <w:sz w:val="24"/>
          <w:szCs w:val="24"/>
          <w:u w:val="single"/>
        </w:rPr>
        <w:t>（磋商供应商名称）</w:t>
      </w:r>
      <w:r>
        <w:rPr>
          <w:rFonts w:hint="eastAsia" w:cs="宋体" w:asciiTheme="minorEastAsia" w:hAnsiTheme="minorEastAsia" w:eastAsiaTheme="minorEastAsia"/>
          <w:snapToGrid w:val="0"/>
          <w:kern w:val="0"/>
          <w:sz w:val="24"/>
          <w:szCs w:val="24"/>
        </w:rPr>
        <w:t>的</w:t>
      </w:r>
      <w:r>
        <w:rPr>
          <w:rFonts w:hint="eastAsia" w:cs="宋体" w:asciiTheme="minorEastAsia" w:hAnsiTheme="minorEastAsia" w:eastAsiaTheme="minorEastAsia"/>
          <w:sz w:val="24"/>
          <w:szCs w:val="24"/>
        </w:rPr>
        <w:t>法定代表人</w:t>
      </w:r>
      <w:r>
        <w:rPr>
          <w:rFonts w:hint="eastAsia" w:cs="宋体" w:asciiTheme="minorEastAsia" w:hAnsiTheme="minorEastAsia" w:eastAsiaTheme="minorEastAsia"/>
          <w:snapToGrid w:val="0"/>
          <w:kern w:val="0"/>
          <w:sz w:val="24"/>
          <w:szCs w:val="24"/>
        </w:rPr>
        <w:t>，现授权委托______</w:t>
      </w:r>
      <w:r>
        <w:rPr>
          <w:rFonts w:hint="eastAsia" w:cs="宋体" w:asciiTheme="minorEastAsia" w:hAnsiTheme="minorEastAsia" w:eastAsiaTheme="minorEastAsia"/>
          <w:snapToGrid w:val="0"/>
          <w:kern w:val="0"/>
          <w:sz w:val="24"/>
          <w:szCs w:val="24"/>
          <w:u w:val="single"/>
        </w:rPr>
        <w:t>（单位名称）</w:t>
      </w:r>
      <w:r>
        <w:rPr>
          <w:rFonts w:hint="eastAsia" w:cs="宋体" w:asciiTheme="minorEastAsia" w:hAnsiTheme="minorEastAsia" w:eastAsiaTheme="minorEastAsia"/>
          <w:snapToGrid w:val="0"/>
          <w:kern w:val="0"/>
          <w:sz w:val="24"/>
          <w:szCs w:val="24"/>
        </w:rPr>
        <w:t>_____的____</w:t>
      </w:r>
      <w:r>
        <w:rPr>
          <w:rFonts w:hint="eastAsia" w:cs="宋体" w:asciiTheme="minorEastAsia" w:hAnsiTheme="minorEastAsia" w:eastAsiaTheme="minorEastAsia"/>
          <w:snapToGrid w:val="0"/>
          <w:kern w:val="0"/>
          <w:sz w:val="24"/>
          <w:szCs w:val="24"/>
          <w:u w:val="single"/>
        </w:rPr>
        <w:t>（姓名）</w:t>
      </w:r>
      <w:r>
        <w:rPr>
          <w:rFonts w:hint="eastAsia" w:cs="宋体" w:asciiTheme="minorEastAsia" w:hAnsiTheme="minorEastAsia" w:eastAsiaTheme="minorEastAsia"/>
          <w:snapToGrid w:val="0"/>
          <w:kern w:val="0"/>
          <w:sz w:val="24"/>
          <w:szCs w:val="24"/>
        </w:rPr>
        <w:t>____为我</w:t>
      </w:r>
      <w:r>
        <w:rPr>
          <w:rFonts w:hint="eastAsia" w:cs="宋体" w:asciiTheme="minorEastAsia" w:hAnsiTheme="minorEastAsia" w:eastAsiaTheme="minorEastAsia"/>
          <w:sz w:val="24"/>
          <w:szCs w:val="24"/>
        </w:rPr>
        <w:t>公司</w:t>
      </w:r>
      <w:r>
        <w:rPr>
          <w:rFonts w:hint="eastAsia" w:cs="宋体" w:asciiTheme="minorEastAsia" w:hAnsiTheme="minorEastAsia" w:eastAsiaTheme="minorEastAsia"/>
          <w:snapToGrid w:val="0"/>
          <w:kern w:val="0"/>
          <w:sz w:val="24"/>
          <w:szCs w:val="24"/>
        </w:rPr>
        <w:t>签署本项目的磋商响应文件的</w:t>
      </w:r>
      <w:r>
        <w:rPr>
          <w:rFonts w:hint="eastAsia" w:cs="宋体" w:asciiTheme="minorEastAsia" w:hAnsiTheme="minorEastAsia" w:eastAsiaTheme="minorEastAsia"/>
          <w:sz w:val="24"/>
          <w:szCs w:val="24"/>
        </w:rPr>
        <w:t>法定代表人</w:t>
      </w:r>
      <w:r>
        <w:rPr>
          <w:rFonts w:hint="eastAsia" w:cs="宋体" w:asciiTheme="minorEastAsia" w:hAnsiTheme="minorEastAsia" w:eastAsiaTheme="minorEastAsia"/>
          <w:snapToGrid w:val="0"/>
          <w:kern w:val="0"/>
          <w:sz w:val="24"/>
          <w:szCs w:val="24"/>
        </w:rPr>
        <w:t>授权委托代理人，我承认代理人全权代表我所签署的本项目的磋商响应文件的内容。</w:t>
      </w:r>
    </w:p>
    <w:p w14:paraId="60E3F067">
      <w:pPr>
        <w:wordWrap w:val="0"/>
        <w:spacing w:line="360" w:lineRule="auto"/>
        <w:ind w:firstLine="480" w:firstLineChars="200"/>
        <w:jc w:val="left"/>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委托期限：_______________________________________。</w:t>
      </w:r>
    </w:p>
    <w:p w14:paraId="5CAD58A5">
      <w:pPr>
        <w:wordWrap w:val="0"/>
        <w:spacing w:line="360" w:lineRule="auto"/>
        <w:ind w:firstLine="480" w:firstLineChars="200"/>
        <w:jc w:val="left"/>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代理人无转委托权，特此委托。</w:t>
      </w:r>
    </w:p>
    <w:p w14:paraId="3DECD18C">
      <w:pPr>
        <w:wordWrap w:val="0"/>
        <w:spacing w:line="360" w:lineRule="auto"/>
        <w:ind w:firstLine="480" w:firstLineChars="200"/>
        <w:jc w:val="left"/>
        <w:rPr>
          <w:rFonts w:cs="宋体" w:asciiTheme="minorEastAsia" w:hAnsiTheme="minorEastAsia" w:eastAsiaTheme="minorEastAsia"/>
          <w:snapToGrid w:val="0"/>
          <w:kern w:val="0"/>
          <w:sz w:val="24"/>
          <w:szCs w:val="24"/>
        </w:rPr>
      </w:pPr>
    </w:p>
    <w:p w14:paraId="32A68F17">
      <w:pPr>
        <w:wordWrap w:val="0"/>
        <w:spacing w:line="360" w:lineRule="auto"/>
        <w:ind w:firstLine="480" w:firstLineChars="200"/>
        <w:jc w:val="left"/>
        <w:rPr>
          <w:rFonts w:cs="宋体" w:asciiTheme="minorEastAsia" w:hAnsiTheme="minorEastAsia" w:eastAsiaTheme="minorEastAsia"/>
          <w:snapToGrid w:val="0"/>
          <w:kern w:val="0"/>
          <w:sz w:val="24"/>
          <w:szCs w:val="24"/>
        </w:rPr>
      </w:pPr>
    </w:p>
    <w:p w14:paraId="7CA3468E">
      <w:pPr>
        <w:wordWrap w:val="0"/>
        <w:spacing w:line="360" w:lineRule="auto"/>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磋商供应商：</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napToGrid w:val="0"/>
          <w:kern w:val="0"/>
          <w:sz w:val="24"/>
          <w:szCs w:val="24"/>
          <w:lang w:val="zh-CN"/>
        </w:rPr>
        <w:t>（电子签章）</w:t>
      </w:r>
    </w:p>
    <w:p w14:paraId="03D8FC78">
      <w:pPr>
        <w:wordWrap w:val="0"/>
        <w:spacing w:line="360" w:lineRule="auto"/>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z w:val="24"/>
          <w:szCs w:val="24"/>
        </w:rPr>
        <w:t>法定代表人：</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napToGrid w:val="0"/>
          <w:kern w:val="0"/>
          <w:sz w:val="24"/>
          <w:szCs w:val="24"/>
        </w:rPr>
        <w:t>（电子签名或电子签章）</w:t>
      </w:r>
    </w:p>
    <w:p w14:paraId="2EAE5DC3">
      <w:pPr>
        <w:wordWrap w:val="0"/>
        <w:spacing w:line="360" w:lineRule="auto"/>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身份证号码：</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p>
    <w:p w14:paraId="502EF043">
      <w:pPr>
        <w:wordWrap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委托代理人：</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（名字）</w:t>
      </w:r>
    </w:p>
    <w:p w14:paraId="3A22538F">
      <w:pPr>
        <w:wordWrap w:val="0"/>
        <w:spacing w:line="360" w:lineRule="auto"/>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身份证号码：</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p>
    <w:p w14:paraId="6338600E">
      <w:pPr>
        <w:wordWrap w:val="0"/>
        <w:spacing w:line="360" w:lineRule="auto"/>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 xml:space="preserve">日  </w:t>
      </w:r>
      <w:r>
        <w:rPr>
          <w:rFonts w:cs="宋体" w:asciiTheme="minorEastAsia" w:hAnsiTheme="minorEastAsia" w:eastAsiaTheme="minorEastAsia"/>
          <w:snapToGrid w:val="0"/>
          <w:kern w:val="0"/>
          <w:sz w:val="24"/>
          <w:szCs w:val="24"/>
        </w:rPr>
        <w:t xml:space="preserve">    </w:t>
      </w:r>
      <w:r>
        <w:rPr>
          <w:rFonts w:hint="eastAsia" w:cs="宋体" w:asciiTheme="minorEastAsia" w:hAnsiTheme="minorEastAsia" w:eastAsiaTheme="minorEastAsia"/>
          <w:snapToGrid w:val="0"/>
          <w:kern w:val="0"/>
          <w:sz w:val="24"/>
          <w:szCs w:val="24"/>
        </w:rPr>
        <w:t>期：______年_____月_____日</w:t>
      </w:r>
    </w:p>
    <w:p w14:paraId="33683F33">
      <w:pPr>
        <w:wordWrap w:val="0"/>
        <w:spacing w:line="360" w:lineRule="auto"/>
        <w:jc w:val="left"/>
        <w:rPr>
          <w:rFonts w:cs="宋体" w:asciiTheme="minorEastAsia" w:hAnsiTheme="minorEastAsia" w:eastAsiaTheme="minorEastAsia"/>
          <w:snapToGrid w:val="0"/>
          <w:kern w:val="0"/>
          <w:sz w:val="24"/>
          <w:szCs w:val="24"/>
        </w:rPr>
      </w:pPr>
    </w:p>
    <w:p w14:paraId="3D4444D1">
      <w:pPr>
        <w:wordWrap w:val="0"/>
        <w:spacing w:line="360" w:lineRule="auto"/>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附：授权委托代理人身份证复印件（正反面）</w:t>
      </w:r>
    </w:p>
    <w:p w14:paraId="11CD1ECA">
      <w:pPr>
        <w:wordWrap w:val="0"/>
        <w:spacing w:line="360" w:lineRule="auto"/>
        <w:ind w:firstLine="420" w:firstLineChars="200"/>
        <w:jc w:val="left"/>
        <w:rPr>
          <w:rFonts w:cs="宋体" w:asciiTheme="minorEastAsia" w:hAnsiTheme="minorEastAsia" w:eastAsiaTheme="minorEastAsia"/>
          <w:snapToGrid w:val="0"/>
          <w:kern w:val="0"/>
        </w:rPr>
      </w:pPr>
      <w:r>
        <w:rPr>
          <w:rFonts w:hint="eastAsia" w:cs="宋体" w:asciiTheme="minorEastAsia" w:hAnsiTheme="minorEastAsia" w:eastAsiaTheme="minorEastAsia"/>
          <w:snapToGrid w:val="0"/>
          <w:kern w:val="0"/>
        </w:rPr>
        <w:br w:type="page"/>
      </w:r>
    </w:p>
    <w:p w14:paraId="21DAC359">
      <w:pPr>
        <w:numPr>
          <w:ilvl w:val="0"/>
          <w:numId w:val="6"/>
        </w:numPr>
        <w:wordWrap w:val="0"/>
        <w:spacing w:line="360" w:lineRule="auto"/>
        <w:jc w:val="center"/>
        <w:outlineLvl w:val="3"/>
        <w:rPr>
          <w:rFonts w:cs="宋体" w:asciiTheme="minorEastAsia" w:hAnsiTheme="minorEastAsia" w:eastAsiaTheme="minorEastAsia"/>
          <w:b/>
          <w:bCs/>
          <w:sz w:val="28"/>
          <w:szCs w:val="28"/>
        </w:rPr>
      </w:pPr>
      <w:bookmarkStart w:id="1660" w:name="_Toc1763"/>
      <w:bookmarkStart w:id="1661" w:name="Book28"/>
      <w:bookmarkStart w:id="1662" w:name="_Toc30147357"/>
      <w:bookmarkStart w:id="1663" w:name="_Toc5781"/>
      <w:bookmarkStart w:id="1664" w:name="_Toc28838"/>
      <w:r>
        <w:rPr>
          <w:rFonts w:hint="eastAsia" w:cs="宋体" w:asciiTheme="minorEastAsia" w:hAnsiTheme="minorEastAsia" w:eastAsiaTheme="minorEastAsia"/>
          <w:b/>
          <w:bCs/>
          <w:sz w:val="28"/>
          <w:szCs w:val="28"/>
        </w:rPr>
        <w:t>具有独立承担民事责任的能力</w:t>
      </w:r>
      <w:bookmarkEnd w:id="1660"/>
    </w:p>
    <w:p w14:paraId="6004EB3F">
      <w:pPr>
        <w:wordWrap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（提供法人或者其他组织的营业执照等证明文件复印件，加盖投标人电子公章）</w:t>
      </w:r>
    </w:p>
    <w:p w14:paraId="4B354E3E">
      <w:pPr>
        <w:wordWrap w:val="0"/>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br w:type="page"/>
      </w:r>
    </w:p>
    <w:p w14:paraId="7D98B7A1">
      <w:pPr>
        <w:wordWrap w:val="0"/>
        <w:spacing w:line="360" w:lineRule="auto"/>
        <w:jc w:val="center"/>
        <w:outlineLvl w:val="3"/>
        <w:rPr>
          <w:rFonts w:cs="宋体" w:asciiTheme="minorEastAsia" w:hAnsiTheme="minorEastAsia" w:eastAsiaTheme="minorEastAsia"/>
          <w:b/>
          <w:sz w:val="28"/>
          <w:szCs w:val="40"/>
        </w:rPr>
      </w:pPr>
      <w:bookmarkStart w:id="1665" w:name="_Toc4384"/>
      <w:r>
        <w:rPr>
          <w:rFonts w:hint="eastAsia" w:cs="宋体" w:asciiTheme="minorEastAsia" w:hAnsiTheme="minorEastAsia" w:eastAsiaTheme="minorEastAsia"/>
          <w:b/>
          <w:sz w:val="28"/>
          <w:szCs w:val="40"/>
        </w:rPr>
        <w:t>四、</w:t>
      </w:r>
      <w:bookmarkEnd w:id="1661"/>
      <w:bookmarkEnd w:id="1662"/>
      <w:bookmarkEnd w:id="1663"/>
      <w:bookmarkEnd w:id="1664"/>
      <w:r>
        <w:rPr>
          <w:rFonts w:hint="eastAsia" w:cs="宋体" w:asciiTheme="minorEastAsia" w:hAnsiTheme="minorEastAsia" w:eastAsiaTheme="minorEastAsia"/>
          <w:b/>
          <w:sz w:val="28"/>
          <w:szCs w:val="40"/>
        </w:rPr>
        <w:t>具有良好的商业信誉和健全的财务会计制度</w:t>
      </w:r>
      <w:bookmarkEnd w:id="1665"/>
    </w:p>
    <w:p w14:paraId="075FE4F5">
      <w:pPr>
        <w:pStyle w:val="14"/>
        <w:adjustRightInd w:val="0"/>
        <w:snapToGrid w:val="0"/>
        <w:spacing w:after="0" w:line="360" w:lineRule="auto"/>
        <w:ind w:firstLine="480" w:firstLineChars="200"/>
        <w:jc w:val="left"/>
        <w:rPr>
          <w:rFonts w:asciiTheme="minorEastAsia" w:hAnsiTheme="minorEastAsia" w:eastAsiaTheme="minorEastAsia"/>
        </w:rPr>
      </w:pPr>
      <w:r>
        <w:rPr>
          <w:rFonts w:hint="eastAsia" w:cs="宋体" w:asciiTheme="minorEastAsia" w:hAnsiTheme="minorEastAsia" w:eastAsiaTheme="minorEastAsia"/>
          <w:sz w:val="24"/>
          <w:szCs w:val="24"/>
        </w:rPr>
        <w:t>提供2024年度或2025年度经第三方审计机构审计的财务状况报告，包括资产负债表、利润表（损益表）、现金流量表及其附注；（新成立公司不足1年的可提供自成立之日起任意2个月的财务报表包括资产负债表、利润表(损益表)、现金流量表，不足2个月的，需作出说明），或是基本开户银行出具的资信证明（资信证明出具时间应为本项目开始时间后）或是财政部门认可政府采购专业担保机构出具的投标担保函；（提供相关证明材料复印件，加盖投标人电子公章）</w:t>
      </w:r>
    </w:p>
    <w:p w14:paraId="426FABD4">
      <w:pPr>
        <w:pStyle w:val="17"/>
        <w:wordWrap w:val="0"/>
        <w:rPr>
          <w:rFonts w:asciiTheme="minorEastAsia" w:hAnsiTheme="minorEastAsia" w:eastAsiaTheme="minorEastAsia"/>
        </w:rPr>
      </w:pPr>
    </w:p>
    <w:p w14:paraId="7575B6A7">
      <w:pPr>
        <w:wordWrap w:val="0"/>
        <w:spacing w:line="360" w:lineRule="auto"/>
        <w:ind w:firstLine="562" w:firstLineChars="200"/>
        <w:rPr>
          <w:rFonts w:asciiTheme="minorEastAsia" w:hAnsiTheme="minorEastAsia" w:eastAsiaTheme="minorEastAsia"/>
          <w:sz w:val="24"/>
          <w:szCs w:val="24"/>
        </w:rPr>
      </w:pPr>
      <w:r>
        <w:rPr>
          <w:rFonts w:hint="eastAsia" w:cs="宋体" w:asciiTheme="minorEastAsia" w:hAnsiTheme="minorEastAsia" w:eastAsiaTheme="minorEastAsia"/>
          <w:b/>
          <w:sz w:val="28"/>
          <w:szCs w:val="40"/>
        </w:rPr>
        <w:br w:type="page"/>
      </w:r>
    </w:p>
    <w:p w14:paraId="17A7176C">
      <w:pPr>
        <w:pStyle w:val="5"/>
        <w:widowControl/>
        <w:numPr>
          <w:ilvl w:val="2"/>
          <w:numId w:val="0"/>
        </w:numPr>
        <w:tabs>
          <w:tab w:val="left" w:pos="432"/>
          <w:tab w:val="left" w:pos="720"/>
        </w:tabs>
        <w:wordWrap w:val="0"/>
        <w:spacing w:before="120" w:after="120"/>
        <w:ind w:left="720" w:hanging="720"/>
        <w:jc w:val="center"/>
        <w:rPr>
          <w:rFonts w:cs="宋体" w:asciiTheme="minorEastAsia" w:hAnsiTheme="minorEastAsia" w:eastAsiaTheme="minorEastAsia"/>
          <w:bCs/>
          <w:szCs w:val="28"/>
        </w:rPr>
      </w:pPr>
      <w:bookmarkStart w:id="1666" w:name="_Toc3966"/>
      <w:r>
        <w:rPr>
          <w:rFonts w:hint="eastAsia" w:cs="宋体" w:asciiTheme="minorEastAsia" w:hAnsiTheme="minorEastAsia" w:eastAsiaTheme="minorEastAsia"/>
          <w:bCs/>
          <w:szCs w:val="28"/>
        </w:rPr>
        <w:t>五、具有履行合同所必须的设备和专业技术能力</w:t>
      </w:r>
      <w:bookmarkEnd w:id="1666"/>
    </w:p>
    <w:p w14:paraId="117EBC1E">
      <w:pPr>
        <w:wordWrap w:val="0"/>
        <w:spacing w:line="360" w:lineRule="auto"/>
        <w:jc w:val="center"/>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（提供相关资质证明材料及承诺书，格式自拟，加盖投标人电子公章）</w:t>
      </w:r>
    </w:p>
    <w:p w14:paraId="7835C22C">
      <w:pPr>
        <w:wordWrap w:val="0"/>
        <w:spacing w:line="360" w:lineRule="auto"/>
        <w:jc w:val="center"/>
        <w:rPr>
          <w:rFonts w:cs="宋体" w:asciiTheme="minorEastAsia" w:hAnsiTheme="minorEastAsia" w:eastAsiaTheme="minorEastAsia"/>
          <w:snapToGrid w:val="0"/>
          <w:kern w:val="0"/>
          <w:szCs w:val="21"/>
        </w:rPr>
      </w:pPr>
    </w:p>
    <w:p w14:paraId="7B9A4F0E">
      <w:pPr>
        <w:widowControl/>
        <w:wordWrap w:val="0"/>
        <w:jc w:val="left"/>
        <w:rPr>
          <w:rFonts w:cs="宋体" w:asciiTheme="minorEastAsia" w:hAnsiTheme="minorEastAsia" w:eastAsiaTheme="minorEastAsia"/>
          <w:snapToGrid w:val="0"/>
          <w:kern w:val="0"/>
          <w:szCs w:val="21"/>
        </w:rPr>
      </w:pPr>
      <w:r>
        <w:rPr>
          <w:rFonts w:cs="宋体" w:asciiTheme="minorEastAsia" w:hAnsiTheme="minorEastAsia" w:eastAsiaTheme="minorEastAsia"/>
          <w:snapToGrid w:val="0"/>
          <w:kern w:val="0"/>
          <w:szCs w:val="21"/>
        </w:rPr>
        <w:br w:type="page"/>
      </w:r>
    </w:p>
    <w:p w14:paraId="1BF3C20D">
      <w:pPr>
        <w:widowControl/>
        <w:wordWrap w:val="0"/>
        <w:jc w:val="center"/>
        <w:rPr>
          <w:rFonts w:asciiTheme="minorEastAsia" w:hAnsiTheme="minorEastAsia" w:eastAsiaTheme="minorEastAsia"/>
          <w:b/>
          <w:sz w:val="24"/>
          <w:szCs w:val="24"/>
        </w:rPr>
      </w:pPr>
      <w:r>
        <w:rPr>
          <w:rFonts w:hint="eastAsia" w:cs="宋体" w:asciiTheme="minorEastAsia" w:hAnsiTheme="minorEastAsia" w:eastAsiaTheme="minorEastAsia"/>
          <w:b/>
          <w:sz w:val="28"/>
          <w:szCs w:val="28"/>
        </w:rPr>
        <w:t>六、有依法缴纳税收和社会保障资金的良好记录</w:t>
      </w:r>
    </w:p>
    <w:p w14:paraId="19A8FA1F">
      <w:pPr>
        <w:widowControl/>
        <w:wordWrap w:val="0"/>
        <w:jc w:val="left"/>
        <w:rPr>
          <w:rFonts w:asciiTheme="minorEastAsia" w:hAnsiTheme="minorEastAsia" w:eastAsiaTheme="minorEastAsia"/>
          <w:b/>
          <w:sz w:val="24"/>
          <w:szCs w:val="24"/>
        </w:rPr>
      </w:pPr>
    </w:p>
    <w:p w14:paraId="15F2F9C1">
      <w:pPr>
        <w:widowControl/>
        <w:wordWrap w:val="0"/>
        <w:jc w:val="left"/>
        <w:rPr>
          <w:rFonts w:asciiTheme="minorEastAsia" w:hAnsiTheme="minorEastAsia" w:eastAsiaTheme="minorEastAsia"/>
          <w:b/>
          <w:sz w:val="24"/>
          <w:szCs w:val="24"/>
        </w:rPr>
      </w:pPr>
    </w:p>
    <w:p w14:paraId="62AF80AA">
      <w:pPr>
        <w:widowControl/>
        <w:wordWrap w:val="0"/>
        <w:jc w:val="left"/>
        <w:rPr>
          <w:rFonts w:cs="宋体" w:asciiTheme="minorEastAsia" w:hAnsiTheme="minorEastAsia" w:eastAsiaTheme="minorEastAsia"/>
          <w:snapToGrid w:val="0"/>
          <w:kern w:val="0"/>
          <w:sz w:val="22"/>
          <w:szCs w:val="22"/>
        </w:rPr>
      </w:pPr>
      <w:r>
        <w:rPr>
          <w:rFonts w:hint="eastAsia" w:asciiTheme="minorEastAsia" w:hAnsiTheme="minorEastAsia" w:eastAsiaTheme="minorEastAsia"/>
          <w:b/>
          <w:sz w:val="24"/>
          <w:szCs w:val="24"/>
        </w:rPr>
        <w:t>（1）依法缴纳税收和社会保障资金的良好记录的承诺</w:t>
      </w:r>
    </w:p>
    <w:p w14:paraId="52593A23">
      <w:pPr>
        <w:wordWrap w:val="0"/>
        <w:spacing w:line="360" w:lineRule="auto"/>
        <w:ind w:firstLine="480" w:firstLineChars="200"/>
        <w:rPr>
          <w:rFonts w:asciiTheme="minorEastAsia" w:hAnsiTheme="minorEastAsia" w:eastAsiaTheme="minorEastAsia"/>
          <w:sz w:val="24"/>
          <w:szCs w:val="24"/>
        </w:rPr>
      </w:pPr>
    </w:p>
    <w:p w14:paraId="723759DD">
      <w:pPr>
        <w:wordWrap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我公司承诺为</w:t>
      </w:r>
      <w:r>
        <w:rPr>
          <w:rFonts w:cs="Calibri"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（填写项目名称）</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（填写项目编号）所提供的依法缴纳税收和社会保障资金证明材料都是真实、有效、合法的。</w:t>
      </w:r>
    </w:p>
    <w:p w14:paraId="27761A19">
      <w:pPr>
        <w:wordWrap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如违反上述行为，自愿承担相应责任。</w:t>
      </w:r>
    </w:p>
    <w:p w14:paraId="248B87EE">
      <w:pPr>
        <w:wordWrap w:val="0"/>
        <w:spacing w:before="60" w:after="60" w:line="360" w:lineRule="auto"/>
        <w:ind w:firstLine="510"/>
        <w:rPr>
          <w:rFonts w:asciiTheme="minorEastAsia" w:hAnsiTheme="minorEastAsia" w:eastAsiaTheme="minorEastAsia"/>
          <w:sz w:val="24"/>
          <w:szCs w:val="22"/>
        </w:rPr>
      </w:pPr>
    </w:p>
    <w:p w14:paraId="7146CD9C">
      <w:pPr>
        <w:wordWrap w:val="0"/>
        <w:spacing w:line="360" w:lineRule="auto"/>
        <w:jc w:val="left"/>
        <w:rPr>
          <w:rFonts w:cs="宋体" w:asciiTheme="minorEastAsia" w:hAnsiTheme="minorEastAsia" w:eastAsiaTheme="minorEastAsia"/>
          <w:snapToGrid w:val="0"/>
          <w:kern w:val="0"/>
          <w:sz w:val="24"/>
          <w:szCs w:val="24"/>
          <w:lang w:val="zh-CN"/>
        </w:rPr>
      </w:pPr>
      <w:r>
        <w:rPr>
          <w:rFonts w:hint="eastAsia" w:cs="宋体" w:asciiTheme="minorEastAsia" w:hAnsiTheme="minorEastAsia" w:eastAsiaTheme="minorEastAsia"/>
          <w:snapToGrid w:val="0"/>
          <w:kern w:val="0"/>
          <w:sz w:val="24"/>
          <w:szCs w:val="24"/>
          <w:lang w:val="zh-CN"/>
        </w:rPr>
        <w:t>磋商供应商（电子签章）：_____________________________________________</w:t>
      </w:r>
    </w:p>
    <w:p w14:paraId="4F2F4901">
      <w:pPr>
        <w:wordWrap w:val="0"/>
        <w:spacing w:line="360" w:lineRule="auto"/>
        <w:jc w:val="left"/>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z w:val="24"/>
          <w:szCs w:val="24"/>
        </w:rPr>
        <w:t>法定代表人</w:t>
      </w:r>
      <w:r>
        <w:rPr>
          <w:rFonts w:hint="eastAsia" w:cs="宋体" w:asciiTheme="minorEastAsia" w:hAnsiTheme="minorEastAsia" w:eastAsiaTheme="minorEastAsia"/>
          <w:snapToGrid w:val="0"/>
          <w:kern w:val="0"/>
          <w:sz w:val="24"/>
          <w:szCs w:val="24"/>
        </w:rPr>
        <w:t>或其委托代理人（电子签名或电子签章）</w:t>
      </w:r>
      <w:r>
        <w:rPr>
          <w:rFonts w:hint="eastAsia" w:cs="宋体" w:asciiTheme="minorEastAsia" w:hAnsiTheme="minorEastAsia" w:eastAsiaTheme="minorEastAsia"/>
          <w:snapToGrid w:val="0"/>
          <w:kern w:val="0"/>
          <w:sz w:val="24"/>
          <w:szCs w:val="24"/>
          <w:lang w:val="zh-CN"/>
        </w:rPr>
        <w:t>：________________________</w:t>
      </w:r>
    </w:p>
    <w:p w14:paraId="47ED0DF9">
      <w:pPr>
        <w:wordWrap w:val="0"/>
        <w:spacing w:line="360" w:lineRule="auto"/>
        <w:jc w:val="left"/>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日  期：______年_____月_____日</w:t>
      </w:r>
    </w:p>
    <w:p w14:paraId="563C6AD9">
      <w:pPr>
        <w:wordWrap w:val="0"/>
        <w:spacing w:line="360" w:lineRule="auto"/>
        <w:rPr>
          <w:rFonts w:asciiTheme="minorEastAsia" w:hAnsiTheme="minorEastAsia" w:eastAsiaTheme="minorEastAsia"/>
          <w:szCs w:val="22"/>
        </w:rPr>
      </w:pPr>
    </w:p>
    <w:p w14:paraId="7FF351D0">
      <w:pPr>
        <w:wordWrap w:val="0"/>
        <w:spacing w:line="360" w:lineRule="auto"/>
        <w:rPr>
          <w:rFonts w:asciiTheme="minorEastAsia" w:hAnsiTheme="minorEastAsia" w:eastAsiaTheme="minorEastAsia"/>
          <w:szCs w:val="22"/>
        </w:rPr>
      </w:pPr>
    </w:p>
    <w:p w14:paraId="0E03762F">
      <w:pPr>
        <w:pStyle w:val="70"/>
        <w:wordWrap w:val="0"/>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参加政府采购活动前段时间（2025年9月至今）任意3个月依法缴纳税收(税收是指增值税或营业税或企业所得税)的凭据。如参加政府采购活动前段时间上税为零，提供该段时间税收为零的《增值税或营业税或企业所得税受理等税款申报表》或《增值税或营业税或企业所得税等税款网上办税受理通知单》；依法免税的供应商，提供相应的免税文件证明资料；若注册成立不足3个月的，提供相关内容情况说明或证明材料；（提供相关证明材料复印件，加盖投标人电子公章）</w:t>
      </w:r>
    </w:p>
    <w:p w14:paraId="2E39454C">
      <w:pPr>
        <w:pStyle w:val="70"/>
        <w:wordWrap w:val="0"/>
        <w:ind w:firstLine="480" w:firstLineChars="200"/>
        <w:rPr>
          <w:rFonts w:asciiTheme="minorEastAsia" w:hAnsiTheme="minorEastAsia" w:eastAsiaTheme="minorEastAsia"/>
          <w:sz w:val="24"/>
          <w:szCs w:val="24"/>
        </w:rPr>
      </w:pPr>
    </w:p>
    <w:p w14:paraId="30BFCF91">
      <w:pPr>
        <w:pStyle w:val="70"/>
        <w:wordWrap w:val="0"/>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（3）参加政府采购活动前段时间（2025年9月至今）</w:t>
      </w:r>
      <w:r>
        <w:rPr>
          <w:rFonts w:hint="eastAsia" w:cs="宋体" w:asciiTheme="minorEastAsia" w:hAnsiTheme="minorEastAsia" w:eastAsiaTheme="minorEastAsia"/>
          <w:sz w:val="24"/>
          <w:szCs w:val="24"/>
        </w:rPr>
        <w:t>提供投标人缴费所属时间在2025年9月至投标截止日期前任意3个月的社会保险费缴款书扫描件或银行电子缴税(费)凭证扫描件或社保管理部门出具的有效的缴款证明扫描件(注:成立未满3个月的投标人提供自成立以来的相关社保缴纳证明或情况说明;依法免缴的，应提供依法免缴的相关证明文件)</w:t>
      </w:r>
    </w:p>
    <w:p w14:paraId="2C3A1994">
      <w:pPr>
        <w:wordWrap w:val="0"/>
        <w:spacing w:line="360" w:lineRule="auto"/>
        <w:rPr>
          <w:rFonts w:cs="宋体" w:asciiTheme="minorEastAsia" w:hAnsiTheme="minorEastAsia" w:eastAsiaTheme="minorEastAsia"/>
          <w:sz w:val="24"/>
          <w:szCs w:val="24"/>
        </w:rPr>
      </w:pPr>
    </w:p>
    <w:p w14:paraId="53ACBEDE">
      <w:pPr>
        <w:widowControl/>
        <w:wordWrap w:val="0"/>
        <w:jc w:val="left"/>
        <w:rPr>
          <w:rFonts w:cs="宋体" w:asciiTheme="minorEastAsia" w:hAnsiTheme="minorEastAsia" w:eastAsiaTheme="minorEastAsia"/>
          <w:snapToGrid w:val="0"/>
          <w:kern w:val="0"/>
        </w:rPr>
      </w:pPr>
      <w:r>
        <w:rPr>
          <w:rFonts w:cs="宋体" w:asciiTheme="minorEastAsia" w:hAnsiTheme="minorEastAsia" w:eastAsiaTheme="minorEastAsia"/>
          <w:snapToGrid w:val="0"/>
          <w:kern w:val="0"/>
        </w:rPr>
        <w:br w:type="page"/>
      </w:r>
    </w:p>
    <w:p w14:paraId="2C1DE5DD">
      <w:pPr>
        <w:pStyle w:val="5"/>
        <w:widowControl/>
        <w:numPr>
          <w:ilvl w:val="2"/>
          <w:numId w:val="0"/>
        </w:numPr>
        <w:tabs>
          <w:tab w:val="left" w:pos="432"/>
          <w:tab w:val="left" w:pos="720"/>
        </w:tabs>
        <w:adjustRightInd w:val="0"/>
        <w:snapToGrid w:val="0"/>
        <w:spacing w:before="0" w:after="0"/>
        <w:jc w:val="center"/>
        <w:rPr>
          <w:rFonts w:cs="宋体" w:asciiTheme="minorEastAsia" w:hAnsiTheme="minorEastAsia" w:eastAsiaTheme="minorEastAsia"/>
          <w:bCs/>
          <w:szCs w:val="28"/>
        </w:rPr>
      </w:pPr>
      <w:bookmarkStart w:id="1667" w:name="_Toc23784"/>
      <w:bookmarkStart w:id="1668" w:name="_Toc18304"/>
      <w:bookmarkStart w:id="1669" w:name="_Toc30147360"/>
      <w:bookmarkStart w:id="1670" w:name="_Toc4754"/>
      <w:r>
        <w:rPr>
          <w:rFonts w:hint="eastAsia" w:cs="宋体" w:asciiTheme="minorEastAsia" w:hAnsiTheme="minorEastAsia" w:eastAsiaTheme="minorEastAsia"/>
          <w:bCs/>
          <w:szCs w:val="28"/>
        </w:rPr>
        <w:t>七、</w:t>
      </w:r>
      <w:bookmarkEnd w:id="1667"/>
      <w:bookmarkEnd w:id="1668"/>
      <w:bookmarkEnd w:id="1669"/>
      <w:r>
        <w:rPr>
          <w:rFonts w:hint="eastAsia" w:cs="宋体" w:asciiTheme="minorEastAsia" w:hAnsiTheme="minorEastAsia" w:eastAsiaTheme="minorEastAsia"/>
          <w:bCs/>
          <w:szCs w:val="28"/>
        </w:rPr>
        <w:t>参加本次政府采购活动前三年内，在经营活动中没有重大违法记录，出具“参加本项目磋商前3年内在经营活动中没有重大违法记录的书面声明函”（重大违法记录是指投标人因违法经营受到刑事处罚或者责令停产停业、吊销许可证或者执照、较大数额（较大数额罚款是指200万元以上罚款）；</w:t>
      </w:r>
      <w:bookmarkEnd w:id="1670"/>
    </w:p>
    <w:p w14:paraId="3C47A836">
      <w:pPr>
        <w:wordWrap w:val="0"/>
        <w:spacing w:line="360" w:lineRule="auto"/>
        <w:jc w:val="center"/>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（提供自拟格式声明函，</w:t>
      </w:r>
      <w:r>
        <w:rPr>
          <w:rFonts w:hint="eastAsia" w:cs="宋体" w:asciiTheme="minorEastAsia" w:hAnsiTheme="minorEastAsia" w:eastAsiaTheme="minorEastAsia"/>
          <w:sz w:val="24"/>
          <w:szCs w:val="24"/>
        </w:rPr>
        <w:t>加盖投标人电子公章</w:t>
      </w:r>
      <w:r>
        <w:rPr>
          <w:rFonts w:hint="eastAsia" w:cs="宋体" w:asciiTheme="minorEastAsia" w:hAnsiTheme="minorEastAsia" w:eastAsiaTheme="minorEastAsia"/>
          <w:snapToGrid w:val="0"/>
          <w:kern w:val="0"/>
          <w:sz w:val="24"/>
          <w:szCs w:val="24"/>
        </w:rPr>
        <w:t>）</w:t>
      </w:r>
    </w:p>
    <w:p w14:paraId="6037CF17">
      <w:pPr>
        <w:widowControl/>
        <w:wordWrap w:val="0"/>
        <w:jc w:val="left"/>
        <w:rPr>
          <w:rFonts w:cs="宋体" w:asciiTheme="minorEastAsia" w:hAnsiTheme="minorEastAsia" w:eastAsiaTheme="minorEastAsia"/>
          <w:snapToGrid w:val="0"/>
          <w:kern w:val="0"/>
        </w:rPr>
      </w:pPr>
      <w:r>
        <w:rPr>
          <w:rFonts w:cs="宋体" w:asciiTheme="minorEastAsia" w:hAnsiTheme="minorEastAsia" w:eastAsiaTheme="minorEastAsia"/>
          <w:snapToGrid w:val="0"/>
          <w:kern w:val="0"/>
        </w:rPr>
        <w:br w:type="page"/>
      </w:r>
    </w:p>
    <w:p w14:paraId="6ED1EE0C">
      <w:pPr>
        <w:adjustRightInd w:val="0"/>
        <w:snapToGrid w:val="0"/>
        <w:spacing w:line="360" w:lineRule="auto"/>
        <w:jc w:val="center"/>
        <w:outlineLvl w:val="3"/>
        <w:rPr>
          <w:rFonts w:cs="宋体" w:asciiTheme="minorEastAsia" w:hAnsiTheme="minorEastAsia" w:eastAsiaTheme="minorEastAsia"/>
          <w:b/>
          <w:bCs/>
          <w:sz w:val="28"/>
          <w:szCs w:val="28"/>
        </w:rPr>
      </w:pPr>
      <w:bookmarkStart w:id="1671" w:name="_Toc30147361"/>
      <w:bookmarkStart w:id="1672" w:name="_Toc20097"/>
      <w:bookmarkStart w:id="1673" w:name="_Toc1240"/>
      <w:bookmarkStart w:id="1674" w:name="Book30"/>
      <w:bookmarkStart w:id="1675" w:name="_Toc15330"/>
      <w:r>
        <w:rPr>
          <w:rFonts w:hint="eastAsia" w:cs="宋体" w:asciiTheme="minorEastAsia" w:hAnsiTheme="minorEastAsia" w:eastAsiaTheme="minorEastAsia"/>
          <w:b/>
          <w:bCs/>
          <w:sz w:val="28"/>
          <w:szCs w:val="28"/>
        </w:rPr>
        <w:t>八、</w:t>
      </w:r>
      <w:bookmarkEnd w:id="1671"/>
      <w:bookmarkEnd w:id="1672"/>
      <w:bookmarkEnd w:id="1673"/>
      <w:bookmarkEnd w:id="1674"/>
      <w:bookmarkEnd w:id="1675"/>
      <w:r>
        <w:rPr>
          <w:rFonts w:hint="eastAsia" w:cs="宋体" w:asciiTheme="minorEastAsia" w:hAnsiTheme="minorEastAsia" w:eastAsiaTheme="minorEastAsia"/>
          <w:b/>
          <w:bCs/>
          <w:sz w:val="28"/>
          <w:szCs w:val="28"/>
        </w:rPr>
        <w:t>供应商未被列入中国执行信息公开网（http://zxgk.court.gov.cn）、信用中国网站（www.creditchina.gov.cn）“失信被执行人”、“重大税收违法失信主体”及中国政府采购网（www.ccgp.gov.cn）“政府采购严重违法失信行为记录名单”</w:t>
      </w:r>
    </w:p>
    <w:p w14:paraId="604411CE">
      <w:pPr>
        <w:wordWrap w:val="0"/>
        <w:spacing w:line="360" w:lineRule="auto"/>
        <w:jc w:val="center"/>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（以采购人或采购代理机构网上查询结果为准）</w:t>
      </w:r>
      <w:r>
        <w:rPr>
          <w:rFonts w:cs="宋体" w:asciiTheme="minorEastAsia" w:hAnsiTheme="minorEastAsia" w:eastAsiaTheme="minorEastAsia"/>
          <w:snapToGrid w:val="0"/>
          <w:kern w:val="0"/>
          <w:sz w:val="24"/>
          <w:szCs w:val="24"/>
        </w:rPr>
        <w:t xml:space="preserve"> </w:t>
      </w:r>
    </w:p>
    <w:p w14:paraId="3C75A5EB">
      <w:pPr>
        <w:wordWrap w:val="0"/>
        <w:spacing w:line="360" w:lineRule="auto"/>
        <w:jc w:val="left"/>
        <w:rPr>
          <w:rFonts w:cs="宋体" w:asciiTheme="minorEastAsia" w:hAnsiTheme="minorEastAsia" w:eastAsiaTheme="minorEastAsia"/>
          <w:snapToGrid w:val="0"/>
          <w:kern w:val="0"/>
        </w:rPr>
      </w:pPr>
    </w:p>
    <w:p w14:paraId="4DD0CDBA">
      <w:pPr>
        <w:widowControl/>
        <w:wordWrap w:val="0"/>
        <w:jc w:val="left"/>
        <w:rPr>
          <w:rFonts w:cs="宋体" w:asciiTheme="minorEastAsia" w:hAnsiTheme="minorEastAsia" w:eastAsiaTheme="minorEastAsia"/>
          <w:snapToGrid w:val="0"/>
          <w:kern w:val="0"/>
        </w:rPr>
      </w:pPr>
      <w:r>
        <w:rPr>
          <w:rFonts w:cs="宋体" w:asciiTheme="minorEastAsia" w:hAnsiTheme="minorEastAsia" w:eastAsiaTheme="minorEastAsia"/>
          <w:snapToGrid w:val="0"/>
          <w:kern w:val="0"/>
        </w:rPr>
        <w:br w:type="page"/>
      </w:r>
    </w:p>
    <w:p w14:paraId="7FB95B48">
      <w:pPr>
        <w:pStyle w:val="5"/>
        <w:widowControl/>
        <w:numPr>
          <w:ilvl w:val="2"/>
          <w:numId w:val="0"/>
        </w:numPr>
        <w:tabs>
          <w:tab w:val="left" w:pos="432"/>
          <w:tab w:val="left" w:pos="720"/>
        </w:tabs>
        <w:adjustRightInd w:val="0"/>
        <w:snapToGrid w:val="0"/>
        <w:spacing w:before="0" w:after="0"/>
        <w:jc w:val="center"/>
        <w:rPr>
          <w:rFonts w:cs="宋体" w:asciiTheme="minorEastAsia" w:hAnsiTheme="minorEastAsia" w:eastAsiaTheme="minorEastAsia"/>
          <w:bCs/>
          <w:szCs w:val="28"/>
        </w:rPr>
      </w:pPr>
      <w:bookmarkStart w:id="1676" w:name="_Toc19488"/>
      <w:bookmarkStart w:id="1677" w:name="_Toc1248"/>
      <w:bookmarkStart w:id="1678" w:name="_Toc66974099"/>
      <w:r>
        <w:rPr>
          <w:rFonts w:hint="eastAsia" w:cs="宋体" w:asciiTheme="minorEastAsia" w:hAnsiTheme="minorEastAsia" w:eastAsiaTheme="minorEastAsia"/>
          <w:bCs/>
          <w:szCs w:val="28"/>
        </w:rPr>
        <w:t>九、单位负责人为同一人或者存在直接控股、管理关系的不同供应商，不得参加同一合同项下的政府采购活动</w:t>
      </w:r>
      <w:bookmarkEnd w:id="1676"/>
      <w:bookmarkEnd w:id="1677"/>
      <w:bookmarkEnd w:id="1678"/>
    </w:p>
    <w:p w14:paraId="0F1D511B">
      <w:pPr>
        <w:wordWrap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（提供自拟格式承诺，</w:t>
      </w:r>
      <w:r>
        <w:rPr>
          <w:rFonts w:hint="eastAsia" w:cs="宋体" w:asciiTheme="minorEastAsia" w:hAnsiTheme="minorEastAsia" w:eastAsiaTheme="minorEastAsia"/>
          <w:sz w:val="24"/>
          <w:szCs w:val="24"/>
        </w:rPr>
        <w:t>加盖投标人电子公章</w:t>
      </w:r>
      <w:r>
        <w:rPr>
          <w:rFonts w:hint="eastAsia" w:cs="宋体" w:asciiTheme="minorEastAsia" w:hAnsiTheme="minorEastAsia" w:eastAsiaTheme="minorEastAsia"/>
          <w:sz w:val="24"/>
        </w:rPr>
        <w:t>）</w:t>
      </w:r>
    </w:p>
    <w:p w14:paraId="49A99B39">
      <w:pPr>
        <w:wordWrap w:val="0"/>
        <w:rPr>
          <w:rFonts w:cs="宋体" w:asciiTheme="minorEastAsia" w:hAnsiTheme="minorEastAsia" w:eastAsiaTheme="minorEastAsia"/>
          <w:snapToGrid w:val="0"/>
          <w:kern w:val="0"/>
          <w:sz w:val="28"/>
          <w:szCs w:val="28"/>
        </w:rPr>
      </w:pPr>
      <w:r>
        <w:rPr>
          <w:rFonts w:hint="eastAsia" w:cs="宋体" w:asciiTheme="minorEastAsia" w:hAnsiTheme="minorEastAsia" w:eastAsiaTheme="minorEastAsia"/>
          <w:snapToGrid w:val="0"/>
          <w:kern w:val="0"/>
          <w:sz w:val="28"/>
          <w:szCs w:val="28"/>
        </w:rPr>
        <w:br w:type="page"/>
      </w:r>
    </w:p>
    <w:p w14:paraId="02673829">
      <w:pPr>
        <w:wordWrap w:val="0"/>
        <w:jc w:val="center"/>
        <w:outlineLvl w:val="3"/>
        <w:rPr>
          <w:rFonts w:cs="宋体" w:asciiTheme="minorEastAsia" w:hAnsiTheme="minorEastAsia" w:eastAsiaTheme="minorEastAsia"/>
          <w:b/>
          <w:sz w:val="28"/>
          <w:szCs w:val="28"/>
        </w:rPr>
      </w:pPr>
      <w:bookmarkStart w:id="1679" w:name="_Toc31787"/>
      <w:bookmarkStart w:id="1680" w:name="_Toc19268"/>
      <w:bookmarkStart w:id="1681" w:name="_Toc2825"/>
      <w:r>
        <w:rPr>
          <w:rFonts w:hint="eastAsia" w:cs="宋体" w:asciiTheme="minorEastAsia" w:hAnsiTheme="minorEastAsia" w:eastAsiaTheme="minorEastAsia"/>
          <w:b/>
          <w:sz w:val="28"/>
          <w:szCs w:val="28"/>
        </w:rPr>
        <w:t>十、落实政府采购政策需满足的资格要求</w:t>
      </w:r>
    </w:p>
    <w:p w14:paraId="11474A05">
      <w:pPr>
        <w:wordWrap w:val="0"/>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（根据磋商文件要求提供资料，未要求填“无”）</w:t>
      </w:r>
    </w:p>
    <w:p w14:paraId="461E1A09">
      <w:pPr>
        <w:wordWrap w:val="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br w:type="page"/>
      </w:r>
    </w:p>
    <w:p w14:paraId="5FC7CF76">
      <w:pPr>
        <w:adjustRightInd w:val="0"/>
        <w:snapToGrid w:val="0"/>
        <w:spacing w:line="360" w:lineRule="auto"/>
        <w:jc w:val="center"/>
        <w:outlineLvl w:val="3"/>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十一、本项目的特定资格要求</w:t>
      </w:r>
    </w:p>
    <w:p w14:paraId="7A79DB14">
      <w:pPr>
        <w:adjustRightInd w:val="0"/>
        <w:snapToGrid w:val="0"/>
        <w:spacing w:line="360" w:lineRule="auto"/>
        <w:ind w:firstLine="480" w:firstLineChars="200"/>
        <w:outlineLvl w:val="4"/>
        <w:rPr>
          <w:rFonts w:asciiTheme="minorEastAsia" w:hAnsiTheme="minorEastAsia" w:eastAsiaTheme="minorEastAsia"/>
          <w:sz w:val="24"/>
          <w:szCs w:val="24"/>
        </w:rPr>
      </w:pPr>
      <w:r>
        <w:rPr>
          <w:rFonts w:hint="eastAsia" w:asciiTheme="minorEastAsia" w:hAnsiTheme="minorEastAsia" w:eastAsiaTheme="minorEastAsia"/>
          <w:sz w:val="24"/>
          <w:szCs w:val="24"/>
        </w:rPr>
        <w:t>（1）供应商须具备建筑工程施工总承包叁级以上（含叁级）或市政公用工程施工总承包叁级以上（含叁级）资质，并具有有效的安全生产许可证。（提供相关资质证明材料，加盖投标人电子公章）</w:t>
      </w:r>
    </w:p>
    <w:p w14:paraId="0A76A8A4">
      <w:pPr>
        <w:adjustRightInd w:val="0"/>
        <w:snapToGrid w:val="0"/>
        <w:spacing w:line="360" w:lineRule="auto"/>
        <w:ind w:firstLine="480" w:firstLineChars="200"/>
        <w:outlineLvl w:val="4"/>
        <w:rPr>
          <w:rFonts w:asciiTheme="minorEastAsia" w:hAnsiTheme="minorEastAsia" w:eastAsiaTheme="minorEastAsia"/>
          <w:sz w:val="24"/>
          <w:szCs w:val="24"/>
        </w:rPr>
      </w:pPr>
      <w:r>
        <w:rPr>
          <w:rFonts w:hint="eastAsia" w:asciiTheme="minorEastAsia" w:hAnsiTheme="minorEastAsia" w:eastAsiaTheme="minorEastAsia"/>
          <w:sz w:val="24"/>
          <w:szCs w:val="24"/>
        </w:rPr>
        <w:t>（2）供应商拟派项目经理须具备有效的建筑工程专业二级以上（含二级）或市政工程专业二级以上（含二级）建造师注册证书和安全生产考核合格证书，</w:t>
      </w:r>
      <w:r>
        <w:rPr>
          <w:rFonts w:hint="eastAsia" w:asciiTheme="minorEastAsia" w:hAnsiTheme="minorEastAsia" w:eastAsiaTheme="minorEastAsia"/>
          <w:b/>
          <w:sz w:val="24"/>
          <w:szCs w:val="24"/>
        </w:rPr>
        <w:t>且项目经理一经委派，不得擅自更换，如有供应商擅自更换项目经理，其响应文件视为无效标书，</w:t>
      </w:r>
      <w:r>
        <w:rPr>
          <w:rFonts w:hint="eastAsia" w:asciiTheme="minorEastAsia" w:hAnsiTheme="minorEastAsia" w:eastAsiaTheme="minorEastAsia"/>
          <w:sz w:val="24"/>
          <w:szCs w:val="24"/>
        </w:rPr>
        <w:t>且提供不得擅自更换委派的项目经理承诺。（提供相关资质证明材料及承诺书，格式自拟，加盖投标人电子公章）</w:t>
      </w:r>
    </w:p>
    <w:p w14:paraId="2AD9C497">
      <w:pPr>
        <w:wordWrap w:val="0"/>
        <w:rPr>
          <w:rFonts w:cs="宋体" w:asciiTheme="minorEastAsia" w:hAnsiTheme="minorEastAsia" w:eastAsiaTheme="minorEastAsia"/>
          <w:szCs w:val="28"/>
        </w:rPr>
      </w:pPr>
      <w:r>
        <w:rPr>
          <w:rFonts w:hint="eastAsia" w:cs="宋体" w:asciiTheme="minorEastAsia" w:hAnsiTheme="minorEastAsia" w:eastAsiaTheme="minorEastAsia"/>
          <w:szCs w:val="28"/>
        </w:rPr>
        <w:br w:type="page"/>
      </w:r>
    </w:p>
    <w:p w14:paraId="5BA835A1">
      <w:pPr>
        <w:pStyle w:val="5"/>
        <w:wordWrap w:val="0"/>
        <w:spacing w:before="0" w:after="0" w:line="360" w:lineRule="auto"/>
        <w:jc w:val="center"/>
        <w:rPr>
          <w:rFonts w:asciiTheme="minorEastAsia" w:hAnsiTheme="minorEastAsia" w:eastAsiaTheme="minorEastAsia"/>
        </w:rPr>
      </w:pPr>
      <w:r>
        <w:rPr>
          <w:rFonts w:hint="eastAsia" w:cs="宋体" w:asciiTheme="minorEastAsia" w:hAnsiTheme="minorEastAsia" w:eastAsiaTheme="minorEastAsia"/>
          <w:szCs w:val="28"/>
        </w:rPr>
        <w:t>十二、非联合体磋商声明</w:t>
      </w:r>
      <w:bookmarkEnd w:id="1679"/>
      <w:bookmarkEnd w:id="1680"/>
      <w:bookmarkEnd w:id="1681"/>
    </w:p>
    <w:p w14:paraId="1662A037">
      <w:pPr>
        <w:wordWrap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（提供自拟格式声明，</w:t>
      </w:r>
      <w:r>
        <w:rPr>
          <w:rFonts w:hint="eastAsia" w:cs="宋体" w:asciiTheme="minorEastAsia" w:hAnsiTheme="minorEastAsia" w:eastAsiaTheme="minorEastAsia"/>
          <w:sz w:val="24"/>
          <w:szCs w:val="24"/>
        </w:rPr>
        <w:t>加盖投标人电子公章</w:t>
      </w:r>
      <w:r>
        <w:rPr>
          <w:rFonts w:hint="eastAsia" w:cs="宋体" w:asciiTheme="minorEastAsia" w:hAnsiTheme="minorEastAsia" w:eastAsiaTheme="minorEastAsia"/>
          <w:sz w:val="24"/>
        </w:rPr>
        <w:t>）</w:t>
      </w:r>
    </w:p>
    <w:p w14:paraId="0A736850">
      <w:pPr>
        <w:wordWrap w:val="0"/>
        <w:spacing w:line="360" w:lineRule="auto"/>
        <w:rPr>
          <w:rFonts w:cs="宋体" w:asciiTheme="minorEastAsia" w:hAnsiTheme="minorEastAsia" w:eastAsiaTheme="minorEastAsia"/>
          <w:sz w:val="24"/>
        </w:rPr>
      </w:pPr>
    </w:p>
    <w:p w14:paraId="5E809975">
      <w:pPr>
        <w:pStyle w:val="33"/>
        <w:wordWrap w:val="0"/>
        <w:spacing w:before="120"/>
        <w:ind w:firstLine="0" w:firstLineChars="0"/>
        <w:rPr>
          <w:rFonts w:cs="宋体" w:asciiTheme="minorEastAsia" w:hAnsiTheme="minorEastAsia" w:eastAsiaTheme="minorEastAsia"/>
          <w:sz w:val="24"/>
        </w:rPr>
      </w:pPr>
    </w:p>
    <w:p w14:paraId="143AA4FD">
      <w:pPr>
        <w:pStyle w:val="14"/>
        <w:wordWrap w:val="0"/>
        <w:rPr>
          <w:rFonts w:asciiTheme="minorEastAsia" w:hAnsiTheme="minorEastAsia" w:eastAsiaTheme="minorEastAsia"/>
        </w:rPr>
      </w:pPr>
    </w:p>
    <w:p w14:paraId="06BA081E">
      <w:pPr>
        <w:pStyle w:val="14"/>
        <w:wordWrap w:val="0"/>
        <w:rPr>
          <w:rFonts w:asciiTheme="minorEastAsia" w:hAnsiTheme="minorEastAsia" w:eastAsiaTheme="minorEastAsia"/>
        </w:rPr>
      </w:pPr>
    </w:p>
    <w:p w14:paraId="0E426425">
      <w:pPr>
        <w:pStyle w:val="14"/>
        <w:wordWrap w:val="0"/>
        <w:rPr>
          <w:rFonts w:asciiTheme="minorEastAsia" w:hAnsiTheme="minorEastAsia" w:eastAsiaTheme="minorEastAsia"/>
        </w:rPr>
      </w:pPr>
    </w:p>
    <w:p w14:paraId="276A8994">
      <w:pPr>
        <w:pStyle w:val="14"/>
        <w:wordWrap w:val="0"/>
        <w:rPr>
          <w:rFonts w:asciiTheme="minorEastAsia" w:hAnsiTheme="minorEastAsia" w:eastAsiaTheme="minorEastAsia"/>
        </w:rPr>
      </w:pPr>
    </w:p>
    <w:p w14:paraId="2C87B476">
      <w:pPr>
        <w:pStyle w:val="14"/>
        <w:wordWrap w:val="0"/>
        <w:rPr>
          <w:rFonts w:asciiTheme="minorEastAsia" w:hAnsiTheme="minorEastAsia" w:eastAsiaTheme="minorEastAsia"/>
        </w:rPr>
      </w:pPr>
    </w:p>
    <w:p w14:paraId="30D867E2">
      <w:pPr>
        <w:pStyle w:val="14"/>
        <w:wordWrap w:val="0"/>
        <w:rPr>
          <w:rFonts w:asciiTheme="minorEastAsia" w:hAnsiTheme="minorEastAsia" w:eastAsiaTheme="minorEastAsia"/>
        </w:rPr>
      </w:pPr>
    </w:p>
    <w:p w14:paraId="2C35FB94">
      <w:pPr>
        <w:pStyle w:val="5"/>
        <w:widowControl/>
        <w:numPr>
          <w:ilvl w:val="2"/>
          <w:numId w:val="0"/>
        </w:numPr>
        <w:tabs>
          <w:tab w:val="left" w:pos="432"/>
          <w:tab w:val="left" w:pos="720"/>
        </w:tabs>
        <w:wordWrap w:val="0"/>
        <w:spacing w:before="120" w:after="120"/>
        <w:ind w:left="720" w:hanging="720"/>
        <w:jc w:val="center"/>
        <w:rPr>
          <w:rFonts w:asciiTheme="minorEastAsia" w:hAnsiTheme="minorEastAsia" w:eastAsiaTheme="minorEastAsia"/>
        </w:rPr>
      </w:pPr>
      <w:bookmarkStart w:id="1682" w:name="_Toc31173"/>
      <w:r>
        <w:rPr>
          <w:rFonts w:hint="eastAsia" w:cs="宋体" w:asciiTheme="minorEastAsia" w:hAnsiTheme="minorEastAsia" w:eastAsiaTheme="minorEastAsia"/>
          <w:bCs/>
          <w:szCs w:val="28"/>
        </w:rPr>
        <w:t>十三、资格部分其他资料（若有）</w:t>
      </w:r>
      <w:bookmarkEnd w:id="1682"/>
    </w:p>
    <w:p w14:paraId="1E3A6944">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（供应商自拟格式，</w:t>
      </w:r>
      <w:r>
        <w:rPr>
          <w:rFonts w:hint="eastAsia" w:cs="宋体" w:asciiTheme="minorEastAsia" w:hAnsiTheme="minorEastAsia" w:eastAsiaTheme="minorEastAsia"/>
          <w:sz w:val="24"/>
          <w:szCs w:val="24"/>
        </w:rPr>
        <w:t>加盖投标人电子公章</w:t>
      </w:r>
      <w:r>
        <w:rPr>
          <w:rFonts w:hint="eastAsia" w:cs="宋体" w:asciiTheme="minorEastAsia" w:hAnsiTheme="minorEastAsia" w:eastAsiaTheme="minorEastAsia"/>
          <w:sz w:val="24"/>
        </w:rPr>
        <w:t>）</w:t>
      </w:r>
    </w:p>
    <w:p w14:paraId="6AA8CCE9">
      <w:pPr>
        <w:spacing w:line="360" w:lineRule="auto"/>
        <w:jc w:val="center"/>
        <w:rPr>
          <w:rFonts w:cs="宋体" w:asciiTheme="minorEastAsia" w:hAnsiTheme="minorEastAsia" w:eastAsiaTheme="minorEastAsia"/>
          <w:sz w:val="24"/>
        </w:rPr>
      </w:pPr>
      <w:r>
        <w:rPr>
          <w:rFonts w:cs="宋体" w:asciiTheme="minorEastAsia" w:hAnsiTheme="minorEastAsia" w:eastAsiaTheme="minorEastAsia"/>
          <w:sz w:val="24"/>
        </w:rPr>
        <w:br w:type="page"/>
      </w:r>
    </w:p>
    <w:p w14:paraId="0977BAA7">
      <w:pPr>
        <w:wordWrap w:val="0"/>
        <w:spacing w:line="360" w:lineRule="auto"/>
        <w:jc w:val="center"/>
        <w:outlineLvl w:val="2"/>
        <w:rPr>
          <w:rFonts w:cs="宋体" w:asciiTheme="minorEastAsia" w:hAnsiTheme="minorEastAsia" w:eastAsiaTheme="minorEastAsia"/>
          <w:b/>
          <w:snapToGrid w:val="0"/>
          <w:kern w:val="0"/>
          <w:sz w:val="28"/>
          <w:szCs w:val="28"/>
        </w:rPr>
      </w:pPr>
      <w:bookmarkStart w:id="1683" w:name="_Toc31372"/>
      <w:bookmarkStart w:id="1684" w:name="_Toc1886"/>
      <w:bookmarkStart w:id="1685" w:name="_Toc10423"/>
      <w:bookmarkStart w:id="1686" w:name="_Toc30147365"/>
      <w:bookmarkStart w:id="1687" w:name="_Toc193796125"/>
      <w:bookmarkStart w:id="1688" w:name="_Toc32376"/>
      <w:bookmarkStart w:id="1689" w:name="_Toc28323"/>
      <w:bookmarkStart w:id="1690" w:name="_Toc2583"/>
      <w:bookmarkStart w:id="1691" w:name="_Toc132376781"/>
      <w:bookmarkStart w:id="1692" w:name="_Toc13679"/>
      <w:r>
        <w:rPr>
          <w:rFonts w:hint="eastAsia" w:cs="宋体" w:asciiTheme="minorEastAsia" w:hAnsiTheme="minorEastAsia" w:eastAsiaTheme="minorEastAsia"/>
          <w:b/>
          <w:snapToGrid w:val="0"/>
          <w:kern w:val="0"/>
          <w:sz w:val="28"/>
          <w:szCs w:val="28"/>
        </w:rPr>
        <w:t>第二部分 技术部分格式</w:t>
      </w:r>
      <w:bookmarkEnd w:id="1683"/>
      <w:bookmarkEnd w:id="1684"/>
      <w:bookmarkEnd w:id="1685"/>
      <w:bookmarkEnd w:id="1686"/>
      <w:bookmarkEnd w:id="1687"/>
      <w:bookmarkEnd w:id="1688"/>
      <w:bookmarkEnd w:id="1689"/>
      <w:bookmarkEnd w:id="1690"/>
      <w:bookmarkEnd w:id="1691"/>
      <w:bookmarkEnd w:id="1692"/>
    </w:p>
    <w:p w14:paraId="277AD30F">
      <w:pPr>
        <w:pStyle w:val="5"/>
        <w:widowControl/>
        <w:tabs>
          <w:tab w:val="left" w:pos="432"/>
          <w:tab w:val="left" w:pos="720"/>
        </w:tabs>
        <w:wordWrap w:val="0"/>
        <w:spacing w:before="120" w:after="120"/>
        <w:jc w:val="center"/>
        <w:rPr>
          <w:rFonts w:cs="宋体" w:asciiTheme="minorEastAsia" w:hAnsiTheme="minorEastAsia" w:eastAsiaTheme="minorEastAsia"/>
          <w:bCs/>
          <w:szCs w:val="28"/>
        </w:rPr>
      </w:pPr>
      <w:r>
        <w:rPr>
          <w:rFonts w:hint="eastAsia" w:cs="宋体" w:asciiTheme="minorEastAsia" w:hAnsiTheme="minorEastAsia" w:eastAsiaTheme="minorEastAsia"/>
          <w:szCs w:val="28"/>
        </w:rPr>
        <w:t>一、</w:t>
      </w:r>
      <w:r>
        <w:rPr>
          <w:rFonts w:hint="eastAsia" w:cs="宋体" w:asciiTheme="minorEastAsia" w:hAnsiTheme="minorEastAsia" w:eastAsiaTheme="minorEastAsia"/>
          <w:bCs/>
          <w:szCs w:val="28"/>
        </w:rPr>
        <w:t>技术部分</w:t>
      </w:r>
    </w:p>
    <w:p w14:paraId="7D431C12">
      <w:pPr>
        <w:wordWrap w:val="0"/>
        <w:spacing w:line="360" w:lineRule="auto"/>
        <w:jc w:val="center"/>
        <w:rPr>
          <w:rFonts w:ascii="仿宋" w:hAnsi="仿宋" w:eastAsia="仿宋"/>
          <w:bCs/>
          <w:sz w:val="24"/>
          <w:szCs w:val="24"/>
        </w:rPr>
      </w:pPr>
    </w:p>
    <w:p w14:paraId="3FF9A49C">
      <w:pPr>
        <w:adjustRightInd w:val="0"/>
        <w:snapToGrid w:val="0"/>
        <w:spacing w:line="360" w:lineRule="auto"/>
        <w:jc w:val="center"/>
        <w:outlineLvl w:val="4"/>
        <w:rPr>
          <w:rFonts w:ascii="宋体" w:hAnsi="宋体"/>
          <w:b/>
          <w:sz w:val="24"/>
          <w:szCs w:val="24"/>
        </w:rPr>
      </w:pPr>
      <w:r>
        <w:rPr>
          <w:rFonts w:hint="eastAsia" w:ascii="宋体" w:hAnsi="宋体"/>
          <w:b/>
          <w:sz w:val="24"/>
          <w:szCs w:val="24"/>
        </w:rPr>
        <w:t>（1）施工总体方案</w:t>
      </w:r>
    </w:p>
    <w:p w14:paraId="5539E315">
      <w:pPr>
        <w:pStyle w:val="14"/>
        <w:wordWrap w:val="0"/>
        <w:jc w:val="center"/>
        <w:rPr>
          <w:rFonts w:ascii="宋体" w:hAnsi="宋体"/>
          <w:sz w:val="24"/>
          <w:szCs w:val="24"/>
        </w:rPr>
      </w:pPr>
      <w:r>
        <w:rPr>
          <w:rFonts w:hint="eastAsia" w:ascii="宋体" w:hAnsi="宋体"/>
          <w:sz w:val="24"/>
          <w:szCs w:val="24"/>
        </w:rPr>
        <w:t>（格式自拟）</w:t>
      </w:r>
    </w:p>
    <w:p w14:paraId="5FE21890">
      <w:pPr>
        <w:pStyle w:val="14"/>
        <w:wordWrap w:val="0"/>
        <w:jc w:val="center"/>
        <w:rPr>
          <w:rFonts w:ascii="宋体" w:hAnsi="宋体"/>
          <w:sz w:val="24"/>
          <w:szCs w:val="24"/>
        </w:rPr>
      </w:pPr>
      <w:r>
        <w:rPr>
          <w:rFonts w:hint="eastAsia" w:ascii="宋体" w:hAnsi="宋体"/>
          <w:sz w:val="24"/>
          <w:szCs w:val="24"/>
        </w:rPr>
        <w:t xml:space="preserve"> </w:t>
      </w:r>
    </w:p>
    <w:p w14:paraId="5889CB44">
      <w:pPr>
        <w:pStyle w:val="14"/>
        <w:wordWrap w:val="0"/>
        <w:jc w:val="center"/>
        <w:rPr>
          <w:rFonts w:ascii="宋体" w:hAnsi="宋体"/>
          <w:sz w:val="24"/>
          <w:szCs w:val="24"/>
        </w:rPr>
      </w:pPr>
      <w:r>
        <w:rPr>
          <w:rFonts w:hint="eastAsia" w:ascii="宋体" w:hAnsi="宋体"/>
          <w:sz w:val="24"/>
          <w:szCs w:val="24"/>
        </w:rPr>
        <w:t xml:space="preserve"> </w:t>
      </w:r>
    </w:p>
    <w:p w14:paraId="69B6FA86">
      <w:pPr>
        <w:adjustRightInd w:val="0"/>
        <w:snapToGrid w:val="0"/>
        <w:spacing w:line="360" w:lineRule="auto"/>
        <w:jc w:val="center"/>
        <w:outlineLvl w:val="4"/>
        <w:rPr>
          <w:rFonts w:ascii="宋体" w:hAnsi="宋体" w:cs="宋体"/>
          <w:sz w:val="24"/>
          <w:szCs w:val="24"/>
        </w:rPr>
      </w:pPr>
      <w:r>
        <w:rPr>
          <w:rFonts w:hint="eastAsia" w:ascii="宋体" w:hAnsi="宋体" w:cs="宋体"/>
          <w:sz w:val="24"/>
          <w:szCs w:val="24"/>
        </w:rPr>
        <w:t>（2）工程进度计划与保证措施</w:t>
      </w:r>
    </w:p>
    <w:p w14:paraId="79F6F7BC">
      <w:pPr>
        <w:pStyle w:val="14"/>
        <w:wordWrap w:val="0"/>
        <w:jc w:val="center"/>
        <w:rPr>
          <w:rFonts w:ascii="宋体" w:hAnsi="宋体"/>
          <w:sz w:val="24"/>
          <w:szCs w:val="24"/>
        </w:rPr>
      </w:pPr>
      <w:r>
        <w:rPr>
          <w:rFonts w:hint="eastAsia" w:ascii="宋体" w:hAnsi="宋体"/>
          <w:sz w:val="24"/>
          <w:szCs w:val="24"/>
        </w:rPr>
        <w:t>（格式自拟）</w:t>
      </w:r>
    </w:p>
    <w:p w14:paraId="709A48D3">
      <w:pPr>
        <w:pStyle w:val="14"/>
        <w:wordWrap w:val="0"/>
        <w:rPr>
          <w:rFonts w:ascii="宋体" w:hAnsi="宋体"/>
          <w:sz w:val="24"/>
          <w:szCs w:val="24"/>
        </w:rPr>
      </w:pPr>
      <w:r>
        <w:rPr>
          <w:rFonts w:hint="eastAsia" w:ascii="宋体" w:hAnsi="宋体"/>
          <w:sz w:val="24"/>
          <w:szCs w:val="24"/>
        </w:rPr>
        <w:t xml:space="preserve"> </w:t>
      </w:r>
    </w:p>
    <w:p w14:paraId="739B99A0">
      <w:pPr>
        <w:wordWrap w:val="0"/>
        <w:spacing w:line="360" w:lineRule="auto"/>
        <w:jc w:val="center"/>
        <w:rPr>
          <w:rFonts w:ascii="宋体" w:hAnsi="宋体"/>
          <w:bCs/>
          <w:sz w:val="24"/>
          <w:szCs w:val="24"/>
        </w:rPr>
      </w:pPr>
      <w:r>
        <w:rPr>
          <w:rFonts w:hint="eastAsia" w:ascii="宋体" w:hAnsi="宋体"/>
          <w:bCs/>
          <w:sz w:val="24"/>
          <w:szCs w:val="24"/>
        </w:rPr>
        <w:t xml:space="preserve"> </w:t>
      </w:r>
    </w:p>
    <w:p w14:paraId="48AD8338">
      <w:pPr>
        <w:adjustRightInd w:val="0"/>
        <w:snapToGrid w:val="0"/>
        <w:spacing w:line="360" w:lineRule="auto"/>
        <w:jc w:val="center"/>
        <w:outlineLvl w:val="4"/>
        <w:rPr>
          <w:rFonts w:ascii="宋体" w:hAnsi="宋体" w:cs="宋体"/>
          <w:sz w:val="24"/>
          <w:szCs w:val="24"/>
        </w:rPr>
      </w:pPr>
      <w:r>
        <w:rPr>
          <w:rFonts w:hint="eastAsia" w:ascii="宋体" w:hAnsi="宋体" w:cs="宋体"/>
          <w:sz w:val="24"/>
          <w:szCs w:val="24"/>
        </w:rPr>
        <w:t>（3）质量承诺及保证措施</w:t>
      </w:r>
    </w:p>
    <w:p w14:paraId="0D8BCD77">
      <w:pPr>
        <w:pStyle w:val="14"/>
        <w:wordWrap w:val="0"/>
        <w:jc w:val="center"/>
        <w:rPr>
          <w:rFonts w:ascii="宋体" w:hAnsi="宋体"/>
          <w:sz w:val="24"/>
          <w:szCs w:val="24"/>
        </w:rPr>
      </w:pPr>
      <w:r>
        <w:rPr>
          <w:rFonts w:hint="eastAsia" w:ascii="宋体" w:hAnsi="宋体"/>
          <w:sz w:val="24"/>
          <w:szCs w:val="24"/>
        </w:rPr>
        <w:t>（格式自拟）</w:t>
      </w:r>
    </w:p>
    <w:p w14:paraId="795169FB">
      <w:pPr>
        <w:pStyle w:val="14"/>
        <w:wordWrap w:val="0"/>
        <w:rPr>
          <w:rFonts w:ascii="宋体" w:hAnsi="宋体"/>
          <w:sz w:val="24"/>
          <w:szCs w:val="24"/>
        </w:rPr>
      </w:pPr>
      <w:r>
        <w:rPr>
          <w:rFonts w:hint="eastAsia" w:ascii="宋体" w:hAnsi="宋体"/>
          <w:sz w:val="24"/>
          <w:szCs w:val="24"/>
        </w:rPr>
        <w:t xml:space="preserve"> </w:t>
      </w:r>
    </w:p>
    <w:p w14:paraId="22C44C93">
      <w:pPr>
        <w:wordWrap w:val="0"/>
        <w:spacing w:line="360" w:lineRule="auto"/>
        <w:jc w:val="center"/>
        <w:rPr>
          <w:rFonts w:ascii="宋体" w:hAnsi="宋体"/>
          <w:bCs/>
          <w:sz w:val="24"/>
          <w:szCs w:val="24"/>
        </w:rPr>
      </w:pPr>
      <w:r>
        <w:rPr>
          <w:rFonts w:hint="eastAsia" w:ascii="宋体" w:hAnsi="宋体"/>
          <w:bCs/>
          <w:sz w:val="24"/>
          <w:szCs w:val="24"/>
        </w:rPr>
        <w:t xml:space="preserve"> </w:t>
      </w:r>
    </w:p>
    <w:p w14:paraId="030478DE">
      <w:pPr>
        <w:adjustRightInd w:val="0"/>
        <w:snapToGrid w:val="0"/>
        <w:spacing w:line="360" w:lineRule="auto"/>
        <w:jc w:val="center"/>
        <w:outlineLvl w:val="4"/>
        <w:rPr>
          <w:rFonts w:ascii="宋体" w:hAnsi="宋体" w:cs="宋体"/>
          <w:sz w:val="24"/>
          <w:szCs w:val="24"/>
        </w:rPr>
      </w:pPr>
      <w:r>
        <w:rPr>
          <w:rFonts w:hint="eastAsia" w:ascii="宋体" w:hAnsi="宋体" w:cs="宋体"/>
          <w:sz w:val="24"/>
          <w:szCs w:val="24"/>
        </w:rPr>
        <w:t>（4）安全文明施工保证措施</w:t>
      </w:r>
    </w:p>
    <w:p w14:paraId="311DA821">
      <w:pPr>
        <w:pStyle w:val="14"/>
        <w:wordWrap w:val="0"/>
        <w:jc w:val="center"/>
        <w:rPr>
          <w:rFonts w:ascii="宋体" w:hAnsi="宋体"/>
          <w:sz w:val="24"/>
          <w:szCs w:val="24"/>
        </w:rPr>
      </w:pPr>
      <w:r>
        <w:rPr>
          <w:rFonts w:hint="eastAsia" w:ascii="宋体" w:hAnsi="宋体"/>
          <w:sz w:val="24"/>
          <w:szCs w:val="24"/>
        </w:rPr>
        <w:t>（格式自拟）</w:t>
      </w:r>
    </w:p>
    <w:p w14:paraId="3EFF4D87">
      <w:pPr>
        <w:pStyle w:val="14"/>
        <w:wordWrap w:val="0"/>
        <w:rPr>
          <w:rFonts w:ascii="宋体" w:hAnsi="宋体"/>
          <w:sz w:val="24"/>
          <w:szCs w:val="24"/>
        </w:rPr>
      </w:pPr>
      <w:r>
        <w:rPr>
          <w:rFonts w:hint="eastAsia" w:ascii="宋体" w:hAnsi="宋体"/>
          <w:sz w:val="24"/>
          <w:szCs w:val="24"/>
        </w:rPr>
        <w:t xml:space="preserve"> </w:t>
      </w:r>
    </w:p>
    <w:p w14:paraId="553047DD">
      <w:pPr>
        <w:wordWrap w:val="0"/>
        <w:spacing w:line="360" w:lineRule="auto"/>
        <w:jc w:val="center"/>
        <w:rPr>
          <w:rFonts w:ascii="宋体" w:hAnsi="宋体"/>
          <w:bCs/>
          <w:sz w:val="24"/>
          <w:szCs w:val="24"/>
        </w:rPr>
      </w:pPr>
      <w:r>
        <w:rPr>
          <w:rFonts w:hint="eastAsia" w:ascii="宋体" w:hAnsi="宋体"/>
          <w:bCs/>
          <w:sz w:val="24"/>
          <w:szCs w:val="24"/>
        </w:rPr>
        <w:t xml:space="preserve"> </w:t>
      </w:r>
    </w:p>
    <w:p w14:paraId="2068AE86">
      <w:pPr>
        <w:adjustRightInd w:val="0"/>
        <w:snapToGrid w:val="0"/>
        <w:spacing w:line="360" w:lineRule="auto"/>
        <w:jc w:val="center"/>
        <w:outlineLvl w:val="4"/>
        <w:rPr>
          <w:rFonts w:ascii="宋体" w:hAnsi="宋体" w:cs="宋体"/>
          <w:sz w:val="24"/>
          <w:szCs w:val="24"/>
        </w:rPr>
      </w:pPr>
      <w:r>
        <w:rPr>
          <w:rFonts w:hint="eastAsia" w:ascii="宋体" w:hAnsi="宋体" w:cs="宋体"/>
          <w:sz w:val="24"/>
          <w:szCs w:val="24"/>
        </w:rPr>
        <w:t>（5）资源配备计划</w:t>
      </w:r>
    </w:p>
    <w:p w14:paraId="0ADAEE2C">
      <w:pPr>
        <w:pStyle w:val="14"/>
        <w:wordWrap w:val="0"/>
        <w:jc w:val="center"/>
        <w:rPr>
          <w:rFonts w:ascii="宋体" w:hAnsi="宋体"/>
          <w:sz w:val="24"/>
          <w:szCs w:val="24"/>
        </w:rPr>
      </w:pPr>
      <w:r>
        <w:rPr>
          <w:rFonts w:hint="eastAsia" w:ascii="宋体" w:hAnsi="宋体"/>
          <w:sz w:val="24"/>
          <w:szCs w:val="24"/>
        </w:rPr>
        <w:t>（格式自拟）</w:t>
      </w:r>
    </w:p>
    <w:p w14:paraId="6435AE95">
      <w:pPr>
        <w:wordWrap w:val="0"/>
        <w:rPr>
          <w:rFonts w:ascii="宋体" w:hAnsi="宋体"/>
          <w:sz w:val="24"/>
          <w:szCs w:val="24"/>
        </w:rPr>
      </w:pPr>
    </w:p>
    <w:p w14:paraId="2E3E11F8">
      <w:pPr>
        <w:widowControl/>
        <w:jc w:val="left"/>
        <w:rPr>
          <w:rFonts w:ascii="宋体" w:hAnsi="宋体"/>
          <w:sz w:val="24"/>
          <w:szCs w:val="24"/>
        </w:rPr>
      </w:pPr>
      <w:r>
        <w:rPr>
          <w:rFonts w:ascii="宋体" w:hAnsi="宋体"/>
          <w:sz w:val="24"/>
          <w:szCs w:val="24"/>
        </w:rPr>
        <w:br w:type="page"/>
      </w:r>
    </w:p>
    <w:p w14:paraId="714C65F0">
      <w:pPr>
        <w:pStyle w:val="17"/>
        <w:wordWrap w:val="0"/>
        <w:rPr>
          <w:rFonts w:asciiTheme="minorEastAsia" w:hAnsiTheme="minorEastAsia" w:eastAsiaTheme="minorEastAsia"/>
        </w:rPr>
      </w:pPr>
    </w:p>
    <w:p w14:paraId="4CEE148D">
      <w:pPr>
        <w:pStyle w:val="14"/>
        <w:wordWrap w:val="0"/>
        <w:rPr>
          <w:rFonts w:asciiTheme="minorEastAsia" w:hAnsiTheme="minorEastAsia" w:eastAsiaTheme="minorEastAsia"/>
        </w:rPr>
      </w:pPr>
    </w:p>
    <w:p w14:paraId="2F99FFB4">
      <w:pPr>
        <w:pStyle w:val="5"/>
        <w:widowControl/>
        <w:tabs>
          <w:tab w:val="left" w:pos="432"/>
          <w:tab w:val="left" w:pos="720"/>
        </w:tabs>
        <w:wordWrap w:val="0"/>
        <w:spacing w:before="120" w:after="120"/>
        <w:jc w:val="center"/>
        <w:rPr>
          <w:rFonts w:cs="宋体" w:asciiTheme="minorEastAsia" w:hAnsiTheme="minorEastAsia" w:eastAsiaTheme="minorEastAsia"/>
          <w:bCs/>
          <w:szCs w:val="28"/>
        </w:rPr>
      </w:pPr>
      <w:bookmarkStart w:id="1693" w:name="_Toc25206"/>
      <w:bookmarkStart w:id="1694" w:name="_Toc25458"/>
      <w:bookmarkStart w:id="1695" w:name="_Toc9571"/>
      <w:bookmarkStart w:id="1696" w:name="OLE_LINK121"/>
      <w:bookmarkStart w:id="1697" w:name="OLE_LINK122"/>
      <w:r>
        <w:rPr>
          <w:rFonts w:hint="eastAsia" w:cs="宋体" w:asciiTheme="minorEastAsia" w:hAnsiTheme="minorEastAsia" w:eastAsiaTheme="minorEastAsia"/>
          <w:szCs w:val="28"/>
        </w:rPr>
        <w:t>二、</w:t>
      </w:r>
      <w:bookmarkEnd w:id="1693"/>
      <w:bookmarkEnd w:id="1694"/>
      <w:r>
        <w:rPr>
          <w:rFonts w:hint="eastAsia" w:cs="宋体" w:asciiTheme="minorEastAsia" w:hAnsiTheme="minorEastAsia" w:eastAsiaTheme="minorEastAsia"/>
          <w:bCs/>
          <w:szCs w:val="28"/>
        </w:rPr>
        <w:t>技术部分其他资料（若有）</w:t>
      </w:r>
      <w:bookmarkEnd w:id="1695"/>
    </w:p>
    <w:bookmarkEnd w:id="1696"/>
    <w:bookmarkEnd w:id="1697"/>
    <w:p w14:paraId="38A3744D">
      <w:pPr>
        <w:widowControl/>
        <w:wordWrap w:val="0"/>
        <w:jc w:val="left"/>
        <w:rPr>
          <w:rFonts w:cs="宋体" w:asciiTheme="minorEastAsia" w:hAnsiTheme="minorEastAsia" w:eastAsiaTheme="minorEastAsia"/>
          <w:sz w:val="22"/>
        </w:rPr>
      </w:pPr>
      <w:r>
        <w:rPr>
          <w:rFonts w:cs="宋体" w:asciiTheme="minorEastAsia" w:hAnsiTheme="minorEastAsia" w:eastAsiaTheme="minorEastAsia"/>
          <w:sz w:val="22"/>
        </w:rPr>
        <w:br w:type="page"/>
      </w:r>
    </w:p>
    <w:p w14:paraId="4AE3864E">
      <w:pPr>
        <w:wordWrap w:val="0"/>
        <w:spacing w:line="360" w:lineRule="auto"/>
        <w:jc w:val="center"/>
        <w:outlineLvl w:val="2"/>
        <w:rPr>
          <w:rFonts w:cs="宋体" w:asciiTheme="minorEastAsia" w:hAnsiTheme="minorEastAsia" w:eastAsiaTheme="minorEastAsia"/>
          <w:b/>
          <w:snapToGrid w:val="0"/>
          <w:kern w:val="0"/>
          <w:sz w:val="28"/>
          <w:szCs w:val="28"/>
        </w:rPr>
      </w:pPr>
      <w:bookmarkStart w:id="1698" w:name="_Toc14691"/>
      <w:bookmarkStart w:id="1699" w:name="_Toc25475"/>
      <w:bookmarkStart w:id="1700" w:name="_Toc193796126"/>
      <w:bookmarkStart w:id="1701" w:name="_Toc5691"/>
      <w:bookmarkStart w:id="1702" w:name="_Toc7974"/>
      <w:bookmarkStart w:id="1703" w:name="_Toc1514"/>
      <w:bookmarkStart w:id="1704" w:name="_Toc132376782"/>
      <w:r>
        <w:rPr>
          <w:rFonts w:hint="eastAsia" w:cs="宋体" w:asciiTheme="minorEastAsia" w:hAnsiTheme="minorEastAsia" w:eastAsiaTheme="minorEastAsia"/>
          <w:b/>
          <w:snapToGrid w:val="0"/>
          <w:kern w:val="0"/>
          <w:sz w:val="28"/>
          <w:szCs w:val="28"/>
        </w:rPr>
        <w:t>第三部分 商务部分格式</w:t>
      </w:r>
      <w:bookmarkEnd w:id="1698"/>
      <w:bookmarkEnd w:id="1699"/>
      <w:bookmarkEnd w:id="1700"/>
      <w:bookmarkEnd w:id="1701"/>
      <w:bookmarkEnd w:id="1702"/>
      <w:bookmarkEnd w:id="1703"/>
      <w:bookmarkEnd w:id="1704"/>
    </w:p>
    <w:p w14:paraId="2476D8EA">
      <w:pPr>
        <w:pStyle w:val="5"/>
        <w:widowControl/>
        <w:numPr>
          <w:ilvl w:val="2"/>
          <w:numId w:val="0"/>
        </w:numPr>
        <w:tabs>
          <w:tab w:val="left" w:pos="432"/>
          <w:tab w:val="left" w:pos="720"/>
        </w:tabs>
        <w:wordWrap w:val="0"/>
        <w:spacing w:before="120" w:after="120"/>
        <w:ind w:left="720" w:hanging="720"/>
        <w:jc w:val="center"/>
        <w:rPr>
          <w:rFonts w:cs="宋体" w:asciiTheme="minorEastAsia" w:hAnsiTheme="minorEastAsia" w:eastAsiaTheme="minorEastAsia"/>
          <w:bCs/>
          <w:szCs w:val="28"/>
        </w:rPr>
      </w:pPr>
      <w:bookmarkStart w:id="1705" w:name="_Toc30147373"/>
      <w:bookmarkStart w:id="1706" w:name="_Toc9226"/>
      <w:bookmarkStart w:id="1707" w:name="_Toc10549"/>
      <w:bookmarkStart w:id="1708" w:name="_Toc7005"/>
      <w:bookmarkStart w:id="1709" w:name="Book36"/>
      <w:r>
        <w:rPr>
          <w:rFonts w:hint="eastAsia" w:cs="宋体" w:asciiTheme="minorEastAsia" w:hAnsiTheme="minorEastAsia" w:eastAsiaTheme="minorEastAsia"/>
          <w:bCs/>
          <w:szCs w:val="28"/>
        </w:rPr>
        <w:t>一、磋商申请函</w:t>
      </w:r>
      <w:bookmarkEnd w:id="1705"/>
      <w:bookmarkEnd w:id="1706"/>
      <w:bookmarkEnd w:id="1707"/>
      <w:bookmarkEnd w:id="1708"/>
    </w:p>
    <w:p w14:paraId="14BCA355">
      <w:pPr>
        <w:wordWrap w:val="0"/>
        <w:spacing w:line="360" w:lineRule="auto"/>
        <w:ind w:firstLine="480" w:firstLineChars="200"/>
        <w:rPr>
          <w:rFonts w:cs="宋体" w:asciiTheme="minorEastAsia" w:hAnsiTheme="minorEastAsia" w:eastAsiaTheme="minorEastAsia"/>
          <w:sz w:val="24"/>
          <w:szCs w:val="24"/>
          <w:u w:val="single"/>
        </w:rPr>
      </w:pPr>
      <w:bookmarkStart w:id="1710" w:name="_Toc240440823"/>
      <w:bookmarkStart w:id="1711" w:name="_Toc240440696"/>
      <w:r>
        <w:rPr>
          <w:rFonts w:hint="eastAsia" w:cs="宋体" w:asciiTheme="minorEastAsia" w:hAnsiTheme="minorEastAsia" w:eastAsiaTheme="minorEastAsia"/>
          <w:sz w:val="24"/>
          <w:szCs w:val="24"/>
        </w:rPr>
        <w:t>致：</w:t>
      </w:r>
      <w:r>
        <w:rPr>
          <w:rFonts w:hint="eastAsia" w:cs="宋体" w:asciiTheme="minorEastAsia" w:hAnsiTheme="minorEastAsia" w:eastAsiaTheme="minorEastAsia"/>
          <w:sz w:val="24"/>
          <w:szCs w:val="24"/>
          <w:u w:val="single"/>
        </w:rPr>
        <w:t xml:space="preserve">  （采购人名称）</w:t>
      </w:r>
    </w:p>
    <w:p w14:paraId="41A03572">
      <w:pPr>
        <w:pStyle w:val="48"/>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1、我方己仔细研究了</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（项目名称）</w:t>
      </w:r>
      <w:r>
        <w:rPr>
          <w:rFonts w:hint="eastAsia" w:cs="宋体" w:asciiTheme="minorEastAsia" w:hAnsiTheme="minorEastAsia" w:eastAsiaTheme="minorEastAsia"/>
          <w:sz w:val="24"/>
          <w:szCs w:val="24"/>
        </w:rPr>
        <w:t>磋商文件的全部内容，愿意以</w:t>
      </w:r>
      <w:r>
        <w:rPr>
          <w:rFonts w:hint="eastAsia" w:cs="宋体" w:asciiTheme="minorEastAsia" w:hAnsiTheme="minorEastAsia" w:eastAsiaTheme="minorEastAsia"/>
          <w:sz w:val="24"/>
          <w:szCs w:val="24"/>
          <w:u w:val="single"/>
        </w:rPr>
        <w:t xml:space="preserve">       元</w:t>
      </w:r>
      <w:r>
        <w:rPr>
          <w:rFonts w:hint="eastAsia" w:cs="宋体" w:asciiTheme="minorEastAsia" w:hAnsiTheme="minorEastAsia" w:eastAsiaTheme="minorEastAsia"/>
          <w:sz w:val="24"/>
          <w:szCs w:val="24"/>
        </w:rPr>
        <w:t>（大写：　　）的磋商报价，按合同约定实施和完成本项目。</w:t>
      </w:r>
    </w:p>
    <w:p w14:paraId="4ECBC1E6">
      <w:pPr>
        <w:pStyle w:val="48"/>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2、我单位承诺在磋商有效期内不修改、撤销磋商响应文件。</w:t>
      </w:r>
    </w:p>
    <w:p w14:paraId="64E4984B">
      <w:pPr>
        <w:pStyle w:val="48"/>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3、如我单位成交：</w:t>
      </w:r>
    </w:p>
    <w:p w14:paraId="55886AAB">
      <w:pPr>
        <w:pStyle w:val="48"/>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（l）我单位承诺在收到成交通知书后，在成交通知书规定的期限内与贵方签订合同。</w:t>
      </w:r>
    </w:p>
    <w:p w14:paraId="1590D96C">
      <w:pPr>
        <w:pStyle w:val="48"/>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（2）我单位承诺按照磋商文件规定向贵方递交履约担保。</w:t>
      </w:r>
    </w:p>
    <w:p w14:paraId="1D07217C">
      <w:pPr>
        <w:pStyle w:val="48"/>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（3）我单位承诺在合同约定的期限内完成并移交全部合同工作。</w:t>
      </w:r>
    </w:p>
    <w:p w14:paraId="6390C318">
      <w:pPr>
        <w:pStyle w:val="48"/>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（4）我单位承诺按规定办理成交手续前缴纳成交服务费。</w:t>
      </w:r>
    </w:p>
    <w:p w14:paraId="39446EAC">
      <w:pPr>
        <w:pStyle w:val="48"/>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4、我单位在此声明，所递交的磋商响应文件及有关资料内容完整、真实和准确，且不存在第二章“磋商供应商须知”第1.4.</w:t>
      </w: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 xml:space="preserve"> 项规定的任何一种情形。</w:t>
      </w:r>
    </w:p>
    <w:p w14:paraId="7013FB7F">
      <w:pPr>
        <w:tabs>
          <w:tab w:val="left" w:pos="7560"/>
        </w:tabs>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5、我单位承诺我们的磋商报价不低于我们自身的成本。</w:t>
      </w:r>
    </w:p>
    <w:p w14:paraId="566B2D4C">
      <w:pPr>
        <w:wordWrap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6、其他承诺：</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w:t>
      </w:r>
    </w:p>
    <w:bookmarkEnd w:id="1710"/>
    <w:bookmarkEnd w:id="1711"/>
    <w:p w14:paraId="58404CA8">
      <w:pPr>
        <w:wordWrap w:val="0"/>
        <w:spacing w:line="360" w:lineRule="auto"/>
        <w:ind w:firstLine="490"/>
        <w:rPr>
          <w:rFonts w:cs="宋体" w:asciiTheme="minorEastAsia" w:hAnsiTheme="minorEastAsia" w:eastAsiaTheme="minorEastAsia"/>
          <w:sz w:val="24"/>
          <w:szCs w:val="24"/>
        </w:rPr>
      </w:pPr>
    </w:p>
    <w:p w14:paraId="2A1770EE">
      <w:pPr>
        <w:pStyle w:val="14"/>
        <w:wordWrap w:val="0"/>
        <w:rPr>
          <w:rFonts w:asciiTheme="minorEastAsia" w:hAnsiTheme="minorEastAsia" w:eastAsiaTheme="minorEastAsia"/>
        </w:rPr>
      </w:pPr>
    </w:p>
    <w:p w14:paraId="5755DC3A">
      <w:pPr>
        <w:pStyle w:val="17"/>
        <w:wordWrap w:val="0"/>
        <w:rPr>
          <w:rFonts w:asciiTheme="minorEastAsia" w:hAnsiTheme="minorEastAsia" w:eastAsiaTheme="minorEastAsia"/>
        </w:rPr>
      </w:pPr>
    </w:p>
    <w:p w14:paraId="06CD8013">
      <w:pPr>
        <w:wordWrap w:val="0"/>
        <w:rPr>
          <w:rFonts w:asciiTheme="minorEastAsia" w:hAnsiTheme="minorEastAsia" w:eastAsiaTheme="minorEastAsia"/>
        </w:rPr>
      </w:pPr>
    </w:p>
    <w:p w14:paraId="3836B2E6">
      <w:pPr>
        <w:pStyle w:val="14"/>
        <w:wordWrap w:val="0"/>
        <w:rPr>
          <w:rFonts w:asciiTheme="minorEastAsia" w:hAnsiTheme="minorEastAsia" w:eastAsiaTheme="minorEastAsia"/>
        </w:rPr>
      </w:pPr>
    </w:p>
    <w:p w14:paraId="6D0ED0AD">
      <w:pPr>
        <w:wordWrap w:val="0"/>
        <w:spacing w:line="360" w:lineRule="auto"/>
        <w:jc w:val="left"/>
        <w:rPr>
          <w:rFonts w:cs="宋体" w:asciiTheme="minorEastAsia" w:hAnsiTheme="minorEastAsia" w:eastAsiaTheme="minorEastAsia"/>
          <w:snapToGrid w:val="0"/>
          <w:kern w:val="0"/>
          <w:sz w:val="24"/>
          <w:szCs w:val="24"/>
          <w:lang w:val="zh-CN"/>
        </w:rPr>
      </w:pPr>
      <w:r>
        <w:rPr>
          <w:rFonts w:hint="eastAsia" w:cs="宋体" w:asciiTheme="minorEastAsia" w:hAnsiTheme="minorEastAsia" w:eastAsiaTheme="minorEastAsia"/>
          <w:snapToGrid w:val="0"/>
          <w:kern w:val="0"/>
          <w:sz w:val="24"/>
          <w:szCs w:val="24"/>
          <w:lang w:val="zh-CN"/>
        </w:rPr>
        <w:t>磋商供应商（电子签章）：_____________________________________________</w:t>
      </w:r>
    </w:p>
    <w:p w14:paraId="6F4614B1">
      <w:pPr>
        <w:wordWrap w:val="0"/>
        <w:spacing w:line="360" w:lineRule="auto"/>
        <w:jc w:val="left"/>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z w:val="24"/>
          <w:szCs w:val="24"/>
        </w:rPr>
        <w:t>法定代表人</w:t>
      </w:r>
      <w:r>
        <w:rPr>
          <w:rFonts w:hint="eastAsia" w:cs="宋体" w:asciiTheme="minorEastAsia" w:hAnsiTheme="minorEastAsia" w:eastAsiaTheme="minorEastAsia"/>
          <w:snapToGrid w:val="0"/>
          <w:kern w:val="0"/>
          <w:sz w:val="24"/>
          <w:szCs w:val="24"/>
        </w:rPr>
        <w:t>或其委托代理人（电子签名或电子签章）</w:t>
      </w:r>
      <w:r>
        <w:rPr>
          <w:rFonts w:hint="eastAsia" w:cs="宋体" w:asciiTheme="minorEastAsia" w:hAnsiTheme="minorEastAsia" w:eastAsiaTheme="minorEastAsia"/>
          <w:snapToGrid w:val="0"/>
          <w:kern w:val="0"/>
          <w:sz w:val="24"/>
          <w:szCs w:val="24"/>
          <w:lang w:val="zh-CN"/>
        </w:rPr>
        <w:t>：________________________</w:t>
      </w:r>
    </w:p>
    <w:p w14:paraId="2A3CE948">
      <w:pPr>
        <w:wordWrap w:val="0"/>
        <w:spacing w:line="360" w:lineRule="auto"/>
        <w:jc w:val="left"/>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日  期：______年_____月_____日</w:t>
      </w:r>
    </w:p>
    <w:p w14:paraId="47783B28">
      <w:pPr>
        <w:widowControl/>
        <w:wordWrap w:val="0"/>
        <w:jc w:val="left"/>
        <w:rPr>
          <w:rFonts w:cs="宋体" w:asciiTheme="minorEastAsia" w:hAnsiTheme="minorEastAsia" w:eastAsiaTheme="minorEastAsia"/>
          <w:snapToGrid w:val="0"/>
          <w:kern w:val="0"/>
          <w:sz w:val="24"/>
          <w:szCs w:val="24"/>
        </w:rPr>
      </w:pPr>
      <w:r>
        <w:rPr>
          <w:rFonts w:cs="宋体" w:asciiTheme="minorEastAsia" w:hAnsiTheme="minorEastAsia" w:eastAsiaTheme="minorEastAsia"/>
          <w:snapToGrid w:val="0"/>
          <w:kern w:val="0"/>
          <w:sz w:val="24"/>
          <w:szCs w:val="24"/>
        </w:rPr>
        <w:br w:type="page"/>
      </w:r>
    </w:p>
    <w:bookmarkEnd w:id="1709"/>
    <w:p w14:paraId="3B443863">
      <w:pPr>
        <w:pStyle w:val="5"/>
        <w:widowControl/>
        <w:numPr>
          <w:ilvl w:val="2"/>
          <w:numId w:val="0"/>
        </w:numPr>
        <w:tabs>
          <w:tab w:val="left" w:pos="432"/>
          <w:tab w:val="left" w:pos="720"/>
        </w:tabs>
        <w:wordWrap w:val="0"/>
        <w:spacing w:before="120" w:after="120"/>
        <w:ind w:left="720" w:hanging="720"/>
        <w:jc w:val="center"/>
        <w:rPr>
          <w:rFonts w:cs="宋体" w:asciiTheme="minorEastAsia" w:hAnsiTheme="minorEastAsia" w:eastAsiaTheme="minorEastAsia"/>
          <w:bCs/>
          <w:szCs w:val="28"/>
        </w:rPr>
      </w:pPr>
      <w:bookmarkStart w:id="1712" w:name="_Toc797"/>
      <w:bookmarkStart w:id="1713" w:name="_Toc30147374"/>
      <w:bookmarkStart w:id="1714" w:name="_Toc16814"/>
      <w:bookmarkStart w:id="1715" w:name="_Toc12031"/>
      <w:r>
        <w:rPr>
          <w:rFonts w:hint="eastAsia" w:cs="宋体" w:asciiTheme="minorEastAsia" w:hAnsiTheme="minorEastAsia" w:eastAsiaTheme="minorEastAsia"/>
          <w:bCs/>
          <w:szCs w:val="28"/>
        </w:rPr>
        <w:t>二、</w:t>
      </w:r>
      <w:bookmarkEnd w:id="1712"/>
      <w:bookmarkEnd w:id="1713"/>
      <w:bookmarkEnd w:id="1714"/>
      <w:bookmarkEnd w:id="1715"/>
      <w:r>
        <w:rPr>
          <w:rFonts w:hint="eastAsia" w:cs="宋体" w:asciiTheme="minorEastAsia" w:hAnsiTheme="minorEastAsia" w:eastAsiaTheme="minorEastAsia"/>
          <w:bCs/>
          <w:szCs w:val="28"/>
        </w:rPr>
        <w:t>报价一览表</w:t>
      </w:r>
    </w:p>
    <w:p w14:paraId="20E00DC2">
      <w:pPr>
        <w:wordWrap w:val="0"/>
        <w:spacing w:line="360" w:lineRule="auto"/>
        <w:jc w:val="left"/>
        <w:rPr>
          <w:rFonts w:cs="宋体" w:asciiTheme="minorEastAsia" w:hAnsiTheme="minorEastAsia" w:eastAsiaTheme="minorEastAsia"/>
          <w:bCs/>
          <w:sz w:val="24"/>
          <w:szCs w:val="24"/>
          <w:u w:val="single"/>
        </w:rPr>
      </w:pPr>
      <w:r>
        <w:rPr>
          <w:rFonts w:hint="eastAsia" w:cs="宋体" w:asciiTheme="minorEastAsia" w:hAnsiTheme="minorEastAsia" w:eastAsiaTheme="minorEastAsia"/>
          <w:bCs/>
          <w:sz w:val="24"/>
          <w:szCs w:val="24"/>
        </w:rPr>
        <w:t>项目名称：</w:t>
      </w:r>
    </w:p>
    <w:p w14:paraId="1BB52D93">
      <w:pPr>
        <w:wordWrap w:val="0"/>
        <w:spacing w:line="360" w:lineRule="auto"/>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项目编号：</w:t>
      </w:r>
    </w:p>
    <w:tbl>
      <w:tblPr>
        <w:tblStyle w:val="35"/>
        <w:tblW w:w="95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383"/>
        <w:gridCol w:w="6156"/>
      </w:tblGrid>
      <w:tr w14:paraId="294F3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907" w:hRule="atLeast"/>
          <w:jc w:val="center"/>
        </w:trPr>
        <w:tc>
          <w:tcPr>
            <w:tcW w:w="3969" w:type="dxa"/>
            <w:tcBorders>
              <w:top w:val="single" w:color="000000" w:sz="6" w:space="0"/>
              <w:left w:val="single" w:color="000000" w:sz="6" w:space="0"/>
              <w:right w:val="single" w:color="000000" w:sz="6" w:space="0"/>
            </w:tcBorders>
            <w:vAlign w:val="center"/>
          </w:tcPr>
          <w:p w14:paraId="1BF71F4D">
            <w:pPr>
              <w:adjustRightInd w:val="0"/>
              <w:snapToGrid w:val="0"/>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总价</w:t>
            </w:r>
          </w:p>
        </w:tc>
        <w:tc>
          <w:tcPr>
            <w:tcW w:w="3969" w:type="dxa"/>
            <w:tcBorders>
              <w:top w:val="single" w:color="000000" w:sz="6" w:space="0"/>
              <w:left w:val="single" w:color="auto" w:sz="4" w:space="0"/>
              <w:right w:val="single" w:color="000000" w:sz="6" w:space="0"/>
            </w:tcBorders>
            <w:vAlign w:val="center"/>
          </w:tcPr>
          <w:p w14:paraId="1DB79FBD">
            <w:pPr>
              <w:adjustRightInd w:val="0"/>
              <w:snapToGrid w:val="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14:paraId="5E4DE08B">
            <w:pPr>
              <w:adjustRightInd w:val="0"/>
              <w:snapToGrid w:val="0"/>
              <w:jc w:val="left"/>
              <w:rPr>
                <w:rFonts w:asciiTheme="minorEastAsia" w:hAnsiTheme="minorEastAsia" w:eastAsiaTheme="minorEastAsia" w:cstheme="minorEastAsia"/>
                <w:sz w:val="24"/>
                <w:szCs w:val="24"/>
              </w:rPr>
            </w:pPr>
          </w:p>
          <w:p w14:paraId="6F3B1508">
            <w:pPr>
              <w:adjustRightInd w:val="0"/>
              <w:snapToGrid w:val="0"/>
              <w:jc w:val="left"/>
              <w:rPr>
                <w:rFonts w:asciiTheme="minorEastAsia" w:hAnsiTheme="minorEastAsia" w:eastAsiaTheme="minorEastAsia" w:cstheme="minorEastAsia"/>
                <w:sz w:val="24"/>
                <w:szCs w:val="24"/>
              </w:rPr>
            </w:pPr>
          </w:p>
          <w:p w14:paraId="4CF8355C">
            <w:pPr>
              <w:adjustRightInd w:val="0"/>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大写：人民币</w:t>
            </w:r>
            <w:r>
              <w:rPr>
                <w:rFonts w:hint="eastAsia" w:asciiTheme="minorEastAsia" w:hAnsiTheme="minorEastAsia" w:eastAsiaTheme="minorEastAsia" w:cstheme="minorEastAsia"/>
                <w:sz w:val="24"/>
                <w:szCs w:val="24"/>
                <w:u w:val="single"/>
              </w:rPr>
              <w:t xml:space="preserve">             </w:t>
            </w:r>
          </w:p>
        </w:tc>
      </w:tr>
      <w:tr w14:paraId="5901B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551" w:hRule="atLeast"/>
          <w:jc w:val="center"/>
        </w:trPr>
        <w:tc>
          <w:tcPr>
            <w:tcW w:w="3402" w:type="dxa"/>
            <w:tcBorders>
              <w:top w:val="single" w:color="000000" w:sz="6" w:space="0"/>
              <w:left w:val="single" w:color="000000" w:sz="6" w:space="0"/>
              <w:right w:val="single" w:color="auto" w:sz="4" w:space="0"/>
            </w:tcBorders>
            <w:vAlign w:val="center"/>
          </w:tcPr>
          <w:p w14:paraId="07A84383">
            <w:pPr>
              <w:adjustRightInd w:val="0"/>
              <w:snapToGrid w:val="0"/>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项目经理（姓名及证书编号）</w:t>
            </w:r>
          </w:p>
        </w:tc>
        <w:tc>
          <w:tcPr>
            <w:tcW w:w="3402" w:type="dxa"/>
            <w:tcBorders>
              <w:top w:val="single" w:color="auto" w:sz="4" w:space="0"/>
              <w:left w:val="single" w:color="auto" w:sz="4" w:space="0"/>
              <w:right w:val="single" w:color="000000" w:sz="6" w:space="0"/>
            </w:tcBorders>
            <w:vAlign w:val="center"/>
          </w:tcPr>
          <w:p w14:paraId="69FA077D">
            <w:pPr>
              <w:adjustRightInd w:val="0"/>
              <w:snapToGrid w:val="0"/>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姓名：</w:t>
            </w:r>
          </w:p>
          <w:p w14:paraId="3C599A63">
            <w:pPr>
              <w:adjustRightInd w:val="0"/>
              <w:snapToGrid w:val="0"/>
              <w:jc w:val="left"/>
              <w:rPr>
                <w:rFonts w:asciiTheme="minorEastAsia" w:hAnsiTheme="minorEastAsia" w:eastAsiaTheme="minorEastAsia" w:cstheme="minorEastAsia"/>
                <w:bCs/>
                <w:sz w:val="24"/>
                <w:szCs w:val="24"/>
              </w:rPr>
            </w:pPr>
          </w:p>
          <w:p w14:paraId="5317F361">
            <w:pPr>
              <w:adjustRightInd w:val="0"/>
              <w:snapToGrid w:val="0"/>
              <w:jc w:val="left"/>
              <w:rPr>
                <w:rFonts w:asciiTheme="minorEastAsia" w:hAnsiTheme="minorEastAsia" w:eastAsiaTheme="minorEastAsia" w:cstheme="minorEastAsia"/>
                <w:bCs/>
                <w:sz w:val="24"/>
                <w:szCs w:val="24"/>
              </w:rPr>
            </w:pPr>
          </w:p>
          <w:p w14:paraId="6E00D7DA">
            <w:pPr>
              <w:adjustRightInd w:val="0"/>
              <w:snapToGrid w:val="0"/>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证书名称证书编号：</w:t>
            </w:r>
          </w:p>
        </w:tc>
      </w:tr>
      <w:tr w14:paraId="34EAC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53" w:hRule="atLeast"/>
          <w:jc w:val="center"/>
        </w:trPr>
        <w:tc>
          <w:tcPr>
            <w:tcW w:w="3402" w:type="dxa"/>
            <w:tcBorders>
              <w:top w:val="single" w:color="000000" w:sz="6" w:space="0"/>
              <w:left w:val="single" w:color="000000" w:sz="6" w:space="0"/>
              <w:right w:val="single" w:color="auto" w:sz="4" w:space="0"/>
            </w:tcBorders>
            <w:vAlign w:val="center"/>
          </w:tcPr>
          <w:p w14:paraId="1A207CAD">
            <w:pPr>
              <w:adjustRightInd w:val="0"/>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建设工期</w:t>
            </w:r>
          </w:p>
        </w:tc>
        <w:tc>
          <w:tcPr>
            <w:tcW w:w="3402" w:type="dxa"/>
            <w:tcBorders>
              <w:top w:val="single" w:color="auto" w:sz="4" w:space="0"/>
              <w:left w:val="single" w:color="auto" w:sz="4" w:space="0"/>
              <w:right w:val="single" w:color="000000" w:sz="6" w:space="0"/>
            </w:tcBorders>
            <w:vAlign w:val="center"/>
          </w:tcPr>
          <w:p w14:paraId="7B47833E">
            <w:pPr>
              <w:adjustRightInd w:val="0"/>
              <w:snapToGrid w:val="0"/>
              <w:jc w:val="left"/>
              <w:rPr>
                <w:rFonts w:asciiTheme="minorEastAsia" w:hAnsiTheme="minorEastAsia" w:eastAsiaTheme="minorEastAsia" w:cstheme="minorEastAsia"/>
                <w:sz w:val="24"/>
              </w:rPr>
            </w:pPr>
          </w:p>
        </w:tc>
      </w:tr>
      <w:tr w14:paraId="58E7A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49" w:hRule="atLeast"/>
          <w:jc w:val="center"/>
        </w:trPr>
        <w:tc>
          <w:tcPr>
            <w:tcW w:w="3402" w:type="dxa"/>
            <w:tcBorders>
              <w:top w:val="single" w:color="000000" w:sz="6" w:space="0"/>
              <w:left w:val="single" w:color="000000" w:sz="6" w:space="0"/>
              <w:right w:val="single" w:color="auto" w:sz="4" w:space="0"/>
            </w:tcBorders>
            <w:vAlign w:val="center"/>
          </w:tcPr>
          <w:p w14:paraId="3E5D42F6">
            <w:pPr>
              <w:adjustRightInd w:val="0"/>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建设地点</w:t>
            </w:r>
          </w:p>
        </w:tc>
        <w:tc>
          <w:tcPr>
            <w:tcW w:w="3402" w:type="dxa"/>
            <w:tcBorders>
              <w:top w:val="single" w:color="auto" w:sz="4" w:space="0"/>
              <w:left w:val="single" w:color="auto" w:sz="4" w:space="0"/>
              <w:right w:val="single" w:color="000000" w:sz="6" w:space="0"/>
            </w:tcBorders>
            <w:vAlign w:val="center"/>
          </w:tcPr>
          <w:p w14:paraId="15FB663E">
            <w:pPr>
              <w:adjustRightInd w:val="0"/>
              <w:snapToGrid w:val="0"/>
              <w:jc w:val="left"/>
              <w:rPr>
                <w:rFonts w:asciiTheme="minorEastAsia" w:hAnsiTheme="minorEastAsia" w:eastAsiaTheme="minorEastAsia" w:cstheme="minorEastAsia"/>
                <w:sz w:val="24"/>
              </w:rPr>
            </w:pPr>
          </w:p>
        </w:tc>
      </w:tr>
      <w:tr w14:paraId="4A9A1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04" w:hRule="atLeast"/>
          <w:jc w:val="center"/>
        </w:trPr>
        <w:tc>
          <w:tcPr>
            <w:tcW w:w="3402" w:type="dxa"/>
            <w:tcBorders>
              <w:top w:val="single" w:color="000000" w:sz="6" w:space="0"/>
              <w:left w:val="single" w:color="000000" w:sz="6" w:space="0"/>
              <w:right w:val="single" w:color="auto" w:sz="4" w:space="0"/>
            </w:tcBorders>
            <w:vAlign w:val="center"/>
          </w:tcPr>
          <w:p w14:paraId="7EE0FAE7">
            <w:pPr>
              <w:adjustRightInd w:val="0"/>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质量承诺</w:t>
            </w:r>
          </w:p>
        </w:tc>
        <w:tc>
          <w:tcPr>
            <w:tcW w:w="3402" w:type="dxa"/>
            <w:tcBorders>
              <w:top w:val="single" w:color="auto" w:sz="4" w:space="0"/>
              <w:left w:val="single" w:color="auto" w:sz="4" w:space="0"/>
              <w:right w:val="single" w:color="000000" w:sz="6" w:space="0"/>
            </w:tcBorders>
            <w:vAlign w:val="center"/>
          </w:tcPr>
          <w:p w14:paraId="77F13138">
            <w:pPr>
              <w:adjustRightInd w:val="0"/>
              <w:snapToGrid w:val="0"/>
              <w:jc w:val="left"/>
              <w:rPr>
                <w:rFonts w:asciiTheme="minorEastAsia" w:hAnsiTheme="minorEastAsia" w:eastAsiaTheme="minorEastAsia" w:cstheme="minorEastAsia"/>
                <w:sz w:val="24"/>
              </w:rPr>
            </w:pPr>
          </w:p>
        </w:tc>
      </w:tr>
      <w:tr w14:paraId="22205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72" w:hRule="atLeast"/>
          <w:jc w:val="center"/>
        </w:trPr>
        <w:tc>
          <w:tcPr>
            <w:tcW w:w="2307" w:type="dxa"/>
            <w:tcBorders>
              <w:top w:val="single" w:color="000000" w:sz="6" w:space="0"/>
              <w:left w:val="single" w:color="000000" w:sz="6" w:space="0"/>
              <w:bottom w:val="single" w:color="auto" w:sz="4" w:space="0"/>
              <w:right w:val="single" w:color="000000" w:sz="6" w:space="0"/>
            </w:tcBorders>
            <w:vAlign w:val="center"/>
          </w:tcPr>
          <w:p w14:paraId="61C7426F">
            <w:pPr>
              <w:adjustRightInd w:val="0"/>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szCs w:val="24"/>
              </w:rPr>
              <w:t>备注</w:t>
            </w:r>
          </w:p>
        </w:tc>
        <w:tc>
          <w:tcPr>
            <w:tcW w:w="7232" w:type="dxa"/>
            <w:tcBorders>
              <w:top w:val="single" w:color="000000" w:sz="6" w:space="0"/>
              <w:left w:val="single" w:color="000000" w:sz="6" w:space="0"/>
              <w:bottom w:val="single" w:color="auto" w:sz="4" w:space="0"/>
              <w:right w:val="single" w:color="000000" w:sz="6" w:space="0"/>
            </w:tcBorders>
            <w:vAlign w:val="center"/>
          </w:tcPr>
          <w:p w14:paraId="5A3D4EFD">
            <w:pPr>
              <w:adjustRightInd w:val="0"/>
              <w:snapToGrid w:val="0"/>
              <w:jc w:val="left"/>
              <w:rPr>
                <w:rFonts w:asciiTheme="minorEastAsia" w:hAnsiTheme="minorEastAsia" w:eastAsiaTheme="minorEastAsia" w:cstheme="minorEastAsia"/>
                <w:sz w:val="24"/>
              </w:rPr>
            </w:pPr>
          </w:p>
        </w:tc>
      </w:tr>
      <w:tr w14:paraId="7EA1D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33" w:hRule="atLeast"/>
          <w:jc w:val="center"/>
        </w:trPr>
        <w:tc>
          <w:tcPr>
            <w:tcW w:w="9539" w:type="dxa"/>
            <w:gridSpan w:val="2"/>
            <w:tcBorders>
              <w:top w:val="single" w:color="000000" w:sz="6" w:space="0"/>
              <w:left w:val="single" w:color="000000" w:sz="6" w:space="0"/>
              <w:bottom w:val="single" w:color="auto" w:sz="4" w:space="0"/>
              <w:right w:val="single" w:color="000000" w:sz="6" w:space="0"/>
            </w:tcBorders>
            <w:vAlign w:val="center"/>
          </w:tcPr>
          <w:p w14:paraId="6399DDBB">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r>
              <w:rPr>
                <w:rFonts w:hint="eastAsia" w:cs="宋体" w:asciiTheme="minorEastAsia" w:hAnsiTheme="minorEastAsia" w:eastAsiaTheme="minorEastAsia"/>
                <w:snapToGrid w:val="0"/>
                <w:kern w:val="0"/>
                <w:sz w:val="24"/>
                <w:szCs w:val="24"/>
                <w:lang w:val="zh-CN"/>
              </w:rPr>
              <w:t>电子签章</w:t>
            </w:r>
            <w:r>
              <w:rPr>
                <w:rFonts w:hint="eastAsia" w:asciiTheme="minorEastAsia" w:hAnsiTheme="minorEastAsia" w:eastAsiaTheme="minorEastAsia" w:cstheme="minorEastAsia"/>
                <w:sz w:val="24"/>
              </w:rPr>
              <w:t>）</w:t>
            </w:r>
          </w:p>
        </w:tc>
      </w:tr>
      <w:tr w14:paraId="76795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339" w:hRule="atLeast"/>
          <w:jc w:val="center"/>
        </w:trPr>
        <w:tc>
          <w:tcPr>
            <w:tcW w:w="9539" w:type="dxa"/>
            <w:gridSpan w:val="2"/>
            <w:tcBorders>
              <w:top w:val="single" w:color="auto" w:sz="4" w:space="0"/>
              <w:left w:val="single" w:color="000000" w:sz="6" w:space="0"/>
              <w:bottom w:val="single" w:color="auto" w:sz="4" w:space="0"/>
              <w:right w:val="single" w:color="000000" w:sz="6" w:space="0"/>
            </w:tcBorders>
          </w:tcPr>
          <w:p w14:paraId="225296F1">
            <w:pPr>
              <w:adjustRightInd w:val="0"/>
              <w:snapToGrid w:val="0"/>
              <w:rPr>
                <w:rFonts w:asciiTheme="minorEastAsia" w:hAnsiTheme="minorEastAsia" w:eastAsiaTheme="minorEastAsia" w:cstheme="minorEastAsia"/>
                <w:sz w:val="24"/>
              </w:rPr>
            </w:pPr>
          </w:p>
          <w:p w14:paraId="14C28CB2">
            <w:pPr>
              <w:adjustRightInd w:val="0"/>
              <w:snapToGrid w:val="0"/>
              <w:rPr>
                <w:rFonts w:asciiTheme="minorEastAsia" w:hAnsiTheme="minorEastAsia" w:eastAsiaTheme="minorEastAsia" w:cstheme="minorEastAsia"/>
                <w:sz w:val="24"/>
              </w:rPr>
            </w:pPr>
          </w:p>
          <w:p w14:paraId="5A1AEF5C">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法定代表人或其委托代理人：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（签字）</w:t>
            </w:r>
          </w:p>
          <w:p w14:paraId="102FAE1F">
            <w:pPr>
              <w:adjustRightInd w:val="0"/>
              <w:snapToGrid w:val="0"/>
              <w:jc w:val="right"/>
              <w:rPr>
                <w:rFonts w:asciiTheme="minorEastAsia" w:hAnsiTheme="minorEastAsia" w:eastAsiaTheme="minorEastAsia" w:cstheme="minorEastAsia"/>
                <w:sz w:val="24"/>
              </w:rPr>
            </w:pPr>
          </w:p>
          <w:p w14:paraId="6810E057">
            <w:pPr>
              <w:adjustRightInd w:val="0"/>
              <w:snapToGrid w:val="0"/>
              <w:ind w:right="600"/>
              <w:rPr>
                <w:rFonts w:asciiTheme="minorEastAsia" w:hAnsiTheme="minorEastAsia" w:eastAsiaTheme="minorEastAsia" w:cstheme="minorEastAsia"/>
                <w:sz w:val="24"/>
              </w:rPr>
            </w:pPr>
          </w:p>
          <w:p w14:paraId="5B2AE2C7">
            <w:pPr>
              <w:adjustRightInd w:val="0"/>
              <w:snapToGrid w:val="0"/>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tc>
      </w:tr>
    </w:tbl>
    <w:p w14:paraId="34AD2889">
      <w:pPr>
        <w:wordWrap w:val="0"/>
        <w:spacing w:line="360" w:lineRule="auto"/>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备注：此表应放在磋商申请文件封面后第一页。</w:t>
      </w:r>
    </w:p>
    <w:p w14:paraId="57D1DB57">
      <w:pPr>
        <w:wordWrap w:val="0"/>
        <w:spacing w:line="360" w:lineRule="auto"/>
        <w:jc w:val="left"/>
        <w:rPr>
          <w:rFonts w:cs="宋体" w:asciiTheme="minorEastAsia" w:hAnsiTheme="minorEastAsia" w:eastAsiaTheme="minorEastAsia"/>
          <w:snapToGrid w:val="0"/>
          <w:kern w:val="0"/>
          <w:sz w:val="24"/>
          <w:szCs w:val="24"/>
          <w:lang w:val="zh-CN"/>
        </w:rPr>
      </w:pPr>
      <w:r>
        <w:rPr>
          <w:rFonts w:hint="eastAsia" w:cs="宋体" w:asciiTheme="minorEastAsia" w:hAnsiTheme="minorEastAsia" w:eastAsiaTheme="minorEastAsia"/>
          <w:snapToGrid w:val="0"/>
          <w:kern w:val="0"/>
          <w:sz w:val="24"/>
          <w:szCs w:val="24"/>
          <w:lang w:val="zh-CN"/>
        </w:rPr>
        <w:t>磋商供应商（电子签章）：_____________________________________________</w:t>
      </w:r>
    </w:p>
    <w:p w14:paraId="5E75D9BD">
      <w:pPr>
        <w:wordWrap w:val="0"/>
        <w:spacing w:line="360" w:lineRule="auto"/>
        <w:jc w:val="left"/>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z w:val="24"/>
          <w:szCs w:val="24"/>
        </w:rPr>
        <w:t>法定代表人</w:t>
      </w:r>
      <w:r>
        <w:rPr>
          <w:rFonts w:hint="eastAsia" w:cs="宋体" w:asciiTheme="minorEastAsia" w:hAnsiTheme="minorEastAsia" w:eastAsiaTheme="minorEastAsia"/>
          <w:snapToGrid w:val="0"/>
          <w:kern w:val="0"/>
          <w:sz w:val="24"/>
          <w:szCs w:val="24"/>
        </w:rPr>
        <w:t>或其委托代理人（电子签名或电子签章）</w:t>
      </w:r>
      <w:r>
        <w:rPr>
          <w:rFonts w:hint="eastAsia" w:cs="宋体" w:asciiTheme="minorEastAsia" w:hAnsiTheme="minorEastAsia" w:eastAsiaTheme="minorEastAsia"/>
          <w:snapToGrid w:val="0"/>
          <w:kern w:val="0"/>
          <w:sz w:val="24"/>
          <w:szCs w:val="24"/>
          <w:lang w:val="zh-CN"/>
        </w:rPr>
        <w:t>：________________________</w:t>
      </w:r>
    </w:p>
    <w:p w14:paraId="4E88134C">
      <w:pPr>
        <w:wordWrap w:val="0"/>
        <w:spacing w:line="360" w:lineRule="auto"/>
        <w:jc w:val="left"/>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日  期：______年_____月_____日</w:t>
      </w:r>
      <w:r>
        <w:rPr>
          <w:rFonts w:cs="宋体" w:asciiTheme="minorEastAsia" w:hAnsiTheme="minorEastAsia" w:eastAsiaTheme="minorEastAsia"/>
          <w:snapToGrid w:val="0"/>
          <w:kern w:val="0"/>
          <w:sz w:val="24"/>
          <w:szCs w:val="24"/>
        </w:rPr>
        <w:br w:type="page"/>
      </w:r>
    </w:p>
    <w:p w14:paraId="67BA9473">
      <w:pPr>
        <w:wordWrap w:val="0"/>
        <w:rPr>
          <w:rFonts w:asciiTheme="minorEastAsia" w:hAnsiTheme="minorEastAsia" w:eastAsiaTheme="minorEastAsia"/>
        </w:rPr>
      </w:pPr>
    </w:p>
    <w:p w14:paraId="53DB4000">
      <w:pPr>
        <w:pStyle w:val="5"/>
        <w:widowControl/>
        <w:numPr>
          <w:ilvl w:val="2"/>
          <w:numId w:val="0"/>
        </w:numPr>
        <w:tabs>
          <w:tab w:val="left" w:pos="432"/>
          <w:tab w:val="left" w:pos="720"/>
        </w:tabs>
        <w:wordWrap w:val="0"/>
        <w:spacing w:before="120" w:after="120"/>
        <w:jc w:val="center"/>
        <w:rPr>
          <w:rFonts w:cs="宋体" w:asciiTheme="minorEastAsia" w:hAnsiTheme="minorEastAsia" w:eastAsiaTheme="minorEastAsia"/>
          <w:bCs/>
          <w:szCs w:val="28"/>
        </w:rPr>
      </w:pPr>
      <w:bookmarkStart w:id="1716" w:name="_Toc1533"/>
      <w:bookmarkStart w:id="1717" w:name="_Toc14700"/>
      <w:bookmarkStart w:id="1718" w:name="_Toc30147376"/>
      <w:bookmarkStart w:id="1719" w:name="_Toc21315"/>
      <w:r>
        <w:rPr>
          <w:rFonts w:hint="eastAsia" w:cs="宋体" w:asciiTheme="minorEastAsia" w:hAnsiTheme="minorEastAsia" w:eastAsiaTheme="minorEastAsia"/>
          <w:bCs/>
          <w:szCs w:val="28"/>
        </w:rPr>
        <w:t>三、类似业绩</w:t>
      </w:r>
      <w:bookmarkEnd w:id="1716"/>
    </w:p>
    <w:p w14:paraId="6DB63C70">
      <w:pPr>
        <w:wordWrap w:val="0"/>
        <w:spacing w:line="360" w:lineRule="auto"/>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bCs/>
          <w:sz w:val="24"/>
          <w:szCs w:val="24"/>
          <w:u w:val="single"/>
        </w:rPr>
        <w:t xml:space="preserve">                      </w:t>
      </w:r>
    </w:p>
    <w:p w14:paraId="1F8AA473">
      <w:pPr>
        <w:wordWrap w:val="0"/>
        <w:spacing w:line="360" w:lineRule="auto"/>
        <w:jc w:val="left"/>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项目编号: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bCs/>
          <w:sz w:val="24"/>
          <w:szCs w:val="24"/>
          <w:u w:val="single"/>
        </w:rPr>
        <w:t xml:space="preserve">                      </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3471"/>
        <w:gridCol w:w="2552"/>
        <w:gridCol w:w="1984"/>
        <w:gridCol w:w="1134"/>
      </w:tblGrid>
      <w:tr w14:paraId="6A76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FCFDC0E">
            <w:pPr>
              <w:wordWrap w:val="0"/>
              <w:spacing w:before="60" w:after="60" w:line="360" w:lineRule="auto"/>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3471" w:type="dxa"/>
            <w:vAlign w:val="center"/>
          </w:tcPr>
          <w:p w14:paraId="5C93FC24">
            <w:pPr>
              <w:wordWrap w:val="0"/>
              <w:spacing w:before="60" w:after="60" w:line="360" w:lineRule="auto"/>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2552" w:type="dxa"/>
            <w:vAlign w:val="center"/>
          </w:tcPr>
          <w:p w14:paraId="66C3211A">
            <w:pPr>
              <w:wordWrap w:val="0"/>
              <w:spacing w:before="60" w:after="60" w:line="360" w:lineRule="auto"/>
              <w:jc w:val="center"/>
              <w:rPr>
                <w:rFonts w:asciiTheme="minorEastAsia" w:hAnsiTheme="minorEastAsia" w:eastAsiaTheme="minorEastAsia"/>
                <w:sz w:val="24"/>
              </w:rPr>
            </w:pPr>
            <w:r>
              <w:rPr>
                <w:rFonts w:hint="eastAsia" w:asciiTheme="minorEastAsia" w:hAnsiTheme="minorEastAsia" w:eastAsiaTheme="minorEastAsia"/>
                <w:sz w:val="24"/>
              </w:rPr>
              <w:t>起止时间</w:t>
            </w:r>
          </w:p>
        </w:tc>
        <w:tc>
          <w:tcPr>
            <w:tcW w:w="1984" w:type="dxa"/>
            <w:vAlign w:val="center"/>
          </w:tcPr>
          <w:p w14:paraId="42D46ECD">
            <w:pPr>
              <w:wordWrap w:val="0"/>
              <w:spacing w:before="60" w:after="60" w:line="360" w:lineRule="auto"/>
              <w:jc w:val="center"/>
              <w:rPr>
                <w:rFonts w:asciiTheme="minorEastAsia" w:hAnsiTheme="minorEastAsia" w:eastAsiaTheme="minorEastAsia"/>
                <w:sz w:val="24"/>
              </w:rPr>
            </w:pPr>
            <w:r>
              <w:rPr>
                <w:rFonts w:hint="eastAsia" w:asciiTheme="minorEastAsia" w:hAnsiTheme="minorEastAsia" w:eastAsiaTheme="minorEastAsia"/>
                <w:sz w:val="24"/>
              </w:rPr>
              <w:t>金额（元）</w:t>
            </w:r>
          </w:p>
        </w:tc>
        <w:tc>
          <w:tcPr>
            <w:tcW w:w="1134" w:type="dxa"/>
            <w:vAlign w:val="center"/>
          </w:tcPr>
          <w:p w14:paraId="1EA760F5">
            <w:pPr>
              <w:wordWrap w:val="0"/>
              <w:spacing w:before="60" w:after="60" w:line="360" w:lineRule="auto"/>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14:paraId="1C16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3D8BD13">
            <w:pPr>
              <w:wordWrap w:val="0"/>
              <w:spacing w:before="60" w:after="60" w:line="360" w:lineRule="auto"/>
              <w:jc w:val="center"/>
              <w:rPr>
                <w:rFonts w:asciiTheme="minorEastAsia" w:hAnsiTheme="minorEastAsia" w:eastAsiaTheme="minorEastAsia"/>
                <w:sz w:val="24"/>
              </w:rPr>
            </w:pPr>
          </w:p>
        </w:tc>
        <w:tc>
          <w:tcPr>
            <w:tcW w:w="3471" w:type="dxa"/>
            <w:vAlign w:val="center"/>
          </w:tcPr>
          <w:p w14:paraId="3E067AC4">
            <w:pPr>
              <w:wordWrap w:val="0"/>
              <w:spacing w:before="60" w:after="60" w:line="360" w:lineRule="auto"/>
              <w:jc w:val="center"/>
              <w:rPr>
                <w:rFonts w:asciiTheme="minorEastAsia" w:hAnsiTheme="minorEastAsia" w:eastAsiaTheme="minorEastAsia"/>
                <w:sz w:val="24"/>
              </w:rPr>
            </w:pPr>
          </w:p>
        </w:tc>
        <w:tc>
          <w:tcPr>
            <w:tcW w:w="2552" w:type="dxa"/>
            <w:vAlign w:val="center"/>
          </w:tcPr>
          <w:p w14:paraId="6E6D8E2C">
            <w:pPr>
              <w:wordWrap w:val="0"/>
              <w:spacing w:before="60" w:after="60" w:line="360" w:lineRule="auto"/>
              <w:jc w:val="center"/>
              <w:rPr>
                <w:rFonts w:asciiTheme="minorEastAsia" w:hAnsiTheme="minorEastAsia" w:eastAsiaTheme="minorEastAsia"/>
                <w:sz w:val="24"/>
              </w:rPr>
            </w:pPr>
          </w:p>
        </w:tc>
        <w:tc>
          <w:tcPr>
            <w:tcW w:w="1984" w:type="dxa"/>
            <w:vAlign w:val="center"/>
          </w:tcPr>
          <w:p w14:paraId="6C61F94B">
            <w:pPr>
              <w:wordWrap w:val="0"/>
              <w:spacing w:before="60" w:after="60" w:line="360" w:lineRule="auto"/>
              <w:jc w:val="center"/>
              <w:rPr>
                <w:rFonts w:asciiTheme="minorEastAsia" w:hAnsiTheme="minorEastAsia" w:eastAsiaTheme="minorEastAsia"/>
                <w:sz w:val="24"/>
              </w:rPr>
            </w:pPr>
          </w:p>
        </w:tc>
        <w:tc>
          <w:tcPr>
            <w:tcW w:w="1134" w:type="dxa"/>
            <w:vAlign w:val="center"/>
          </w:tcPr>
          <w:p w14:paraId="3A89830A">
            <w:pPr>
              <w:wordWrap w:val="0"/>
              <w:spacing w:before="60" w:after="60" w:line="360" w:lineRule="auto"/>
              <w:jc w:val="center"/>
              <w:rPr>
                <w:rFonts w:asciiTheme="minorEastAsia" w:hAnsiTheme="minorEastAsia" w:eastAsiaTheme="minorEastAsia"/>
                <w:sz w:val="24"/>
              </w:rPr>
            </w:pPr>
          </w:p>
        </w:tc>
      </w:tr>
      <w:tr w14:paraId="5AD5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6A4BA3AD">
            <w:pPr>
              <w:wordWrap w:val="0"/>
              <w:spacing w:before="60" w:after="60" w:line="360" w:lineRule="auto"/>
              <w:jc w:val="center"/>
              <w:rPr>
                <w:rFonts w:asciiTheme="minorEastAsia" w:hAnsiTheme="minorEastAsia" w:eastAsiaTheme="minorEastAsia"/>
                <w:sz w:val="24"/>
              </w:rPr>
            </w:pPr>
          </w:p>
        </w:tc>
        <w:tc>
          <w:tcPr>
            <w:tcW w:w="3471" w:type="dxa"/>
            <w:vAlign w:val="center"/>
          </w:tcPr>
          <w:p w14:paraId="1C983338">
            <w:pPr>
              <w:wordWrap w:val="0"/>
              <w:spacing w:before="60" w:after="60" w:line="360" w:lineRule="auto"/>
              <w:jc w:val="center"/>
              <w:rPr>
                <w:rFonts w:asciiTheme="minorEastAsia" w:hAnsiTheme="minorEastAsia" w:eastAsiaTheme="minorEastAsia"/>
                <w:sz w:val="24"/>
              </w:rPr>
            </w:pPr>
          </w:p>
        </w:tc>
        <w:tc>
          <w:tcPr>
            <w:tcW w:w="2552" w:type="dxa"/>
            <w:vAlign w:val="center"/>
          </w:tcPr>
          <w:p w14:paraId="6160C9D5">
            <w:pPr>
              <w:wordWrap w:val="0"/>
              <w:spacing w:before="60" w:after="60" w:line="360" w:lineRule="auto"/>
              <w:jc w:val="center"/>
              <w:rPr>
                <w:rFonts w:asciiTheme="minorEastAsia" w:hAnsiTheme="minorEastAsia" w:eastAsiaTheme="minorEastAsia"/>
                <w:sz w:val="24"/>
              </w:rPr>
            </w:pPr>
          </w:p>
        </w:tc>
        <w:tc>
          <w:tcPr>
            <w:tcW w:w="1984" w:type="dxa"/>
            <w:vAlign w:val="center"/>
          </w:tcPr>
          <w:p w14:paraId="36965A9A">
            <w:pPr>
              <w:wordWrap w:val="0"/>
              <w:spacing w:before="60" w:after="60" w:line="360" w:lineRule="auto"/>
              <w:jc w:val="center"/>
              <w:rPr>
                <w:rFonts w:asciiTheme="minorEastAsia" w:hAnsiTheme="minorEastAsia" w:eastAsiaTheme="minorEastAsia"/>
                <w:sz w:val="24"/>
              </w:rPr>
            </w:pPr>
          </w:p>
        </w:tc>
        <w:tc>
          <w:tcPr>
            <w:tcW w:w="1134" w:type="dxa"/>
            <w:vAlign w:val="center"/>
          </w:tcPr>
          <w:p w14:paraId="5111E4C7">
            <w:pPr>
              <w:wordWrap w:val="0"/>
              <w:spacing w:before="60" w:after="60" w:line="360" w:lineRule="auto"/>
              <w:jc w:val="center"/>
              <w:rPr>
                <w:rFonts w:asciiTheme="minorEastAsia" w:hAnsiTheme="minorEastAsia" w:eastAsiaTheme="minorEastAsia"/>
                <w:sz w:val="24"/>
              </w:rPr>
            </w:pPr>
          </w:p>
        </w:tc>
      </w:tr>
      <w:tr w14:paraId="363E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E9184FA">
            <w:pPr>
              <w:wordWrap w:val="0"/>
              <w:spacing w:before="60" w:after="60" w:line="360" w:lineRule="auto"/>
              <w:jc w:val="center"/>
              <w:rPr>
                <w:rFonts w:asciiTheme="minorEastAsia" w:hAnsiTheme="minorEastAsia" w:eastAsiaTheme="minorEastAsia"/>
                <w:sz w:val="24"/>
              </w:rPr>
            </w:pPr>
          </w:p>
        </w:tc>
        <w:tc>
          <w:tcPr>
            <w:tcW w:w="3471" w:type="dxa"/>
            <w:vAlign w:val="center"/>
          </w:tcPr>
          <w:p w14:paraId="473F1BD1">
            <w:pPr>
              <w:wordWrap w:val="0"/>
              <w:spacing w:before="60" w:after="60" w:line="360" w:lineRule="auto"/>
              <w:jc w:val="center"/>
              <w:rPr>
                <w:rFonts w:asciiTheme="minorEastAsia" w:hAnsiTheme="minorEastAsia" w:eastAsiaTheme="minorEastAsia"/>
                <w:sz w:val="24"/>
              </w:rPr>
            </w:pPr>
          </w:p>
        </w:tc>
        <w:tc>
          <w:tcPr>
            <w:tcW w:w="2552" w:type="dxa"/>
            <w:vAlign w:val="center"/>
          </w:tcPr>
          <w:p w14:paraId="110E67A2">
            <w:pPr>
              <w:wordWrap w:val="0"/>
              <w:spacing w:before="60" w:after="60" w:line="360" w:lineRule="auto"/>
              <w:jc w:val="center"/>
              <w:rPr>
                <w:rFonts w:asciiTheme="minorEastAsia" w:hAnsiTheme="minorEastAsia" w:eastAsiaTheme="minorEastAsia"/>
                <w:sz w:val="24"/>
              </w:rPr>
            </w:pPr>
          </w:p>
        </w:tc>
        <w:tc>
          <w:tcPr>
            <w:tcW w:w="1984" w:type="dxa"/>
            <w:vAlign w:val="center"/>
          </w:tcPr>
          <w:p w14:paraId="5827AD5E">
            <w:pPr>
              <w:wordWrap w:val="0"/>
              <w:spacing w:before="60" w:after="60" w:line="360" w:lineRule="auto"/>
              <w:jc w:val="center"/>
              <w:rPr>
                <w:rFonts w:asciiTheme="minorEastAsia" w:hAnsiTheme="minorEastAsia" w:eastAsiaTheme="minorEastAsia"/>
                <w:sz w:val="24"/>
              </w:rPr>
            </w:pPr>
          </w:p>
        </w:tc>
        <w:tc>
          <w:tcPr>
            <w:tcW w:w="1134" w:type="dxa"/>
            <w:vAlign w:val="center"/>
          </w:tcPr>
          <w:p w14:paraId="20C78CD0">
            <w:pPr>
              <w:wordWrap w:val="0"/>
              <w:spacing w:before="60" w:after="60" w:line="360" w:lineRule="auto"/>
              <w:jc w:val="center"/>
              <w:rPr>
                <w:rFonts w:asciiTheme="minorEastAsia" w:hAnsiTheme="minorEastAsia" w:eastAsiaTheme="minorEastAsia"/>
                <w:sz w:val="24"/>
              </w:rPr>
            </w:pPr>
          </w:p>
        </w:tc>
      </w:tr>
      <w:tr w14:paraId="35E9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19D2A4E">
            <w:pPr>
              <w:wordWrap w:val="0"/>
              <w:spacing w:before="60" w:after="60" w:line="360" w:lineRule="auto"/>
              <w:jc w:val="center"/>
              <w:rPr>
                <w:rFonts w:asciiTheme="minorEastAsia" w:hAnsiTheme="minorEastAsia" w:eastAsiaTheme="minorEastAsia"/>
                <w:sz w:val="24"/>
              </w:rPr>
            </w:pPr>
          </w:p>
        </w:tc>
        <w:tc>
          <w:tcPr>
            <w:tcW w:w="3471" w:type="dxa"/>
            <w:vAlign w:val="center"/>
          </w:tcPr>
          <w:p w14:paraId="690A3513">
            <w:pPr>
              <w:wordWrap w:val="0"/>
              <w:spacing w:before="60" w:after="60" w:line="360" w:lineRule="auto"/>
              <w:jc w:val="center"/>
              <w:rPr>
                <w:rFonts w:asciiTheme="minorEastAsia" w:hAnsiTheme="minorEastAsia" w:eastAsiaTheme="minorEastAsia"/>
                <w:sz w:val="24"/>
              </w:rPr>
            </w:pPr>
          </w:p>
        </w:tc>
        <w:tc>
          <w:tcPr>
            <w:tcW w:w="2552" w:type="dxa"/>
            <w:vAlign w:val="center"/>
          </w:tcPr>
          <w:p w14:paraId="1060500C">
            <w:pPr>
              <w:wordWrap w:val="0"/>
              <w:spacing w:before="60" w:after="60" w:line="360" w:lineRule="auto"/>
              <w:jc w:val="center"/>
              <w:rPr>
                <w:rFonts w:asciiTheme="minorEastAsia" w:hAnsiTheme="minorEastAsia" w:eastAsiaTheme="minorEastAsia"/>
                <w:sz w:val="24"/>
              </w:rPr>
            </w:pPr>
          </w:p>
        </w:tc>
        <w:tc>
          <w:tcPr>
            <w:tcW w:w="1984" w:type="dxa"/>
            <w:vAlign w:val="center"/>
          </w:tcPr>
          <w:p w14:paraId="0365B72E">
            <w:pPr>
              <w:wordWrap w:val="0"/>
              <w:spacing w:before="60" w:after="60" w:line="360" w:lineRule="auto"/>
              <w:jc w:val="center"/>
              <w:rPr>
                <w:rFonts w:asciiTheme="minorEastAsia" w:hAnsiTheme="minorEastAsia" w:eastAsiaTheme="minorEastAsia"/>
                <w:sz w:val="24"/>
              </w:rPr>
            </w:pPr>
          </w:p>
        </w:tc>
        <w:tc>
          <w:tcPr>
            <w:tcW w:w="1134" w:type="dxa"/>
            <w:vAlign w:val="center"/>
          </w:tcPr>
          <w:p w14:paraId="7C677232">
            <w:pPr>
              <w:wordWrap w:val="0"/>
              <w:spacing w:before="60" w:after="60" w:line="360" w:lineRule="auto"/>
              <w:jc w:val="center"/>
              <w:rPr>
                <w:rFonts w:asciiTheme="minorEastAsia" w:hAnsiTheme="minorEastAsia" w:eastAsiaTheme="minorEastAsia"/>
                <w:sz w:val="24"/>
              </w:rPr>
            </w:pPr>
          </w:p>
        </w:tc>
      </w:tr>
      <w:tr w14:paraId="009A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296E05F6">
            <w:pPr>
              <w:wordWrap w:val="0"/>
              <w:spacing w:before="60" w:after="60" w:line="360" w:lineRule="auto"/>
              <w:jc w:val="center"/>
              <w:rPr>
                <w:rFonts w:asciiTheme="minorEastAsia" w:hAnsiTheme="minorEastAsia" w:eastAsiaTheme="minorEastAsia"/>
                <w:sz w:val="24"/>
              </w:rPr>
            </w:pPr>
          </w:p>
        </w:tc>
        <w:tc>
          <w:tcPr>
            <w:tcW w:w="3471" w:type="dxa"/>
            <w:vAlign w:val="center"/>
          </w:tcPr>
          <w:p w14:paraId="16EF8D8A">
            <w:pPr>
              <w:wordWrap w:val="0"/>
              <w:spacing w:before="60" w:after="60" w:line="360" w:lineRule="auto"/>
              <w:jc w:val="center"/>
              <w:rPr>
                <w:rFonts w:asciiTheme="minorEastAsia" w:hAnsiTheme="minorEastAsia" w:eastAsiaTheme="minorEastAsia"/>
                <w:sz w:val="24"/>
              </w:rPr>
            </w:pPr>
          </w:p>
        </w:tc>
        <w:tc>
          <w:tcPr>
            <w:tcW w:w="2552" w:type="dxa"/>
            <w:vAlign w:val="center"/>
          </w:tcPr>
          <w:p w14:paraId="6947561B">
            <w:pPr>
              <w:wordWrap w:val="0"/>
              <w:spacing w:before="60" w:after="60" w:line="360" w:lineRule="auto"/>
              <w:jc w:val="center"/>
              <w:rPr>
                <w:rFonts w:asciiTheme="minorEastAsia" w:hAnsiTheme="minorEastAsia" w:eastAsiaTheme="minorEastAsia"/>
                <w:sz w:val="24"/>
              </w:rPr>
            </w:pPr>
          </w:p>
        </w:tc>
        <w:tc>
          <w:tcPr>
            <w:tcW w:w="1984" w:type="dxa"/>
            <w:vAlign w:val="center"/>
          </w:tcPr>
          <w:p w14:paraId="605F22D9">
            <w:pPr>
              <w:wordWrap w:val="0"/>
              <w:spacing w:before="60" w:after="60" w:line="360" w:lineRule="auto"/>
              <w:jc w:val="center"/>
              <w:rPr>
                <w:rFonts w:asciiTheme="minorEastAsia" w:hAnsiTheme="minorEastAsia" w:eastAsiaTheme="minorEastAsia"/>
                <w:sz w:val="24"/>
              </w:rPr>
            </w:pPr>
          </w:p>
        </w:tc>
        <w:tc>
          <w:tcPr>
            <w:tcW w:w="1134" w:type="dxa"/>
            <w:vAlign w:val="center"/>
          </w:tcPr>
          <w:p w14:paraId="165297AE">
            <w:pPr>
              <w:wordWrap w:val="0"/>
              <w:spacing w:before="60" w:after="60" w:line="360" w:lineRule="auto"/>
              <w:jc w:val="center"/>
              <w:rPr>
                <w:rFonts w:asciiTheme="minorEastAsia" w:hAnsiTheme="minorEastAsia" w:eastAsiaTheme="minorEastAsia"/>
                <w:sz w:val="24"/>
              </w:rPr>
            </w:pPr>
          </w:p>
        </w:tc>
      </w:tr>
      <w:tr w14:paraId="5593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C94A997">
            <w:pPr>
              <w:wordWrap w:val="0"/>
              <w:spacing w:before="60" w:after="60" w:line="360" w:lineRule="auto"/>
              <w:jc w:val="center"/>
              <w:rPr>
                <w:rFonts w:asciiTheme="minorEastAsia" w:hAnsiTheme="minorEastAsia" w:eastAsiaTheme="minorEastAsia"/>
                <w:sz w:val="24"/>
              </w:rPr>
            </w:pPr>
          </w:p>
        </w:tc>
        <w:tc>
          <w:tcPr>
            <w:tcW w:w="3471" w:type="dxa"/>
            <w:vAlign w:val="center"/>
          </w:tcPr>
          <w:p w14:paraId="697E648D">
            <w:pPr>
              <w:wordWrap w:val="0"/>
              <w:spacing w:before="60" w:after="60" w:line="360" w:lineRule="auto"/>
              <w:jc w:val="center"/>
              <w:rPr>
                <w:rFonts w:asciiTheme="minorEastAsia" w:hAnsiTheme="minorEastAsia" w:eastAsiaTheme="minorEastAsia"/>
                <w:sz w:val="24"/>
              </w:rPr>
            </w:pPr>
          </w:p>
        </w:tc>
        <w:tc>
          <w:tcPr>
            <w:tcW w:w="2552" w:type="dxa"/>
            <w:vAlign w:val="center"/>
          </w:tcPr>
          <w:p w14:paraId="5C3B5E71">
            <w:pPr>
              <w:wordWrap w:val="0"/>
              <w:spacing w:before="60" w:after="60" w:line="360" w:lineRule="auto"/>
              <w:jc w:val="center"/>
              <w:rPr>
                <w:rFonts w:asciiTheme="minorEastAsia" w:hAnsiTheme="minorEastAsia" w:eastAsiaTheme="minorEastAsia"/>
                <w:sz w:val="24"/>
              </w:rPr>
            </w:pPr>
          </w:p>
        </w:tc>
        <w:tc>
          <w:tcPr>
            <w:tcW w:w="1984" w:type="dxa"/>
            <w:vAlign w:val="center"/>
          </w:tcPr>
          <w:p w14:paraId="0C74C30E">
            <w:pPr>
              <w:wordWrap w:val="0"/>
              <w:spacing w:before="60" w:after="60" w:line="360" w:lineRule="auto"/>
              <w:jc w:val="center"/>
              <w:rPr>
                <w:rFonts w:asciiTheme="minorEastAsia" w:hAnsiTheme="minorEastAsia" w:eastAsiaTheme="minorEastAsia"/>
                <w:sz w:val="24"/>
              </w:rPr>
            </w:pPr>
          </w:p>
        </w:tc>
        <w:tc>
          <w:tcPr>
            <w:tcW w:w="1134" w:type="dxa"/>
            <w:vAlign w:val="center"/>
          </w:tcPr>
          <w:p w14:paraId="1C8FCBCB">
            <w:pPr>
              <w:wordWrap w:val="0"/>
              <w:spacing w:before="60" w:after="60" w:line="360" w:lineRule="auto"/>
              <w:jc w:val="center"/>
              <w:rPr>
                <w:rFonts w:asciiTheme="minorEastAsia" w:hAnsiTheme="minorEastAsia" w:eastAsiaTheme="minorEastAsia"/>
                <w:sz w:val="24"/>
              </w:rPr>
            </w:pPr>
          </w:p>
        </w:tc>
      </w:tr>
      <w:tr w14:paraId="11C2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6EDE09D">
            <w:pPr>
              <w:wordWrap w:val="0"/>
              <w:spacing w:before="60" w:after="60" w:line="360" w:lineRule="auto"/>
              <w:jc w:val="center"/>
              <w:rPr>
                <w:rFonts w:asciiTheme="minorEastAsia" w:hAnsiTheme="minorEastAsia" w:eastAsiaTheme="minorEastAsia"/>
                <w:sz w:val="24"/>
              </w:rPr>
            </w:pPr>
          </w:p>
        </w:tc>
        <w:tc>
          <w:tcPr>
            <w:tcW w:w="3471" w:type="dxa"/>
            <w:vAlign w:val="center"/>
          </w:tcPr>
          <w:p w14:paraId="0BD54B36">
            <w:pPr>
              <w:wordWrap w:val="0"/>
              <w:spacing w:before="60" w:after="60" w:line="360" w:lineRule="auto"/>
              <w:jc w:val="center"/>
              <w:rPr>
                <w:rFonts w:asciiTheme="minorEastAsia" w:hAnsiTheme="minorEastAsia" w:eastAsiaTheme="minorEastAsia"/>
                <w:sz w:val="24"/>
              </w:rPr>
            </w:pPr>
          </w:p>
        </w:tc>
        <w:tc>
          <w:tcPr>
            <w:tcW w:w="2552" w:type="dxa"/>
            <w:vAlign w:val="center"/>
          </w:tcPr>
          <w:p w14:paraId="4DC1A5A8">
            <w:pPr>
              <w:wordWrap w:val="0"/>
              <w:spacing w:before="60" w:after="60" w:line="360" w:lineRule="auto"/>
              <w:jc w:val="center"/>
              <w:rPr>
                <w:rFonts w:asciiTheme="minorEastAsia" w:hAnsiTheme="minorEastAsia" w:eastAsiaTheme="minorEastAsia"/>
                <w:sz w:val="24"/>
              </w:rPr>
            </w:pPr>
          </w:p>
        </w:tc>
        <w:tc>
          <w:tcPr>
            <w:tcW w:w="1984" w:type="dxa"/>
            <w:vAlign w:val="center"/>
          </w:tcPr>
          <w:p w14:paraId="13915334">
            <w:pPr>
              <w:wordWrap w:val="0"/>
              <w:spacing w:before="60" w:after="60" w:line="360" w:lineRule="auto"/>
              <w:jc w:val="center"/>
              <w:rPr>
                <w:rFonts w:asciiTheme="minorEastAsia" w:hAnsiTheme="minorEastAsia" w:eastAsiaTheme="minorEastAsia"/>
                <w:sz w:val="24"/>
              </w:rPr>
            </w:pPr>
          </w:p>
        </w:tc>
        <w:tc>
          <w:tcPr>
            <w:tcW w:w="1134" w:type="dxa"/>
            <w:vAlign w:val="center"/>
          </w:tcPr>
          <w:p w14:paraId="771B21CB">
            <w:pPr>
              <w:wordWrap w:val="0"/>
              <w:spacing w:before="60" w:after="60" w:line="360" w:lineRule="auto"/>
              <w:jc w:val="center"/>
              <w:rPr>
                <w:rFonts w:asciiTheme="minorEastAsia" w:hAnsiTheme="minorEastAsia" w:eastAsiaTheme="minorEastAsia"/>
                <w:sz w:val="24"/>
              </w:rPr>
            </w:pPr>
          </w:p>
        </w:tc>
      </w:tr>
    </w:tbl>
    <w:p w14:paraId="621B4EE2">
      <w:pPr>
        <w:wordWrap w:val="0"/>
        <w:spacing w:before="60" w:after="60" w:line="360" w:lineRule="auto"/>
        <w:rPr>
          <w:rFonts w:asciiTheme="minorEastAsia" w:hAnsiTheme="minorEastAsia" w:eastAsiaTheme="minorEastAsia"/>
          <w:b/>
          <w:bCs/>
          <w:sz w:val="24"/>
        </w:rPr>
      </w:pPr>
      <w:r>
        <w:rPr>
          <w:rFonts w:hint="eastAsia" w:asciiTheme="minorEastAsia" w:hAnsiTheme="minorEastAsia" w:eastAsiaTheme="minorEastAsia"/>
          <w:b/>
          <w:sz w:val="24"/>
        </w:rPr>
        <w:t>注：1.本表后附中标（成交）通知书或合同协议书的复印件或扫描件。</w:t>
      </w:r>
    </w:p>
    <w:p w14:paraId="4BCD69EC">
      <w:pPr>
        <w:pStyle w:val="14"/>
        <w:wordWrap w:val="0"/>
        <w:rPr>
          <w:rFonts w:asciiTheme="minorEastAsia" w:hAnsiTheme="minorEastAsia" w:eastAsiaTheme="minorEastAsia"/>
        </w:rPr>
      </w:pPr>
    </w:p>
    <w:p w14:paraId="01959F57">
      <w:pPr>
        <w:pStyle w:val="17"/>
        <w:wordWrap w:val="0"/>
        <w:rPr>
          <w:rFonts w:asciiTheme="minorEastAsia" w:hAnsiTheme="minorEastAsia" w:eastAsiaTheme="minorEastAsia"/>
        </w:rPr>
      </w:pPr>
    </w:p>
    <w:p w14:paraId="582993CD">
      <w:pPr>
        <w:wordWrap w:val="0"/>
        <w:rPr>
          <w:rFonts w:asciiTheme="minorEastAsia" w:hAnsiTheme="minorEastAsia" w:eastAsiaTheme="minorEastAsia"/>
        </w:rPr>
      </w:pPr>
    </w:p>
    <w:p w14:paraId="6C394278">
      <w:pPr>
        <w:pStyle w:val="14"/>
        <w:wordWrap w:val="0"/>
        <w:rPr>
          <w:rFonts w:asciiTheme="minorEastAsia" w:hAnsiTheme="minorEastAsia" w:eastAsiaTheme="minorEastAsia"/>
        </w:rPr>
      </w:pPr>
    </w:p>
    <w:p w14:paraId="4FA3E676">
      <w:pPr>
        <w:pStyle w:val="17"/>
        <w:wordWrap w:val="0"/>
        <w:rPr>
          <w:rFonts w:asciiTheme="minorEastAsia" w:hAnsiTheme="minorEastAsia" w:eastAsiaTheme="minorEastAsia"/>
        </w:rPr>
      </w:pPr>
    </w:p>
    <w:p w14:paraId="599136B9">
      <w:pPr>
        <w:wordWrap w:val="0"/>
        <w:spacing w:line="360" w:lineRule="auto"/>
        <w:jc w:val="left"/>
        <w:rPr>
          <w:rFonts w:cs="宋体" w:asciiTheme="minorEastAsia" w:hAnsiTheme="minorEastAsia" w:eastAsiaTheme="minorEastAsia"/>
          <w:snapToGrid w:val="0"/>
          <w:kern w:val="0"/>
          <w:sz w:val="24"/>
          <w:szCs w:val="24"/>
          <w:lang w:val="zh-CN"/>
        </w:rPr>
      </w:pPr>
      <w:r>
        <w:rPr>
          <w:rFonts w:hint="eastAsia" w:cs="宋体" w:asciiTheme="minorEastAsia" w:hAnsiTheme="minorEastAsia" w:eastAsiaTheme="minorEastAsia"/>
          <w:snapToGrid w:val="0"/>
          <w:kern w:val="0"/>
          <w:sz w:val="24"/>
          <w:szCs w:val="24"/>
          <w:lang w:val="zh-CN"/>
        </w:rPr>
        <w:t>磋商供应商（电子签章）：_____________________________________________</w:t>
      </w:r>
    </w:p>
    <w:p w14:paraId="528E5E43">
      <w:pPr>
        <w:wordWrap w:val="0"/>
        <w:spacing w:line="360" w:lineRule="auto"/>
        <w:jc w:val="left"/>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z w:val="24"/>
          <w:szCs w:val="24"/>
        </w:rPr>
        <w:t>法定代表人</w:t>
      </w:r>
      <w:r>
        <w:rPr>
          <w:rFonts w:hint="eastAsia" w:cs="宋体" w:asciiTheme="minorEastAsia" w:hAnsiTheme="minorEastAsia" w:eastAsiaTheme="minorEastAsia"/>
          <w:snapToGrid w:val="0"/>
          <w:kern w:val="0"/>
          <w:sz w:val="24"/>
          <w:szCs w:val="24"/>
        </w:rPr>
        <w:t>或其委托代理人（电子签名或电子签章）</w:t>
      </w:r>
      <w:r>
        <w:rPr>
          <w:rFonts w:hint="eastAsia" w:cs="宋体" w:asciiTheme="minorEastAsia" w:hAnsiTheme="minorEastAsia" w:eastAsiaTheme="minorEastAsia"/>
          <w:snapToGrid w:val="0"/>
          <w:kern w:val="0"/>
          <w:sz w:val="24"/>
          <w:szCs w:val="24"/>
          <w:lang w:val="zh-CN"/>
        </w:rPr>
        <w:t>：_____________________</w:t>
      </w:r>
    </w:p>
    <w:p w14:paraId="5BC08C31">
      <w:pPr>
        <w:wordWrap w:val="0"/>
        <w:spacing w:line="360" w:lineRule="auto"/>
        <w:jc w:val="left"/>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日  期：______年_____月_____日</w:t>
      </w:r>
    </w:p>
    <w:bookmarkEnd w:id="1717"/>
    <w:bookmarkEnd w:id="1718"/>
    <w:bookmarkEnd w:id="1719"/>
    <w:p w14:paraId="4FF1E6C6">
      <w:pPr>
        <w:widowControl/>
        <w:wordWrap w:val="0"/>
        <w:jc w:val="left"/>
        <w:rPr>
          <w:rFonts w:cs="宋体" w:asciiTheme="minorEastAsia" w:hAnsiTheme="minorEastAsia" w:eastAsiaTheme="minorEastAsia"/>
          <w:b/>
          <w:bCs/>
          <w:sz w:val="28"/>
          <w:szCs w:val="28"/>
        </w:rPr>
      </w:pPr>
      <w:bookmarkStart w:id="1720" w:name="_Toc30147380"/>
      <w:bookmarkStart w:id="1721" w:name="_Toc1639"/>
      <w:bookmarkStart w:id="1722" w:name="_Toc5497"/>
      <w:bookmarkStart w:id="1723" w:name="_Toc27652"/>
      <w:r>
        <w:rPr>
          <w:rFonts w:cs="宋体" w:asciiTheme="minorEastAsia" w:hAnsiTheme="minorEastAsia" w:eastAsiaTheme="minorEastAsia"/>
          <w:bCs/>
          <w:szCs w:val="28"/>
        </w:rPr>
        <w:br w:type="page"/>
      </w:r>
    </w:p>
    <w:p w14:paraId="4CFB6107">
      <w:pPr>
        <w:pStyle w:val="5"/>
        <w:widowControl/>
        <w:numPr>
          <w:ilvl w:val="2"/>
          <w:numId w:val="0"/>
        </w:numPr>
        <w:tabs>
          <w:tab w:val="left" w:pos="432"/>
          <w:tab w:val="left" w:pos="720"/>
        </w:tabs>
        <w:wordWrap w:val="0"/>
        <w:spacing w:before="120" w:after="120"/>
        <w:ind w:left="720" w:hanging="720"/>
        <w:jc w:val="center"/>
        <w:rPr>
          <w:rFonts w:cs="宋体" w:asciiTheme="minorEastAsia" w:hAnsiTheme="minorEastAsia" w:eastAsiaTheme="minorEastAsia"/>
          <w:bCs/>
          <w:szCs w:val="28"/>
        </w:rPr>
      </w:pPr>
      <w:r>
        <w:rPr>
          <w:rFonts w:hint="eastAsia" w:cs="宋体" w:asciiTheme="minorEastAsia" w:hAnsiTheme="minorEastAsia" w:eastAsiaTheme="minorEastAsia"/>
          <w:bCs/>
          <w:szCs w:val="28"/>
        </w:rPr>
        <w:t>四、商务部分其他资料（若有）</w:t>
      </w:r>
      <w:bookmarkEnd w:id="1720"/>
      <w:bookmarkEnd w:id="1721"/>
      <w:bookmarkEnd w:id="1722"/>
      <w:bookmarkEnd w:id="1723"/>
    </w:p>
    <w:p w14:paraId="645C7265">
      <w:pPr>
        <w:wordWrap w:val="0"/>
        <w:rPr>
          <w:rFonts w:cs="宋体" w:asciiTheme="minorEastAsia" w:hAnsiTheme="minorEastAsia" w:eastAsiaTheme="minorEastAsia"/>
          <w:b/>
          <w:snapToGrid w:val="0"/>
          <w:kern w:val="0"/>
          <w:sz w:val="28"/>
          <w:szCs w:val="28"/>
        </w:rPr>
      </w:pPr>
      <w:bookmarkStart w:id="1724" w:name="_Toc32340"/>
      <w:bookmarkStart w:id="1725" w:name="_Toc132376783"/>
      <w:r>
        <w:rPr>
          <w:rFonts w:hint="eastAsia" w:cs="宋体" w:asciiTheme="minorEastAsia" w:hAnsiTheme="minorEastAsia" w:eastAsiaTheme="minorEastAsia"/>
          <w:b/>
          <w:snapToGrid w:val="0"/>
          <w:kern w:val="0"/>
          <w:sz w:val="28"/>
          <w:szCs w:val="28"/>
        </w:rPr>
        <w:br w:type="page"/>
      </w:r>
    </w:p>
    <w:p w14:paraId="0EB45CEB">
      <w:pPr>
        <w:wordWrap w:val="0"/>
        <w:spacing w:line="360" w:lineRule="auto"/>
        <w:jc w:val="center"/>
        <w:outlineLvl w:val="2"/>
        <w:rPr>
          <w:rFonts w:cs="宋体" w:asciiTheme="minorEastAsia" w:hAnsiTheme="minorEastAsia" w:eastAsiaTheme="minorEastAsia"/>
          <w:b/>
          <w:snapToGrid w:val="0"/>
          <w:kern w:val="0"/>
          <w:sz w:val="28"/>
          <w:szCs w:val="28"/>
        </w:rPr>
      </w:pPr>
      <w:bookmarkStart w:id="1726" w:name="_Toc27002"/>
      <w:bookmarkStart w:id="1727" w:name="_Toc193796127"/>
      <w:bookmarkStart w:id="1728" w:name="_Toc26658"/>
      <w:bookmarkStart w:id="1729" w:name="_Toc28350"/>
      <w:bookmarkStart w:id="1730" w:name="_Toc9177"/>
      <w:r>
        <w:rPr>
          <w:rFonts w:hint="eastAsia" w:cs="宋体" w:asciiTheme="minorEastAsia" w:hAnsiTheme="minorEastAsia" w:eastAsiaTheme="minorEastAsia"/>
          <w:b/>
          <w:snapToGrid w:val="0"/>
          <w:kern w:val="0"/>
          <w:sz w:val="28"/>
          <w:szCs w:val="28"/>
        </w:rPr>
        <w:t>第四部分 磋商文件要求或磋商供应商认为有必要提交的其他材料（若有）</w:t>
      </w:r>
      <w:bookmarkEnd w:id="1724"/>
      <w:bookmarkEnd w:id="1725"/>
      <w:bookmarkEnd w:id="1726"/>
      <w:bookmarkEnd w:id="1727"/>
      <w:bookmarkEnd w:id="1728"/>
      <w:bookmarkEnd w:id="1729"/>
      <w:bookmarkEnd w:id="1730"/>
    </w:p>
    <w:p w14:paraId="6741DDCD">
      <w:pPr>
        <w:wordWrap w:val="0"/>
        <w:rPr>
          <w:rFonts w:cs="宋体" w:asciiTheme="minorEastAsia" w:hAnsiTheme="minorEastAsia" w:eastAsiaTheme="minorEastAsia"/>
          <w:b/>
          <w:snapToGrid w:val="0"/>
          <w:kern w:val="0"/>
          <w:sz w:val="28"/>
          <w:szCs w:val="28"/>
        </w:rPr>
      </w:pPr>
      <w:bookmarkStart w:id="1731" w:name="_Toc9916"/>
      <w:bookmarkStart w:id="1732" w:name="_Toc22166"/>
      <w:bookmarkStart w:id="1733" w:name="_Toc21297"/>
      <w:bookmarkStart w:id="1734" w:name="_Toc27727"/>
      <w:bookmarkStart w:id="1735" w:name="_Toc15973"/>
      <w:bookmarkStart w:id="1736" w:name="_Toc14317"/>
      <w:bookmarkStart w:id="1737" w:name="_Toc132376784"/>
      <w:r>
        <w:rPr>
          <w:rFonts w:hint="eastAsia" w:cs="宋体" w:asciiTheme="minorEastAsia" w:hAnsiTheme="minorEastAsia" w:eastAsiaTheme="minorEastAsia"/>
          <w:b/>
          <w:snapToGrid w:val="0"/>
          <w:kern w:val="0"/>
          <w:sz w:val="28"/>
          <w:szCs w:val="28"/>
        </w:rPr>
        <w:br w:type="page"/>
      </w:r>
    </w:p>
    <w:p w14:paraId="1A814A4B">
      <w:pPr>
        <w:wordWrap w:val="0"/>
        <w:spacing w:line="360" w:lineRule="auto"/>
        <w:jc w:val="center"/>
        <w:outlineLvl w:val="2"/>
        <w:rPr>
          <w:rFonts w:cs="宋体" w:asciiTheme="minorEastAsia" w:hAnsiTheme="minorEastAsia" w:eastAsiaTheme="minorEastAsia"/>
          <w:b/>
          <w:snapToGrid w:val="0"/>
          <w:kern w:val="0"/>
          <w:sz w:val="28"/>
          <w:szCs w:val="28"/>
        </w:rPr>
      </w:pPr>
      <w:bookmarkStart w:id="1738" w:name="_Toc15538"/>
      <w:bookmarkStart w:id="1739" w:name="_Toc193796128"/>
      <w:r>
        <w:rPr>
          <w:rFonts w:hint="eastAsia" w:cs="宋体" w:asciiTheme="minorEastAsia" w:hAnsiTheme="minorEastAsia" w:eastAsiaTheme="minorEastAsia"/>
          <w:b/>
          <w:snapToGrid w:val="0"/>
          <w:kern w:val="0"/>
          <w:sz w:val="28"/>
          <w:szCs w:val="28"/>
        </w:rPr>
        <w:t>第五部分 附件</w:t>
      </w:r>
      <w:bookmarkEnd w:id="1731"/>
      <w:bookmarkEnd w:id="1732"/>
      <w:bookmarkEnd w:id="1733"/>
      <w:bookmarkEnd w:id="1734"/>
      <w:bookmarkEnd w:id="1735"/>
      <w:bookmarkEnd w:id="1736"/>
      <w:bookmarkEnd w:id="1737"/>
      <w:bookmarkEnd w:id="1738"/>
      <w:bookmarkEnd w:id="1739"/>
    </w:p>
    <w:p w14:paraId="122C8814">
      <w:pPr>
        <w:pStyle w:val="5"/>
        <w:widowControl/>
        <w:numPr>
          <w:ilvl w:val="2"/>
          <w:numId w:val="0"/>
        </w:numPr>
        <w:tabs>
          <w:tab w:val="left" w:pos="432"/>
          <w:tab w:val="left" w:pos="720"/>
        </w:tabs>
        <w:wordWrap w:val="0"/>
        <w:spacing w:before="120" w:after="120"/>
        <w:ind w:left="720" w:hanging="720"/>
        <w:jc w:val="center"/>
        <w:rPr>
          <w:rFonts w:cs="宋体" w:asciiTheme="minorEastAsia" w:hAnsiTheme="minorEastAsia" w:eastAsiaTheme="minorEastAsia"/>
          <w:bCs/>
          <w:szCs w:val="28"/>
        </w:rPr>
      </w:pPr>
      <w:bookmarkStart w:id="1740" w:name="_Toc18921"/>
      <w:bookmarkStart w:id="1741" w:name="_Toc6788"/>
      <w:bookmarkStart w:id="1742" w:name="_Toc20060"/>
      <w:bookmarkStart w:id="1743" w:name="_Toc14486"/>
      <w:bookmarkStart w:id="1744" w:name="_Hlk63684380"/>
      <w:r>
        <w:rPr>
          <w:rFonts w:hint="eastAsia" w:cs="宋体" w:asciiTheme="minorEastAsia" w:hAnsiTheme="minorEastAsia" w:eastAsiaTheme="minorEastAsia"/>
          <w:bCs/>
          <w:szCs w:val="28"/>
        </w:rPr>
        <w:t>一、中小企业声明函</w:t>
      </w:r>
      <w:bookmarkEnd w:id="1740"/>
      <w:bookmarkEnd w:id="1741"/>
      <w:bookmarkEnd w:id="1742"/>
      <w:bookmarkEnd w:id="1743"/>
    </w:p>
    <w:p w14:paraId="2FAC3860">
      <w:pPr>
        <w:widowControl/>
        <w:wordWrap w:val="0"/>
        <w:spacing w:line="500" w:lineRule="exact"/>
        <w:ind w:firstLine="480" w:firstLineChars="200"/>
        <w:jc w:val="left"/>
        <w:rPr>
          <w:rFonts w:cs="仿宋" w:asciiTheme="minorEastAsia" w:hAnsiTheme="minorEastAsia" w:eastAsiaTheme="minorEastAsia"/>
          <w:kern w:val="0"/>
          <w:sz w:val="24"/>
          <w:szCs w:val="24"/>
          <w:lang w:bidi="ar"/>
        </w:rPr>
      </w:pPr>
      <w:r>
        <w:rPr>
          <w:rFonts w:hint="eastAsia" w:cs="仿宋" w:asciiTheme="minorEastAsia" w:hAnsiTheme="minorEastAsia" w:eastAsiaTheme="minorEastAsia"/>
          <w:kern w:val="0"/>
          <w:sz w:val="24"/>
          <w:szCs w:val="24"/>
          <w:lang w:bidi="ar"/>
        </w:rPr>
        <w:t>本公司郑重声明，根据《政府采购促进中小企业发展管理办法》（财库﹝2020﹞46 号）的规定，本公司参加</w:t>
      </w:r>
      <w:r>
        <w:rPr>
          <w:rFonts w:hint="eastAsia" w:cs="仿宋" w:asciiTheme="minorEastAsia" w:hAnsiTheme="minorEastAsia" w:eastAsiaTheme="minorEastAsia"/>
          <w:kern w:val="0"/>
          <w:sz w:val="24"/>
          <w:szCs w:val="24"/>
          <w:u w:val="single"/>
          <w:lang w:bidi="ar"/>
        </w:rPr>
        <w:t>（采购人名称）</w:t>
      </w:r>
      <w:r>
        <w:rPr>
          <w:rFonts w:hint="eastAsia" w:cs="仿宋" w:asciiTheme="minorEastAsia" w:hAnsiTheme="minorEastAsia" w:eastAsiaTheme="minorEastAsia"/>
          <w:kern w:val="0"/>
          <w:sz w:val="24"/>
          <w:szCs w:val="24"/>
          <w:lang w:bidi="ar"/>
        </w:rPr>
        <w:t>的</w:t>
      </w:r>
      <w:r>
        <w:rPr>
          <w:rFonts w:hint="eastAsia" w:cs="仿宋" w:asciiTheme="minorEastAsia" w:hAnsiTheme="minorEastAsia" w:eastAsiaTheme="minorEastAsia"/>
          <w:kern w:val="0"/>
          <w:sz w:val="24"/>
          <w:szCs w:val="24"/>
          <w:u w:val="single"/>
          <w:lang w:bidi="ar"/>
        </w:rPr>
        <w:t>（项目名称）</w:t>
      </w:r>
      <w:r>
        <w:rPr>
          <w:rFonts w:hint="eastAsia" w:cs="仿宋" w:asciiTheme="minorEastAsia" w:hAnsiTheme="minorEastAsia" w:eastAsiaTheme="minorEastAsia"/>
          <w:kern w:val="0"/>
          <w:sz w:val="24"/>
          <w:szCs w:val="24"/>
          <w:lang w:bidi="ar"/>
        </w:rPr>
        <w:t>采购活动，工程的施工单位全部为符合政策要求的中小企业。相关企业的具体情况如下：</w:t>
      </w:r>
    </w:p>
    <w:p w14:paraId="7A210AD2">
      <w:pPr>
        <w:widowControl/>
        <w:numPr>
          <w:ilvl w:val="0"/>
          <w:numId w:val="7"/>
        </w:numPr>
        <w:wordWrap w:val="0"/>
        <w:spacing w:line="500" w:lineRule="exact"/>
        <w:ind w:firstLine="480" w:firstLineChars="200"/>
        <w:jc w:val="left"/>
        <w:rPr>
          <w:rFonts w:cs="仿宋" w:asciiTheme="minorEastAsia" w:hAnsiTheme="minorEastAsia" w:eastAsiaTheme="minorEastAsia"/>
          <w:kern w:val="0"/>
          <w:sz w:val="24"/>
          <w:szCs w:val="24"/>
          <w:lang w:bidi="ar"/>
        </w:rPr>
      </w:pPr>
      <w:r>
        <w:rPr>
          <w:rFonts w:hint="eastAsia" w:cs="仿宋" w:asciiTheme="minorEastAsia" w:hAnsiTheme="minorEastAsia" w:eastAsiaTheme="minorEastAsia"/>
          <w:kern w:val="0"/>
          <w:sz w:val="24"/>
          <w:szCs w:val="24"/>
          <w:u w:val="single"/>
          <w:lang w:bidi="ar"/>
        </w:rPr>
        <w:t xml:space="preserve">（标的名称） </w:t>
      </w:r>
      <w:r>
        <w:rPr>
          <w:rFonts w:hint="eastAsia" w:cs="仿宋" w:asciiTheme="minorEastAsia" w:hAnsiTheme="minorEastAsia" w:eastAsiaTheme="minorEastAsia"/>
          <w:kern w:val="0"/>
          <w:sz w:val="24"/>
          <w:szCs w:val="24"/>
          <w:lang w:bidi="ar"/>
        </w:rPr>
        <w:t>，属于</w:t>
      </w:r>
      <w:r>
        <w:rPr>
          <w:rFonts w:hint="eastAsia" w:cs="仿宋" w:asciiTheme="minorEastAsia" w:hAnsiTheme="minorEastAsia" w:eastAsiaTheme="minorEastAsia"/>
          <w:kern w:val="0"/>
          <w:sz w:val="24"/>
          <w:szCs w:val="24"/>
          <w:u w:val="single"/>
          <w:lang w:bidi="ar"/>
        </w:rPr>
        <w:t xml:space="preserve">（采购文件中明确的所属行业） </w:t>
      </w:r>
      <w:r>
        <w:rPr>
          <w:rFonts w:hint="eastAsia" w:cs="仿宋" w:asciiTheme="minorEastAsia" w:hAnsiTheme="minorEastAsia" w:eastAsiaTheme="minorEastAsia"/>
          <w:kern w:val="0"/>
          <w:sz w:val="24"/>
          <w:szCs w:val="24"/>
          <w:lang w:bidi="ar"/>
        </w:rPr>
        <w:t>行业；承建企业为</w:t>
      </w:r>
      <w:r>
        <w:rPr>
          <w:rFonts w:hint="eastAsia" w:cs="仿宋" w:asciiTheme="minorEastAsia" w:hAnsiTheme="minorEastAsia" w:eastAsiaTheme="minorEastAsia"/>
          <w:kern w:val="0"/>
          <w:sz w:val="24"/>
          <w:szCs w:val="24"/>
          <w:u w:val="single"/>
          <w:lang w:bidi="ar"/>
        </w:rPr>
        <w:t>（企业名称）</w:t>
      </w:r>
      <w:r>
        <w:rPr>
          <w:rFonts w:hint="eastAsia" w:cs="仿宋" w:asciiTheme="minorEastAsia" w:hAnsiTheme="minorEastAsia" w:eastAsiaTheme="minorEastAsia"/>
          <w:kern w:val="0"/>
          <w:sz w:val="24"/>
          <w:szCs w:val="24"/>
          <w:lang w:bidi="ar"/>
        </w:rPr>
        <w:t>，从业人员</w:t>
      </w:r>
      <w:r>
        <w:rPr>
          <w:rFonts w:hint="eastAsia" w:cs="仿宋" w:asciiTheme="minorEastAsia" w:hAnsiTheme="minorEastAsia" w:eastAsiaTheme="minorEastAsia"/>
          <w:kern w:val="0"/>
          <w:sz w:val="24"/>
          <w:szCs w:val="24"/>
          <w:u w:val="single"/>
          <w:lang w:bidi="ar"/>
        </w:rPr>
        <w:t xml:space="preserve">  </w:t>
      </w:r>
      <w:r>
        <w:rPr>
          <w:rFonts w:hint="eastAsia" w:cs="仿宋" w:asciiTheme="minorEastAsia" w:hAnsiTheme="minorEastAsia" w:eastAsiaTheme="minorEastAsia"/>
          <w:kern w:val="0"/>
          <w:sz w:val="24"/>
          <w:szCs w:val="24"/>
          <w:lang w:bidi="ar"/>
        </w:rPr>
        <w:t>人，营业收入为</w:t>
      </w:r>
      <w:r>
        <w:rPr>
          <w:rFonts w:hint="eastAsia" w:cs="仿宋" w:asciiTheme="minorEastAsia" w:hAnsiTheme="minorEastAsia" w:eastAsiaTheme="minorEastAsia"/>
          <w:kern w:val="0"/>
          <w:sz w:val="24"/>
          <w:szCs w:val="24"/>
          <w:u w:val="single"/>
          <w:lang w:bidi="ar"/>
        </w:rPr>
        <w:t xml:space="preserve">   </w:t>
      </w:r>
      <w:r>
        <w:rPr>
          <w:rFonts w:hint="eastAsia" w:cs="仿宋" w:asciiTheme="minorEastAsia" w:hAnsiTheme="minorEastAsia" w:eastAsiaTheme="minorEastAsia"/>
          <w:kern w:val="0"/>
          <w:sz w:val="24"/>
          <w:szCs w:val="24"/>
          <w:lang w:bidi="ar"/>
        </w:rPr>
        <w:t>万元，资产总额为</w:t>
      </w:r>
      <w:r>
        <w:rPr>
          <w:rFonts w:hint="eastAsia" w:cs="仿宋" w:asciiTheme="minorEastAsia" w:hAnsiTheme="minorEastAsia" w:eastAsiaTheme="minorEastAsia"/>
          <w:kern w:val="0"/>
          <w:sz w:val="24"/>
          <w:szCs w:val="24"/>
          <w:u w:val="single"/>
          <w:lang w:bidi="ar"/>
        </w:rPr>
        <w:t xml:space="preserve">  </w:t>
      </w:r>
      <w:r>
        <w:rPr>
          <w:rFonts w:hint="eastAsia" w:cs="仿宋" w:asciiTheme="minorEastAsia" w:hAnsiTheme="minorEastAsia" w:eastAsiaTheme="minorEastAsia"/>
          <w:kern w:val="0"/>
          <w:sz w:val="24"/>
          <w:szCs w:val="24"/>
          <w:lang w:bidi="ar"/>
        </w:rPr>
        <w:t>万元，属于</w:t>
      </w:r>
      <w:r>
        <w:rPr>
          <w:rFonts w:hint="eastAsia" w:cs="仿宋" w:asciiTheme="minorEastAsia" w:hAnsiTheme="minorEastAsia" w:eastAsiaTheme="minorEastAsia"/>
          <w:kern w:val="0"/>
          <w:sz w:val="24"/>
          <w:szCs w:val="24"/>
          <w:u w:val="single"/>
          <w:lang w:bidi="ar"/>
        </w:rPr>
        <w:t>（中型企业、小型企业、微型企业）</w:t>
      </w:r>
      <w:r>
        <w:rPr>
          <w:rFonts w:hint="eastAsia" w:cs="仿宋" w:asciiTheme="minorEastAsia" w:hAnsiTheme="minorEastAsia" w:eastAsiaTheme="minorEastAsia"/>
          <w:kern w:val="0"/>
          <w:sz w:val="24"/>
          <w:szCs w:val="24"/>
          <w:lang w:bidi="ar"/>
        </w:rPr>
        <w:t>；</w:t>
      </w:r>
    </w:p>
    <w:p w14:paraId="3A3460F6">
      <w:pPr>
        <w:widowControl/>
        <w:numPr>
          <w:ilvl w:val="0"/>
          <w:numId w:val="7"/>
        </w:numPr>
        <w:wordWrap w:val="0"/>
        <w:spacing w:line="500" w:lineRule="exact"/>
        <w:ind w:firstLine="480" w:firstLineChars="200"/>
        <w:jc w:val="left"/>
        <w:rPr>
          <w:rFonts w:cs="仿宋" w:asciiTheme="minorEastAsia" w:hAnsiTheme="minorEastAsia" w:eastAsiaTheme="minorEastAsia"/>
          <w:kern w:val="0"/>
          <w:sz w:val="24"/>
          <w:szCs w:val="24"/>
          <w:lang w:bidi="ar"/>
        </w:rPr>
      </w:pPr>
      <w:r>
        <w:rPr>
          <w:rFonts w:hint="eastAsia" w:cs="仿宋" w:asciiTheme="minorEastAsia" w:hAnsiTheme="minorEastAsia" w:eastAsiaTheme="minorEastAsia"/>
          <w:kern w:val="0"/>
          <w:sz w:val="24"/>
          <w:szCs w:val="24"/>
          <w:u w:val="single"/>
          <w:lang w:bidi="ar"/>
        </w:rPr>
        <w:t xml:space="preserve">（标的名称） </w:t>
      </w:r>
      <w:r>
        <w:rPr>
          <w:rFonts w:hint="eastAsia" w:cs="仿宋" w:asciiTheme="minorEastAsia" w:hAnsiTheme="minorEastAsia" w:eastAsiaTheme="minorEastAsia"/>
          <w:kern w:val="0"/>
          <w:sz w:val="24"/>
          <w:szCs w:val="24"/>
          <w:lang w:bidi="ar"/>
        </w:rPr>
        <w:t>，属于</w:t>
      </w:r>
      <w:r>
        <w:rPr>
          <w:rFonts w:hint="eastAsia" w:cs="仿宋" w:asciiTheme="minorEastAsia" w:hAnsiTheme="minorEastAsia" w:eastAsiaTheme="minorEastAsia"/>
          <w:kern w:val="0"/>
          <w:sz w:val="24"/>
          <w:szCs w:val="24"/>
          <w:u w:val="single"/>
          <w:lang w:bidi="ar"/>
        </w:rPr>
        <w:t xml:space="preserve">（采购文件中明确的所属行业） </w:t>
      </w:r>
      <w:r>
        <w:rPr>
          <w:rFonts w:hint="eastAsia" w:cs="仿宋" w:asciiTheme="minorEastAsia" w:hAnsiTheme="minorEastAsia" w:eastAsiaTheme="minorEastAsia"/>
          <w:kern w:val="0"/>
          <w:sz w:val="24"/>
          <w:szCs w:val="24"/>
          <w:lang w:bidi="ar"/>
        </w:rPr>
        <w:t>行业；承建企业为</w:t>
      </w:r>
      <w:r>
        <w:rPr>
          <w:rFonts w:hint="eastAsia" w:cs="仿宋" w:asciiTheme="minorEastAsia" w:hAnsiTheme="minorEastAsia" w:eastAsiaTheme="minorEastAsia"/>
          <w:kern w:val="0"/>
          <w:sz w:val="24"/>
          <w:szCs w:val="24"/>
          <w:u w:val="single"/>
          <w:lang w:bidi="ar"/>
        </w:rPr>
        <w:t>（企业名称）</w:t>
      </w:r>
      <w:r>
        <w:rPr>
          <w:rFonts w:hint="eastAsia" w:cs="仿宋" w:asciiTheme="minorEastAsia" w:hAnsiTheme="minorEastAsia" w:eastAsiaTheme="minorEastAsia"/>
          <w:kern w:val="0"/>
          <w:sz w:val="24"/>
          <w:szCs w:val="24"/>
          <w:lang w:bidi="ar"/>
        </w:rPr>
        <w:t>，从业人员</w:t>
      </w:r>
      <w:r>
        <w:rPr>
          <w:rFonts w:hint="eastAsia" w:cs="仿宋" w:asciiTheme="minorEastAsia" w:hAnsiTheme="minorEastAsia" w:eastAsiaTheme="minorEastAsia"/>
          <w:kern w:val="0"/>
          <w:sz w:val="24"/>
          <w:szCs w:val="24"/>
          <w:u w:val="single"/>
          <w:lang w:bidi="ar"/>
        </w:rPr>
        <w:t xml:space="preserve">   </w:t>
      </w:r>
      <w:r>
        <w:rPr>
          <w:rFonts w:hint="eastAsia" w:cs="仿宋" w:asciiTheme="minorEastAsia" w:hAnsiTheme="minorEastAsia" w:eastAsiaTheme="minorEastAsia"/>
          <w:kern w:val="0"/>
          <w:sz w:val="24"/>
          <w:szCs w:val="24"/>
          <w:lang w:bidi="ar"/>
        </w:rPr>
        <w:t>人，营业收入为</w:t>
      </w:r>
      <w:r>
        <w:rPr>
          <w:rFonts w:hint="eastAsia" w:cs="仿宋" w:asciiTheme="minorEastAsia" w:hAnsiTheme="minorEastAsia" w:eastAsiaTheme="minorEastAsia"/>
          <w:kern w:val="0"/>
          <w:sz w:val="24"/>
          <w:szCs w:val="24"/>
          <w:u w:val="single"/>
          <w:lang w:bidi="ar"/>
        </w:rPr>
        <w:t xml:space="preserve">  </w:t>
      </w:r>
      <w:r>
        <w:rPr>
          <w:rFonts w:hint="eastAsia" w:cs="仿宋" w:asciiTheme="minorEastAsia" w:hAnsiTheme="minorEastAsia" w:eastAsiaTheme="minorEastAsia"/>
          <w:kern w:val="0"/>
          <w:sz w:val="24"/>
          <w:szCs w:val="24"/>
          <w:lang w:bidi="ar"/>
        </w:rPr>
        <w:t>万元，资产总额为</w:t>
      </w:r>
      <w:r>
        <w:rPr>
          <w:rFonts w:hint="eastAsia" w:cs="仿宋" w:asciiTheme="minorEastAsia" w:hAnsiTheme="minorEastAsia" w:eastAsiaTheme="minorEastAsia"/>
          <w:kern w:val="0"/>
          <w:sz w:val="24"/>
          <w:szCs w:val="24"/>
          <w:u w:val="single"/>
          <w:lang w:bidi="ar"/>
        </w:rPr>
        <w:t xml:space="preserve">  </w:t>
      </w:r>
      <w:r>
        <w:rPr>
          <w:rFonts w:hint="eastAsia" w:cs="仿宋" w:asciiTheme="minorEastAsia" w:hAnsiTheme="minorEastAsia" w:eastAsiaTheme="minorEastAsia"/>
          <w:kern w:val="0"/>
          <w:sz w:val="24"/>
          <w:szCs w:val="24"/>
          <w:lang w:bidi="ar"/>
        </w:rPr>
        <w:t>万元，属于</w:t>
      </w:r>
      <w:r>
        <w:rPr>
          <w:rFonts w:hint="eastAsia" w:cs="仿宋" w:asciiTheme="minorEastAsia" w:hAnsiTheme="minorEastAsia" w:eastAsiaTheme="minorEastAsia"/>
          <w:kern w:val="0"/>
          <w:sz w:val="24"/>
          <w:szCs w:val="24"/>
          <w:u w:val="single"/>
          <w:lang w:bidi="ar"/>
        </w:rPr>
        <w:t>（中型企业、小型 企业、微型企业）</w:t>
      </w:r>
      <w:r>
        <w:rPr>
          <w:rFonts w:hint="eastAsia" w:cs="仿宋" w:asciiTheme="minorEastAsia" w:hAnsiTheme="minorEastAsia" w:eastAsiaTheme="minorEastAsia"/>
          <w:kern w:val="0"/>
          <w:sz w:val="24"/>
          <w:szCs w:val="24"/>
          <w:lang w:bidi="ar"/>
        </w:rPr>
        <w:t>；</w:t>
      </w:r>
    </w:p>
    <w:p w14:paraId="4542583B">
      <w:pPr>
        <w:widowControl/>
        <w:wordWrap w:val="0"/>
        <w:spacing w:line="500" w:lineRule="exact"/>
        <w:ind w:left="420" w:leftChars="200"/>
        <w:jc w:val="left"/>
        <w:rPr>
          <w:rFonts w:cs="仿宋" w:asciiTheme="minorEastAsia" w:hAnsiTheme="minorEastAsia" w:eastAsiaTheme="minorEastAsia"/>
          <w:kern w:val="0"/>
          <w:sz w:val="24"/>
          <w:szCs w:val="24"/>
          <w:lang w:bidi="ar"/>
        </w:rPr>
      </w:pPr>
      <w:r>
        <w:rPr>
          <w:rFonts w:hint="eastAsia" w:cs="仿宋" w:asciiTheme="minorEastAsia" w:hAnsiTheme="minorEastAsia" w:eastAsiaTheme="minorEastAsia"/>
          <w:kern w:val="0"/>
          <w:sz w:val="24"/>
          <w:szCs w:val="24"/>
          <w:lang w:bidi="ar"/>
        </w:rPr>
        <w:t>……</w:t>
      </w:r>
    </w:p>
    <w:p w14:paraId="65AB2D35">
      <w:pPr>
        <w:widowControl/>
        <w:wordWrap w:val="0"/>
        <w:spacing w:line="500" w:lineRule="exact"/>
        <w:ind w:firstLine="480" w:firstLineChars="200"/>
        <w:jc w:val="left"/>
        <w:rPr>
          <w:rFonts w:cs="仿宋" w:asciiTheme="minorEastAsia" w:hAnsiTheme="minorEastAsia" w:eastAsiaTheme="minorEastAsia"/>
          <w:kern w:val="0"/>
          <w:sz w:val="24"/>
          <w:szCs w:val="24"/>
          <w:lang w:bidi="ar"/>
        </w:rPr>
      </w:pPr>
      <w:r>
        <w:rPr>
          <w:rFonts w:hint="eastAsia" w:cs="仿宋" w:asciiTheme="minorEastAsia" w:hAnsiTheme="minorEastAsia" w:eastAsiaTheme="minorEastAsia"/>
          <w:kern w:val="0"/>
          <w:sz w:val="24"/>
          <w:szCs w:val="24"/>
          <w:lang w:bidi="ar"/>
        </w:rPr>
        <w:t>以上企业，不属于大企业的分支机构，不存在控股股东为大企业的情形，也不存在与大企业的负责人为同一人的情形。</w:t>
      </w:r>
    </w:p>
    <w:p w14:paraId="0AC7781C">
      <w:pPr>
        <w:widowControl/>
        <w:wordWrap w:val="0"/>
        <w:spacing w:line="500" w:lineRule="exact"/>
        <w:ind w:firstLine="480" w:firstLineChars="200"/>
        <w:jc w:val="left"/>
        <w:rPr>
          <w:rFonts w:cs="仿宋" w:asciiTheme="minorEastAsia" w:hAnsiTheme="minorEastAsia" w:eastAsiaTheme="minorEastAsia"/>
          <w:kern w:val="0"/>
          <w:sz w:val="28"/>
          <w:szCs w:val="28"/>
          <w:lang w:bidi="ar"/>
        </w:rPr>
      </w:pPr>
      <w:r>
        <w:rPr>
          <w:rFonts w:hint="eastAsia" w:cs="仿宋" w:asciiTheme="minorEastAsia" w:hAnsiTheme="minorEastAsia" w:eastAsiaTheme="minorEastAsia"/>
          <w:kern w:val="0"/>
          <w:sz w:val="24"/>
          <w:szCs w:val="24"/>
          <w:lang w:bidi="ar"/>
        </w:rPr>
        <w:t>本企业对上述声明内容的真实性负责。如有虚假，将依法承担相应责任。</w:t>
      </w:r>
      <w:r>
        <w:rPr>
          <w:rFonts w:hint="eastAsia" w:cs="仿宋" w:asciiTheme="minorEastAsia" w:hAnsiTheme="minorEastAsia" w:eastAsiaTheme="minorEastAsia"/>
          <w:kern w:val="0"/>
          <w:sz w:val="28"/>
          <w:szCs w:val="28"/>
          <w:lang w:bidi="ar"/>
        </w:rPr>
        <w:t xml:space="preserve"> </w:t>
      </w:r>
    </w:p>
    <w:p w14:paraId="7E8F7430">
      <w:pPr>
        <w:wordWrap w:val="0"/>
        <w:spacing w:line="360" w:lineRule="auto"/>
        <w:rPr>
          <w:rFonts w:cs="仿宋" w:asciiTheme="minorEastAsia" w:hAnsiTheme="minorEastAsia" w:eastAsiaTheme="minorEastAsia"/>
          <w:sz w:val="28"/>
          <w:szCs w:val="28"/>
        </w:rPr>
      </w:pPr>
    </w:p>
    <w:p w14:paraId="5E7CA78F">
      <w:pPr>
        <w:wordWrap w:val="0"/>
        <w:autoSpaceDE w:val="0"/>
        <w:autoSpaceDN w:val="0"/>
        <w:adjustRightInd w:val="0"/>
        <w:spacing w:line="360" w:lineRule="auto"/>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企业名称（</w:t>
      </w:r>
      <w:r>
        <w:rPr>
          <w:rFonts w:hint="eastAsia" w:cs="宋体" w:asciiTheme="minorEastAsia" w:hAnsiTheme="minorEastAsia" w:eastAsiaTheme="minorEastAsia"/>
          <w:snapToGrid w:val="0"/>
          <w:kern w:val="0"/>
          <w:sz w:val="24"/>
          <w:szCs w:val="24"/>
          <w:lang w:val="zh-CN"/>
        </w:rPr>
        <w:t>电子签章</w:t>
      </w:r>
      <w:r>
        <w:rPr>
          <w:rFonts w:hint="eastAsia" w:cs="仿宋" w:asciiTheme="minorEastAsia" w:hAnsiTheme="minorEastAsia" w:eastAsiaTheme="minorEastAsia"/>
          <w:kern w:val="0"/>
          <w:sz w:val="24"/>
          <w:szCs w:val="24"/>
        </w:rPr>
        <w:t>）：</w:t>
      </w:r>
    </w:p>
    <w:p w14:paraId="0BCF2E1D">
      <w:pPr>
        <w:wordWrap w:val="0"/>
        <w:spacing w:line="360" w:lineRule="auto"/>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日期：</w:t>
      </w:r>
    </w:p>
    <w:p w14:paraId="0D15CF3E">
      <w:pPr>
        <w:widowControl/>
        <w:wordWrap w:val="0"/>
        <w:jc w:val="left"/>
        <w:rPr>
          <w:rFonts w:cs="仿宋" w:asciiTheme="minorEastAsia" w:hAnsiTheme="minorEastAsia" w:eastAsiaTheme="minorEastAsia"/>
          <w:sz w:val="28"/>
          <w:szCs w:val="28"/>
        </w:rPr>
      </w:pPr>
    </w:p>
    <w:p w14:paraId="093A25F5">
      <w:pPr>
        <w:pStyle w:val="14"/>
        <w:wordWrap w:val="0"/>
        <w:rPr>
          <w:rFonts w:cs="仿宋" w:asciiTheme="minorEastAsia" w:hAnsiTheme="minorEastAsia" w:eastAsiaTheme="minorEastAsia"/>
        </w:rPr>
      </w:pPr>
    </w:p>
    <w:p w14:paraId="56AC7787">
      <w:pPr>
        <w:wordWrap w:val="0"/>
        <w:spacing w:line="400" w:lineRule="exact"/>
        <w:rPr>
          <w:rFonts w:cs="仿宋" w:asciiTheme="minorEastAsia" w:hAnsiTheme="minorEastAsia" w:eastAsiaTheme="minorEastAsia"/>
          <w:sz w:val="24"/>
          <w:szCs w:val="32"/>
        </w:rPr>
      </w:pPr>
      <w:r>
        <w:rPr>
          <w:rFonts w:hint="eastAsia" w:cs="仿宋" w:asciiTheme="minorEastAsia" w:hAnsiTheme="minorEastAsia" w:eastAsiaTheme="minorEastAsia"/>
          <w:sz w:val="24"/>
          <w:szCs w:val="32"/>
        </w:rPr>
        <w:t>注：从业人员、营业收入、资产总额填报上一年度数据，无上一年度数据的新成立企业可不填报。</w:t>
      </w:r>
    </w:p>
    <w:p w14:paraId="44D4DF9F">
      <w:pPr>
        <w:widowControl/>
        <w:shd w:val="clear" w:color="auto" w:fill="FFFFFF"/>
        <w:wordWrap w:val="0"/>
        <w:spacing w:line="360" w:lineRule="auto"/>
        <w:jc w:val="left"/>
        <w:rPr>
          <w:rFonts w:cs="仿宋" w:asciiTheme="minorEastAsia" w:hAnsiTheme="minorEastAsia" w:eastAsiaTheme="minorEastAsia"/>
          <w:kern w:val="0"/>
          <w:sz w:val="24"/>
          <w:szCs w:val="24"/>
        </w:rPr>
      </w:pPr>
    </w:p>
    <w:p w14:paraId="13B5110A">
      <w:pPr>
        <w:widowControl/>
        <w:shd w:val="clear" w:color="auto" w:fill="FFFFFF"/>
        <w:wordWrap w:val="0"/>
        <w:spacing w:line="360" w:lineRule="auto"/>
        <w:ind w:firstLine="480"/>
        <w:jc w:val="left"/>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注：如不是中小企业，则无需提供或填写</w:t>
      </w:r>
      <w:r>
        <w:rPr>
          <w:rFonts w:hint="eastAsia" w:cs="仿宋" w:asciiTheme="minorEastAsia" w:hAnsiTheme="minorEastAsia" w:eastAsiaTheme="minorEastAsia"/>
          <w:b/>
          <w:bCs/>
          <w:sz w:val="24"/>
          <w:szCs w:val="24"/>
        </w:rPr>
        <w:t>。</w:t>
      </w:r>
    </w:p>
    <w:bookmarkEnd w:id="1744"/>
    <w:p w14:paraId="700B0433">
      <w:pPr>
        <w:wordWrap w:val="0"/>
        <w:rPr>
          <w:rFonts w:cs="宋体" w:asciiTheme="minorEastAsia" w:hAnsiTheme="minorEastAsia" w:eastAsiaTheme="minorEastAsia"/>
          <w:bCs/>
          <w:szCs w:val="28"/>
        </w:rPr>
      </w:pPr>
      <w:bookmarkStart w:id="1745" w:name="_Toc25700"/>
      <w:bookmarkStart w:id="1746" w:name="_Toc27202"/>
      <w:bookmarkStart w:id="1747" w:name="_Toc9695"/>
      <w:bookmarkStart w:id="1748" w:name="_Toc11922"/>
      <w:bookmarkStart w:id="1749" w:name="_Toc66019199"/>
      <w:r>
        <w:rPr>
          <w:rFonts w:hint="eastAsia" w:cs="宋体" w:asciiTheme="minorEastAsia" w:hAnsiTheme="minorEastAsia" w:eastAsiaTheme="minorEastAsia"/>
          <w:bCs/>
          <w:szCs w:val="28"/>
        </w:rPr>
        <w:br w:type="page"/>
      </w:r>
    </w:p>
    <w:p w14:paraId="36DC7438">
      <w:pPr>
        <w:pStyle w:val="5"/>
        <w:widowControl/>
        <w:numPr>
          <w:ilvl w:val="2"/>
          <w:numId w:val="0"/>
        </w:numPr>
        <w:tabs>
          <w:tab w:val="left" w:pos="432"/>
          <w:tab w:val="left" w:pos="720"/>
        </w:tabs>
        <w:wordWrap w:val="0"/>
        <w:spacing w:before="120" w:after="120"/>
        <w:ind w:left="720" w:hanging="720"/>
        <w:jc w:val="center"/>
        <w:rPr>
          <w:rFonts w:cs="宋体" w:asciiTheme="minorEastAsia" w:hAnsiTheme="minorEastAsia" w:eastAsiaTheme="minorEastAsia"/>
          <w:bCs/>
          <w:szCs w:val="28"/>
        </w:rPr>
      </w:pPr>
      <w:r>
        <w:rPr>
          <w:rFonts w:hint="eastAsia" w:cs="宋体" w:asciiTheme="minorEastAsia" w:hAnsiTheme="minorEastAsia" w:eastAsiaTheme="minorEastAsia"/>
          <w:bCs/>
          <w:szCs w:val="28"/>
        </w:rPr>
        <w:t>二、残疾人福利性单位声明函</w:t>
      </w:r>
      <w:bookmarkEnd w:id="1745"/>
      <w:bookmarkEnd w:id="1746"/>
      <w:bookmarkEnd w:id="1747"/>
      <w:bookmarkEnd w:id="1748"/>
      <w:bookmarkEnd w:id="1749"/>
    </w:p>
    <w:p w14:paraId="79B23283">
      <w:pPr>
        <w:pStyle w:val="31"/>
        <w:shd w:val="clear" w:color="auto" w:fill="FFFFFF"/>
        <w:wordWrap w:val="0"/>
        <w:spacing w:line="360" w:lineRule="auto"/>
        <w:ind w:firstLine="480" w:firstLineChars="200"/>
        <w:rPr>
          <w:rFonts w:cs="仿宋" w:asciiTheme="minorEastAsia" w:hAnsiTheme="minorEastAsia" w:eastAsiaTheme="minorEastAsia"/>
        </w:rPr>
      </w:pPr>
      <w:r>
        <w:rPr>
          <w:rFonts w:hint="eastAsia" w:cs="仿宋" w:asciiTheme="minorEastAsia" w:hAnsiTheme="minorEastAsia" w:eastAsiaTheme="minor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49EBA89">
      <w:pPr>
        <w:pStyle w:val="31"/>
        <w:shd w:val="clear" w:color="auto" w:fill="FFFFFF"/>
        <w:wordWrap w:val="0"/>
        <w:spacing w:line="360" w:lineRule="auto"/>
        <w:ind w:firstLine="480" w:firstLineChars="200"/>
        <w:rPr>
          <w:rFonts w:cs="仿宋" w:asciiTheme="minorEastAsia" w:hAnsiTheme="minorEastAsia" w:eastAsiaTheme="minorEastAsia"/>
        </w:rPr>
      </w:pPr>
      <w:r>
        <w:rPr>
          <w:rFonts w:hint="eastAsia" w:cs="仿宋" w:asciiTheme="minorEastAsia" w:hAnsiTheme="minorEastAsia" w:eastAsiaTheme="minorEastAsia"/>
        </w:rPr>
        <w:t>本单位对上述声明的真实性负责。如有虚假，将依法承担相应责任。</w:t>
      </w:r>
    </w:p>
    <w:p w14:paraId="32E851BC">
      <w:pPr>
        <w:pStyle w:val="31"/>
        <w:shd w:val="clear" w:color="auto" w:fill="FFFFFF"/>
        <w:wordWrap w:val="0"/>
        <w:spacing w:line="360" w:lineRule="auto"/>
        <w:ind w:firstLine="480" w:firstLineChars="200"/>
        <w:rPr>
          <w:rFonts w:cs="仿宋" w:asciiTheme="minorEastAsia" w:hAnsiTheme="minorEastAsia" w:eastAsiaTheme="minorEastAsia"/>
        </w:rPr>
      </w:pPr>
      <w:r>
        <w:rPr>
          <w:rFonts w:hint="eastAsia" w:cs="仿宋" w:asciiTheme="minorEastAsia" w:hAnsiTheme="minorEastAsia" w:eastAsiaTheme="minorEastAsia"/>
        </w:rPr>
        <w:t>单位名称（</w:t>
      </w:r>
      <w:r>
        <w:rPr>
          <w:rFonts w:hint="eastAsia" w:cs="宋体" w:asciiTheme="minorEastAsia" w:hAnsiTheme="minorEastAsia" w:eastAsiaTheme="minorEastAsia"/>
          <w:snapToGrid w:val="0"/>
          <w:kern w:val="0"/>
          <w:szCs w:val="24"/>
          <w:lang w:val="zh-CN"/>
        </w:rPr>
        <w:t>电子签章</w:t>
      </w:r>
      <w:r>
        <w:rPr>
          <w:rFonts w:hint="eastAsia" w:cs="仿宋" w:asciiTheme="minorEastAsia" w:hAnsiTheme="minorEastAsia" w:eastAsiaTheme="minorEastAsia"/>
        </w:rPr>
        <w:t>）：</w:t>
      </w:r>
    </w:p>
    <w:p w14:paraId="5A52E923">
      <w:pPr>
        <w:pStyle w:val="31"/>
        <w:shd w:val="clear" w:color="auto" w:fill="FFFFFF"/>
        <w:wordWrap w:val="0"/>
        <w:spacing w:line="360" w:lineRule="auto"/>
        <w:ind w:firstLine="480" w:firstLineChars="200"/>
        <w:rPr>
          <w:rFonts w:cs="仿宋" w:asciiTheme="minorEastAsia" w:hAnsiTheme="minorEastAsia" w:eastAsiaTheme="minorEastAsia"/>
        </w:rPr>
      </w:pPr>
      <w:r>
        <w:rPr>
          <w:rFonts w:hint="eastAsia" w:cs="仿宋" w:asciiTheme="minorEastAsia" w:hAnsiTheme="minorEastAsia" w:eastAsiaTheme="minorEastAsia"/>
        </w:rPr>
        <w:t>日  期：</w:t>
      </w:r>
    </w:p>
    <w:p w14:paraId="50CC9035">
      <w:pPr>
        <w:wordWrap w:val="0"/>
        <w:spacing w:line="360" w:lineRule="auto"/>
        <w:rPr>
          <w:rFonts w:cs="仿宋" w:asciiTheme="minorEastAsia" w:hAnsiTheme="minorEastAsia" w:eastAsiaTheme="minorEastAsia"/>
        </w:rPr>
      </w:pPr>
    </w:p>
    <w:p w14:paraId="42F2DB1E">
      <w:pPr>
        <w:wordWrap w:val="0"/>
        <w:spacing w:line="360" w:lineRule="auto"/>
        <w:rPr>
          <w:rFonts w:cs="仿宋" w:asciiTheme="minorEastAsia" w:hAnsiTheme="minorEastAsia" w:eastAsiaTheme="minorEastAsia"/>
        </w:rPr>
      </w:pPr>
    </w:p>
    <w:p w14:paraId="7D339398">
      <w:pPr>
        <w:wordWrap w:val="0"/>
        <w:spacing w:line="360" w:lineRule="auto"/>
        <w:rPr>
          <w:rFonts w:cs="仿宋" w:asciiTheme="minorEastAsia" w:hAnsiTheme="minorEastAsia" w:eastAsiaTheme="minorEastAsia"/>
        </w:rPr>
      </w:pPr>
    </w:p>
    <w:p w14:paraId="3517D519">
      <w:pPr>
        <w:widowControl/>
        <w:shd w:val="clear" w:color="auto" w:fill="FFFFFF"/>
        <w:wordWrap w:val="0"/>
        <w:spacing w:line="360" w:lineRule="auto"/>
        <w:jc w:val="left"/>
        <w:rPr>
          <w:rFonts w:cs="仿宋" w:asciiTheme="minorEastAsia" w:hAnsiTheme="minorEastAsia" w:eastAsiaTheme="minorEastAsia"/>
          <w:b/>
          <w:bCs/>
          <w:sz w:val="24"/>
          <w:szCs w:val="24"/>
        </w:rPr>
      </w:pPr>
      <w:r>
        <w:rPr>
          <w:rFonts w:hint="eastAsia" w:cs="仿宋" w:asciiTheme="minorEastAsia" w:hAnsiTheme="minorEastAsia" w:eastAsiaTheme="minorEastAsia"/>
          <w:b/>
          <w:bCs/>
          <w:kern w:val="0"/>
          <w:sz w:val="24"/>
          <w:szCs w:val="24"/>
        </w:rPr>
        <w:t>注：如不是监狱企业，则无需提供或填写</w:t>
      </w:r>
      <w:r>
        <w:rPr>
          <w:rFonts w:hint="eastAsia" w:cs="仿宋" w:asciiTheme="minorEastAsia" w:hAnsiTheme="minorEastAsia" w:eastAsiaTheme="minorEastAsia"/>
          <w:b/>
          <w:bCs/>
          <w:sz w:val="24"/>
          <w:szCs w:val="24"/>
        </w:rPr>
        <w:t>。</w:t>
      </w:r>
    </w:p>
    <w:p w14:paraId="75EB36B4">
      <w:pPr>
        <w:wordWrap w:val="0"/>
        <w:rPr>
          <w:rFonts w:cs="仿宋" w:asciiTheme="minorEastAsia" w:hAnsiTheme="minorEastAsia" w:eastAsiaTheme="minorEastAsia"/>
          <w:b/>
          <w:bCs/>
          <w:sz w:val="24"/>
          <w:szCs w:val="24"/>
        </w:rPr>
      </w:pPr>
    </w:p>
    <w:p w14:paraId="043C5B35">
      <w:pPr>
        <w:wordWrap w:val="0"/>
        <w:rPr>
          <w:rFonts w:cs="宋体" w:asciiTheme="minorEastAsia" w:hAnsiTheme="minorEastAsia" w:eastAsiaTheme="minorEastAsia"/>
          <w:bCs/>
          <w:szCs w:val="28"/>
        </w:rPr>
      </w:pPr>
      <w:bookmarkStart w:id="1750" w:name="_Toc8274"/>
      <w:bookmarkStart w:id="1751" w:name="_Toc66019200"/>
      <w:bookmarkStart w:id="1752" w:name="_Toc5251"/>
      <w:bookmarkStart w:id="1753" w:name="_Toc13620"/>
      <w:bookmarkStart w:id="1754" w:name="_Toc15707"/>
      <w:bookmarkStart w:id="1755" w:name="_Hlk66017370"/>
      <w:r>
        <w:rPr>
          <w:rFonts w:hint="eastAsia" w:cs="宋体" w:asciiTheme="minorEastAsia" w:hAnsiTheme="minorEastAsia" w:eastAsiaTheme="minorEastAsia"/>
          <w:bCs/>
          <w:szCs w:val="28"/>
        </w:rPr>
        <w:br w:type="page"/>
      </w:r>
    </w:p>
    <w:p w14:paraId="0AC9D7D1">
      <w:pPr>
        <w:pStyle w:val="5"/>
        <w:widowControl/>
        <w:numPr>
          <w:ilvl w:val="2"/>
          <w:numId w:val="0"/>
        </w:numPr>
        <w:tabs>
          <w:tab w:val="left" w:pos="432"/>
          <w:tab w:val="left" w:pos="720"/>
        </w:tabs>
        <w:wordWrap w:val="0"/>
        <w:spacing w:before="120" w:after="120"/>
        <w:ind w:left="720" w:hanging="720"/>
        <w:jc w:val="center"/>
        <w:rPr>
          <w:rFonts w:cs="宋体" w:asciiTheme="minorEastAsia" w:hAnsiTheme="minorEastAsia" w:eastAsiaTheme="minorEastAsia"/>
          <w:bCs/>
          <w:szCs w:val="28"/>
        </w:rPr>
      </w:pPr>
      <w:r>
        <w:rPr>
          <w:rFonts w:hint="eastAsia" w:cs="宋体" w:asciiTheme="minorEastAsia" w:hAnsiTheme="minorEastAsia" w:eastAsiaTheme="minorEastAsia"/>
          <w:bCs/>
          <w:szCs w:val="28"/>
        </w:rPr>
        <w:t>三、监狱企业</w:t>
      </w:r>
      <w:bookmarkEnd w:id="1750"/>
      <w:bookmarkEnd w:id="1751"/>
      <w:bookmarkEnd w:id="1752"/>
      <w:bookmarkEnd w:id="1753"/>
      <w:bookmarkEnd w:id="1754"/>
    </w:p>
    <w:bookmarkEnd w:id="1755"/>
    <w:p w14:paraId="6A58B11B">
      <w:pPr>
        <w:wordWrap w:val="0"/>
        <w:spacing w:line="360" w:lineRule="auto"/>
        <w:jc w:val="center"/>
        <w:rPr>
          <w:rFonts w:cs="仿宋" w:asciiTheme="minorEastAsia" w:hAnsiTheme="minorEastAsia" w:eastAsiaTheme="minorEastAsia"/>
          <w:bCs/>
          <w:sz w:val="24"/>
          <w:szCs w:val="24"/>
        </w:rPr>
      </w:pPr>
      <w:bookmarkStart w:id="1756" w:name="_Hlk47010693"/>
      <w:r>
        <w:rPr>
          <w:rFonts w:hint="eastAsia" w:cs="仿宋" w:asciiTheme="minorEastAsia" w:hAnsiTheme="minorEastAsia" w:eastAsiaTheme="minorEastAsia"/>
          <w:bCs/>
          <w:sz w:val="24"/>
          <w:szCs w:val="24"/>
        </w:rPr>
        <w:t>监狱企业参加政府采购活动时，应当提供由省级以上监狱管理局、戒毒管理局(含新疆生产建设兵团)出具的属于监狱企业的证明文件，</w:t>
      </w:r>
      <w:r>
        <w:rPr>
          <w:rFonts w:hint="eastAsia" w:cs="宋体" w:asciiTheme="minorEastAsia" w:hAnsiTheme="minorEastAsia" w:eastAsiaTheme="minorEastAsia"/>
          <w:sz w:val="24"/>
          <w:szCs w:val="24"/>
        </w:rPr>
        <w:t>加盖投标人电子公章</w:t>
      </w:r>
    </w:p>
    <w:bookmarkEnd w:id="1756"/>
    <w:p w14:paraId="3B2BCB0E">
      <w:pPr>
        <w:wordWrap w:val="0"/>
        <w:spacing w:line="360" w:lineRule="auto"/>
        <w:rPr>
          <w:rFonts w:cs="仿宋" w:asciiTheme="minorEastAsia" w:hAnsiTheme="minorEastAsia" w:eastAsiaTheme="minorEastAsia"/>
          <w:b/>
          <w:bCs/>
          <w:sz w:val="24"/>
          <w:szCs w:val="24"/>
        </w:rPr>
      </w:pPr>
    </w:p>
    <w:p w14:paraId="1C51AAC0">
      <w:pPr>
        <w:pStyle w:val="56"/>
        <w:wordWrap w:val="0"/>
        <w:rPr>
          <w:rFonts w:cs="仿宋" w:asciiTheme="minorEastAsia" w:hAnsiTheme="minorEastAsia" w:eastAsiaTheme="minorEastAsia"/>
          <w:color w:val="auto"/>
        </w:rPr>
      </w:pPr>
    </w:p>
    <w:p w14:paraId="7C1F11BF">
      <w:pPr>
        <w:pStyle w:val="56"/>
        <w:wordWrap w:val="0"/>
        <w:rPr>
          <w:rFonts w:cs="仿宋" w:asciiTheme="minorEastAsia" w:hAnsiTheme="minorEastAsia" w:eastAsiaTheme="minorEastAsia"/>
          <w:color w:val="auto"/>
        </w:rPr>
      </w:pPr>
    </w:p>
    <w:p w14:paraId="622D01BA">
      <w:pPr>
        <w:pStyle w:val="56"/>
        <w:wordWrap w:val="0"/>
        <w:rPr>
          <w:rFonts w:cs="仿宋" w:asciiTheme="minorEastAsia" w:hAnsiTheme="minorEastAsia" w:eastAsiaTheme="minorEastAsia"/>
          <w:color w:val="auto"/>
        </w:rPr>
      </w:pPr>
    </w:p>
    <w:p w14:paraId="61317C70">
      <w:pPr>
        <w:pStyle w:val="56"/>
        <w:wordWrap w:val="0"/>
        <w:rPr>
          <w:rFonts w:cs="仿宋" w:asciiTheme="minorEastAsia" w:hAnsiTheme="minorEastAsia" w:eastAsiaTheme="minorEastAsia"/>
          <w:color w:val="auto"/>
        </w:rPr>
      </w:pPr>
    </w:p>
    <w:p w14:paraId="0F54547E">
      <w:pPr>
        <w:pStyle w:val="56"/>
        <w:wordWrap w:val="0"/>
        <w:rPr>
          <w:rFonts w:cs="仿宋" w:asciiTheme="minorEastAsia" w:hAnsiTheme="minorEastAsia" w:eastAsiaTheme="minorEastAsia"/>
          <w:color w:val="auto"/>
        </w:rPr>
      </w:pPr>
    </w:p>
    <w:p w14:paraId="258A4701">
      <w:pPr>
        <w:wordWrap w:val="0"/>
        <w:rPr>
          <w:rFonts w:cs="仿宋" w:asciiTheme="minorEastAsia" w:hAnsiTheme="minorEastAsia" w:eastAsiaTheme="minorEastAsia"/>
          <w:b/>
          <w:bCs/>
          <w:sz w:val="24"/>
          <w:szCs w:val="24"/>
        </w:rPr>
      </w:pPr>
      <w:r>
        <w:rPr>
          <w:rFonts w:hint="eastAsia" w:cs="仿宋" w:asciiTheme="minorEastAsia" w:hAnsiTheme="minorEastAsia" w:eastAsiaTheme="minorEastAsia"/>
          <w:b/>
          <w:bCs/>
          <w:kern w:val="0"/>
          <w:sz w:val="24"/>
          <w:szCs w:val="24"/>
        </w:rPr>
        <w:t>注：如不是残疾人福利性单位，则无需提供或填写</w:t>
      </w:r>
      <w:r>
        <w:rPr>
          <w:rFonts w:hint="eastAsia" w:cs="仿宋" w:asciiTheme="minorEastAsia" w:hAnsiTheme="minorEastAsia" w:eastAsiaTheme="minorEastAsia"/>
          <w:b/>
          <w:bCs/>
          <w:sz w:val="24"/>
          <w:szCs w:val="24"/>
        </w:rPr>
        <w:t>。</w:t>
      </w:r>
    </w:p>
    <w:p w14:paraId="598DADA9">
      <w:pPr>
        <w:widowControl/>
        <w:jc w:val="left"/>
        <w:rPr>
          <w:rFonts w:cs="仿宋" w:asciiTheme="minorEastAsia" w:hAnsiTheme="minorEastAsia" w:eastAsiaTheme="minorEastAsia"/>
          <w:b/>
          <w:bCs/>
          <w:sz w:val="24"/>
          <w:szCs w:val="24"/>
        </w:rPr>
      </w:pPr>
      <w:bookmarkStart w:id="1757" w:name="_Toc193796129"/>
      <w:r>
        <w:rPr>
          <w:rFonts w:cs="仿宋" w:asciiTheme="minorEastAsia" w:hAnsiTheme="minorEastAsia" w:eastAsiaTheme="minorEastAsia"/>
          <w:bCs/>
          <w:sz w:val="24"/>
          <w:szCs w:val="24"/>
        </w:rPr>
        <w:br w:type="page"/>
      </w:r>
    </w:p>
    <w:p w14:paraId="65F35FF2">
      <w:pPr>
        <w:pStyle w:val="2"/>
        <w:wordWrap w:val="0"/>
        <w:spacing w:line="360" w:lineRule="auto"/>
        <w:jc w:val="center"/>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第六章 工程量清单</w:t>
      </w:r>
      <w:bookmarkEnd w:id="1757"/>
    </w:p>
    <w:p w14:paraId="417C081B">
      <w:pPr>
        <w:jc w:val="center"/>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另 附</w:t>
      </w:r>
    </w:p>
    <w:sectPr>
      <w:headerReference r:id="rId7" w:type="first"/>
      <w:footerReference r:id="rId9" w:type="first"/>
      <w:headerReference r:id="rId5" w:type="default"/>
      <w:footerReference r:id="rId8" w:type="default"/>
      <w:headerReference r:id="rId6" w:type="even"/>
      <w:pgSz w:w="11906" w:h="16838"/>
      <w:pgMar w:top="1440" w:right="1080" w:bottom="1440" w:left="1080" w:header="964" w:footer="96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79EED">
    <w:pPr>
      <w:pStyle w:val="22"/>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D864D">
    <w:pPr>
      <w:pStyle w:val="22"/>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EC15A">
                          <w:pPr>
                            <w:pStyle w:val="2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40EC15A">
                    <w:pPr>
                      <w:pStyle w:val="2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D236B">
    <w:pPr>
      <w:pStyle w:val="22"/>
      <w:jc w:val="center"/>
      <w:rPr>
        <w:szCs w:val="21"/>
      </w:rP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 26 页云南中招招标有限公司</w:t>
    </w:r>
  </w:p>
  <w:p w14:paraId="71D9ED3F">
    <w:pPr>
      <w:pStyle w:val="22"/>
      <w:tabs>
        <w:tab w:val="right" w:pos="9720"/>
        <w:tab w:val="clear" w:pos="8306"/>
      </w:tabs>
      <w:jc w:val="center"/>
      <w:rPr>
        <w:szCs w:val="18"/>
      </w:rPr>
    </w:pPr>
  </w:p>
  <w:p w14:paraId="786D8F9D">
    <w:pPr>
      <w:pStyle w:val="22"/>
      <w:ind w:right="360"/>
    </w:pPr>
  </w:p>
  <w:p w14:paraId="61986CD1">
    <w:pPr>
      <w:pStyle w:val="2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1171C">
    <w:pPr>
      <w:pStyle w:val="2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A7637">
    <w:pPr>
      <w:pStyle w:val="24"/>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9293F">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93E31">
    <w:pPr>
      <w:spacing w:line="360" w:lineRule="auto"/>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D4F58"/>
    <w:multiLevelType w:val="singleLevel"/>
    <w:tmpl w:val="A5BD4F58"/>
    <w:lvl w:ilvl="0" w:tentative="0">
      <w:start w:val="1"/>
      <w:numFmt w:val="decimal"/>
      <w:suff w:val="space"/>
      <w:lvlText w:val="（%1）"/>
      <w:lvlJc w:val="left"/>
    </w:lvl>
  </w:abstractNum>
  <w:abstractNum w:abstractNumId="1">
    <w:nsid w:val="D46A7F3E"/>
    <w:multiLevelType w:val="singleLevel"/>
    <w:tmpl w:val="D46A7F3E"/>
    <w:lvl w:ilvl="0" w:tentative="0">
      <w:start w:val="2"/>
      <w:numFmt w:val="decimal"/>
      <w:suff w:val="space"/>
      <w:lvlText w:val="%1."/>
      <w:lvlJc w:val="left"/>
    </w:lvl>
  </w:abstractNum>
  <w:abstractNum w:abstractNumId="2">
    <w:nsid w:val="F4F36D53"/>
    <w:multiLevelType w:val="singleLevel"/>
    <w:tmpl w:val="F4F36D53"/>
    <w:lvl w:ilvl="0" w:tentative="0">
      <w:start w:val="11"/>
      <w:numFmt w:val="decimal"/>
      <w:suff w:val="space"/>
      <w:lvlText w:val="%1."/>
      <w:lvlJc w:val="left"/>
    </w:lvl>
  </w:abstractNum>
  <w:abstractNum w:abstractNumId="3">
    <w:nsid w:val="00000006"/>
    <w:multiLevelType w:val="singleLevel"/>
    <w:tmpl w:val="00000006"/>
    <w:lvl w:ilvl="0" w:tentative="0">
      <w:start w:val="1"/>
      <w:numFmt w:val="decimal"/>
      <w:suff w:val="nothing"/>
      <w:lvlText w:val="（%1）"/>
      <w:lvlJc w:val="left"/>
      <w:pPr>
        <w:ind w:left="0" w:firstLine="0"/>
      </w:pPr>
      <w:rPr>
        <w:rFonts w:cs="Times New Roman"/>
      </w:rPr>
    </w:lvl>
  </w:abstractNum>
  <w:abstractNum w:abstractNumId="4">
    <w:nsid w:val="100AE2A4"/>
    <w:multiLevelType w:val="singleLevel"/>
    <w:tmpl w:val="100AE2A4"/>
    <w:lvl w:ilvl="0" w:tentative="0">
      <w:start w:val="3"/>
      <w:numFmt w:val="chineseCounting"/>
      <w:suff w:val="nothing"/>
      <w:lvlText w:val="%1、"/>
      <w:lvlJc w:val="left"/>
      <w:rPr>
        <w:rFonts w:hint="eastAsia"/>
      </w:rPr>
    </w:lvl>
  </w:abstractNum>
  <w:abstractNum w:abstractNumId="5">
    <w:nsid w:val="12DB2C5E"/>
    <w:multiLevelType w:val="singleLevel"/>
    <w:tmpl w:val="12DB2C5E"/>
    <w:lvl w:ilvl="0" w:tentative="0">
      <w:start w:val="1"/>
      <w:numFmt w:val="decimal"/>
      <w:suff w:val="space"/>
      <w:lvlText w:val="%1."/>
      <w:lvlJc w:val="left"/>
    </w:lvl>
  </w:abstractNum>
  <w:abstractNum w:abstractNumId="6">
    <w:nsid w:val="74BB0ECF"/>
    <w:multiLevelType w:val="singleLevel"/>
    <w:tmpl w:val="74BB0ECF"/>
    <w:lvl w:ilvl="0" w:tentative="0">
      <w:start w:val="1"/>
      <w:numFmt w:val="chineseCounting"/>
      <w:suff w:val="space"/>
      <w:lvlText w:val="第%1部分"/>
      <w:lvlJc w:val="left"/>
      <w:rPr>
        <w:rFonts w:hint="eastAsia"/>
      </w:rPr>
    </w:lvl>
  </w:abstractNum>
  <w:num w:numId="1">
    <w:abstractNumId w:val="3"/>
    <w:lvlOverride w:ilvl="0">
      <w:startOverride w:val="1"/>
    </w:lvlOverride>
  </w:num>
  <w:num w:numId="2">
    <w:abstractNumId w:val="1"/>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YWRhOTAyNGY0MzEwZGQ1MTUyOWYxM2M2YTYwMjUifQ=="/>
  </w:docVars>
  <w:rsids>
    <w:rsidRoot w:val="04896696"/>
    <w:rsid w:val="00003581"/>
    <w:rsid w:val="00003F0F"/>
    <w:rsid w:val="000053A9"/>
    <w:rsid w:val="000072ED"/>
    <w:rsid w:val="00011325"/>
    <w:rsid w:val="00011D30"/>
    <w:rsid w:val="000144B4"/>
    <w:rsid w:val="000162E7"/>
    <w:rsid w:val="000171CB"/>
    <w:rsid w:val="00020DD4"/>
    <w:rsid w:val="00025CEB"/>
    <w:rsid w:val="00025EAC"/>
    <w:rsid w:val="00032091"/>
    <w:rsid w:val="0003292B"/>
    <w:rsid w:val="000336E8"/>
    <w:rsid w:val="00036358"/>
    <w:rsid w:val="000402BB"/>
    <w:rsid w:val="00040F1E"/>
    <w:rsid w:val="00041159"/>
    <w:rsid w:val="00043A1C"/>
    <w:rsid w:val="000466A5"/>
    <w:rsid w:val="00050B76"/>
    <w:rsid w:val="000527EE"/>
    <w:rsid w:val="00052D20"/>
    <w:rsid w:val="00053A9F"/>
    <w:rsid w:val="00054F17"/>
    <w:rsid w:val="00062D94"/>
    <w:rsid w:val="00063151"/>
    <w:rsid w:val="00064A31"/>
    <w:rsid w:val="00077159"/>
    <w:rsid w:val="00083FD8"/>
    <w:rsid w:val="000841B8"/>
    <w:rsid w:val="0008441A"/>
    <w:rsid w:val="00085250"/>
    <w:rsid w:val="00086324"/>
    <w:rsid w:val="0009327D"/>
    <w:rsid w:val="00093BE9"/>
    <w:rsid w:val="0009483A"/>
    <w:rsid w:val="0009699F"/>
    <w:rsid w:val="00097818"/>
    <w:rsid w:val="000A482A"/>
    <w:rsid w:val="000A513A"/>
    <w:rsid w:val="000A5471"/>
    <w:rsid w:val="000A55FC"/>
    <w:rsid w:val="000A5634"/>
    <w:rsid w:val="000A5A52"/>
    <w:rsid w:val="000A7282"/>
    <w:rsid w:val="000A7302"/>
    <w:rsid w:val="000B230F"/>
    <w:rsid w:val="000B4F8A"/>
    <w:rsid w:val="000B624A"/>
    <w:rsid w:val="000C1D6D"/>
    <w:rsid w:val="000C3081"/>
    <w:rsid w:val="000C516D"/>
    <w:rsid w:val="000D00DF"/>
    <w:rsid w:val="000D0BA2"/>
    <w:rsid w:val="000D1346"/>
    <w:rsid w:val="000D29BE"/>
    <w:rsid w:val="000D2FC3"/>
    <w:rsid w:val="000D3649"/>
    <w:rsid w:val="000D5439"/>
    <w:rsid w:val="000E03F5"/>
    <w:rsid w:val="000E3360"/>
    <w:rsid w:val="000E62F2"/>
    <w:rsid w:val="000E70EF"/>
    <w:rsid w:val="000F07A6"/>
    <w:rsid w:val="000F0D3F"/>
    <w:rsid w:val="000F11B9"/>
    <w:rsid w:val="000F6D41"/>
    <w:rsid w:val="000F7284"/>
    <w:rsid w:val="00110202"/>
    <w:rsid w:val="00110441"/>
    <w:rsid w:val="00110679"/>
    <w:rsid w:val="00112A1D"/>
    <w:rsid w:val="00113D25"/>
    <w:rsid w:val="0011657E"/>
    <w:rsid w:val="00117117"/>
    <w:rsid w:val="0011721F"/>
    <w:rsid w:val="00117B68"/>
    <w:rsid w:val="00120BC5"/>
    <w:rsid w:val="00123206"/>
    <w:rsid w:val="0012625E"/>
    <w:rsid w:val="00126A7A"/>
    <w:rsid w:val="00126E06"/>
    <w:rsid w:val="001308F1"/>
    <w:rsid w:val="00131085"/>
    <w:rsid w:val="0013259B"/>
    <w:rsid w:val="00142108"/>
    <w:rsid w:val="001468C2"/>
    <w:rsid w:val="00152DDE"/>
    <w:rsid w:val="001537DD"/>
    <w:rsid w:val="00156C43"/>
    <w:rsid w:val="00157247"/>
    <w:rsid w:val="00160B92"/>
    <w:rsid w:val="00160E70"/>
    <w:rsid w:val="0016311C"/>
    <w:rsid w:val="00164561"/>
    <w:rsid w:val="00164C55"/>
    <w:rsid w:val="0016525D"/>
    <w:rsid w:val="0017004A"/>
    <w:rsid w:val="0017058F"/>
    <w:rsid w:val="0017572F"/>
    <w:rsid w:val="001759F5"/>
    <w:rsid w:val="00184142"/>
    <w:rsid w:val="0018441B"/>
    <w:rsid w:val="001866AF"/>
    <w:rsid w:val="00186EC4"/>
    <w:rsid w:val="00187692"/>
    <w:rsid w:val="00190D23"/>
    <w:rsid w:val="001916AA"/>
    <w:rsid w:val="001923AE"/>
    <w:rsid w:val="001923DF"/>
    <w:rsid w:val="00195708"/>
    <w:rsid w:val="001A31A1"/>
    <w:rsid w:val="001A3330"/>
    <w:rsid w:val="001A3B4D"/>
    <w:rsid w:val="001A4382"/>
    <w:rsid w:val="001B1058"/>
    <w:rsid w:val="001B1347"/>
    <w:rsid w:val="001B1997"/>
    <w:rsid w:val="001B2ABC"/>
    <w:rsid w:val="001B5CE3"/>
    <w:rsid w:val="001B7AA6"/>
    <w:rsid w:val="001C6EED"/>
    <w:rsid w:val="001C7B89"/>
    <w:rsid w:val="001D0284"/>
    <w:rsid w:val="001D46CB"/>
    <w:rsid w:val="001D4954"/>
    <w:rsid w:val="001D5C5F"/>
    <w:rsid w:val="001E15AC"/>
    <w:rsid w:val="001E168E"/>
    <w:rsid w:val="001E1D59"/>
    <w:rsid w:val="001E1E23"/>
    <w:rsid w:val="001E538C"/>
    <w:rsid w:val="001E5543"/>
    <w:rsid w:val="001E5EA9"/>
    <w:rsid w:val="001E64AC"/>
    <w:rsid w:val="001E7F82"/>
    <w:rsid w:val="001F0504"/>
    <w:rsid w:val="001F0E01"/>
    <w:rsid w:val="001F0EF1"/>
    <w:rsid w:val="001F1FB0"/>
    <w:rsid w:val="00200BEB"/>
    <w:rsid w:val="00201B4B"/>
    <w:rsid w:val="0020685E"/>
    <w:rsid w:val="00207462"/>
    <w:rsid w:val="002074CC"/>
    <w:rsid w:val="00210C1D"/>
    <w:rsid w:val="00212A74"/>
    <w:rsid w:val="0021472E"/>
    <w:rsid w:val="002215E2"/>
    <w:rsid w:val="00231ABA"/>
    <w:rsid w:val="0023334C"/>
    <w:rsid w:val="00236385"/>
    <w:rsid w:val="00236978"/>
    <w:rsid w:val="002423A0"/>
    <w:rsid w:val="002425ED"/>
    <w:rsid w:val="00243292"/>
    <w:rsid w:val="00243382"/>
    <w:rsid w:val="002434BF"/>
    <w:rsid w:val="00247C03"/>
    <w:rsid w:val="00247D89"/>
    <w:rsid w:val="00247FAD"/>
    <w:rsid w:val="002502B9"/>
    <w:rsid w:val="00250D66"/>
    <w:rsid w:val="00251C27"/>
    <w:rsid w:val="00254737"/>
    <w:rsid w:val="002577E5"/>
    <w:rsid w:val="00263E53"/>
    <w:rsid w:val="002708EF"/>
    <w:rsid w:val="002717E1"/>
    <w:rsid w:val="00284452"/>
    <w:rsid w:val="0028662C"/>
    <w:rsid w:val="002931D0"/>
    <w:rsid w:val="0029455D"/>
    <w:rsid w:val="002A4B4C"/>
    <w:rsid w:val="002A511A"/>
    <w:rsid w:val="002A6A73"/>
    <w:rsid w:val="002A7071"/>
    <w:rsid w:val="002B0BB4"/>
    <w:rsid w:val="002B2843"/>
    <w:rsid w:val="002C32C6"/>
    <w:rsid w:val="002C551B"/>
    <w:rsid w:val="002D11BD"/>
    <w:rsid w:val="002D294C"/>
    <w:rsid w:val="002D5A31"/>
    <w:rsid w:val="002E5A73"/>
    <w:rsid w:val="002E66DB"/>
    <w:rsid w:val="002E6A41"/>
    <w:rsid w:val="002F1BA9"/>
    <w:rsid w:val="002F34CE"/>
    <w:rsid w:val="002F584F"/>
    <w:rsid w:val="002F6403"/>
    <w:rsid w:val="002F7299"/>
    <w:rsid w:val="00300D03"/>
    <w:rsid w:val="00303F7B"/>
    <w:rsid w:val="00305D69"/>
    <w:rsid w:val="0030671E"/>
    <w:rsid w:val="00310696"/>
    <w:rsid w:val="00311F66"/>
    <w:rsid w:val="00317C44"/>
    <w:rsid w:val="00324620"/>
    <w:rsid w:val="00327154"/>
    <w:rsid w:val="00327FBE"/>
    <w:rsid w:val="003300AF"/>
    <w:rsid w:val="003319CE"/>
    <w:rsid w:val="003322FB"/>
    <w:rsid w:val="003374AD"/>
    <w:rsid w:val="003428A4"/>
    <w:rsid w:val="00343268"/>
    <w:rsid w:val="00345A07"/>
    <w:rsid w:val="003503AC"/>
    <w:rsid w:val="00350F28"/>
    <w:rsid w:val="00357378"/>
    <w:rsid w:val="003573BA"/>
    <w:rsid w:val="003600F9"/>
    <w:rsid w:val="00361D63"/>
    <w:rsid w:val="00365318"/>
    <w:rsid w:val="00367A91"/>
    <w:rsid w:val="00371D01"/>
    <w:rsid w:val="00371EB2"/>
    <w:rsid w:val="00371F51"/>
    <w:rsid w:val="0037371A"/>
    <w:rsid w:val="00374B41"/>
    <w:rsid w:val="00376950"/>
    <w:rsid w:val="00377327"/>
    <w:rsid w:val="00380091"/>
    <w:rsid w:val="00381F5C"/>
    <w:rsid w:val="003822B0"/>
    <w:rsid w:val="0038518A"/>
    <w:rsid w:val="00385F5E"/>
    <w:rsid w:val="0038682D"/>
    <w:rsid w:val="00387C79"/>
    <w:rsid w:val="00391CFA"/>
    <w:rsid w:val="00391E72"/>
    <w:rsid w:val="00392A78"/>
    <w:rsid w:val="00393071"/>
    <w:rsid w:val="003931CB"/>
    <w:rsid w:val="003938A2"/>
    <w:rsid w:val="003974A1"/>
    <w:rsid w:val="003A1A28"/>
    <w:rsid w:val="003A397A"/>
    <w:rsid w:val="003A730F"/>
    <w:rsid w:val="003A79FA"/>
    <w:rsid w:val="003B3206"/>
    <w:rsid w:val="003B4392"/>
    <w:rsid w:val="003C0432"/>
    <w:rsid w:val="003C4253"/>
    <w:rsid w:val="003C5308"/>
    <w:rsid w:val="003D00C6"/>
    <w:rsid w:val="003D30FD"/>
    <w:rsid w:val="003D6B84"/>
    <w:rsid w:val="003E1D28"/>
    <w:rsid w:val="003E25BD"/>
    <w:rsid w:val="003E55CB"/>
    <w:rsid w:val="003E65FE"/>
    <w:rsid w:val="003E7170"/>
    <w:rsid w:val="003E7A42"/>
    <w:rsid w:val="003F1C13"/>
    <w:rsid w:val="003F2FC5"/>
    <w:rsid w:val="003F6162"/>
    <w:rsid w:val="003F66B1"/>
    <w:rsid w:val="003F6CBF"/>
    <w:rsid w:val="00400A96"/>
    <w:rsid w:val="00400EFC"/>
    <w:rsid w:val="00401ED5"/>
    <w:rsid w:val="004021FD"/>
    <w:rsid w:val="004038B6"/>
    <w:rsid w:val="004042DF"/>
    <w:rsid w:val="004064CD"/>
    <w:rsid w:val="00410820"/>
    <w:rsid w:val="004138EB"/>
    <w:rsid w:val="00413A4F"/>
    <w:rsid w:val="004175A6"/>
    <w:rsid w:val="00420781"/>
    <w:rsid w:val="00422D9E"/>
    <w:rsid w:val="004258D2"/>
    <w:rsid w:val="00426F64"/>
    <w:rsid w:val="00427810"/>
    <w:rsid w:val="00427FA6"/>
    <w:rsid w:val="00430264"/>
    <w:rsid w:val="004308F9"/>
    <w:rsid w:val="0043252A"/>
    <w:rsid w:val="0043485C"/>
    <w:rsid w:val="00440870"/>
    <w:rsid w:val="004415D7"/>
    <w:rsid w:val="0044252A"/>
    <w:rsid w:val="0044321A"/>
    <w:rsid w:val="004451EC"/>
    <w:rsid w:val="00445229"/>
    <w:rsid w:val="00450C2E"/>
    <w:rsid w:val="00450DAB"/>
    <w:rsid w:val="00451E1F"/>
    <w:rsid w:val="004538EA"/>
    <w:rsid w:val="00454D77"/>
    <w:rsid w:val="00457F7F"/>
    <w:rsid w:val="004603F2"/>
    <w:rsid w:val="00465E91"/>
    <w:rsid w:val="00467542"/>
    <w:rsid w:val="004748B1"/>
    <w:rsid w:val="0047573F"/>
    <w:rsid w:val="00475A49"/>
    <w:rsid w:val="004766FB"/>
    <w:rsid w:val="004813EE"/>
    <w:rsid w:val="004822DE"/>
    <w:rsid w:val="0048497F"/>
    <w:rsid w:val="004978DA"/>
    <w:rsid w:val="004A0349"/>
    <w:rsid w:val="004A14C9"/>
    <w:rsid w:val="004A2D66"/>
    <w:rsid w:val="004A6E9A"/>
    <w:rsid w:val="004B0AF0"/>
    <w:rsid w:val="004B1BBA"/>
    <w:rsid w:val="004B2B16"/>
    <w:rsid w:val="004B393D"/>
    <w:rsid w:val="004B3B94"/>
    <w:rsid w:val="004C06D4"/>
    <w:rsid w:val="004C1C6D"/>
    <w:rsid w:val="004C3262"/>
    <w:rsid w:val="004D00FE"/>
    <w:rsid w:val="004D06CD"/>
    <w:rsid w:val="004D16B6"/>
    <w:rsid w:val="004D5087"/>
    <w:rsid w:val="004D57DA"/>
    <w:rsid w:val="004E0FC8"/>
    <w:rsid w:val="004E1352"/>
    <w:rsid w:val="004E209B"/>
    <w:rsid w:val="004E3466"/>
    <w:rsid w:val="004E767A"/>
    <w:rsid w:val="004F21CA"/>
    <w:rsid w:val="004F59E5"/>
    <w:rsid w:val="004F61D2"/>
    <w:rsid w:val="004F7A59"/>
    <w:rsid w:val="0050088A"/>
    <w:rsid w:val="005015E1"/>
    <w:rsid w:val="00501CCB"/>
    <w:rsid w:val="00505BB1"/>
    <w:rsid w:val="005111D2"/>
    <w:rsid w:val="0051413B"/>
    <w:rsid w:val="0051464F"/>
    <w:rsid w:val="00514AB8"/>
    <w:rsid w:val="005154AF"/>
    <w:rsid w:val="005155C8"/>
    <w:rsid w:val="005159BE"/>
    <w:rsid w:val="00517212"/>
    <w:rsid w:val="00525AA2"/>
    <w:rsid w:val="00527720"/>
    <w:rsid w:val="00527CEF"/>
    <w:rsid w:val="00530025"/>
    <w:rsid w:val="00530487"/>
    <w:rsid w:val="00535E12"/>
    <w:rsid w:val="005366A2"/>
    <w:rsid w:val="00540C34"/>
    <w:rsid w:val="00543991"/>
    <w:rsid w:val="0054429E"/>
    <w:rsid w:val="0056010E"/>
    <w:rsid w:val="0056203E"/>
    <w:rsid w:val="00562450"/>
    <w:rsid w:val="00563180"/>
    <w:rsid w:val="00564278"/>
    <w:rsid w:val="00566A55"/>
    <w:rsid w:val="005674FE"/>
    <w:rsid w:val="00567A5F"/>
    <w:rsid w:val="00567C73"/>
    <w:rsid w:val="00570518"/>
    <w:rsid w:val="00570BC4"/>
    <w:rsid w:val="0057571E"/>
    <w:rsid w:val="00577715"/>
    <w:rsid w:val="00585D1D"/>
    <w:rsid w:val="00590BB6"/>
    <w:rsid w:val="00590C80"/>
    <w:rsid w:val="00594A39"/>
    <w:rsid w:val="005960B9"/>
    <w:rsid w:val="005969BC"/>
    <w:rsid w:val="00596AB9"/>
    <w:rsid w:val="00597EA4"/>
    <w:rsid w:val="005A35FA"/>
    <w:rsid w:val="005A3E76"/>
    <w:rsid w:val="005A4D8A"/>
    <w:rsid w:val="005A7524"/>
    <w:rsid w:val="005B111A"/>
    <w:rsid w:val="005B3BC4"/>
    <w:rsid w:val="005B4054"/>
    <w:rsid w:val="005C125F"/>
    <w:rsid w:val="005C1BFE"/>
    <w:rsid w:val="005C2F96"/>
    <w:rsid w:val="005C6153"/>
    <w:rsid w:val="005D0A3D"/>
    <w:rsid w:val="005D2499"/>
    <w:rsid w:val="005D2C0C"/>
    <w:rsid w:val="005D2D81"/>
    <w:rsid w:val="005D33A5"/>
    <w:rsid w:val="005D45D8"/>
    <w:rsid w:val="005E0008"/>
    <w:rsid w:val="005E0C90"/>
    <w:rsid w:val="005E12EE"/>
    <w:rsid w:val="005E1ED3"/>
    <w:rsid w:val="005E2F78"/>
    <w:rsid w:val="005E4B19"/>
    <w:rsid w:val="005E6630"/>
    <w:rsid w:val="005F2045"/>
    <w:rsid w:val="005F24A8"/>
    <w:rsid w:val="005F5C70"/>
    <w:rsid w:val="006000AF"/>
    <w:rsid w:val="006000C4"/>
    <w:rsid w:val="00600AED"/>
    <w:rsid w:val="006031B7"/>
    <w:rsid w:val="0060761F"/>
    <w:rsid w:val="0060763B"/>
    <w:rsid w:val="006109EB"/>
    <w:rsid w:val="006110B8"/>
    <w:rsid w:val="00613369"/>
    <w:rsid w:val="0062034A"/>
    <w:rsid w:val="00620A60"/>
    <w:rsid w:val="0062315C"/>
    <w:rsid w:val="00624013"/>
    <w:rsid w:val="006253A7"/>
    <w:rsid w:val="006258E9"/>
    <w:rsid w:val="0063255E"/>
    <w:rsid w:val="006358DB"/>
    <w:rsid w:val="006369E3"/>
    <w:rsid w:val="006369FE"/>
    <w:rsid w:val="00637827"/>
    <w:rsid w:val="00640102"/>
    <w:rsid w:val="00640876"/>
    <w:rsid w:val="0064151C"/>
    <w:rsid w:val="0064418D"/>
    <w:rsid w:val="006449ED"/>
    <w:rsid w:val="006456F9"/>
    <w:rsid w:val="00645C20"/>
    <w:rsid w:val="00647B0F"/>
    <w:rsid w:val="00650DCA"/>
    <w:rsid w:val="0065258A"/>
    <w:rsid w:val="00654C65"/>
    <w:rsid w:val="00654EA8"/>
    <w:rsid w:val="006561EF"/>
    <w:rsid w:val="0066121A"/>
    <w:rsid w:val="0066279D"/>
    <w:rsid w:val="006633E5"/>
    <w:rsid w:val="0066398F"/>
    <w:rsid w:val="006640D9"/>
    <w:rsid w:val="00665161"/>
    <w:rsid w:val="00667A5E"/>
    <w:rsid w:val="00674060"/>
    <w:rsid w:val="006740CF"/>
    <w:rsid w:val="00674D95"/>
    <w:rsid w:val="00677571"/>
    <w:rsid w:val="006825A8"/>
    <w:rsid w:val="00685E9A"/>
    <w:rsid w:val="0069172C"/>
    <w:rsid w:val="006930EB"/>
    <w:rsid w:val="006949A6"/>
    <w:rsid w:val="00695F7B"/>
    <w:rsid w:val="00697A4F"/>
    <w:rsid w:val="00697CA7"/>
    <w:rsid w:val="006A4363"/>
    <w:rsid w:val="006A5DDE"/>
    <w:rsid w:val="006A7E46"/>
    <w:rsid w:val="006B10B9"/>
    <w:rsid w:val="006B21FE"/>
    <w:rsid w:val="006B7DA1"/>
    <w:rsid w:val="006C08CE"/>
    <w:rsid w:val="006C0E5C"/>
    <w:rsid w:val="006C18D9"/>
    <w:rsid w:val="006C231C"/>
    <w:rsid w:val="006C3AE5"/>
    <w:rsid w:val="006C46A9"/>
    <w:rsid w:val="006C4CE2"/>
    <w:rsid w:val="006C4D75"/>
    <w:rsid w:val="006C5538"/>
    <w:rsid w:val="006C74F8"/>
    <w:rsid w:val="006C7E6F"/>
    <w:rsid w:val="006D08BF"/>
    <w:rsid w:val="006D365F"/>
    <w:rsid w:val="006D544A"/>
    <w:rsid w:val="006E6574"/>
    <w:rsid w:val="006E6888"/>
    <w:rsid w:val="006F228C"/>
    <w:rsid w:val="006F3985"/>
    <w:rsid w:val="006F57B9"/>
    <w:rsid w:val="006F59C7"/>
    <w:rsid w:val="006F5A00"/>
    <w:rsid w:val="00700DA0"/>
    <w:rsid w:val="00701195"/>
    <w:rsid w:val="007028ED"/>
    <w:rsid w:val="00703E1B"/>
    <w:rsid w:val="00705BFB"/>
    <w:rsid w:val="0070660B"/>
    <w:rsid w:val="00706C6F"/>
    <w:rsid w:val="007102A7"/>
    <w:rsid w:val="00712DF4"/>
    <w:rsid w:val="00713021"/>
    <w:rsid w:val="0071506F"/>
    <w:rsid w:val="0071602B"/>
    <w:rsid w:val="00716D9E"/>
    <w:rsid w:val="007200A5"/>
    <w:rsid w:val="0072055A"/>
    <w:rsid w:val="007233B1"/>
    <w:rsid w:val="00725E14"/>
    <w:rsid w:val="00726125"/>
    <w:rsid w:val="00727FD1"/>
    <w:rsid w:val="00730D26"/>
    <w:rsid w:val="0073135F"/>
    <w:rsid w:val="00731DB9"/>
    <w:rsid w:val="00732C6A"/>
    <w:rsid w:val="007339DD"/>
    <w:rsid w:val="00736A03"/>
    <w:rsid w:val="00740C32"/>
    <w:rsid w:val="00742AFB"/>
    <w:rsid w:val="00742D9B"/>
    <w:rsid w:val="007430B3"/>
    <w:rsid w:val="007442ED"/>
    <w:rsid w:val="00751FFA"/>
    <w:rsid w:val="0075240E"/>
    <w:rsid w:val="007610E4"/>
    <w:rsid w:val="007651A9"/>
    <w:rsid w:val="00767F4E"/>
    <w:rsid w:val="0077225A"/>
    <w:rsid w:val="007725B1"/>
    <w:rsid w:val="0077446D"/>
    <w:rsid w:val="0077536C"/>
    <w:rsid w:val="0077652D"/>
    <w:rsid w:val="007818FB"/>
    <w:rsid w:val="00781D4D"/>
    <w:rsid w:val="00782A3F"/>
    <w:rsid w:val="00785D25"/>
    <w:rsid w:val="00791509"/>
    <w:rsid w:val="00794034"/>
    <w:rsid w:val="007A16D7"/>
    <w:rsid w:val="007A2D30"/>
    <w:rsid w:val="007A444C"/>
    <w:rsid w:val="007A4A45"/>
    <w:rsid w:val="007A4FF9"/>
    <w:rsid w:val="007A52A2"/>
    <w:rsid w:val="007A5BD3"/>
    <w:rsid w:val="007A6DE1"/>
    <w:rsid w:val="007A6E92"/>
    <w:rsid w:val="007B1D34"/>
    <w:rsid w:val="007B210F"/>
    <w:rsid w:val="007B350A"/>
    <w:rsid w:val="007B3938"/>
    <w:rsid w:val="007B39AE"/>
    <w:rsid w:val="007C3024"/>
    <w:rsid w:val="007C4B49"/>
    <w:rsid w:val="007C6E1C"/>
    <w:rsid w:val="007C798C"/>
    <w:rsid w:val="007D04DE"/>
    <w:rsid w:val="007D20AE"/>
    <w:rsid w:val="007D3B9B"/>
    <w:rsid w:val="007D521A"/>
    <w:rsid w:val="007E147B"/>
    <w:rsid w:val="007E1F99"/>
    <w:rsid w:val="007E3909"/>
    <w:rsid w:val="007E43D1"/>
    <w:rsid w:val="007E4888"/>
    <w:rsid w:val="007E57B3"/>
    <w:rsid w:val="007F0D18"/>
    <w:rsid w:val="007F3D6E"/>
    <w:rsid w:val="007F544A"/>
    <w:rsid w:val="007F57C9"/>
    <w:rsid w:val="00800B88"/>
    <w:rsid w:val="00803375"/>
    <w:rsid w:val="008049F9"/>
    <w:rsid w:val="00806741"/>
    <w:rsid w:val="008068E9"/>
    <w:rsid w:val="00807D4E"/>
    <w:rsid w:val="008103FC"/>
    <w:rsid w:val="0081106B"/>
    <w:rsid w:val="00811430"/>
    <w:rsid w:val="00811E9E"/>
    <w:rsid w:val="00812A95"/>
    <w:rsid w:val="008159BD"/>
    <w:rsid w:val="008169AD"/>
    <w:rsid w:val="008172C6"/>
    <w:rsid w:val="008204B7"/>
    <w:rsid w:val="0082055E"/>
    <w:rsid w:val="008301B2"/>
    <w:rsid w:val="00832035"/>
    <w:rsid w:val="00834349"/>
    <w:rsid w:val="0083719C"/>
    <w:rsid w:val="00841D38"/>
    <w:rsid w:val="008429D9"/>
    <w:rsid w:val="00842C15"/>
    <w:rsid w:val="008456D4"/>
    <w:rsid w:val="0085268E"/>
    <w:rsid w:val="0085601F"/>
    <w:rsid w:val="0085610C"/>
    <w:rsid w:val="008571F7"/>
    <w:rsid w:val="0086234A"/>
    <w:rsid w:val="00866A4C"/>
    <w:rsid w:val="00870F02"/>
    <w:rsid w:val="00871B6B"/>
    <w:rsid w:val="008737DD"/>
    <w:rsid w:val="008738A9"/>
    <w:rsid w:val="00874E94"/>
    <w:rsid w:val="008753D8"/>
    <w:rsid w:val="0088046F"/>
    <w:rsid w:val="00880621"/>
    <w:rsid w:val="00881045"/>
    <w:rsid w:val="008833A2"/>
    <w:rsid w:val="008862EF"/>
    <w:rsid w:val="00887178"/>
    <w:rsid w:val="00887728"/>
    <w:rsid w:val="00887A00"/>
    <w:rsid w:val="00890F7F"/>
    <w:rsid w:val="00891678"/>
    <w:rsid w:val="0089216F"/>
    <w:rsid w:val="008938C4"/>
    <w:rsid w:val="008942C6"/>
    <w:rsid w:val="00894D61"/>
    <w:rsid w:val="00896726"/>
    <w:rsid w:val="00897F76"/>
    <w:rsid w:val="008A1B24"/>
    <w:rsid w:val="008A2DAC"/>
    <w:rsid w:val="008A66D9"/>
    <w:rsid w:val="008A7F66"/>
    <w:rsid w:val="008B0531"/>
    <w:rsid w:val="008B19A4"/>
    <w:rsid w:val="008B7F02"/>
    <w:rsid w:val="008C5FCC"/>
    <w:rsid w:val="008C68D3"/>
    <w:rsid w:val="008C7C39"/>
    <w:rsid w:val="008E08C5"/>
    <w:rsid w:val="008E12F4"/>
    <w:rsid w:val="008E49B2"/>
    <w:rsid w:val="008E604A"/>
    <w:rsid w:val="008E6927"/>
    <w:rsid w:val="008F5268"/>
    <w:rsid w:val="008F6402"/>
    <w:rsid w:val="00900E22"/>
    <w:rsid w:val="0090367E"/>
    <w:rsid w:val="009039BB"/>
    <w:rsid w:val="0090792A"/>
    <w:rsid w:val="0091096A"/>
    <w:rsid w:val="00911A96"/>
    <w:rsid w:val="00911CDD"/>
    <w:rsid w:val="0091431A"/>
    <w:rsid w:val="00914AC2"/>
    <w:rsid w:val="00916813"/>
    <w:rsid w:val="00921B51"/>
    <w:rsid w:val="00922D52"/>
    <w:rsid w:val="00924428"/>
    <w:rsid w:val="0092482B"/>
    <w:rsid w:val="00925A05"/>
    <w:rsid w:val="00925A83"/>
    <w:rsid w:val="0093202A"/>
    <w:rsid w:val="00932ACA"/>
    <w:rsid w:val="0093672B"/>
    <w:rsid w:val="0093711C"/>
    <w:rsid w:val="009430E5"/>
    <w:rsid w:val="00951EFE"/>
    <w:rsid w:val="00960A8A"/>
    <w:rsid w:val="00960C06"/>
    <w:rsid w:val="00960F37"/>
    <w:rsid w:val="0096247C"/>
    <w:rsid w:val="00964AA6"/>
    <w:rsid w:val="00965147"/>
    <w:rsid w:val="0096783C"/>
    <w:rsid w:val="00967FEC"/>
    <w:rsid w:val="00971DB1"/>
    <w:rsid w:val="0097483A"/>
    <w:rsid w:val="009753F1"/>
    <w:rsid w:val="00977D96"/>
    <w:rsid w:val="009813EC"/>
    <w:rsid w:val="00982D5A"/>
    <w:rsid w:val="00984030"/>
    <w:rsid w:val="0098425C"/>
    <w:rsid w:val="00984A57"/>
    <w:rsid w:val="00984B46"/>
    <w:rsid w:val="00987529"/>
    <w:rsid w:val="009907D1"/>
    <w:rsid w:val="00995285"/>
    <w:rsid w:val="009A1547"/>
    <w:rsid w:val="009B0807"/>
    <w:rsid w:val="009B41D4"/>
    <w:rsid w:val="009B4E9F"/>
    <w:rsid w:val="009B642D"/>
    <w:rsid w:val="009B7839"/>
    <w:rsid w:val="009C18A6"/>
    <w:rsid w:val="009C1E92"/>
    <w:rsid w:val="009C2205"/>
    <w:rsid w:val="009C3D1A"/>
    <w:rsid w:val="009C4012"/>
    <w:rsid w:val="009C6434"/>
    <w:rsid w:val="009C6A2A"/>
    <w:rsid w:val="009C74A9"/>
    <w:rsid w:val="009D079F"/>
    <w:rsid w:val="009D2910"/>
    <w:rsid w:val="009D5699"/>
    <w:rsid w:val="009D5EFE"/>
    <w:rsid w:val="009D6021"/>
    <w:rsid w:val="009D6E02"/>
    <w:rsid w:val="009E1BE7"/>
    <w:rsid w:val="009E333B"/>
    <w:rsid w:val="009E3DA9"/>
    <w:rsid w:val="009E5457"/>
    <w:rsid w:val="009E66C1"/>
    <w:rsid w:val="009E6EA6"/>
    <w:rsid w:val="009F0033"/>
    <w:rsid w:val="009F13E3"/>
    <w:rsid w:val="009F2B72"/>
    <w:rsid w:val="009F2F4A"/>
    <w:rsid w:val="009F370C"/>
    <w:rsid w:val="009F5800"/>
    <w:rsid w:val="009F78D8"/>
    <w:rsid w:val="00A01AE1"/>
    <w:rsid w:val="00A03558"/>
    <w:rsid w:val="00A054FE"/>
    <w:rsid w:val="00A07D89"/>
    <w:rsid w:val="00A1020C"/>
    <w:rsid w:val="00A11B29"/>
    <w:rsid w:val="00A1336F"/>
    <w:rsid w:val="00A176AE"/>
    <w:rsid w:val="00A207F6"/>
    <w:rsid w:val="00A20966"/>
    <w:rsid w:val="00A23125"/>
    <w:rsid w:val="00A252D4"/>
    <w:rsid w:val="00A275D2"/>
    <w:rsid w:val="00A339DD"/>
    <w:rsid w:val="00A33B4A"/>
    <w:rsid w:val="00A43F0A"/>
    <w:rsid w:val="00A478BA"/>
    <w:rsid w:val="00A479FD"/>
    <w:rsid w:val="00A506DB"/>
    <w:rsid w:val="00A53605"/>
    <w:rsid w:val="00A54905"/>
    <w:rsid w:val="00A60411"/>
    <w:rsid w:val="00A60779"/>
    <w:rsid w:val="00A64699"/>
    <w:rsid w:val="00A658DE"/>
    <w:rsid w:val="00A70798"/>
    <w:rsid w:val="00A74A9E"/>
    <w:rsid w:val="00A75425"/>
    <w:rsid w:val="00A806B6"/>
    <w:rsid w:val="00A83F29"/>
    <w:rsid w:val="00A85228"/>
    <w:rsid w:val="00A86172"/>
    <w:rsid w:val="00A86BA2"/>
    <w:rsid w:val="00A86E45"/>
    <w:rsid w:val="00A97F69"/>
    <w:rsid w:val="00AA26C0"/>
    <w:rsid w:val="00AA2A99"/>
    <w:rsid w:val="00AA65C4"/>
    <w:rsid w:val="00AA7A3E"/>
    <w:rsid w:val="00AB0430"/>
    <w:rsid w:val="00AB2E1D"/>
    <w:rsid w:val="00AB54D7"/>
    <w:rsid w:val="00AC2168"/>
    <w:rsid w:val="00AC3180"/>
    <w:rsid w:val="00AC43CC"/>
    <w:rsid w:val="00AC498F"/>
    <w:rsid w:val="00AD16D2"/>
    <w:rsid w:val="00AE05AA"/>
    <w:rsid w:val="00AE0AE3"/>
    <w:rsid w:val="00AE1A4F"/>
    <w:rsid w:val="00AE1C06"/>
    <w:rsid w:val="00AE4678"/>
    <w:rsid w:val="00AE5C53"/>
    <w:rsid w:val="00AE6143"/>
    <w:rsid w:val="00AE6B54"/>
    <w:rsid w:val="00AE7049"/>
    <w:rsid w:val="00AF11BB"/>
    <w:rsid w:val="00AF42A0"/>
    <w:rsid w:val="00AF791B"/>
    <w:rsid w:val="00B13C81"/>
    <w:rsid w:val="00B13E12"/>
    <w:rsid w:val="00B16033"/>
    <w:rsid w:val="00B16D51"/>
    <w:rsid w:val="00B178EA"/>
    <w:rsid w:val="00B17E37"/>
    <w:rsid w:val="00B21255"/>
    <w:rsid w:val="00B236E3"/>
    <w:rsid w:val="00B32EE5"/>
    <w:rsid w:val="00B33BD1"/>
    <w:rsid w:val="00B37086"/>
    <w:rsid w:val="00B37C12"/>
    <w:rsid w:val="00B37D60"/>
    <w:rsid w:val="00B40B6E"/>
    <w:rsid w:val="00B41500"/>
    <w:rsid w:val="00B42777"/>
    <w:rsid w:val="00B45857"/>
    <w:rsid w:val="00B50075"/>
    <w:rsid w:val="00B52B2F"/>
    <w:rsid w:val="00B5406A"/>
    <w:rsid w:val="00B544D9"/>
    <w:rsid w:val="00B54C3C"/>
    <w:rsid w:val="00B600D4"/>
    <w:rsid w:val="00B60634"/>
    <w:rsid w:val="00B61E71"/>
    <w:rsid w:val="00B64B9F"/>
    <w:rsid w:val="00B64BC7"/>
    <w:rsid w:val="00B67E27"/>
    <w:rsid w:val="00B70827"/>
    <w:rsid w:val="00B71B5B"/>
    <w:rsid w:val="00B738AC"/>
    <w:rsid w:val="00B74CC2"/>
    <w:rsid w:val="00B75FFA"/>
    <w:rsid w:val="00B77AF3"/>
    <w:rsid w:val="00B81F95"/>
    <w:rsid w:val="00B831B0"/>
    <w:rsid w:val="00B832F2"/>
    <w:rsid w:val="00B84B0A"/>
    <w:rsid w:val="00B84BF9"/>
    <w:rsid w:val="00B90488"/>
    <w:rsid w:val="00B90875"/>
    <w:rsid w:val="00B916F4"/>
    <w:rsid w:val="00B93BD9"/>
    <w:rsid w:val="00B95DEC"/>
    <w:rsid w:val="00B97DE9"/>
    <w:rsid w:val="00B97FD5"/>
    <w:rsid w:val="00BA09D6"/>
    <w:rsid w:val="00BA30AA"/>
    <w:rsid w:val="00BA5092"/>
    <w:rsid w:val="00BA7340"/>
    <w:rsid w:val="00BB1A6B"/>
    <w:rsid w:val="00BB314E"/>
    <w:rsid w:val="00BB7447"/>
    <w:rsid w:val="00BB7D7A"/>
    <w:rsid w:val="00BC07E7"/>
    <w:rsid w:val="00BC1763"/>
    <w:rsid w:val="00BC2954"/>
    <w:rsid w:val="00BC4615"/>
    <w:rsid w:val="00BC7795"/>
    <w:rsid w:val="00BD112A"/>
    <w:rsid w:val="00BD1A14"/>
    <w:rsid w:val="00BD2576"/>
    <w:rsid w:val="00BD6A61"/>
    <w:rsid w:val="00BD6D1C"/>
    <w:rsid w:val="00BD6FB4"/>
    <w:rsid w:val="00BD747C"/>
    <w:rsid w:val="00BE1A26"/>
    <w:rsid w:val="00BE2756"/>
    <w:rsid w:val="00BE2B96"/>
    <w:rsid w:val="00BE57E7"/>
    <w:rsid w:val="00BF32E8"/>
    <w:rsid w:val="00BF36DA"/>
    <w:rsid w:val="00C01F52"/>
    <w:rsid w:val="00C020FB"/>
    <w:rsid w:val="00C03111"/>
    <w:rsid w:val="00C05F09"/>
    <w:rsid w:val="00C062E7"/>
    <w:rsid w:val="00C06F4E"/>
    <w:rsid w:val="00C12024"/>
    <w:rsid w:val="00C12E68"/>
    <w:rsid w:val="00C14363"/>
    <w:rsid w:val="00C154BB"/>
    <w:rsid w:val="00C21308"/>
    <w:rsid w:val="00C2408B"/>
    <w:rsid w:val="00C24678"/>
    <w:rsid w:val="00C267FC"/>
    <w:rsid w:val="00C30EBA"/>
    <w:rsid w:val="00C31D75"/>
    <w:rsid w:val="00C350D1"/>
    <w:rsid w:val="00C355A1"/>
    <w:rsid w:val="00C40EFC"/>
    <w:rsid w:val="00C41015"/>
    <w:rsid w:val="00C425DE"/>
    <w:rsid w:val="00C4307D"/>
    <w:rsid w:val="00C4334B"/>
    <w:rsid w:val="00C47F2A"/>
    <w:rsid w:val="00C523CF"/>
    <w:rsid w:val="00C53D33"/>
    <w:rsid w:val="00C5478A"/>
    <w:rsid w:val="00C56ABA"/>
    <w:rsid w:val="00C61CFA"/>
    <w:rsid w:val="00C632CB"/>
    <w:rsid w:val="00C6794C"/>
    <w:rsid w:val="00C67D42"/>
    <w:rsid w:val="00C730AE"/>
    <w:rsid w:val="00C74962"/>
    <w:rsid w:val="00C752C9"/>
    <w:rsid w:val="00C76F7F"/>
    <w:rsid w:val="00C77AA3"/>
    <w:rsid w:val="00C808BA"/>
    <w:rsid w:val="00C86EC3"/>
    <w:rsid w:val="00C87662"/>
    <w:rsid w:val="00C87D18"/>
    <w:rsid w:val="00C87FA0"/>
    <w:rsid w:val="00C910B9"/>
    <w:rsid w:val="00C928BC"/>
    <w:rsid w:val="00C9322E"/>
    <w:rsid w:val="00C93AA4"/>
    <w:rsid w:val="00C97776"/>
    <w:rsid w:val="00C978F0"/>
    <w:rsid w:val="00C97F82"/>
    <w:rsid w:val="00CA0664"/>
    <w:rsid w:val="00CA31A4"/>
    <w:rsid w:val="00CB0E0E"/>
    <w:rsid w:val="00CB3DBB"/>
    <w:rsid w:val="00CB6F5D"/>
    <w:rsid w:val="00CC4E1D"/>
    <w:rsid w:val="00CC6ADF"/>
    <w:rsid w:val="00CC7BE3"/>
    <w:rsid w:val="00CD0443"/>
    <w:rsid w:val="00CD465E"/>
    <w:rsid w:val="00CD74BF"/>
    <w:rsid w:val="00CE20BB"/>
    <w:rsid w:val="00CE2871"/>
    <w:rsid w:val="00CE4ED1"/>
    <w:rsid w:val="00CE5018"/>
    <w:rsid w:val="00CE50B9"/>
    <w:rsid w:val="00CF2D43"/>
    <w:rsid w:val="00CF2ED6"/>
    <w:rsid w:val="00CF3F6F"/>
    <w:rsid w:val="00CF7719"/>
    <w:rsid w:val="00D004B4"/>
    <w:rsid w:val="00D02861"/>
    <w:rsid w:val="00D0290C"/>
    <w:rsid w:val="00D02BE5"/>
    <w:rsid w:val="00D043A0"/>
    <w:rsid w:val="00D04E4E"/>
    <w:rsid w:val="00D07DDA"/>
    <w:rsid w:val="00D134AF"/>
    <w:rsid w:val="00D142B2"/>
    <w:rsid w:val="00D15C0F"/>
    <w:rsid w:val="00D16242"/>
    <w:rsid w:val="00D206AB"/>
    <w:rsid w:val="00D2125C"/>
    <w:rsid w:val="00D21D98"/>
    <w:rsid w:val="00D22798"/>
    <w:rsid w:val="00D25703"/>
    <w:rsid w:val="00D25CA6"/>
    <w:rsid w:val="00D27FEB"/>
    <w:rsid w:val="00D30721"/>
    <w:rsid w:val="00D311C3"/>
    <w:rsid w:val="00D31588"/>
    <w:rsid w:val="00D318A2"/>
    <w:rsid w:val="00D3312E"/>
    <w:rsid w:val="00D33550"/>
    <w:rsid w:val="00D35D3B"/>
    <w:rsid w:val="00D36C0A"/>
    <w:rsid w:val="00D401C6"/>
    <w:rsid w:val="00D410FF"/>
    <w:rsid w:val="00D425BC"/>
    <w:rsid w:val="00D43015"/>
    <w:rsid w:val="00D43C6D"/>
    <w:rsid w:val="00D57222"/>
    <w:rsid w:val="00D61EAE"/>
    <w:rsid w:val="00D6202B"/>
    <w:rsid w:val="00D6515C"/>
    <w:rsid w:val="00D659D5"/>
    <w:rsid w:val="00D82D68"/>
    <w:rsid w:val="00D84045"/>
    <w:rsid w:val="00D911DD"/>
    <w:rsid w:val="00D917BD"/>
    <w:rsid w:val="00D945EA"/>
    <w:rsid w:val="00DA08FF"/>
    <w:rsid w:val="00DA2DC4"/>
    <w:rsid w:val="00DA5905"/>
    <w:rsid w:val="00DB119B"/>
    <w:rsid w:val="00DB4CBC"/>
    <w:rsid w:val="00DB5198"/>
    <w:rsid w:val="00DB604C"/>
    <w:rsid w:val="00DC34C0"/>
    <w:rsid w:val="00DC3630"/>
    <w:rsid w:val="00DC49C9"/>
    <w:rsid w:val="00DC4A86"/>
    <w:rsid w:val="00DC6111"/>
    <w:rsid w:val="00DD229B"/>
    <w:rsid w:val="00DD2FFB"/>
    <w:rsid w:val="00DD30CB"/>
    <w:rsid w:val="00DD496F"/>
    <w:rsid w:val="00DD649F"/>
    <w:rsid w:val="00DD6563"/>
    <w:rsid w:val="00DD73DA"/>
    <w:rsid w:val="00DE05F7"/>
    <w:rsid w:val="00DE2E0C"/>
    <w:rsid w:val="00DE4DF6"/>
    <w:rsid w:val="00DE50F1"/>
    <w:rsid w:val="00DF0DF0"/>
    <w:rsid w:val="00DF1CC9"/>
    <w:rsid w:val="00DF1D60"/>
    <w:rsid w:val="00DF4DF6"/>
    <w:rsid w:val="00DF7266"/>
    <w:rsid w:val="00E004A4"/>
    <w:rsid w:val="00E00BAC"/>
    <w:rsid w:val="00E01F13"/>
    <w:rsid w:val="00E02EAB"/>
    <w:rsid w:val="00E058BD"/>
    <w:rsid w:val="00E16022"/>
    <w:rsid w:val="00E20085"/>
    <w:rsid w:val="00E21C21"/>
    <w:rsid w:val="00E22031"/>
    <w:rsid w:val="00E22729"/>
    <w:rsid w:val="00E305E5"/>
    <w:rsid w:val="00E31955"/>
    <w:rsid w:val="00E31A7F"/>
    <w:rsid w:val="00E31DED"/>
    <w:rsid w:val="00E32223"/>
    <w:rsid w:val="00E329D3"/>
    <w:rsid w:val="00E376F0"/>
    <w:rsid w:val="00E37E12"/>
    <w:rsid w:val="00E412AD"/>
    <w:rsid w:val="00E41C30"/>
    <w:rsid w:val="00E422AD"/>
    <w:rsid w:val="00E44219"/>
    <w:rsid w:val="00E44631"/>
    <w:rsid w:val="00E46354"/>
    <w:rsid w:val="00E46429"/>
    <w:rsid w:val="00E47945"/>
    <w:rsid w:val="00E54DCD"/>
    <w:rsid w:val="00E55341"/>
    <w:rsid w:val="00E56781"/>
    <w:rsid w:val="00E5775C"/>
    <w:rsid w:val="00E6050B"/>
    <w:rsid w:val="00E60A55"/>
    <w:rsid w:val="00E62345"/>
    <w:rsid w:val="00E67C35"/>
    <w:rsid w:val="00E7127C"/>
    <w:rsid w:val="00E72199"/>
    <w:rsid w:val="00E73375"/>
    <w:rsid w:val="00E77E30"/>
    <w:rsid w:val="00E806D1"/>
    <w:rsid w:val="00E81306"/>
    <w:rsid w:val="00E83183"/>
    <w:rsid w:val="00E83BFC"/>
    <w:rsid w:val="00E87482"/>
    <w:rsid w:val="00E90E11"/>
    <w:rsid w:val="00E959AD"/>
    <w:rsid w:val="00E96A63"/>
    <w:rsid w:val="00E97318"/>
    <w:rsid w:val="00EA160C"/>
    <w:rsid w:val="00EA2BEA"/>
    <w:rsid w:val="00EA4437"/>
    <w:rsid w:val="00EA4CDD"/>
    <w:rsid w:val="00EA671E"/>
    <w:rsid w:val="00EB1521"/>
    <w:rsid w:val="00EB51F3"/>
    <w:rsid w:val="00EB61B7"/>
    <w:rsid w:val="00EB648B"/>
    <w:rsid w:val="00EB6FD4"/>
    <w:rsid w:val="00EC0374"/>
    <w:rsid w:val="00EC0611"/>
    <w:rsid w:val="00EC2334"/>
    <w:rsid w:val="00EC33B3"/>
    <w:rsid w:val="00EC46B8"/>
    <w:rsid w:val="00EC7936"/>
    <w:rsid w:val="00ED0796"/>
    <w:rsid w:val="00ED1534"/>
    <w:rsid w:val="00ED67AE"/>
    <w:rsid w:val="00ED6F38"/>
    <w:rsid w:val="00ED7E7B"/>
    <w:rsid w:val="00EE1F1E"/>
    <w:rsid w:val="00EE5769"/>
    <w:rsid w:val="00EE631A"/>
    <w:rsid w:val="00EE7003"/>
    <w:rsid w:val="00EF1C7D"/>
    <w:rsid w:val="00EF21F6"/>
    <w:rsid w:val="00EF49A9"/>
    <w:rsid w:val="00EF4D7C"/>
    <w:rsid w:val="00EF6E91"/>
    <w:rsid w:val="00EF71CB"/>
    <w:rsid w:val="00EF781A"/>
    <w:rsid w:val="00EF7CFD"/>
    <w:rsid w:val="00F0177C"/>
    <w:rsid w:val="00F01AB0"/>
    <w:rsid w:val="00F01F29"/>
    <w:rsid w:val="00F026A3"/>
    <w:rsid w:val="00F039D1"/>
    <w:rsid w:val="00F03BB2"/>
    <w:rsid w:val="00F0434D"/>
    <w:rsid w:val="00F12DB7"/>
    <w:rsid w:val="00F13F40"/>
    <w:rsid w:val="00F1427A"/>
    <w:rsid w:val="00F150DA"/>
    <w:rsid w:val="00F159AF"/>
    <w:rsid w:val="00F179B7"/>
    <w:rsid w:val="00F20C43"/>
    <w:rsid w:val="00F2281A"/>
    <w:rsid w:val="00F22D4B"/>
    <w:rsid w:val="00F24F7D"/>
    <w:rsid w:val="00F26CB8"/>
    <w:rsid w:val="00F275C6"/>
    <w:rsid w:val="00F350ED"/>
    <w:rsid w:val="00F3708F"/>
    <w:rsid w:val="00F3794D"/>
    <w:rsid w:val="00F37F04"/>
    <w:rsid w:val="00F447AB"/>
    <w:rsid w:val="00F449F9"/>
    <w:rsid w:val="00F50D05"/>
    <w:rsid w:val="00F51045"/>
    <w:rsid w:val="00F51E52"/>
    <w:rsid w:val="00F51E58"/>
    <w:rsid w:val="00F52711"/>
    <w:rsid w:val="00F56C84"/>
    <w:rsid w:val="00F60966"/>
    <w:rsid w:val="00F70FDA"/>
    <w:rsid w:val="00F7204A"/>
    <w:rsid w:val="00F747E6"/>
    <w:rsid w:val="00F77B90"/>
    <w:rsid w:val="00F8091C"/>
    <w:rsid w:val="00F81D24"/>
    <w:rsid w:val="00F82D55"/>
    <w:rsid w:val="00F83125"/>
    <w:rsid w:val="00F84943"/>
    <w:rsid w:val="00F856EB"/>
    <w:rsid w:val="00F85AFE"/>
    <w:rsid w:val="00F863C0"/>
    <w:rsid w:val="00F8755E"/>
    <w:rsid w:val="00F902B2"/>
    <w:rsid w:val="00F93EC8"/>
    <w:rsid w:val="00F94886"/>
    <w:rsid w:val="00F96254"/>
    <w:rsid w:val="00F965A1"/>
    <w:rsid w:val="00F97CF3"/>
    <w:rsid w:val="00FA543F"/>
    <w:rsid w:val="00FA6CB2"/>
    <w:rsid w:val="00FA6E97"/>
    <w:rsid w:val="00FA703B"/>
    <w:rsid w:val="00FA7F40"/>
    <w:rsid w:val="00FB3553"/>
    <w:rsid w:val="00FB4298"/>
    <w:rsid w:val="00FB452D"/>
    <w:rsid w:val="00FC0878"/>
    <w:rsid w:val="00FC27F6"/>
    <w:rsid w:val="00FD2BE3"/>
    <w:rsid w:val="00FD2D00"/>
    <w:rsid w:val="00FD52E8"/>
    <w:rsid w:val="00FE0600"/>
    <w:rsid w:val="00FE06E0"/>
    <w:rsid w:val="00FE3660"/>
    <w:rsid w:val="00FF0D87"/>
    <w:rsid w:val="00FF17F8"/>
    <w:rsid w:val="00FF1D51"/>
    <w:rsid w:val="00FF3D2F"/>
    <w:rsid w:val="00FF4457"/>
    <w:rsid w:val="00FF47AF"/>
    <w:rsid w:val="00FF7801"/>
    <w:rsid w:val="01071415"/>
    <w:rsid w:val="010F6DC1"/>
    <w:rsid w:val="012F5BE0"/>
    <w:rsid w:val="01365AB8"/>
    <w:rsid w:val="018337C7"/>
    <w:rsid w:val="019C1595"/>
    <w:rsid w:val="01A4468C"/>
    <w:rsid w:val="01CB1947"/>
    <w:rsid w:val="020943A6"/>
    <w:rsid w:val="02132437"/>
    <w:rsid w:val="027116DB"/>
    <w:rsid w:val="027A3076"/>
    <w:rsid w:val="027B553D"/>
    <w:rsid w:val="02985DC6"/>
    <w:rsid w:val="02E10CF5"/>
    <w:rsid w:val="02F60CF9"/>
    <w:rsid w:val="03392217"/>
    <w:rsid w:val="033F6060"/>
    <w:rsid w:val="03460385"/>
    <w:rsid w:val="03633E44"/>
    <w:rsid w:val="03DB5BB3"/>
    <w:rsid w:val="04225083"/>
    <w:rsid w:val="04290F94"/>
    <w:rsid w:val="043B0325"/>
    <w:rsid w:val="044838F9"/>
    <w:rsid w:val="04896696"/>
    <w:rsid w:val="048C1D01"/>
    <w:rsid w:val="04970C32"/>
    <w:rsid w:val="04E52319"/>
    <w:rsid w:val="04EB4AD4"/>
    <w:rsid w:val="052E29C1"/>
    <w:rsid w:val="05401FCB"/>
    <w:rsid w:val="056460DE"/>
    <w:rsid w:val="05C16F01"/>
    <w:rsid w:val="05F43C1D"/>
    <w:rsid w:val="061140BB"/>
    <w:rsid w:val="065031AB"/>
    <w:rsid w:val="06606934"/>
    <w:rsid w:val="06A15C47"/>
    <w:rsid w:val="06A5478F"/>
    <w:rsid w:val="06AB329A"/>
    <w:rsid w:val="06B34246"/>
    <w:rsid w:val="06CA717F"/>
    <w:rsid w:val="06D923A2"/>
    <w:rsid w:val="07DA30FE"/>
    <w:rsid w:val="0839614A"/>
    <w:rsid w:val="085263E8"/>
    <w:rsid w:val="087C28BF"/>
    <w:rsid w:val="08805FC5"/>
    <w:rsid w:val="08C55C35"/>
    <w:rsid w:val="091448F8"/>
    <w:rsid w:val="092F3907"/>
    <w:rsid w:val="09412C78"/>
    <w:rsid w:val="09440137"/>
    <w:rsid w:val="09724684"/>
    <w:rsid w:val="099C00AF"/>
    <w:rsid w:val="09A45F6F"/>
    <w:rsid w:val="09A82FC4"/>
    <w:rsid w:val="09E10052"/>
    <w:rsid w:val="09E24C30"/>
    <w:rsid w:val="0A1D552E"/>
    <w:rsid w:val="0A3960EC"/>
    <w:rsid w:val="0A8F1AA8"/>
    <w:rsid w:val="0AB83FA2"/>
    <w:rsid w:val="0AEF0DDC"/>
    <w:rsid w:val="0B1A1A6E"/>
    <w:rsid w:val="0B245CD2"/>
    <w:rsid w:val="0B426A05"/>
    <w:rsid w:val="0B466A73"/>
    <w:rsid w:val="0B5C3E34"/>
    <w:rsid w:val="0B685B24"/>
    <w:rsid w:val="0B6D0D60"/>
    <w:rsid w:val="0B7639B8"/>
    <w:rsid w:val="0B8509EB"/>
    <w:rsid w:val="0B8953E9"/>
    <w:rsid w:val="0BD25EA5"/>
    <w:rsid w:val="0BDD1A8A"/>
    <w:rsid w:val="0C1B4431"/>
    <w:rsid w:val="0C3F1B62"/>
    <w:rsid w:val="0C422C72"/>
    <w:rsid w:val="0C4D7C21"/>
    <w:rsid w:val="0C576CB9"/>
    <w:rsid w:val="0C5C7E1A"/>
    <w:rsid w:val="0C77325F"/>
    <w:rsid w:val="0C941EE6"/>
    <w:rsid w:val="0CF62067"/>
    <w:rsid w:val="0D726F9B"/>
    <w:rsid w:val="0D8036B7"/>
    <w:rsid w:val="0D8E4307"/>
    <w:rsid w:val="0E335805"/>
    <w:rsid w:val="0E793B4E"/>
    <w:rsid w:val="0E842F58"/>
    <w:rsid w:val="0E936B97"/>
    <w:rsid w:val="0F29227F"/>
    <w:rsid w:val="0F6A12F6"/>
    <w:rsid w:val="0F6F2778"/>
    <w:rsid w:val="0FC458F6"/>
    <w:rsid w:val="0FF26283"/>
    <w:rsid w:val="102D3AD2"/>
    <w:rsid w:val="10360392"/>
    <w:rsid w:val="109D126E"/>
    <w:rsid w:val="10E70492"/>
    <w:rsid w:val="11124995"/>
    <w:rsid w:val="112E15BE"/>
    <w:rsid w:val="114C2B04"/>
    <w:rsid w:val="115211D8"/>
    <w:rsid w:val="118E6BEA"/>
    <w:rsid w:val="11A70FDC"/>
    <w:rsid w:val="11C86FA1"/>
    <w:rsid w:val="11F54EC6"/>
    <w:rsid w:val="124D5E52"/>
    <w:rsid w:val="12692C28"/>
    <w:rsid w:val="12707B65"/>
    <w:rsid w:val="12BF5009"/>
    <w:rsid w:val="12C00C54"/>
    <w:rsid w:val="13344D2D"/>
    <w:rsid w:val="13382F7C"/>
    <w:rsid w:val="134E5317"/>
    <w:rsid w:val="13566593"/>
    <w:rsid w:val="13581385"/>
    <w:rsid w:val="137E2162"/>
    <w:rsid w:val="13AC4C83"/>
    <w:rsid w:val="13F60B9E"/>
    <w:rsid w:val="13FA2BF5"/>
    <w:rsid w:val="143A21AE"/>
    <w:rsid w:val="14651246"/>
    <w:rsid w:val="14836373"/>
    <w:rsid w:val="1495246B"/>
    <w:rsid w:val="14D631C6"/>
    <w:rsid w:val="15164A91"/>
    <w:rsid w:val="157B5510"/>
    <w:rsid w:val="1591081C"/>
    <w:rsid w:val="15965909"/>
    <w:rsid w:val="15A9217B"/>
    <w:rsid w:val="15B30AF5"/>
    <w:rsid w:val="15C9656A"/>
    <w:rsid w:val="16194C0C"/>
    <w:rsid w:val="163501C6"/>
    <w:rsid w:val="164936F5"/>
    <w:rsid w:val="168143C6"/>
    <w:rsid w:val="169026BC"/>
    <w:rsid w:val="1699603A"/>
    <w:rsid w:val="16A52CE6"/>
    <w:rsid w:val="16B713EA"/>
    <w:rsid w:val="16B76F87"/>
    <w:rsid w:val="17075810"/>
    <w:rsid w:val="1731001E"/>
    <w:rsid w:val="17843F55"/>
    <w:rsid w:val="17B5201A"/>
    <w:rsid w:val="180153D2"/>
    <w:rsid w:val="180B0DAD"/>
    <w:rsid w:val="18542B54"/>
    <w:rsid w:val="186B751B"/>
    <w:rsid w:val="186C142F"/>
    <w:rsid w:val="189945A3"/>
    <w:rsid w:val="18B17FBB"/>
    <w:rsid w:val="18B30064"/>
    <w:rsid w:val="19114E6B"/>
    <w:rsid w:val="193908EC"/>
    <w:rsid w:val="1996149B"/>
    <w:rsid w:val="19A5114C"/>
    <w:rsid w:val="19A67DEB"/>
    <w:rsid w:val="19FC79C2"/>
    <w:rsid w:val="1A1324AA"/>
    <w:rsid w:val="1A17021F"/>
    <w:rsid w:val="1A4579E3"/>
    <w:rsid w:val="1A4A3032"/>
    <w:rsid w:val="1A98608D"/>
    <w:rsid w:val="1AA123F6"/>
    <w:rsid w:val="1AAB2A29"/>
    <w:rsid w:val="1AC73400"/>
    <w:rsid w:val="1B066E8D"/>
    <w:rsid w:val="1B0C03DC"/>
    <w:rsid w:val="1B0C27F6"/>
    <w:rsid w:val="1B3D7F0E"/>
    <w:rsid w:val="1B5669EE"/>
    <w:rsid w:val="1B693590"/>
    <w:rsid w:val="1BC4149E"/>
    <w:rsid w:val="1BEF7F65"/>
    <w:rsid w:val="1BF13CD7"/>
    <w:rsid w:val="1C010C76"/>
    <w:rsid w:val="1C042B2C"/>
    <w:rsid w:val="1C3053AC"/>
    <w:rsid w:val="1CB879EE"/>
    <w:rsid w:val="1CC81ED2"/>
    <w:rsid w:val="1CFA39BF"/>
    <w:rsid w:val="1D02552E"/>
    <w:rsid w:val="1D1D2F44"/>
    <w:rsid w:val="1D8A10A7"/>
    <w:rsid w:val="1D9C2704"/>
    <w:rsid w:val="1E81004C"/>
    <w:rsid w:val="1EBF067C"/>
    <w:rsid w:val="1ECD633B"/>
    <w:rsid w:val="1EFB3D80"/>
    <w:rsid w:val="1F3C21CD"/>
    <w:rsid w:val="1F6A0E7D"/>
    <w:rsid w:val="1FA94314"/>
    <w:rsid w:val="20246D25"/>
    <w:rsid w:val="20607BEF"/>
    <w:rsid w:val="207C71AB"/>
    <w:rsid w:val="20B757D3"/>
    <w:rsid w:val="20E44A76"/>
    <w:rsid w:val="20FF41E1"/>
    <w:rsid w:val="212C0310"/>
    <w:rsid w:val="21425982"/>
    <w:rsid w:val="21592E0F"/>
    <w:rsid w:val="21836240"/>
    <w:rsid w:val="22475C1A"/>
    <w:rsid w:val="227165BD"/>
    <w:rsid w:val="22732EF1"/>
    <w:rsid w:val="22953230"/>
    <w:rsid w:val="229D5120"/>
    <w:rsid w:val="22ED5D9E"/>
    <w:rsid w:val="22FA78EA"/>
    <w:rsid w:val="22FC4B90"/>
    <w:rsid w:val="231B5F2B"/>
    <w:rsid w:val="232C3013"/>
    <w:rsid w:val="238C6E29"/>
    <w:rsid w:val="23D46F68"/>
    <w:rsid w:val="240E0CE8"/>
    <w:rsid w:val="244D0259"/>
    <w:rsid w:val="24552DD1"/>
    <w:rsid w:val="246758CC"/>
    <w:rsid w:val="247C6E2D"/>
    <w:rsid w:val="25236A87"/>
    <w:rsid w:val="253B1F59"/>
    <w:rsid w:val="253F4153"/>
    <w:rsid w:val="2567014D"/>
    <w:rsid w:val="25745350"/>
    <w:rsid w:val="25A052DE"/>
    <w:rsid w:val="25A43806"/>
    <w:rsid w:val="25E64612"/>
    <w:rsid w:val="26264B6D"/>
    <w:rsid w:val="26483AE5"/>
    <w:rsid w:val="266377A8"/>
    <w:rsid w:val="26DB0853"/>
    <w:rsid w:val="27806CA5"/>
    <w:rsid w:val="278861CA"/>
    <w:rsid w:val="27CE126B"/>
    <w:rsid w:val="285F1D0B"/>
    <w:rsid w:val="287B5BE2"/>
    <w:rsid w:val="28EC1541"/>
    <w:rsid w:val="298C268F"/>
    <w:rsid w:val="298E01CF"/>
    <w:rsid w:val="29BA1AFA"/>
    <w:rsid w:val="29C56BF1"/>
    <w:rsid w:val="2A004242"/>
    <w:rsid w:val="2A113E24"/>
    <w:rsid w:val="2A6B76EB"/>
    <w:rsid w:val="2A7F62D2"/>
    <w:rsid w:val="2AC0095F"/>
    <w:rsid w:val="2AF0480A"/>
    <w:rsid w:val="2B2C5F47"/>
    <w:rsid w:val="2B85596E"/>
    <w:rsid w:val="2BBA58E0"/>
    <w:rsid w:val="2C133502"/>
    <w:rsid w:val="2C4E6B04"/>
    <w:rsid w:val="2C5B070C"/>
    <w:rsid w:val="2C9562D3"/>
    <w:rsid w:val="2C962A69"/>
    <w:rsid w:val="2CC27257"/>
    <w:rsid w:val="2CE54962"/>
    <w:rsid w:val="2CFA04F8"/>
    <w:rsid w:val="2CFA07F1"/>
    <w:rsid w:val="2D0F7FDF"/>
    <w:rsid w:val="2D1656CA"/>
    <w:rsid w:val="2D8D333D"/>
    <w:rsid w:val="2DBC58A4"/>
    <w:rsid w:val="2E163F19"/>
    <w:rsid w:val="2E2B78A5"/>
    <w:rsid w:val="2E512C69"/>
    <w:rsid w:val="2E626AAF"/>
    <w:rsid w:val="2EAF689C"/>
    <w:rsid w:val="2EE27C7F"/>
    <w:rsid w:val="2F66591B"/>
    <w:rsid w:val="2F6E3F6F"/>
    <w:rsid w:val="2FBE27E9"/>
    <w:rsid w:val="2FDD169C"/>
    <w:rsid w:val="307C2467"/>
    <w:rsid w:val="307D003A"/>
    <w:rsid w:val="307E137E"/>
    <w:rsid w:val="30AE6631"/>
    <w:rsid w:val="30D8494E"/>
    <w:rsid w:val="30DD1A90"/>
    <w:rsid w:val="310A25DF"/>
    <w:rsid w:val="310E2A49"/>
    <w:rsid w:val="31167102"/>
    <w:rsid w:val="31ED3B90"/>
    <w:rsid w:val="31F2079F"/>
    <w:rsid w:val="321049D0"/>
    <w:rsid w:val="32171FEE"/>
    <w:rsid w:val="323E5556"/>
    <w:rsid w:val="32527B2F"/>
    <w:rsid w:val="326C082A"/>
    <w:rsid w:val="326F3B9E"/>
    <w:rsid w:val="32752C17"/>
    <w:rsid w:val="32767C5F"/>
    <w:rsid w:val="32776025"/>
    <w:rsid w:val="32AF455B"/>
    <w:rsid w:val="32C11F59"/>
    <w:rsid w:val="32E127D6"/>
    <w:rsid w:val="33883169"/>
    <w:rsid w:val="33AD7E00"/>
    <w:rsid w:val="33B06C22"/>
    <w:rsid w:val="33D26ADA"/>
    <w:rsid w:val="33F139F3"/>
    <w:rsid w:val="34030689"/>
    <w:rsid w:val="34424F12"/>
    <w:rsid w:val="34FD5DEB"/>
    <w:rsid w:val="350340EE"/>
    <w:rsid w:val="350D212E"/>
    <w:rsid w:val="353A7AC2"/>
    <w:rsid w:val="353F2458"/>
    <w:rsid w:val="354362C5"/>
    <w:rsid w:val="35536E1D"/>
    <w:rsid w:val="35540B80"/>
    <w:rsid w:val="35645176"/>
    <w:rsid w:val="3580261F"/>
    <w:rsid w:val="35BB1360"/>
    <w:rsid w:val="35C1479F"/>
    <w:rsid w:val="35C30C43"/>
    <w:rsid w:val="35CF6DE5"/>
    <w:rsid w:val="35F44D3F"/>
    <w:rsid w:val="360B0081"/>
    <w:rsid w:val="367A05AC"/>
    <w:rsid w:val="369D3F46"/>
    <w:rsid w:val="36B24B40"/>
    <w:rsid w:val="36B35215"/>
    <w:rsid w:val="36B531F5"/>
    <w:rsid w:val="36F1065D"/>
    <w:rsid w:val="374B627A"/>
    <w:rsid w:val="37517D16"/>
    <w:rsid w:val="37646E1E"/>
    <w:rsid w:val="377203B8"/>
    <w:rsid w:val="37FC608E"/>
    <w:rsid w:val="38012612"/>
    <w:rsid w:val="38383BC5"/>
    <w:rsid w:val="38BC5CC2"/>
    <w:rsid w:val="38C06BCA"/>
    <w:rsid w:val="38C634C2"/>
    <w:rsid w:val="38C6374B"/>
    <w:rsid w:val="390571BC"/>
    <w:rsid w:val="39272985"/>
    <w:rsid w:val="395113B4"/>
    <w:rsid w:val="396975AB"/>
    <w:rsid w:val="39716F99"/>
    <w:rsid w:val="399C7D28"/>
    <w:rsid w:val="39B96D7C"/>
    <w:rsid w:val="39E87160"/>
    <w:rsid w:val="3A2B5159"/>
    <w:rsid w:val="3A2C3308"/>
    <w:rsid w:val="3A440409"/>
    <w:rsid w:val="3A620C5F"/>
    <w:rsid w:val="3A646092"/>
    <w:rsid w:val="3A690A37"/>
    <w:rsid w:val="3A97273E"/>
    <w:rsid w:val="3AB71BE9"/>
    <w:rsid w:val="3B370712"/>
    <w:rsid w:val="3B3B4551"/>
    <w:rsid w:val="3B503597"/>
    <w:rsid w:val="3B7B40E5"/>
    <w:rsid w:val="3B895607"/>
    <w:rsid w:val="3BA96372"/>
    <w:rsid w:val="3BBA40DC"/>
    <w:rsid w:val="3C065573"/>
    <w:rsid w:val="3C5A141B"/>
    <w:rsid w:val="3CD96A37"/>
    <w:rsid w:val="3CE90D68"/>
    <w:rsid w:val="3D373219"/>
    <w:rsid w:val="3D870DA6"/>
    <w:rsid w:val="3DA97E97"/>
    <w:rsid w:val="3DC90579"/>
    <w:rsid w:val="3DCE7781"/>
    <w:rsid w:val="3DD05E38"/>
    <w:rsid w:val="3DE936C5"/>
    <w:rsid w:val="3DFE0D7C"/>
    <w:rsid w:val="3E5279C1"/>
    <w:rsid w:val="3EB968CD"/>
    <w:rsid w:val="3EC3599D"/>
    <w:rsid w:val="3EFF63D3"/>
    <w:rsid w:val="3F220C62"/>
    <w:rsid w:val="3F2E26BB"/>
    <w:rsid w:val="3F2E7D82"/>
    <w:rsid w:val="40436D96"/>
    <w:rsid w:val="40AB1E3D"/>
    <w:rsid w:val="40AD282B"/>
    <w:rsid w:val="40CD7380"/>
    <w:rsid w:val="413A2632"/>
    <w:rsid w:val="414712FE"/>
    <w:rsid w:val="416B5FF0"/>
    <w:rsid w:val="418757C2"/>
    <w:rsid w:val="41897A55"/>
    <w:rsid w:val="41976FE2"/>
    <w:rsid w:val="419D37BF"/>
    <w:rsid w:val="41BA3087"/>
    <w:rsid w:val="41C307E4"/>
    <w:rsid w:val="41D63C39"/>
    <w:rsid w:val="41D81760"/>
    <w:rsid w:val="42266CC0"/>
    <w:rsid w:val="42635098"/>
    <w:rsid w:val="42D42037"/>
    <w:rsid w:val="43011F08"/>
    <w:rsid w:val="431E7646"/>
    <w:rsid w:val="43880F63"/>
    <w:rsid w:val="43AB091D"/>
    <w:rsid w:val="43CA6E24"/>
    <w:rsid w:val="43D357DA"/>
    <w:rsid w:val="44093F09"/>
    <w:rsid w:val="440B75DF"/>
    <w:rsid w:val="44352E99"/>
    <w:rsid w:val="445A36C4"/>
    <w:rsid w:val="44994D8D"/>
    <w:rsid w:val="44B120FF"/>
    <w:rsid w:val="45213243"/>
    <w:rsid w:val="45793FFC"/>
    <w:rsid w:val="457A3B0E"/>
    <w:rsid w:val="45BA2278"/>
    <w:rsid w:val="45BF0381"/>
    <w:rsid w:val="464E093D"/>
    <w:rsid w:val="46BF4C9C"/>
    <w:rsid w:val="46C31134"/>
    <w:rsid w:val="46E55668"/>
    <w:rsid w:val="47AC102A"/>
    <w:rsid w:val="47B209CC"/>
    <w:rsid w:val="47C56A90"/>
    <w:rsid w:val="47DE2248"/>
    <w:rsid w:val="47E1260D"/>
    <w:rsid w:val="47F53890"/>
    <w:rsid w:val="47FD0E23"/>
    <w:rsid w:val="4804055D"/>
    <w:rsid w:val="481D7ECC"/>
    <w:rsid w:val="4845225D"/>
    <w:rsid w:val="484D62D8"/>
    <w:rsid w:val="48A24875"/>
    <w:rsid w:val="491B18FB"/>
    <w:rsid w:val="491F4EB3"/>
    <w:rsid w:val="495725D5"/>
    <w:rsid w:val="49830203"/>
    <w:rsid w:val="49850A09"/>
    <w:rsid w:val="4993178D"/>
    <w:rsid w:val="499668A5"/>
    <w:rsid w:val="4A0330F2"/>
    <w:rsid w:val="4A121C52"/>
    <w:rsid w:val="4A202961"/>
    <w:rsid w:val="4A325785"/>
    <w:rsid w:val="4AA243D5"/>
    <w:rsid w:val="4AE902CB"/>
    <w:rsid w:val="4AE92E12"/>
    <w:rsid w:val="4AE96060"/>
    <w:rsid w:val="4AF3245A"/>
    <w:rsid w:val="4B0C4EEA"/>
    <w:rsid w:val="4B2C6B5B"/>
    <w:rsid w:val="4B2F1599"/>
    <w:rsid w:val="4B7C63DE"/>
    <w:rsid w:val="4B8B3521"/>
    <w:rsid w:val="4BD43AA9"/>
    <w:rsid w:val="4C375C86"/>
    <w:rsid w:val="4C542F5C"/>
    <w:rsid w:val="4C681932"/>
    <w:rsid w:val="4CE47978"/>
    <w:rsid w:val="4D0E78D2"/>
    <w:rsid w:val="4D5227F3"/>
    <w:rsid w:val="4D5D520F"/>
    <w:rsid w:val="4D917B49"/>
    <w:rsid w:val="4DAC544D"/>
    <w:rsid w:val="4DC672C1"/>
    <w:rsid w:val="4E0A3C0D"/>
    <w:rsid w:val="4E354455"/>
    <w:rsid w:val="4E754DC9"/>
    <w:rsid w:val="4E883785"/>
    <w:rsid w:val="4E8B3C0D"/>
    <w:rsid w:val="4E9E04C6"/>
    <w:rsid w:val="4ED611F7"/>
    <w:rsid w:val="4F140297"/>
    <w:rsid w:val="4F166662"/>
    <w:rsid w:val="4F2822C8"/>
    <w:rsid w:val="4F723262"/>
    <w:rsid w:val="4F8D1FE2"/>
    <w:rsid w:val="4FA32461"/>
    <w:rsid w:val="4FAA5383"/>
    <w:rsid w:val="500859A8"/>
    <w:rsid w:val="5028382D"/>
    <w:rsid w:val="505F676F"/>
    <w:rsid w:val="50966D15"/>
    <w:rsid w:val="509F2F2E"/>
    <w:rsid w:val="50B50119"/>
    <w:rsid w:val="50C563A4"/>
    <w:rsid w:val="50EA428C"/>
    <w:rsid w:val="511911E7"/>
    <w:rsid w:val="51220131"/>
    <w:rsid w:val="517A202A"/>
    <w:rsid w:val="518731FD"/>
    <w:rsid w:val="51897C3A"/>
    <w:rsid w:val="51CE3B4E"/>
    <w:rsid w:val="51EE28D9"/>
    <w:rsid w:val="522C1776"/>
    <w:rsid w:val="522F4FD9"/>
    <w:rsid w:val="526C5380"/>
    <w:rsid w:val="52C747AE"/>
    <w:rsid w:val="52E75E65"/>
    <w:rsid w:val="52F601D9"/>
    <w:rsid w:val="5329320A"/>
    <w:rsid w:val="5378479A"/>
    <w:rsid w:val="539F2F4F"/>
    <w:rsid w:val="548A32ED"/>
    <w:rsid w:val="54BA76F0"/>
    <w:rsid w:val="55355E36"/>
    <w:rsid w:val="55602517"/>
    <w:rsid w:val="557879A4"/>
    <w:rsid w:val="559C7DD6"/>
    <w:rsid w:val="55B66B5D"/>
    <w:rsid w:val="55D63DB0"/>
    <w:rsid w:val="55F76540"/>
    <w:rsid w:val="5610099F"/>
    <w:rsid w:val="564D430A"/>
    <w:rsid w:val="568768E5"/>
    <w:rsid w:val="569B6D07"/>
    <w:rsid w:val="56D04374"/>
    <w:rsid w:val="56D2464D"/>
    <w:rsid w:val="56D6097B"/>
    <w:rsid w:val="56EF1260"/>
    <w:rsid w:val="56F801C3"/>
    <w:rsid w:val="570A1F63"/>
    <w:rsid w:val="572A2ECF"/>
    <w:rsid w:val="574C257C"/>
    <w:rsid w:val="58052F54"/>
    <w:rsid w:val="584F6E1A"/>
    <w:rsid w:val="58537166"/>
    <w:rsid w:val="587B3062"/>
    <w:rsid w:val="58896EB8"/>
    <w:rsid w:val="58DC502F"/>
    <w:rsid w:val="58E71D20"/>
    <w:rsid w:val="59036E84"/>
    <w:rsid w:val="59243963"/>
    <w:rsid w:val="592C7B1A"/>
    <w:rsid w:val="596F666A"/>
    <w:rsid w:val="59842631"/>
    <w:rsid w:val="59A366BA"/>
    <w:rsid w:val="5A2E7D17"/>
    <w:rsid w:val="5A3D43FE"/>
    <w:rsid w:val="5A5615D8"/>
    <w:rsid w:val="5A5A2E1E"/>
    <w:rsid w:val="5A70508E"/>
    <w:rsid w:val="5A930E21"/>
    <w:rsid w:val="5B0F42AB"/>
    <w:rsid w:val="5B7221B3"/>
    <w:rsid w:val="5C16758A"/>
    <w:rsid w:val="5C503E42"/>
    <w:rsid w:val="5C581FD1"/>
    <w:rsid w:val="5C5D5098"/>
    <w:rsid w:val="5CAC7619"/>
    <w:rsid w:val="5CC4641C"/>
    <w:rsid w:val="5CE03188"/>
    <w:rsid w:val="5D0A3704"/>
    <w:rsid w:val="5D300449"/>
    <w:rsid w:val="5D463322"/>
    <w:rsid w:val="5D5061F6"/>
    <w:rsid w:val="5D6C46E4"/>
    <w:rsid w:val="5DAF5613"/>
    <w:rsid w:val="5E323B53"/>
    <w:rsid w:val="5E4B7833"/>
    <w:rsid w:val="5E4C66A1"/>
    <w:rsid w:val="5E4F421B"/>
    <w:rsid w:val="5E894C7D"/>
    <w:rsid w:val="5E8D34D4"/>
    <w:rsid w:val="5E915A51"/>
    <w:rsid w:val="5F2D24D3"/>
    <w:rsid w:val="5F750ED5"/>
    <w:rsid w:val="5F8B67BC"/>
    <w:rsid w:val="601B4A64"/>
    <w:rsid w:val="60255B64"/>
    <w:rsid w:val="604B6901"/>
    <w:rsid w:val="605B31C4"/>
    <w:rsid w:val="606D54C6"/>
    <w:rsid w:val="609B59DA"/>
    <w:rsid w:val="60AB4AB1"/>
    <w:rsid w:val="61200337"/>
    <w:rsid w:val="614C5E27"/>
    <w:rsid w:val="616E507C"/>
    <w:rsid w:val="617530D8"/>
    <w:rsid w:val="61FD2DC2"/>
    <w:rsid w:val="62120D19"/>
    <w:rsid w:val="622339A6"/>
    <w:rsid w:val="62427522"/>
    <w:rsid w:val="624D6502"/>
    <w:rsid w:val="624E1F68"/>
    <w:rsid w:val="62514EEA"/>
    <w:rsid w:val="625270BD"/>
    <w:rsid w:val="62970423"/>
    <w:rsid w:val="62AD40DB"/>
    <w:rsid w:val="62B20A6B"/>
    <w:rsid w:val="62BD2580"/>
    <w:rsid w:val="62C744C8"/>
    <w:rsid w:val="633F6933"/>
    <w:rsid w:val="636974BF"/>
    <w:rsid w:val="63885094"/>
    <w:rsid w:val="638C088C"/>
    <w:rsid w:val="63B44DEA"/>
    <w:rsid w:val="63FD374B"/>
    <w:rsid w:val="64136D4D"/>
    <w:rsid w:val="641705BB"/>
    <w:rsid w:val="6420126C"/>
    <w:rsid w:val="643B5E9E"/>
    <w:rsid w:val="6445282D"/>
    <w:rsid w:val="644C0969"/>
    <w:rsid w:val="64D85D11"/>
    <w:rsid w:val="64DB0813"/>
    <w:rsid w:val="6548531B"/>
    <w:rsid w:val="657B2325"/>
    <w:rsid w:val="65DE5036"/>
    <w:rsid w:val="6652286B"/>
    <w:rsid w:val="6683710C"/>
    <w:rsid w:val="66892D8C"/>
    <w:rsid w:val="66A120B4"/>
    <w:rsid w:val="67831E94"/>
    <w:rsid w:val="678B7247"/>
    <w:rsid w:val="67B95F72"/>
    <w:rsid w:val="67FFD811"/>
    <w:rsid w:val="682628EA"/>
    <w:rsid w:val="68294213"/>
    <w:rsid w:val="68530832"/>
    <w:rsid w:val="68782F98"/>
    <w:rsid w:val="68A33FC6"/>
    <w:rsid w:val="68ED3493"/>
    <w:rsid w:val="69170B52"/>
    <w:rsid w:val="691A22A8"/>
    <w:rsid w:val="695718FE"/>
    <w:rsid w:val="696064BE"/>
    <w:rsid w:val="699225BB"/>
    <w:rsid w:val="69A578C7"/>
    <w:rsid w:val="6A013771"/>
    <w:rsid w:val="6A280928"/>
    <w:rsid w:val="6A31334F"/>
    <w:rsid w:val="6A432AB4"/>
    <w:rsid w:val="6A635C1D"/>
    <w:rsid w:val="6A712AC7"/>
    <w:rsid w:val="6A901F58"/>
    <w:rsid w:val="6A925FC2"/>
    <w:rsid w:val="6AA6794D"/>
    <w:rsid w:val="6AA76887"/>
    <w:rsid w:val="6AB720F1"/>
    <w:rsid w:val="6AD36841"/>
    <w:rsid w:val="6ADD0FAA"/>
    <w:rsid w:val="6AE74483"/>
    <w:rsid w:val="6AFA4873"/>
    <w:rsid w:val="6AFD409F"/>
    <w:rsid w:val="6B09153F"/>
    <w:rsid w:val="6B0F6FD3"/>
    <w:rsid w:val="6B255F2D"/>
    <w:rsid w:val="6B4549F7"/>
    <w:rsid w:val="6B552981"/>
    <w:rsid w:val="6B643BFD"/>
    <w:rsid w:val="6B7A1EFA"/>
    <w:rsid w:val="6B7E447D"/>
    <w:rsid w:val="6BE74803"/>
    <w:rsid w:val="6BE9157B"/>
    <w:rsid w:val="6C4A113D"/>
    <w:rsid w:val="6C6D4E51"/>
    <w:rsid w:val="6C8A77FB"/>
    <w:rsid w:val="6C9E6F7E"/>
    <w:rsid w:val="6CC12C6C"/>
    <w:rsid w:val="6D2F407A"/>
    <w:rsid w:val="6D463082"/>
    <w:rsid w:val="6D837F22"/>
    <w:rsid w:val="6D9D5F38"/>
    <w:rsid w:val="6DA003AB"/>
    <w:rsid w:val="6DC7559F"/>
    <w:rsid w:val="6DDD5884"/>
    <w:rsid w:val="6E105C5A"/>
    <w:rsid w:val="6E2773BE"/>
    <w:rsid w:val="6E3A07BC"/>
    <w:rsid w:val="6E561ABF"/>
    <w:rsid w:val="6E5C4F8A"/>
    <w:rsid w:val="6E9879FD"/>
    <w:rsid w:val="6EB56801"/>
    <w:rsid w:val="6EFA786F"/>
    <w:rsid w:val="6F4773C5"/>
    <w:rsid w:val="6F677022"/>
    <w:rsid w:val="6F75249C"/>
    <w:rsid w:val="6FF952A6"/>
    <w:rsid w:val="704471FA"/>
    <w:rsid w:val="704E6324"/>
    <w:rsid w:val="704E6C35"/>
    <w:rsid w:val="70523747"/>
    <w:rsid w:val="709B105B"/>
    <w:rsid w:val="70DA0757"/>
    <w:rsid w:val="70FA1AFE"/>
    <w:rsid w:val="710D3DEA"/>
    <w:rsid w:val="71155335"/>
    <w:rsid w:val="71487535"/>
    <w:rsid w:val="714B2864"/>
    <w:rsid w:val="719918EA"/>
    <w:rsid w:val="71A517E9"/>
    <w:rsid w:val="71AA22CD"/>
    <w:rsid w:val="71C81D2A"/>
    <w:rsid w:val="71CA25C3"/>
    <w:rsid w:val="71DF448D"/>
    <w:rsid w:val="72393ABD"/>
    <w:rsid w:val="724E1279"/>
    <w:rsid w:val="726461FF"/>
    <w:rsid w:val="729C3F60"/>
    <w:rsid w:val="72B7693B"/>
    <w:rsid w:val="72C963D7"/>
    <w:rsid w:val="72D47660"/>
    <w:rsid w:val="72D67213"/>
    <w:rsid w:val="733913F4"/>
    <w:rsid w:val="73433D91"/>
    <w:rsid w:val="734B3031"/>
    <w:rsid w:val="736305DA"/>
    <w:rsid w:val="73A116E8"/>
    <w:rsid w:val="73F60658"/>
    <w:rsid w:val="746A383B"/>
    <w:rsid w:val="74DE3871"/>
    <w:rsid w:val="74E9191A"/>
    <w:rsid w:val="74FC596A"/>
    <w:rsid w:val="750951B1"/>
    <w:rsid w:val="759015FF"/>
    <w:rsid w:val="759406B7"/>
    <w:rsid w:val="75BB4C67"/>
    <w:rsid w:val="75D45444"/>
    <w:rsid w:val="76015C9D"/>
    <w:rsid w:val="76171B4F"/>
    <w:rsid w:val="76282B35"/>
    <w:rsid w:val="76380889"/>
    <w:rsid w:val="764C054D"/>
    <w:rsid w:val="76944EE0"/>
    <w:rsid w:val="76AA0D6A"/>
    <w:rsid w:val="7748155D"/>
    <w:rsid w:val="77623781"/>
    <w:rsid w:val="77644920"/>
    <w:rsid w:val="7795058E"/>
    <w:rsid w:val="77AD3196"/>
    <w:rsid w:val="77B204A9"/>
    <w:rsid w:val="77DB381C"/>
    <w:rsid w:val="77E44186"/>
    <w:rsid w:val="783323BF"/>
    <w:rsid w:val="78572701"/>
    <w:rsid w:val="785C3CD5"/>
    <w:rsid w:val="78696B96"/>
    <w:rsid w:val="78710040"/>
    <w:rsid w:val="78903B55"/>
    <w:rsid w:val="789814CA"/>
    <w:rsid w:val="78DDE508"/>
    <w:rsid w:val="78F51514"/>
    <w:rsid w:val="79217844"/>
    <w:rsid w:val="792D6BC2"/>
    <w:rsid w:val="79CF4FC3"/>
    <w:rsid w:val="79F3011B"/>
    <w:rsid w:val="7A050357"/>
    <w:rsid w:val="7A513000"/>
    <w:rsid w:val="7A751F92"/>
    <w:rsid w:val="7AC95111"/>
    <w:rsid w:val="7AEF309B"/>
    <w:rsid w:val="7B2368A0"/>
    <w:rsid w:val="7B3A678D"/>
    <w:rsid w:val="7B701D01"/>
    <w:rsid w:val="7BBC0D90"/>
    <w:rsid w:val="7BDA3F20"/>
    <w:rsid w:val="7BFE4930"/>
    <w:rsid w:val="7C072A29"/>
    <w:rsid w:val="7C3A1D81"/>
    <w:rsid w:val="7C9C0352"/>
    <w:rsid w:val="7D1868D9"/>
    <w:rsid w:val="7D260168"/>
    <w:rsid w:val="7D435FF0"/>
    <w:rsid w:val="7D4D31BC"/>
    <w:rsid w:val="7D651C73"/>
    <w:rsid w:val="7D6A6A08"/>
    <w:rsid w:val="7D6F2271"/>
    <w:rsid w:val="7D7932D3"/>
    <w:rsid w:val="7D7A4258"/>
    <w:rsid w:val="7D8A43F7"/>
    <w:rsid w:val="7DA16C6A"/>
    <w:rsid w:val="7DAF2206"/>
    <w:rsid w:val="7DB52379"/>
    <w:rsid w:val="7DD03659"/>
    <w:rsid w:val="7DF05160"/>
    <w:rsid w:val="7E15532D"/>
    <w:rsid w:val="7E2303D5"/>
    <w:rsid w:val="7E6B42CE"/>
    <w:rsid w:val="7E6F2FEE"/>
    <w:rsid w:val="7EB15F07"/>
    <w:rsid w:val="7EB9173C"/>
    <w:rsid w:val="7F127358"/>
    <w:rsid w:val="7FBC8443"/>
    <w:rsid w:val="7FD50D9A"/>
    <w:rsid w:val="AFF33A16"/>
    <w:rsid w:val="B7FF3C53"/>
    <w:rsid w:val="BC7D5E67"/>
    <w:rsid w:val="BD7CDBF9"/>
    <w:rsid w:val="DFF2C67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9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99"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4"/>
    <w:qFormat/>
    <w:uiPriority w:val="0"/>
    <w:pPr>
      <w:keepNext/>
      <w:keepLines/>
      <w:spacing w:before="340" w:after="330" w:line="576" w:lineRule="auto"/>
      <w:outlineLvl w:val="0"/>
    </w:pPr>
    <w:rPr>
      <w:b/>
      <w:kern w:val="44"/>
      <w:sz w:val="44"/>
    </w:rPr>
  </w:style>
  <w:style w:type="paragraph" w:styleId="3">
    <w:name w:val="heading 2"/>
    <w:basedOn w:val="1"/>
    <w:next w:val="1"/>
    <w:link w:val="5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59"/>
    <w:qFormat/>
    <w:uiPriority w:val="99"/>
    <w:pPr>
      <w:keepNext/>
      <w:keepLines/>
      <w:spacing w:line="360" w:lineRule="auto"/>
      <w:outlineLvl w:val="2"/>
    </w:pPr>
    <w:rPr>
      <w:b/>
      <w:sz w:val="24"/>
    </w:rPr>
  </w:style>
  <w:style w:type="paragraph" w:styleId="5">
    <w:name w:val="heading 4"/>
    <w:basedOn w:val="1"/>
    <w:next w:val="1"/>
    <w:link w:val="60"/>
    <w:unhideWhenUsed/>
    <w:qFormat/>
    <w:uiPriority w:val="99"/>
    <w:pPr>
      <w:keepNext/>
      <w:keepLines/>
      <w:spacing w:before="280" w:after="290" w:line="372"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2" w:lineRule="auto"/>
      <w:outlineLvl w:val="4"/>
    </w:pPr>
    <w:rPr>
      <w:b/>
      <w:sz w:val="28"/>
    </w:rPr>
  </w:style>
  <w:style w:type="paragraph" w:styleId="7">
    <w:name w:val="heading 6"/>
    <w:basedOn w:val="1"/>
    <w:next w:val="1"/>
    <w:link w:val="77"/>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76"/>
    <w:semiHidden/>
    <w:unhideWhenUsed/>
    <w:qFormat/>
    <w:uiPriority w:val="0"/>
    <w:pPr>
      <w:keepNext/>
      <w:keepLines/>
      <w:spacing w:before="240" w:after="64" w:line="320" w:lineRule="auto"/>
      <w:outlineLvl w:val="6"/>
    </w:pPr>
    <w:rPr>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0">
    <w:name w:val="Normal Indent"/>
    <w:basedOn w:val="1"/>
    <w:qFormat/>
    <w:uiPriority w:val="0"/>
    <w:pPr>
      <w:ind w:firstLine="420"/>
    </w:pPr>
    <w:rPr>
      <w:sz w:val="24"/>
      <w:szCs w:val="24"/>
    </w:rPr>
  </w:style>
  <w:style w:type="paragraph" w:styleId="11">
    <w:name w:val="Document Map"/>
    <w:basedOn w:val="1"/>
    <w:next w:val="12"/>
    <w:semiHidden/>
    <w:qFormat/>
    <w:uiPriority w:val="0"/>
    <w:pPr>
      <w:shd w:val="clear" w:color="auto" w:fill="000080"/>
    </w:pPr>
  </w:style>
  <w:style w:type="paragraph" w:styleId="12">
    <w:name w:val="Block Text"/>
    <w:basedOn w:val="1"/>
    <w:link w:val="69"/>
    <w:unhideWhenUsed/>
    <w:qFormat/>
    <w:uiPriority w:val="99"/>
    <w:pPr>
      <w:ind w:left="1440" w:leftChars="700" w:right="700" w:rightChars="700"/>
    </w:pPr>
  </w:style>
  <w:style w:type="paragraph" w:styleId="13">
    <w:name w:val="annotation text"/>
    <w:basedOn w:val="1"/>
    <w:link w:val="78"/>
    <w:qFormat/>
    <w:uiPriority w:val="99"/>
    <w:pPr>
      <w:jc w:val="left"/>
    </w:pPr>
  </w:style>
  <w:style w:type="paragraph" w:styleId="14">
    <w:name w:val="Body Text"/>
    <w:basedOn w:val="1"/>
    <w:next w:val="15"/>
    <w:link w:val="55"/>
    <w:unhideWhenUsed/>
    <w:qFormat/>
    <w:uiPriority w:val="99"/>
    <w:pPr>
      <w:spacing w:after="120"/>
    </w:pPr>
  </w:style>
  <w:style w:type="paragraph" w:customStyle="1" w:styleId="15">
    <w:name w:val="_Style 2"/>
    <w:next w:val="1"/>
    <w:qFormat/>
    <w:uiPriority w:val="0"/>
    <w:pPr>
      <w:spacing w:after="200" w:line="276" w:lineRule="auto"/>
    </w:pPr>
    <w:rPr>
      <w:rFonts w:ascii="Times New Roman" w:hAnsi="Times New Roman" w:eastAsia="宋体" w:cs="Times New Roman"/>
      <w:sz w:val="22"/>
      <w:szCs w:val="22"/>
      <w:lang w:val="en-US" w:eastAsia="zh-CN" w:bidi="ar-SA"/>
    </w:rPr>
  </w:style>
  <w:style w:type="paragraph" w:styleId="16">
    <w:name w:val="Body Text Indent"/>
    <w:basedOn w:val="1"/>
    <w:link w:val="68"/>
    <w:qFormat/>
    <w:uiPriority w:val="0"/>
    <w:pPr>
      <w:ind w:firstLine="560"/>
      <w:jc w:val="left"/>
    </w:pPr>
    <w:rPr>
      <w:rFonts w:ascii="仿宋_GB2312" w:hAnsi="宋体" w:eastAsia="仿宋_GB2312"/>
      <w:sz w:val="28"/>
    </w:rPr>
  </w:style>
  <w:style w:type="paragraph" w:styleId="17">
    <w:name w:val="toc 5"/>
    <w:basedOn w:val="1"/>
    <w:next w:val="1"/>
    <w:qFormat/>
    <w:uiPriority w:val="39"/>
    <w:pPr>
      <w:ind w:left="168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next w:val="1"/>
    <w:link w:val="57"/>
    <w:qFormat/>
    <w:uiPriority w:val="0"/>
    <w:rPr>
      <w:rFonts w:ascii="宋体" w:hAnsi="Courier New"/>
    </w:rPr>
  </w:style>
  <w:style w:type="paragraph" w:styleId="20">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1">
    <w:name w:val="Balloon Text"/>
    <w:basedOn w:val="1"/>
    <w:link w:val="50"/>
    <w:qFormat/>
    <w:uiPriority w:val="0"/>
    <w:rPr>
      <w:sz w:val="18"/>
      <w:szCs w:val="18"/>
    </w:rPr>
  </w:style>
  <w:style w:type="paragraph" w:styleId="22">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23">
    <w:name w:val="envelope return"/>
    <w:basedOn w:val="1"/>
    <w:qFormat/>
    <w:uiPriority w:val="0"/>
    <w:pPr>
      <w:snapToGrid w:val="0"/>
    </w:pPr>
    <w:rPr>
      <w:rFonts w:ascii="Arial" w:hAnsi="Arial"/>
    </w:rPr>
  </w:style>
  <w:style w:type="paragraph" w:styleId="24">
    <w:name w:val="header"/>
    <w:basedOn w:val="1"/>
    <w:link w:val="58"/>
    <w:qFormat/>
    <w:uiPriority w:val="99"/>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25">
    <w:name w:val="toc 1"/>
    <w:basedOn w:val="1"/>
    <w:next w:val="1"/>
    <w:qFormat/>
    <w:uiPriority w:val="39"/>
  </w:style>
  <w:style w:type="paragraph" w:styleId="26">
    <w:name w:val="toc 4"/>
    <w:basedOn w:val="1"/>
    <w:next w:val="1"/>
    <w:unhideWhenUsed/>
    <w:qFormat/>
    <w:uiPriority w:val="39"/>
    <w:pPr>
      <w:ind w:left="1260" w:leftChars="600"/>
    </w:pPr>
  </w:style>
  <w:style w:type="paragraph" w:styleId="27">
    <w:name w:val="toc 6"/>
    <w:basedOn w:val="1"/>
    <w:next w:val="1"/>
    <w:autoRedefine/>
    <w:unhideWhenUsed/>
    <w:qFormat/>
    <w:uiPriority w:val="39"/>
    <w:pPr>
      <w:ind w:left="2100" w:leftChars="1000"/>
    </w:pPr>
    <w:rPr>
      <w:rFonts w:asciiTheme="minorHAnsi" w:hAnsiTheme="minorHAnsi" w:eastAsiaTheme="minorEastAsia" w:cstheme="minorBidi"/>
      <w:szCs w:val="22"/>
    </w:rPr>
  </w:style>
  <w:style w:type="paragraph" w:styleId="28">
    <w:name w:val="toc 2"/>
    <w:basedOn w:val="1"/>
    <w:next w:val="1"/>
    <w:qFormat/>
    <w:uiPriority w:val="39"/>
    <w:pPr>
      <w:tabs>
        <w:tab w:val="right" w:leader="dot" w:pos="9628"/>
      </w:tabs>
      <w:spacing w:line="360" w:lineRule="auto"/>
      <w:ind w:left="420"/>
    </w:pPr>
    <w:rPr>
      <w:rFonts w:ascii="宋体" w:hAnsi="宋体"/>
      <w:sz w:val="24"/>
    </w:rPr>
  </w:style>
  <w:style w:type="paragraph" w:styleId="29">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0">
    <w:name w:val="Message Header"/>
    <w:basedOn w:val="1"/>
    <w:next w:val="1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1">
    <w:name w:val="Normal (Web)"/>
    <w:basedOn w:val="1"/>
    <w:qFormat/>
    <w:uiPriority w:val="0"/>
    <w:rPr>
      <w:sz w:val="24"/>
    </w:rPr>
  </w:style>
  <w:style w:type="paragraph" w:styleId="32">
    <w:name w:val="annotation subject"/>
    <w:basedOn w:val="13"/>
    <w:next w:val="13"/>
    <w:link w:val="79"/>
    <w:semiHidden/>
    <w:unhideWhenUsed/>
    <w:qFormat/>
    <w:uiPriority w:val="0"/>
    <w:rPr>
      <w:b/>
      <w:bCs/>
    </w:rPr>
  </w:style>
  <w:style w:type="paragraph" w:styleId="33">
    <w:name w:val="Body Text First Indent"/>
    <w:basedOn w:val="14"/>
    <w:qFormat/>
    <w:uiPriority w:val="0"/>
    <w:pPr>
      <w:tabs>
        <w:tab w:val="center" w:pos="2185"/>
      </w:tabs>
      <w:spacing w:before="156" w:beforeLines="50" w:line="300" w:lineRule="auto"/>
      <w:ind w:firstLine="200" w:firstLineChars="200"/>
    </w:pPr>
    <w:rPr>
      <w:rFonts w:ascii="楷体_GB2312" w:eastAsia="楷体_GB2312"/>
      <w:spacing w:val="4"/>
    </w:rPr>
  </w:style>
  <w:style w:type="paragraph" w:styleId="34">
    <w:name w:val="Body Text First Indent 2"/>
    <w:basedOn w:val="16"/>
    <w:unhideWhenUsed/>
    <w:qFormat/>
    <w:uiPriority w:val="99"/>
    <w:pPr>
      <w:ind w:firstLine="420" w:firstLineChars="200"/>
    </w:p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rPr>
  </w:style>
  <w:style w:type="character" w:styleId="39">
    <w:name w:val="page number"/>
    <w:basedOn w:val="37"/>
    <w:qFormat/>
    <w:uiPriority w:val="0"/>
  </w:style>
  <w:style w:type="character" w:styleId="40">
    <w:name w:val="FollowedHyperlink"/>
    <w:basedOn w:val="37"/>
    <w:qFormat/>
    <w:uiPriority w:val="0"/>
    <w:rPr>
      <w:rFonts w:hint="eastAsia" w:ascii="宋体" w:hAnsi="宋体" w:eastAsia="宋体" w:cs="宋体"/>
      <w:color w:val="0033CC"/>
      <w:sz w:val="18"/>
      <w:szCs w:val="18"/>
      <w:u w:val="none"/>
    </w:rPr>
  </w:style>
  <w:style w:type="character" w:styleId="41">
    <w:name w:val="Hyperlink"/>
    <w:basedOn w:val="37"/>
    <w:unhideWhenUsed/>
    <w:qFormat/>
    <w:uiPriority w:val="99"/>
    <w:rPr>
      <w:color w:val="0563C1" w:themeColor="hyperlink"/>
      <w:u w:val="single"/>
      <w14:textFill>
        <w14:solidFill>
          <w14:schemeClr w14:val="hlink"/>
        </w14:solidFill>
      </w14:textFill>
    </w:rPr>
  </w:style>
  <w:style w:type="character" w:styleId="42">
    <w:name w:val="annotation reference"/>
    <w:basedOn w:val="37"/>
    <w:qFormat/>
    <w:uiPriority w:val="0"/>
    <w:rPr>
      <w:sz w:val="21"/>
      <w:szCs w:val="21"/>
    </w:rPr>
  </w:style>
  <w:style w:type="paragraph" w:customStyle="1" w:styleId="43">
    <w:name w:val="目录 91"/>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44">
    <w:name w:val="引文目录标题1"/>
    <w:basedOn w:val="1"/>
    <w:next w:val="1"/>
    <w:qFormat/>
    <w:uiPriority w:val="0"/>
    <w:pPr>
      <w:spacing w:before="120"/>
    </w:pPr>
    <w:rPr>
      <w:rFonts w:ascii="Arial" w:hAnsi="Arial" w:cs="Arial"/>
      <w:sz w:val="24"/>
      <w:szCs w:val="24"/>
    </w:rPr>
  </w:style>
  <w:style w:type="paragraph" w:customStyle="1" w:styleId="4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列出段落1"/>
    <w:basedOn w:val="1"/>
    <w:qFormat/>
    <w:uiPriority w:val="34"/>
    <w:pPr>
      <w:ind w:firstLine="420"/>
    </w:pPr>
    <w:rPr>
      <w:szCs w:val="24"/>
    </w:rPr>
  </w:style>
  <w:style w:type="paragraph" w:customStyle="1" w:styleId="47">
    <w:name w:val="p0"/>
    <w:basedOn w:val="1"/>
    <w:qFormat/>
    <w:uiPriority w:val="99"/>
    <w:pPr>
      <w:widowControl/>
    </w:pPr>
    <w:rPr>
      <w:kern w:val="0"/>
      <w:szCs w:val="21"/>
    </w:rPr>
  </w:style>
  <w:style w:type="paragraph" w:customStyle="1" w:styleId="48">
    <w:name w:val="纯文本1"/>
    <w:basedOn w:val="1"/>
    <w:qFormat/>
    <w:uiPriority w:val="99"/>
    <w:rPr>
      <w:rFonts w:ascii="宋体" w:hAnsi="Courier New"/>
      <w:kern w:val="0"/>
      <w:sz w:val="20"/>
      <w:szCs w:val="21"/>
    </w:rPr>
  </w:style>
  <w:style w:type="paragraph" w:customStyle="1" w:styleId="49">
    <w:name w:val="列表段落1"/>
    <w:basedOn w:val="1"/>
    <w:qFormat/>
    <w:uiPriority w:val="34"/>
    <w:pPr>
      <w:ind w:firstLine="420"/>
    </w:pPr>
    <w:rPr>
      <w:szCs w:val="24"/>
    </w:rPr>
  </w:style>
  <w:style w:type="character" w:customStyle="1" w:styleId="50">
    <w:name w:val="批注框文本 Char"/>
    <w:basedOn w:val="37"/>
    <w:link w:val="21"/>
    <w:qFormat/>
    <w:uiPriority w:val="0"/>
    <w:rPr>
      <w:rFonts w:ascii="Times New Roman" w:hAnsi="Times New Roman"/>
      <w:kern w:val="2"/>
      <w:sz w:val="18"/>
      <w:szCs w:val="18"/>
    </w:rPr>
  </w:style>
  <w:style w:type="character" w:customStyle="1" w:styleId="51">
    <w:name w:val="标题 2 Char"/>
    <w:basedOn w:val="37"/>
    <w:link w:val="3"/>
    <w:qFormat/>
    <w:uiPriority w:val="0"/>
    <w:rPr>
      <w:rFonts w:ascii="Arial" w:hAnsi="Arial" w:eastAsia="黑体"/>
      <w:b/>
      <w:kern w:val="2"/>
      <w:sz w:val="32"/>
    </w:rPr>
  </w:style>
  <w:style w:type="paragraph" w:customStyle="1" w:styleId="52">
    <w:name w:val="列表段落2"/>
    <w:basedOn w:val="1"/>
    <w:qFormat/>
    <w:uiPriority w:val="99"/>
    <w:pPr>
      <w:ind w:firstLine="420" w:firstLineChars="200"/>
    </w:pPr>
  </w:style>
  <w:style w:type="character" w:customStyle="1" w:styleId="53">
    <w:name w:val="ft1"/>
    <w:qFormat/>
    <w:uiPriority w:val="0"/>
  </w:style>
  <w:style w:type="character" w:customStyle="1" w:styleId="54">
    <w:name w:val="标题 1 Char"/>
    <w:link w:val="2"/>
    <w:qFormat/>
    <w:uiPriority w:val="0"/>
    <w:rPr>
      <w:b/>
      <w:kern w:val="44"/>
      <w:sz w:val="44"/>
    </w:rPr>
  </w:style>
  <w:style w:type="character" w:customStyle="1" w:styleId="55">
    <w:name w:val="正文文本 Char"/>
    <w:link w:val="14"/>
    <w:qFormat/>
    <w:uiPriority w:val="99"/>
  </w:style>
  <w:style w:type="paragraph" w:customStyle="1" w:styleId="56">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character" w:customStyle="1" w:styleId="57">
    <w:name w:val="纯文本 Char"/>
    <w:basedOn w:val="37"/>
    <w:link w:val="19"/>
    <w:qFormat/>
    <w:uiPriority w:val="0"/>
    <w:rPr>
      <w:rFonts w:ascii="宋体" w:hAnsi="Courier New"/>
      <w:kern w:val="2"/>
      <w:sz w:val="21"/>
    </w:rPr>
  </w:style>
  <w:style w:type="character" w:customStyle="1" w:styleId="58">
    <w:name w:val="页眉 Char"/>
    <w:link w:val="24"/>
    <w:qFormat/>
    <w:locked/>
    <w:uiPriority w:val="99"/>
    <w:rPr>
      <w:sz w:val="18"/>
    </w:rPr>
  </w:style>
  <w:style w:type="character" w:customStyle="1" w:styleId="59">
    <w:name w:val="标题 3 Char"/>
    <w:link w:val="4"/>
    <w:qFormat/>
    <w:locked/>
    <w:uiPriority w:val="99"/>
    <w:rPr>
      <w:b/>
      <w:kern w:val="2"/>
      <w:sz w:val="24"/>
    </w:rPr>
  </w:style>
  <w:style w:type="character" w:customStyle="1" w:styleId="60">
    <w:name w:val="标题 4 Char"/>
    <w:link w:val="5"/>
    <w:qFormat/>
    <w:locked/>
    <w:uiPriority w:val="99"/>
    <w:rPr>
      <w:rFonts w:ascii="Arial" w:hAnsi="Arial" w:eastAsia="黑体"/>
      <w:b/>
      <w:kern w:val="2"/>
      <w:sz w:val="28"/>
    </w:rPr>
  </w:style>
  <w:style w:type="paragraph" w:styleId="61">
    <w:name w:val="List Paragraph"/>
    <w:basedOn w:val="1"/>
    <w:link w:val="62"/>
    <w:qFormat/>
    <w:uiPriority w:val="0"/>
    <w:pPr>
      <w:ind w:firstLine="420" w:firstLineChars="200"/>
    </w:pPr>
  </w:style>
  <w:style w:type="character" w:customStyle="1" w:styleId="62">
    <w:name w:val="列出段落 Char"/>
    <w:link w:val="61"/>
    <w:qFormat/>
    <w:uiPriority w:val="0"/>
    <w:rPr>
      <w:kern w:val="2"/>
      <w:sz w:val="21"/>
    </w:rPr>
  </w:style>
  <w:style w:type="paragraph" w:customStyle="1" w:styleId="63">
    <w:name w:val="列出段落2"/>
    <w:basedOn w:val="1"/>
    <w:qFormat/>
    <w:uiPriority w:val="0"/>
    <w:pPr>
      <w:adjustRightInd w:val="0"/>
      <w:spacing w:line="312" w:lineRule="atLeast"/>
      <w:ind w:firstLine="420" w:firstLineChars="200"/>
      <w:textAlignment w:val="baseline"/>
    </w:pPr>
    <w:rPr>
      <w:kern w:val="0"/>
    </w:rPr>
  </w:style>
  <w:style w:type="character" w:customStyle="1" w:styleId="64">
    <w:name w:val="font11"/>
    <w:basedOn w:val="37"/>
    <w:qFormat/>
    <w:uiPriority w:val="0"/>
    <w:rPr>
      <w:rFonts w:hint="eastAsia" w:ascii="宋体" w:hAnsi="宋体" w:eastAsia="宋体" w:cs="宋体"/>
      <w:color w:val="000000"/>
      <w:sz w:val="22"/>
      <w:szCs w:val="22"/>
      <w:u w:val="none"/>
    </w:rPr>
  </w:style>
  <w:style w:type="character" w:customStyle="1" w:styleId="65">
    <w:name w:val="font71"/>
    <w:basedOn w:val="37"/>
    <w:qFormat/>
    <w:uiPriority w:val="0"/>
    <w:rPr>
      <w:rFonts w:hint="eastAsia" w:ascii="宋体" w:hAnsi="宋体" w:eastAsia="宋体" w:cs="宋体"/>
      <w:color w:val="000000"/>
      <w:sz w:val="22"/>
      <w:szCs w:val="22"/>
      <w:u w:val="none"/>
      <w:vertAlign w:val="superscript"/>
    </w:rPr>
  </w:style>
  <w:style w:type="paragraph" w:customStyle="1" w:styleId="66">
    <w:name w:val="正文（深信服）"/>
    <w:link w:val="67"/>
    <w:qFormat/>
    <w:uiPriority w:val="0"/>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character" w:customStyle="1" w:styleId="67">
    <w:name w:val="正文（深信服） 字符"/>
    <w:link w:val="66"/>
    <w:qFormat/>
    <w:uiPriority w:val="0"/>
    <w:rPr>
      <w:sz w:val="24"/>
      <w:szCs w:val="21"/>
    </w:rPr>
  </w:style>
  <w:style w:type="character" w:customStyle="1" w:styleId="68">
    <w:name w:val="正文文本缩进 Char"/>
    <w:link w:val="16"/>
    <w:qFormat/>
    <w:uiPriority w:val="0"/>
    <w:rPr>
      <w:rFonts w:ascii="仿宋_GB2312" w:hAnsi="宋体" w:eastAsia="仿宋_GB2312"/>
      <w:sz w:val="28"/>
    </w:rPr>
  </w:style>
  <w:style w:type="character" w:customStyle="1" w:styleId="69">
    <w:name w:val="文本块 Char"/>
    <w:link w:val="12"/>
    <w:qFormat/>
    <w:uiPriority w:val="99"/>
  </w:style>
  <w:style w:type="paragraph" w:customStyle="1" w:styleId="70">
    <w:name w:val="样式 样式 首行缩进:  2.57 字符 + 首行缩进:  2.57 字符"/>
    <w:basedOn w:val="1"/>
    <w:qFormat/>
    <w:uiPriority w:val="0"/>
    <w:pPr>
      <w:widowControl/>
      <w:spacing w:line="360" w:lineRule="auto"/>
      <w:ind w:firstLine="771" w:firstLineChars="257"/>
      <w:jc w:val="left"/>
    </w:pPr>
    <w:rPr>
      <w:rFonts w:eastAsia="仿宋" w:cs="宋体"/>
      <w:kern w:val="0"/>
      <w:sz w:val="30"/>
      <w:szCs w:val="30"/>
    </w:rPr>
  </w:style>
  <w:style w:type="paragraph" w:customStyle="1" w:styleId="71">
    <w:name w:val="技术正文"/>
    <w:basedOn w:val="1"/>
    <w:qFormat/>
    <w:uiPriority w:val="0"/>
    <w:pPr>
      <w:wordWrap w:val="0"/>
      <w:spacing w:before="30" w:beforeLines="30" w:after="30" w:afterLines="30" w:line="300" w:lineRule="auto"/>
      <w:ind w:firstLine="200" w:firstLineChars="200"/>
    </w:pPr>
    <w:rPr>
      <w:sz w:val="28"/>
    </w:rPr>
  </w:style>
  <w:style w:type="paragraph" w:customStyle="1" w:styleId="72">
    <w:name w:val="正文缩进2字符"/>
    <w:basedOn w:val="33"/>
    <w:qFormat/>
    <w:uiPriority w:val="0"/>
    <w:pPr>
      <w:spacing w:after="0" w:line="360" w:lineRule="auto"/>
    </w:pPr>
    <w:rPr>
      <w:rFonts w:eastAsia="仿宋"/>
      <w:kern w:val="0"/>
      <w:sz w:val="28"/>
      <w:szCs w:val="24"/>
    </w:rPr>
  </w:style>
  <w:style w:type="paragraph" w:customStyle="1" w:styleId="73">
    <w:name w:val="无间隔1"/>
    <w:next w:val="1"/>
    <w:qFormat/>
    <w:uiPriority w:val="0"/>
    <w:pPr>
      <w:widowControl w:val="0"/>
      <w:jc w:val="both"/>
    </w:pPr>
    <w:rPr>
      <w:rFonts w:ascii="Calibri" w:hAnsi="Calibri" w:eastAsia="宋体" w:cs="黑体"/>
      <w:kern w:val="2"/>
      <w:sz w:val="21"/>
      <w:szCs w:val="22"/>
      <w:lang w:val="en-US" w:eastAsia="zh-CN" w:bidi="ar-SA"/>
    </w:rPr>
  </w:style>
  <w:style w:type="paragraph" w:customStyle="1" w:styleId="7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5">
    <w:name w:val="（标题二）"/>
    <w:basedOn w:val="3"/>
    <w:next w:val="1"/>
    <w:qFormat/>
    <w:uiPriority w:val="0"/>
    <w:pPr>
      <w:tabs>
        <w:tab w:val="left" w:pos="1680"/>
      </w:tabs>
      <w:ind w:left="1680" w:hanging="420"/>
    </w:pPr>
    <w:rPr>
      <w:sz w:val="36"/>
      <w:szCs w:val="32"/>
    </w:rPr>
  </w:style>
  <w:style w:type="character" w:customStyle="1" w:styleId="76">
    <w:name w:val="标题 7 Char"/>
    <w:basedOn w:val="37"/>
    <w:link w:val="8"/>
    <w:semiHidden/>
    <w:qFormat/>
    <w:uiPriority w:val="0"/>
    <w:rPr>
      <w:b/>
      <w:bCs/>
      <w:kern w:val="2"/>
      <w:sz w:val="24"/>
      <w:szCs w:val="24"/>
    </w:rPr>
  </w:style>
  <w:style w:type="character" w:customStyle="1" w:styleId="77">
    <w:name w:val="标题 6 Char"/>
    <w:basedOn w:val="37"/>
    <w:link w:val="7"/>
    <w:semiHidden/>
    <w:qFormat/>
    <w:uiPriority w:val="0"/>
    <w:rPr>
      <w:rFonts w:asciiTheme="majorHAnsi" w:hAnsiTheme="majorHAnsi" w:eastAsiaTheme="majorEastAsia" w:cstheme="majorBidi"/>
      <w:b/>
      <w:bCs/>
      <w:kern w:val="2"/>
      <w:sz w:val="24"/>
      <w:szCs w:val="24"/>
    </w:rPr>
  </w:style>
  <w:style w:type="character" w:customStyle="1" w:styleId="78">
    <w:name w:val="批注文字 Char"/>
    <w:basedOn w:val="37"/>
    <w:link w:val="13"/>
    <w:qFormat/>
    <w:uiPriority w:val="99"/>
    <w:rPr>
      <w:kern w:val="2"/>
      <w:sz w:val="21"/>
    </w:rPr>
  </w:style>
  <w:style w:type="character" w:customStyle="1" w:styleId="79">
    <w:name w:val="批注主题 Char"/>
    <w:basedOn w:val="78"/>
    <w:link w:val="32"/>
    <w:semiHidden/>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8.wmf"/><Relationship Id="rId22" Type="http://schemas.openxmlformats.org/officeDocument/2006/relationships/oleObject" Target="embeddings/oleObject5.bin"/><Relationship Id="rId21" Type="http://schemas.openxmlformats.org/officeDocument/2006/relationships/image" Target="media/image7.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3.bin"/><Relationship Id="rId17" Type="http://schemas.openxmlformats.org/officeDocument/2006/relationships/image" Target="media/image5.wmf"/><Relationship Id="rId16" Type="http://schemas.openxmlformats.org/officeDocument/2006/relationships/oleObject" Target="embeddings/oleObject2.bin"/><Relationship Id="rId15" Type="http://schemas.openxmlformats.org/officeDocument/2006/relationships/image" Target="media/image4.wmf"/><Relationship Id="rId14" Type="http://schemas.openxmlformats.org/officeDocument/2006/relationships/oleObject" Target="embeddings/oleObject1.bin"/><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C1F396-16F1-4EEF-B5BE-7BE00572875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172</Pages>
  <Words>18256</Words>
  <Characters>20265</Characters>
  <Lines>781</Lines>
  <Paragraphs>220</Paragraphs>
  <TotalTime>61</TotalTime>
  <ScaleCrop>false</ScaleCrop>
  <LinksUpToDate>false</LinksUpToDate>
  <CharactersWithSpaces>20385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2025-11-04T05:21:00Z</dcterms:created>
  <dc:creator>CompReds丶</dc:creator>
  <cp:lastModifiedBy>小拍拖</cp:lastModifiedBy>
  <cp:lastPrinted>2025-11-14T09:43:00Z</cp:lastPrinted>
  <dcterms:modified xsi:type="dcterms:W3CDTF">2026-05-10T10:17:09Z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DDE126833A5D4AC69D8686F14DAA09F4_13</vt:lpwstr>
  </property>
  <property fmtid="{D5CDD505-2E9C-101B-9397-08002B2CF9AE}" pid="4" name="KSOTemplateDocerSaveRecord">
    <vt:lpwstr>eyJoZGlkIjoiYjU1YTJjYWNjNzUwODEzYTMzZmU1YmU1YjA2ZGZkN2QiLCJ1c2VySWQiOiIyNTk4NzUwNzcifQ==</vt:lpwstr>
  </property>
</Properties>
</file>